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FC5AB" w14:textId="77777777" w:rsidR="00CD4FAE" w:rsidRDefault="00CD4FAE" w:rsidP="00CD4FAE">
      <w:pPr>
        <w:jc w:val="center"/>
        <w:rPr>
          <w:rFonts w:cs="Times New Roman"/>
        </w:rPr>
      </w:pPr>
      <w:r>
        <w:rPr>
          <w:rFonts w:cs="Times New Roman"/>
        </w:rPr>
        <w:t>UNIVERSITY OF OKLAHOMA</w:t>
      </w:r>
    </w:p>
    <w:p w14:paraId="43FF2051" w14:textId="77777777" w:rsidR="00CD4FAE" w:rsidRDefault="00CD4FAE" w:rsidP="00CD4FAE">
      <w:pPr>
        <w:jc w:val="center"/>
        <w:rPr>
          <w:rFonts w:cs="Times New Roman"/>
        </w:rPr>
      </w:pPr>
    </w:p>
    <w:p w14:paraId="2D878C2F" w14:textId="77777777" w:rsidR="00CD4FAE" w:rsidRDefault="00CD4FAE" w:rsidP="00CD4FAE">
      <w:pPr>
        <w:jc w:val="center"/>
        <w:rPr>
          <w:rFonts w:cs="Times New Roman"/>
        </w:rPr>
      </w:pPr>
      <w:r>
        <w:rPr>
          <w:rFonts w:cs="Times New Roman"/>
        </w:rPr>
        <w:t>GRADUATE COLLEGE</w:t>
      </w:r>
    </w:p>
    <w:p w14:paraId="4419A8DD" w14:textId="77777777" w:rsidR="00CD4FAE" w:rsidRDefault="00CD4FAE" w:rsidP="00CD4FAE">
      <w:pPr>
        <w:jc w:val="center"/>
        <w:rPr>
          <w:rFonts w:cs="Times New Roman"/>
        </w:rPr>
      </w:pPr>
    </w:p>
    <w:p w14:paraId="276FEC32" w14:textId="77777777" w:rsidR="00CD4FAE" w:rsidRDefault="00CD4FAE" w:rsidP="00CD4FAE">
      <w:pPr>
        <w:jc w:val="center"/>
        <w:rPr>
          <w:rFonts w:cs="Times New Roman"/>
        </w:rPr>
      </w:pPr>
    </w:p>
    <w:p w14:paraId="0BC4FFB3" w14:textId="77777777" w:rsidR="00CD4FAE" w:rsidRDefault="00CD4FAE" w:rsidP="00CD4FAE">
      <w:pPr>
        <w:jc w:val="center"/>
        <w:rPr>
          <w:rFonts w:cs="Times New Roman"/>
        </w:rPr>
      </w:pPr>
    </w:p>
    <w:p w14:paraId="1F923F16" w14:textId="77777777" w:rsidR="00CD4FAE" w:rsidRDefault="00CD4FAE" w:rsidP="00CD4FAE">
      <w:pPr>
        <w:jc w:val="center"/>
        <w:rPr>
          <w:rFonts w:cs="Times New Roman"/>
        </w:rPr>
      </w:pPr>
    </w:p>
    <w:p w14:paraId="488AE64A" w14:textId="77777777" w:rsidR="00CD4FAE" w:rsidRDefault="00CD4FAE" w:rsidP="00CD4FAE">
      <w:pPr>
        <w:jc w:val="center"/>
        <w:rPr>
          <w:rFonts w:cs="Times New Roman"/>
        </w:rPr>
      </w:pPr>
    </w:p>
    <w:p w14:paraId="13B180AC" w14:textId="77777777" w:rsidR="00CD4FAE" w:rsidRDefault="00CD4FAE" w:rsidP="00CD4FAE">
      <w:pPr>
        <w:jc w:val="center"/>
        <w:rPr>
          <w:rFonts w:cs="Times New Roman"/>
        </w:rPr>
      </w:pPr>
    </w:p>
    <w:p w14:paraId="1BA20D85" w14:textId="77777777" w:rsidR="00CD4FAE" w:rsidRDefault="00CD4FAE" w:rsidP="00CD4FAE">
      <w:pPr>
        <w:jc w:val="center"/>
        <w:rPr>
          <w:rFonts w:cs="Times New Roman"/>
        </w:rPr>
      </w:pPr>
    </w:p>
    <w:p w14:paraId="32ED6249" w14:textId="232A3C83" w:rsidR="00CD4FAE" w:rsidRDefault="00CD4FAE" w:rsidP="00CD4FAE">
      <w:pPr>
        <w:jc w:val="center"/>
        <w:rPr>
          <w:rFonts w:cs="Times New Roman"/>
        </w:rPr>
      </w:pPr>
      <w:r>
        <w:rPr>
          <w:rFonts w:cs="Times New Roman"/>
        </w:rPr>
        <w:t>A MULTIFACETED APPROACH TO REPTILE CONSERVATION</w:t>
      </w:r>
      <w:r w:rsidR="00BF5487">
        <w:rPr>
          <w:rFonts w:cs="Times New Roman"/>
        </w:rPr>
        <w:t xml:space="preserve"> FROM TAXONOMY</w:t>
      </w:r>
      <w:r w:rsidR="00DF46E3">
        <w:rPr>
          <w:rFonts w:cs="Times New Roman"/>
        </w:rPr>
        <w:t xml:space="preserve"> AND SYSTEMATICS</w:t>
      </w:r>
      <w:r w:rsidR="00BF5487">
        <w:rPr>
          <w:rFonts w:cs="Times New Roman"/>
        </w:rPr>
        <w:t xml:space="preserve"> TO MICROBIAL ECOLOGY</w:t>
      </w:r>
    </w:p>
    <w:p w14:paraId="57E0627C" w14:textId="77777777" w:rsidR="00CD4FAE" w:rsidRDefault="00CD4FAE" w:rsidP="00CD4FAE">
      <w:pPr>
        <w:jc w:val="center"/>
        <w:rPr>
          <w:rFonts w:cs="Times New Roman"/>
        </w:rPr>
      </w:pPr>
    </w:p>
    <w:p w14:paraId="562F1253" w14:textId="77777777" w:rsidR="00CD4FAE" w:rsidRDefault="00CD4FAE" w:rsidP="00CD4FAE">
      <w:pPr>
        <w:jc w:val="center"/>
        <w:rPr>
          <w:rFonts w:cs="Times New Roman"/>
        </w:rPr>
      </w:pPr>
    </w:p>
    <w:p w14:paraId="66DEEDD7" w14:textId="77777777" w:rsidR="00CD4FAE" w:rsidRDefault="00CD4FAE" w:rsidP="00CD4FAE">
      <w:pPr>
        <w:jc w:val="center"/>
        <w:rPr>
          <w:rFonts w:cs="Times New Roman"/>
        </w:rPr>
      </w:pPr>
    </w:p>
    <w:p w14:paraId="11573C55" w14:textId="77777777" w:rsidR="00CD4FAE" w:rsidRDefault="00CD4FAE" w:rsidP="00CD4FAE">
      <w:pPr>
        <w:jc w:val="center"/>
        <w:rPr>
          <w:rFonts w:cs="Times New Roman"/>
        </w:rPr>
      </w:pPr>
    </w:p>
    <w:p w14:paraId="5AB23995" w14:textId="77777777" w:rsidR="00CD4FAE" w:rsidRDefault="00CD4FAE" w:rsidP="00CD4FAE">
      <w:pPr>
        <w:jc w:val="center"/>
        <w:rPr>
          <w:rFonts w:cs="Times New Roman"/>
        </w:rPr>
      </w:pPr>
    </w:p>
    <w:p w14:paraId="0257E585" w14:textId="77777777" w:rsidR="00CD4FAE" w:rsidRDefault="00CD4FAE" w:rsidP="00CD4FAE">
      <w:pPr>
        <w:jc w:val="center"/>
        <w:rPr>
          <w:rFonts w:cs="Times New Roman"/>
        </w:rPr>
      </w:pPr>
    </w:p>
    <w:p w14:paraId="010CD15F" w14:textId="77777777" w:rsidR="00CD4FAE" w:rsidRDefault="00CD4FAE" w:rsidP="00CD4FAE">
      <w:pPr>
        <w:jc w:val="center"/>
        <w:rPr>
          <w:rFonts w:cs="Times New Roman"/>
        </w:rPr>
      </w:pPr>
    </w:p>
    <w:p w14:paraId="63C8E9E0" w14:textId="77777777" w:rsidR="00CD4FAE" w:rsidRDefault="00CD4FAE" w:rsidP="00CD4FAE">
      <w:pPr>
        <w:jc w:val="center"/>
        <w:rPr>
          <w:rFonts w:cs="Times New Roman"/>
        </w:rPr>
      </w:pPr>
    </w:p>
    <w:p w14:paraId="2DC12856" w14:textId="77777777" w:rsidR="00CD4FAE" w:rsidRDefault="00CD4FAE" w:rsidP="00CD4FAE">
      <w:pPr>
        <w:jc w:val="center"/>
        <w:rPr>
          <w:rFonts w:cs="Times New Roman"/>
        </w:rPr>
      </w:pPr>
      <w:r>
        <w:rPr>
          <w:rFonts w:cs="Times New Roman"/>
        </w:rPr>
        <w:t>A DISSERTATION</w:t>
      </w:r>
    </w:p>
    <w:p w14:paraId="66353C8A" w14:textId="77777777" w:rsidR="00CD4FAE" w:rsidRDefault="00CD4FAE" w:rsidP="00CD4FAE">
      <w:pPr>
        <w:jc w:val="center"/>
        <w:rPr>
          <w:rFonts w:cs="Times New Roman"/>
        </w:rPr>
      </w:pPr>
    </w:p>
    <w:p w14:paraId="2360570C" w14:textId="77777777" w:rsidR="00CD4FAE" w:rsidRDefault="00CD4FAE" w:rsidP="00CD4FAE">
      <w:pPr>
        <w:jc w:val="center"/>
        <w:rPr>
          <w:rFonts w:cs="Times New Roman"/>
        </w:rPr>
      </w:pPr>
      <w:r>
        <w:rPr>
          <w:rFonts w:cs="Times New Roman"/>
        </w:rPr>
        <w:t>SUBMITTED TO THE GRADUATE FACULTY</w:t>
      </w:r>
    </w:p>
    <w:p w14:paraId="41F823D4" w14:textId="77777777" w:rsidR="00CD4FAE" w:rsidRDefault="00CD4FAE" w:rsidP="00CD4FAE">
      <w:pPr>
        <w:jc w:val="center"/>
        <w:rPr>
          <w:rFonts w:cs="Times New Roman"/>
        </w:rPr>
      </w:pPr>
    </w:p>
    <w:p w14:paraId="678345E5" w14:textId="77777777" w:rsidR="00CD4FAE" w:rsidRDefault="00CD4FAE" w:rsidP="00CD4FAE">
      <w:pPr>
        <w:jc w:val="center"/>
        <w:rPr>
          <w:rFonts w:cs="Times New Roman"/>
        </w:rPr>
      </w:pPr>
      <w:r>
        <w:rPr>
          <w:rFonts w:cs="Times New Roman"/>
        </w:rPr>
        <w:t>in partial fulfillment of the requirements for the</w:t>
      </w:r>
    </w:p>
    <w:p w14:paraId="321D3FC7" w14:textId="77777777" w:rsidR="00CD4FAE" w:rsidRDefault="00CD4FAE" w:rsidP="00CD4FAE">
      <w:pPr>
        <w:jc w:val="center"/>
        <w:rPr>
          <w:rFonts w:cs="Times New Roman"/>
        </w:rPr>
      </w:pPr>
    </w:p>
    <w:p w14:paraId="27248A1D" w14:textId="77777777" w:rsidR="00CD4FAE" w:rsidRDefault="00CD4FAE" w:rsidP="00CD4FAE">
      <w:pPr>
        <w:jc w:val="center"/>
        <w:rPr>
          <w:rFonts w:cs="Times New Roman"/>
        </w:rPr>
      </w:pPr>
      <w:r>
        <w:rPr>
          <w:rFonts w:cs="Times New Roman"/>
        </w:rPr>
        <w:t xml:space="preserve">Degree of </w:t>
      </w:r>
    </w:p>
    <w:p w14:paraId="3FD345B0" w14:textId="77777777" w:rsidR="00CD4FAE" w:rsidRDefault="00CD4FAE" w:rsidP="00CD4FAE">
      <w:pPr>
        <w:jc w:val="center"/>
        <w:rPr>
          <w:rFonts w:cs="Times New Roman"/>
        </w:rPr>
      </w:pPr>
    </w:p>
    <w:p w14:paraId="272551E6" w14:textId="77777777" w:rsidR="00CD4FAE" w:rsidRDefault="00CD4FAE" w:rsidP="00CD4FAE">
      <w:pPr>
        <w:jc w:val="center"/>
        <w:rPr>
          <w:rFonts w:cs="Times New Roman"/>
        </w:rPr>
      </w:pPr>
      <w:r>
        <w:rPr>
          <w:rFonts w:cs="Times New Roman"/>
        </w:rPr>
        <w:t xml:space="preserve">DOCTOR OF PHILOSOPHY </w:t>
      </w:r>
    </w:p>
    <w:p w14:paraId="5DC399AD" w14:textId="77777777" w:rsidR="00CD4FAE" w:rsidRDefault="00CD4FAE" w:rsidP="00CD4FAE">
      <w:pPr>
        <w:jc w:val="center"/>
        <w:rPr>
          <w:rFonts w:cs="Times New Roman"/>
        </w:rPr>
      </w:pPr>
    </w:p>
    <w:p w14:paraId="33EB79BC" w14:textId="77777777" w:rsidR="00CD4FAE" w:rsidRDefault="00CD4FAE" w:rsidP="00CD4FAE">
      <w:pPr>
        <w:jc w:val="center"/>
        <w:rPr>
          <w:rFonts w:cs="Times New Roman"/>
        </w:rPr>
      </w:pPr>
    </w:p>
    <w:p w14:paraId="6BA9ECBF" w14:textId="77777777" w:rsidR="00CD4FAE" w:rsidRDefault="00CD4FAE" w:rsidP="00CD4FAE">
      <w:pPr>
        <w:jc w:val="center"/>
        <w:rPr>
          <w:rFonts w:cs="Times New Roman"/>
        </w:rPr>
      </w:pPr>
    </w:p>
    <w:p w14:paraId="70EC5837" w14:textId="77777777" w:rsidR="00CD4FAE" w:rsidRDefault="00CD4FAE" w:rsidP="00CD4FAE">
      <w:pPr>
        <w:jc w:val="center"/>
        <w:rPr>
          <w:rFonts w:cs="Times New Roman"/>
        </w:rPr>
      </w:pPr>
    </w:p>
    <w:p w14:paraId="3601277F" w14:textId="77777777" w:rsidR="00CD4FAE" w:rsidRDefault="00CD4FAE" w:rsidP="00CD4FAE">
      <w:pPr>
        <w:jc w:val="center"/>
        <w:rPr>
          <w:rFonts w:cs="Times New Roman"/>
        </w:rPr>
      </w:pPr>
    </w:p>
    <w:p w14:paraId="6555142B" w14:textId="77777777" w:rsidR="00CD4FAE" w:rsidRDefault="00CD4FAE" w:rsidP="00CD4FAE">
      <w:pPr>
        <w:jc w:val="center"/>
        <w:rPr>
          <w:rFonts w:cs="Times New Roman"/>
        </w:rPr>
      </w:pPr>
    </w:p>
    <w:p w14:paraId="0BF39815" w14:textId="77777777" w:rsidR="00CD4FAE" w:rsidRDefault="00CD4FAE" w:rsidP="00CD4FAE">
      <w:pPr>
        <w:jc w:val="center"/>
        <w:rPr>
          <w:rFonts w:cs="Times New Roman"/>
        </w:rPr>
      </w:pPr>
    </w:p>
    <w:p w14:paraId="1B1E04AB" w14:textId="77777777" w:rsidR="00CD4FAE" w:rsidRDefault="00CD4FAE" w:rsidP="00CD4FAE">
      <w:pPr>
        <w:jc w:val="center"/>
        <w:rPr>
          <w:rFonts w:cs="Times New Roman"/>
        </w:rPr>
      </w:pPr>
      <w:r>
        <w:rPr>
          <w:rFonts w:cs="Times New Roman"/>
        </w:rPr>
        <w:t>By</w:t>
      </w:r>
    </w:p>
    <w:p w14:paraId="69A5DFF2" w14:textId="77777777" w:rsidR="00CD4FAE" w:rsidRDefault="00CD4FAE" w:rsidP="00CD4FAE">
      <w:pPr>
        <w:jc w:val="center"/>
        <w:rPr>
          <w:rFonts w:cs="Times New Roman"/>
        </w:rPr>
      </w:pPr>
    </w:p>
    <w:p w14:paraId="1B8D403A" w14:textId="733D2F47" w:rsidR="00CD4FAE" w:rsidRDefault="00CD4FAE" w:rsidP="00CD4FAE">
      <w:pPr>
        <w:jc w:val="center"/>
        <w:rPr>
          <w:rFonts w:cs="Times New Roman"/>
        </w:rPr>
      </w:pPr>
      <w:r>
        <w:rPr>
          <w:rFonts w:cs="Times New Roman"/>
        </w:rPr>
        <w:t>SAMUEL JOSEPH ELIADES</w:t>
      </w:r>
    </w:p>
    <w:p w14:paraId="14E5A779" w14:textId="77777777" w:rsidR="00CD4FAE" w:rsidRDefault="00CD4FAE" w:rsidP="00CD4FAE">
      <w:pPr>
        <w:jc w:val="center"/>
        <w:rPr>
          <w:rFonts w:cs="Times New Roman"/>
        </w:rPr>
      </w:pPr>
      <w:r>
        <w:rPr>
          <w:rFonts w:cs="Times New Roman"/>
        </w:rPr>
        <w:t>Norman, Oklahoma</w:t>
      </w:r>
    </w:p>
    <w:p w14:paraId="49567B7D" w14:textId="2D28416B" w:rsidR="00CD4FAE" w:rsidRDefault="00CD4FAE" w:rsidP="00CD4FAE">
      <w:pPr>
        <w:jc w:val="center"/>
        <w:rPr>
          <w:rFonts w:cs="Times New Roman"/>
        </w:rPr>
      </w:pPr>
      <w:r>
        <w:rPr>
          <w:rFonts w:cs="Times New Roman"/>
        </w:rPr>
        <w:t>2022</w:t>
      </w:r>
    </w:p>
    <w:p w14:paraId="7D23A600" w14:textId="7535136C" w:rsidR="00BF5487" w:rsidRDefault="00CD4FAE" w:rsidP="00BF5487">
      <w:pPr>
        <w:jc w:val="center"/>
        <w:rPr>
          <w:rFonts w:cs="Times New Roman"/>
        </w:rPr>
      </w:pPr>
      <w:r>
        <w:rPr>
          <w:rFonts w:cs="Times New Roman"/>
        </w:rPr>
        <w:br w:type="page"/>
      </w:r>
      <w:r w:rsidR="00BF5487">
        <w:rPr>
          <w:rFonts w:cs="Times New Roman"/>
        </w:rPr>
        <w:lastRenderedPageBreak/>
        <w:t xml:space="preserve">A MULTIFACETED APPROACH TO REPTILE CONSERVATION FROM TAXONOMY </w:t>
      </w:r>
      <w:r w:rsidR="00DF46E3">
        <w:rPr>
          <w:rFonts w:cs="Times New Roman"/>
        </w:rPr>
        <w:t xml:space="preserve">AND SYSTEMATICS </w:t>
      </w:r>
      <w:r w:rsidR="00BF5487">
        <w:rPr>
          <w:rFonts w:cs="Times New Roman"/>
        </w:rPr>
        <w:t>TO MICROBIAL ECOLOGY</w:t>
      </w:r>
    </w:p>
    <w:p w14:paraId="7C026309" w14:textId="5BA4517F" w:rsidR="00CD4FAE" w:rsidRDefault="00CD4FAE" w:rsidP="00CD4FAE">
      <w:pPr>
        <w:jc w:val="center"/>
        <w:rPr>
          <w:rFonts w:cs="Times New Roman"/>
        </w:rPr>
      </w:pPr>
    </w:p>
    <w:p w14:paraId="15CC3C89" w14:textId="029E4CE1" w:rsidR="00CD4FAE" w:rsidRDefault="00CD4FAE" w:rsidP="00CD4FAE">
      <w:pPr>
        <w:jc w:val="center"/>
        <w:rPr>
          <w:rFonts w:cs="Times New Roman"/>
        </w:rPr>
      </w:pPr>
    </w:p>
    <w:p w14:paraId="573B0A3E" w14:textId="77777777" w:rsidR="00CD4FAE" w:rsidRDefault="00CD4FAE" w:rsidP="00CD4FAE">
      <w:pPr>
        <w:jc w:val="center"/>
        <w:rPr>
          <w:rFonts w:cs="Times New Roman"/>
        </w:rPr>
      </w:pPr>
    </w:p>
    <w:p w14:paraId="0F04C864" w14:textId="77777777" w:rsidR="00CD4FAE" w:rsidRDefault="00CD4FAE" w:rsidP="00CD4FAE">
      <w:pPr>
        <w:jc w:val="center"/>
        <w:rPr>
          <w:rFonts w:cs="Times New Roman"/>
        </w:rPr>
      </w:pPr>
    </w:p>
    <w:p w14:paraId="45884BF7" w14:textId="77777777" w:rsidR="00CD4FAE" w:rsidRDefault="00CD4FAE" w:rsidP="00CD4FAE">
      <w:pPr>
        <w:jc w:val="center"/>
        <w:rPr>
          <w:rFonts w:cs="Times New Roman"/>
        </w:rPr>
      </w:pPr>
    </w:p>
    <w:p w14:paraId="18D71FF2" w14:textId="77777777" w:rsidR="00CD4FAE" w:rsidRDefault="00CD4FAE" w:rsidP="00CD4FAE">
      <w:pPr>
        <w:jc w:val="center"/>
        <w:rPr>
          <w:rFonts w:cs="Times New Roman"/>
        </w:rPr>
      </w:pPr>
    </w:p>
    <w:p w14:paraId="0FF138E5" w14:textId="77777777" w:rsidR="00CD4FAE" w:rsidRDefault="00CD4FAE" w:rsidP="00CD4FAE">
      <w:pPr>
        <w:rPr>
          <w:rFonts w:cs="Times New Roman"/>
        </w:rPr>
      </w:pPr>
    </w:p>
    <w:p w14:paraId="34206296" w14:textId="77777777" w:rsidR="00CD4FAE" w:rsidRDefault="00CD4FAE" w:rsidP="00CD4FAE">
      <w:pPr>
        <w:rPr>
          <w:rFonts w:cs="Times New Roman"/>
        </w:rPr>
      </w:pPr>
    </w:p>
    <w:p w14:paraId="5972F393" w14:textId="77777777" w:rsidR="00CD4FAE" w:rsidRDefault="00CD4FAE" w:rsidP="00CD4FAE">
      <w:pPr>
        <w:rPr>
          <w:rFonts w:cs="Times New Roman"/>
        </w:rPr>
      </w:pPr>
    </w:p>
    <w:p w14:paraId="29F73B80" w14:textId="77777777" w:rsidR="00CD4FAE" w:rsidRDefault="00CD4FAE" w:rsidP="00CD4FAE">
      <w:pPr>
        <w:jc w:val="center"/>
        <w:rPr>
          <w:rFonts w:cs="Times New Roman"/>
        </w:rPr>
      </w:pPr>
    </w:p>
    <w:p w14:paraId="0CB262F6" w14:textId="77777777" w:rsidR="00CD4FAE" w:rsidRDefault="00CD4FAE" w:rsidP="00CD4FAE">
      <w:pPr>
        <w:jc w:val="center"/>
        <w:rPr>
          <w:rFonts w:cs="Times New Roman"/>
        </w:rPr>
      </w:pPr>
    </w:p>
    <w:p w14:paraId="328B3975" w14:textId="77777777" w:rsidR="00CD4FAE" w:rsidRDefault="00CD4FAE" w:rsidP="00CD4FAE">
      <w:pPr>
        <w:jc w:val="center"/>
        <w:rPr>
          <w:rFonts w:cs="Times New Roman"/>
        </w:rPr>
      </w:pPr>
      <w:r>
        <w:rPr>
          <w:rFonts w:cs="Times New Roman"/>
        </w:rPr>
        <w:t xml:space="preserve">A DISSERTATION APPROVED FOR THE </w:t>
      </w:r>
    </w:p>
    <w:p w14:paraId="2227F8ED" w14:textId="77777777" w:rsidR="00CD4FAE" w:rsidRDefault="00CD4FAE" w:rsidP="00CD4FAE">
      <w:pPr>
        <w:jc w:val="center"/>
        <w:rPr>
          <w:rFonts w:cs="Times New Roman"/>
        </w:rPr>
      </w:pPr>
      <w:r>
        <w:rPr>
          <w:rFonts w:cs="Times New Roman"/>
        </w:rPr>
        <w:t>DEPARTMENT OF BIOLOGY</w:t>
      </w:r>
    </w:p>
    <w:p w14:paraId="72855125" w14:textId="77777777" w:rsidR="00CD4FAE" w:rsidRDefault="00CD4FAE" w:rsidP="00CD4FAE">
      <w:pPr>
        <w:jc w:val="center"/>
        <w:rPr>
          <w:rFonts w:cs="Times New Roman"/>
        </w:rPr>
      </w:pPr>
    </w:p>
    <w:p w14:paraId="7F86E95B" w14:textId="77777777" w:rsidR="00CD4FAE" w:rsidRDefault="00CD4FAE" w:rsidP="00CD4FAE">
      <w:pPr>
        <w:jc w:val="center"/>
        <w:rPr>
          <w:rFonts w:cs="Times New Roman"/>
        </w:rPr>
      </w:pPr>
    </w:p>
    <w:p w14:paraId="75B33E11" w14:textId="77777777" w:rsidR="00CD4FAE" w:rsidRDefault="00CD4FAE" w:rsidP="00CD4FAE">
      <w:pPr>
        <w:jc w:val="center"/>
        <w:rPr>
          <w:rFonts w:cs="Times New Roman"/>
        </w:rPr>
      </w:pPr>
    </w:p>
    <w:p w14:paraId="786115AC" w14:textId="77777777" w:rsidR="00CD4FAE" w:rsidRDefault="00CD4FAE" w:rsidP="00CD4FAE">
      <w:pPr>
        <w:jc w:val="center"/>
        <w:rPr>
          <w:rFonts w:cs="Times New Roman"/>
        </w:rPr>
      </w:pPr>
    </w:p>
    <w:p w14:paraId="3F895F4C" w14:textId="77777777" w:rsidR="00CD4FAE" w:rsidRDefault="00CD4FAE" w:rsidP="00CD4FAE">
      <w:pPr>
        <w:jc w:val="center"/>
        <w:rPr>
          <w:rFonts w:cs="Times New Roman"/>
        </w:rPr>
      </w:pPr>
    </w:p>
    <w:p w14:paraId="1419AB2C" w14:textId="77777777" w:rsidR="00CD4FAE" w:rsidRDefault="00CD4FAE" w:rsidP="00CD4FAE">
      <w:pPr>
        <w:jc w:val="center"/>
        <w:rPr>
          <w:rFonts w:cs="Times New Roman"/>
        </w:rPr>
      </w:pPr>
    </w:p>
    <w:p w14:paraId="37C8722E" w14:textId="77777777" w:rsidR="00CD4FAE" w:rsidRDefault="00CD4FAE" w:rsidP="00CD4FAE">
      <w:pPr>
        <w:rPr>
          <w:rFonts w:cs="Times New Roman"/>
        </w:rPr>
      </w:pPr>
    </w:p>
    <w:p w14:paraId="1FD11539" w14:textId="77777777" w:rsidR="00CD4FAE" w:rsidRDefault="00CD4FAE" w:rsidP="00CD4FAE">
      <w:pPr>
        <w:rPr>
          <w:rFonts w:cs="Times New Roman"/>
        </w:rPr>
      </w:pPr>
    </w:p>
    <w:p w14:paraId="3327DC43" w14:textId="77777777" w:rsidR="00CD4FAE" w:rsidRDefault="00CD4FAE" w:rsidP="00CD4FAE">
      <w:pPr>
        <w:jc w:val="center"/>
        <w:rPr>
          <w:rFonts w:cs="Times New Roman"/>
        </w:rPr>
      </w:pPr>
    </w:p>
    <w:p w14:paraId="1B39C4CB" w14:textId="77777777" w:rsidR="00CD4FAE" w:rsidRDefault="00CD4FAE" w:rsidP="00CD4FAE">
      <w:pPr>
        <w:jc w:val="center"/>
        <w:rPr>
          <w:rFonts w:cs="Times New Roman"/>
        </w:rPr>
      </w:pPr>
    </w:p>
    <w:p w14:paraId="123F5A0B" w14:textId="77777777" w:rsidR="00CD4FAE" w:rsidRDefault="00CD4FAE" w:rsidP="00CD4FAE">
      <w:pPr>
        <w:jc w:val="center"/>
        <w:rPr>
          <w:rFonts w:cs="Times New Roman"/>
        </w:rPr>
      </w:pPr>
    </w:p>
    <w:p w14:paraId="236E179D" w14:textId="77777777" w:rsidR="00CD4FAE" w:rsidRDefault="00CD4FAE" w:rsidP="00CD4FAE">
      <w:pPr>
        <w:jc w:val="center"/>
        <w:rPr>
          <w:rFonts w:cs="Times New Roman"/>
        </w:rPr>
      </w:pPr>
    </w:p>
    <w:p w14:paraId="518C9DAD" w14:textId="77777777" w:rsidR="00CD4FAE" w:rsidRDefault="00CD4FAE" w:rsidP="00CD4FAE">
      <w:pPr>
        <w:jc w:val="center"/>
        <w:rPr>
          <w:rFonts w:cs="Times New Roman"/>
        </w:rPr>
      </w:pPr>
      <w:r>
        <w:rPr>
          <w:rFonts w:cs="Times New Roman"/>
        </w:rPr>
        <w:t xml:space="preserve">BY THE COMMITTEE CONSISTING OF </w:t>
      </w:r>
    </w:p>
    <w:p w14:paraId="1A89E62B" w14:textId="77777777" w:rsidR="00CD4FAE" w:rsidRDefault="00CD4FAE" w:rsidP="00CD4FAE">
      <w:pPr>
        <w:jc w:val="center"/>
        <w:rPr>
          <w:rFonts w:cs="Times New Roman"/>
        </w:rPr>
      </w:pPr>
    </w:p>
    <w:p w14:paraId="374FBDD0" w14:textId="77777777" w:rsidR="00CD4FAE" w:rsidRDefault="00CD4FAE" w:rsidP="00CD4FAE">
      <w:pPr>
        <w:jc w:val="right"/>
        <w:rPr>
          <w:rFonts w:cs="Times New Roman"/>
        </w:rPr>
      </w:pPr>
    </w:p>
    <w:p w14:paraId="0931A544" w14:textId="77777777" w:rsidR="00CD4FAE" w:rsidRDefault="00CD4FAE" w:rsidP="00CD4FAE">
      <w:pPr>
        <w:jc w:val="right"/>
        <w:rPr>
          <w:rFonts w:cs="Times New Roman"/>
        </w:rPr>
      </w:pPr>
    </w:p>
    <w:p w14:paraId="509DC6DE" w14:textId="77777777" w:rsidR="00CD4FAE" w:rsidRDefault="00CD4FAE" w:rsidP="00CD4FAE">
      <w:pPr>
        <w:jc w:val="right"/>
        <w:rPr>
          <w:rFonts w:cs="Times New Roman"/>
        </w:rPr>
      </w:pPr>
    </w:p>
    <w:p w14:paraId="4FE31015" w14:textId="77777777" w:rsidR="00CD4FAE" w:rsidRDefault="00CD4FAE" w:rsidP="00CD4FAE">
      <w:pPr>
        <w:jc w:val="right"/>
        <w:rPr>
          <w:rFonts w:cs="Times New Roman"/>
        </w:rPr>
      </w:pPr>
    </w:p>
    <w:p w14:paraId="54ECE2E0" w14:textId="77777777" w:rsidR="00CD4FAE" w:rsidRDefault="00CD4FAE" w:rsidP="00CD4FAE">
      <w:pPr>
        <w:jc w:val="right"/>
        <w:rPr>
          <w:rFonts w:cs="Times New Roman"/>
        </w:rPr>
      </w:pPr>
    </w:p>
    <w:p w14:paraId="1EC87EC6" w14:textId="77777777" w:rsidR="00CD4FAE" w:rsidRDefault="00CD4FAE" w:rsidP="00CD4FAE">
      <w:pPr>
        <w:jc w:val="right"/>
        <w:rPr>
          <w:rFonts w:cs="Times New Roman"/>
        </w:rPr>
      </w:pPr>
    </w:p>
    <w:p w14:paraId="0CB42BC7" w14:textId="77777777" w:rsidR="00CD4FAE" w:rsidRDefault="00CD4FAE" w:rsidP="00CD4FAE">
      <w:pPr>
        <w:jc w:val="right"/>
        <w:rPr>
          <w:rFonts w:cs="Times New Roman"/>
        </w:rPr>
      </w:pPr>
    </w:p>
    <w:p w14:paraId="77002D75" w14:textId="50A4AF02" w:rsidR="00CD4FAE" w:rsidRDefault="00CD4FAE" w:rsidP="00CD4FAE">
      <w:pPr>
        <w:jc w:val="right"/>
        <w:rPr>
          <w:rFonts w:cs="Times New Roman"/>
        </w:rPr>
      </w:pPr>
      <w:r>
        <w:rPr>
          <w:rFonts w:cs="Times New Roman"/>
        </w:rPr>
        <w:t>Dr. Cameron D. Siler, Chair</w:t>
      </w:r>
    </w:p>
    <w:p w14:paraId="5CDCDC3C" w14:textId="77777777" w:rsidR="00CD4FAE" w:rsidRDefault="00CD4FAE" w:rsidP="00CD4FAE">
      <w:pPr>
        <w:jc w:val="right"/>
        <w:rPr>
          <w:rFonts w:cs="Times New Roman"/>
        </w:rPr>
      </w:pPr>
    </w:p>
    <w:p w14:paraId="1FF9D805" w14:textId="5AD726B6" w:rsidR="00CD4FAE" w:rsidRPr="00675694" w:rsidRDefault="00CD4FAE" w:rsidP="00CD4FAE">
      <w:pPr>
        <w:jc w:val="right"/>
        <w:rPr>
          <w:rFonts w:cs="Times New Roman"/>
          <w:lang w:val="es-419"/>
        </w:rPr>
      </w:pPr>
      <w:r w:rsidRPr="00675694">
        <w:rPr>
          <w:rFonts w:cs="Times New Roman"/>
          <w:lang w:val="es-419"/>
        </w:rPr>
        <w:t xml:space="preserve">Dr. </w:t>
      </w:r>
      <w:r>
        <w:rPr>
          <w:rFonts w:cs="Times New Roman"/>
          <w:lang w:val="es-419"/>
        </w:rPr>
        <w:t xml:space="preserve">John </w:t>
      </w:r>
      <w:r w:rsidR="00051EE3">
        <w:rPr>
          <w:rFonts w:cs="Times New Roman"/>
          <w:lang w:val="es-419"/>
        </w:rPr>
        <w:t xml:space="preserve">A. </w:t>
      </w:r>
      <w:r>
        <w:rPr>
          <w:rFonts w:cs="Times New Roman"/>
          <w:lang w:val="es-419"/>
        </w:rPr>
        <w:t>Banas</w:t>
      </w:r>
    </w:p>
    <w:p w14:paraId="4EE0F2B6" w14:textId="77777777" w:rsidR="00CD4FAE" w:rsidRPr="00675694" w:rsidRDefault="00CD4FAE" w:rsidP="00CD4FAE">
      <w:pPr>
        <w:jc w:val="right"/>
        <w:rPr>
          <w:rFonts w:cs="Times New Roman"/>
          <w:highlight w:val="yellow"/>
          <w:lang w:val="es-419"/>
        </w:rPr>
      </w:pPr>
    </w:p>
    <w:p w14:paraId="26CC011E" w14:textId="56B054B4" w:rsidR="00CD4FAE" w:rsidRPr="00675694" w:rsidRDefault="00CD4FAE" w:rsidP="00CD4FAE">
      <w:pPr>
        <w:jc w:val="right"/>
        <w:rPr>
          <w:rFonts w:cs="Times New Roman"/>
          <w:lang w:val="es-419"/>
        </w:rPr>
      </w:pPr>
      <w:r w:rsidRPr="00675694">
        <w:rPr>
          <w:rFonts w:cs="Times New Roman"/>
          <w:lang w:val="es-419"/>
        </w:rPr>
        <w:t xml:space="preserve">Dr. </w:t>
      </w:r>
      <w:r>
        <w:rPr>
          <w:rFonts w:cs="Times New Roman"/>
          <w:lang w:val="es-419"/>
        </w:rPr>
        <w:t>Kath</w:t>
      </w:r>
      <w:r w:rsidR="00051EE3">
        <w:rPr>
          <w:rFonts w:cs="Times New Roman"/>
          <w:lang w:val="es-419"/>
        </w:rPr>
        <w:t>a</w:t>
      </w:r>
      <w:r>
        <w:rPr>
          <w:rFonts w:cs="Times New Roman"/>
          <w:lang w:val="es-419"/>
        </w:rPr>
        <w:t xml:space="preserve">rine </w:t>
      </w:r>
      <w:r w:rsidR="00051EE3">
        <w:rPr>
          <w:rFonts w:cs="Times New Roman"/>
          <w:lang w:val="es-419"/>
        </w:rPr>
        <w:t xml:space="preserve">A. </w:t>
      </w:r>
      <w:r>
        <w:rPr>
          <w:rFonts w:cs="Times New Roman"/>
          <w:lang w:val="es-419"/>
        </w:rPr>
        <w:t>Marske</w:t>
      </w:r>
    </w:p>
    <w:p w14:paraId="7B539CEF" w14:textId="77777777" w:rsidR="00CD4FAE" w:rsidRPr="00675694" w:rsidRDefault="00CD4FAE" w:rsidP="00CD4FAE">
      <w:pPr>
        <w:jc w:val="right"/>
        <w:rPr>
          <w:rFonts w:cs="Times New Roman"/>
          <w:lang w:val="es-419"/>
        </w:rPr>
      </w:pPr>
    </w:p>
    <w:p w14:paraId="51B87023" w14:textId="65A23D24" w:rsidR="00CD4FAE" w:rsidRDefault="00CD4FAE" w:rsidP="00CD4FAE">
      <w:pPr>
        <w:jc w:val="right"/>
        <w:rPr>
          <w:rFonts w:cs="Times New Roman"/>
        </w:rPr>
      </w:pPr>
      <w:r>
        <w:rPr>
          <w:rFonts w:cs="Times New Roman"/>
        </w:rPr>
        <w:t>Dr. Ingo Schlupp</w:t>
      </w:r>
    </w:p>
    <w:p w14:paraId="2BB2DD89" w14:textId="77777777" w:rsidR="00CD4FAE" w:rsidRDefault="00CD4FAE" w:rsidP="00CD4FAE">
      <w:pPr>
        <w:jc w:val="right"/>
        <w:rPr>
          <w:rFonts w:cs="Times New Roman"/>
        </w:rPr>
      </w:pPr>
    </w:p>
    <w:p w14:paraId="07E99D0D" w14:textId="6158634A" w:rsidR="00CD4FAE" w:rsidRDefault="00CD4FAE" w:rsidP="00CD4FAE">
      <w:pPr>
        <w:jc w:val="right"/>
        <w:rPr>
          <w:rFonts w:cs="Times New Roman"/>
        </w:rPr>
      </w:pPr>
      <w:r>
        <w:rPr>
          <w:rFonts w:cs="Times New Roman"/>
        </w:rPr>
        <w:t xml:space="preserve">Dr. Daniel </w:t>
      </w:r>
      <w:r w:rsidR="00051EE3">
        <w:rPr>
          <w:rFonts w:cs="Times New Roman"/>
        </w:rPr>
        <w:t xml:space="preserve">J. </w:t>
      </w:r>
      <w:r>
        <w:rPr>
          <w:rFonts w:cs="Times New Roman"/>
        </w:rPr>
        <w:t>Becker</w:t>
      </w:r>
    </w:p>
    <w:p w14:paraId="283AABC1" w14:textId="77777777" w:rsidR="00CD4FAE" w:rsidRDefault="00CD4FAE" w:rsidP="00CD4FAE">
      <w:pPr>
        <w:rPr>
          <w:rFonts w:cs="Times New Roman"/>
        </w:rPr>
      </w:pPr>
      <w:r>
        <w:rPr>
          <w:rFonts w:cs="Times New Roman"/>
        </w:rPr>
        <w:br w:type="page"/>
      </w:r>
    </w:p>
    <w:p w14:paraId="6DDBCF25" w14:textId="77777777" w:rsidR="00CD4FAE" w:rsidRDefault="00CD4FAE" w:rsidP="00CD4FAE"/>
    <w:p w14:paraId="24A6BBF3" w14:textId="77777777" w:rsidR="00CD4FAE" w:rsidRDefault="00CD4FAE" w:rsidP="00CD4FAE"/>
    <w:p w14:paraId="2B851658" w14:textId="77777777" w:rsidR="00CD4FAE" w:rsidRDefault="00CD4FAE" w:rsidP="00CD4FAE"/>
    <w:p w14:paraId="2BB7093C" w14:textId="77777777" w:rsidR="00CD4FAE" w:rsidRDefault="00CD4FAE" w:rsidP="00CD4FAE"/>
    <w:p w14:paraId="27E9FF6A" w14:textId="77777777" w:rsidR="00CD4FAE" w:rsidRDefault="00CD4FAE" w:rsidP="00CD4FAE"/>
    <w:p w14:paraId="56F85D53" w14:textId="77777777" w:rsidR="00CD4FAE" w:rsidRDefault="00CD4FAE" w:rsidP="00CD4FAE"/>
    <w:p w14:paraId="11210E80" w14:textId="77777777" w:rsidR="00CD4FAE" w:rsidRDefault="00CD4FAE" w:rsidP="00CD4FAE"/>
    <w:p w14:paraId="3C35F3B5" w14:textId="77777777" w:rsidR="00CD4FAE" w:rsidRDefault="00CD4FAE" w:rsidP="00CD4FAE"/>
    <w:p w14:paraId="7CD32ADC" w14:textId="77777777" w:rsidR="00CD4FAE" w:rsidRDefault="00CD4FAE" w:rsidP="00CD4FAE"/>
    <w:p w14:paraId="4C203E65" w14:textId="77777777" w:rsidR="00CD4FAE" w:rsidRDefault="00CD4FAE" w:rsidP="00CD4FAE">
      <w:pPr>
        <w:jc w:val="center"/>
        <w:rPr>
          <w:rFonts w:cs="Times New Roman"/>
        </w:rPr>
      </w:pPr>
    </w:p>
    <w:p w14:paraId="0C0687EE" w14:textId="77777777" w:rsidR="00CD4FAE" w:rsidRDefault="00CD4FAE" w:rsidP="00CD4FAE">
      <w:pPr>
        <w:jc w:val="center"/>
        <w:rPr>
          <w:rFonts w:cs="Times New Roman"/>
        </w:rPr>
      </w:pPr>
    </w:p>
    <w:p w14:paraId="719963C4" w14:textId="77777777" w:rsidR="00CD4FAE" w:rsidRDefault="00CD4FAE" w:rsidP="00CD4FAE">
      <w:pPr>
        <w:jc w:val="center"/>
        <w:rPr>
          <w:rFonts w:cs="Times New Roman"/>
        </w:rPr>
      </w:pPr>
    </w:p>
    <w:p w14:paraId="249539C9" w14:textId="77777777" w:rsidR="00CD4FAE" w:rsidRDefault="00CD4FAE" w:rsidP="00CD4FAE">
      <w:pPr>
        <w:jc w:val="center"/>
        <w:rPr>
          <w:rFonts w:cs="Times New Roman"/>
        </w:rPr>
      </w:pPr>
    </w:p>
    <w:p w14:paraId="0BD696EF" w14:textId="77777777" w:rsidR="00CD4FAE" w:rsidRDefault="00CD4FAE" w:rsidP="00CD4FAE">
      <w:pPr>
        <w:jc w:val="center"/>
        <w:rPr>
          <w:rFonts w:cs="Times New Roman"/>
        </w:rPr>
      </w:pPr>
    </w:p>
    <w:p w14:paraId="42690A2B" w14:textId="77777777" w:rsidR="00CD4FAE" w:rsidRDefault="00CD4FAE" w:rsidP="00CD4FAE">
      <w:pPr>
        <w:jc w:val="center"/>
        <w:rPr>
          <w:rFonts w:cs="Times New Roman"/>
        </w:rPr>
      </w:pPr>
    </w:p>
    <w:p w14:paraId="52B7E811" w14:textId="77777777" w:rsidR="00CD4FAE" w:rsidRDefault="00CD4FAE" w:rsidP="00CD4FAE">
      <w:pPr>
        <w:jc w:val="center"/>
        <w:rPr>
          <w:rFonts w:cs="Times New Roman"/>
        </w:rPr>
      </w:pPr>
    </w:p>
    <w:p w14:paraId="744EA2D9" w14:textId="77777777" w:rsidR="00CD4FAE" w:rsidRDefault="00CD4FAE" w:rsidP="00CD4FAE">
      <w:pPr>
        <w:jc w:val="center"/>
        <w:rPr>
          <w:rFonts w:cs="Times New Roman"/>
        </w:rPr>
      </w:pPr>
    </w:p>
    <w:p w14:paraId="07CA5466" w14:textId="77777777" w:rsidR="00CD4FAE" w:rsidRDefault="00CD4FAE" w:rsidP="00CD4FAE">
      <w:pPr>
        <w:jc w:val="center"/>
        <w:rPr>
          <w:rFonts w:cs="Times New Roman"/>
        </w:rPr>
      </w:pPr>
    </w:p>
    <w:p w14:paraId="78148061" w14:textId="77777777" w:rsidR="00CD4FAE" w:rsidRDefault="00CD4FAE" w:rsidP="00CD4FAE">
      <w:pPr>
        <w:jc w:val="center"/>
        <w:rPr>
          <w:rFonts w:cs="Times New Roman"/>
        </w:rPr>
      </w:pPr>
    </w:p>
    <w:p w14:paraId="458DF356" w14:textId="77777777" w:rsidR="00CD4FAE" w:rsidRDefault="00CD4FAE" w:rsidP="00CD4FAE">
      <w:pPr>
        <w:jc w:val="center"/>
        <w:rPr>
          <w:rFonts w:cs="Times New Roman"/>
        </w:rPr>
      </w:pPr>
    </w:p>
    <w:p w14:paraId="71BD0BDF" w14:textId="77777777" w:rsidR="00CD4FAE" w:rsidRDefault="00CD4FAE" w:rsidP="00CD4FAE">
      <w:pPr>
        <w:jc w:val="center"/>
        <w:rPr>
          <w:rFonts w:cs="Times New Roman"/>
        </w:rPr>
      </w:pPr>
    </w:p>
    <w:p w14:paraId="7C7D5DD9" w14:textId="77777777" w:rsidR="00CD4FAE" w:rsidRDefault="00CD4FAE" w:rsidP="00CD4FAE">
      <w:pPr>
        <w:jc w:val="center"/>
        <w:rPr>
          <w:rFonts w:cs="Times New Roman"/>
        </w:rPr>
      </w:pPr>
    </w:p>
    <w:p w14:paraId="70864723" w14:textId="77777777" w:rsidR="00CD4FAE" w:rsidRDefault="00CD4FAE" w:rsidP="00CD4FAE">
      <w:pPr>
        <w:jc w:val="center"/>
        <w:rPr>
          <w:rFonts w:cs="Times New Roman"/>
        </w:rPr>
      </w:pPr>
    </w:p>
    <w:p w14:paraId="6A640CE9" w14:textId="77777777" w:rsidR="00CD4FAE" w:rsidRDefault="00CD4FAE" w:rsidP="00CD4FAE">
      <w:pPr>
        <w:jc w:val="center"/>
        <w:rPr>
          <w:rFonts w:cs="Times New Roman"/>
        </w:rPr>
      </w:pPr>
    </w:p>
    <w:p w14:paraId="1B5048F3" w14:textId="77777777" w:rsidR="00CD4FAE" w:rsidRDefault="00CD4FAE" w:rsidP="00CD4FAE">
      <w:pPr>
        <w:jc w:val="center"/>
        <w:rPr>
          <w:rFonts w:cs="Times New Roman"/>
        </w:rPr>
      </w:pPr>
    </w:p>
    <w:p w14:paraId="720B40E1" w14:textId="77777777" w:rsidR="00CD4FAE" w:rsidRDefault="00CD4FAE" w:rsidP="00CD4FAE">
      <w:pPr>
        <w:jc w:val="center"/>
        <w:rPr>
          <w:rFonts w:cs="Times New Roman"/>
        </w:rPr>
      </w:pPr>
    </w:p>
    <w:p w14:paraId="34C4F731" w14:textId="77777777" w:rsidR="00CD4FAE" w:rsidRDefault="00CD4FAE" w:rsidP="00CD4FAE">
      <w:pPr>
        <w:jc w:val="center"/>
        <w:rPr>
          <w:rFonts w:cs="Times New Roman"/>
        </w:rPr>
      </w:pPr>
    </w:p>
    <w:p w14:paraId="034BEB98" w14:textId="77777777" w:rsidR="00CD4FAE" w:rsidRDefault="00CD4FAE" w:rsidP="00CD4FAE">
      <w:pPr>
        <w:jc w:val="center"/>
        <w:rPr>
          <w:rFonts w:cs="Times New Roman"/>
        </w:rPr>
      </w:pPr>
    </w:p>
    <w:p w14:paraId="1299E310" w14:textId="77777777" w:rsidR="00CD4FAE" w:rsidRDefault="00CD4FAE" w:rsidP="00CD4FAE">
      <w:pPr>
        <w:jc w:val="center"/>
        <w:rPr>
          <w:rFonts w:cs="Times New Roman"/>
        </w:rPr>
      </w:pPr>
    </w:p>
    <w:p w14:paraId="34A8A32C" w14:textId="77777777" w:rsidR="00CD4FAE" w:rsidRDefault="00CD4FAE" w:rsidP="00CD4FAE">
      <w:pPr>
        <w:jc w:val="center"/>
        <w:rPr>
          <w:rFonts w:cs="Times New Roman"/>
        </w:rPr>
      </w:pPr>
    </w:p>
    <w:p w14:paraId="4488AEF8" w14:textId="77777777" w:rsidR="00CD4FAE" w:rsidRDefault="00CD4FAE" w:rsidP="00CD4FAE">
      <w:pPr>
        <w:jc w:val="center"/>
        <w:rPr>
          <w:rFonts w:cs="Times New Roman"/>
        </w:rPr>
      </w:pPr>
    </w:p>
    <w:p w14:paraId="4AAD2DB8" w14:textId="77777777" w:rsidR="00CD4FAE" w:rsidRDefault="00CD4FAE" w:rsidP="00CD4FAE">
      <w:pPr>
        <w:jc w:val="center"/>
        <w:rPr>
          <w:rFonts w:cs="Times New Roman"/>
        </w:rPr>
      </w:pPr>
    </w:p>
    <w:p w14:paraId="70BFCC93" w14:textId="77777777" w:rsidR="00CD4FAE" w:rsidRDefault="00CD4FAE" w:rsidP="00CD4FAE">
      <w:pPr>
        <w:jc w:val="center"/>
        <w:rPr>
          <w:rFonts w:cs="Times New Roman"/>
        </w:rPr>
      </w:pPr>
    </w:p>
    <w:p w14:paraId="0918105A" w14:textId="77777777" w:rsidR="00CD4FAE" w:rsidRDefault="00CD4FAE" w:rsidP="00CD4FAE">
      <w:pPr>
        <w:jc w:val="center"/>
        <w:rPr>
          <w:rFonts w:cs="Times New Roman"/>
        </w:rPr>
      </w:pPr>
    </w:p>
    <w:p w14:paraId="7B38045D" w14:textId="77777777" w:rsidR="00CD4FAE" w:rsidRDefault="00CD4FAE" w:rsidP="00CD4FAE">
      <w:pPr>
        <w:jc w:val="center"/>
        <w:rPr>
          <w:rFonts w:cs="Times New Roman"/>
        </w:rPr>
      </w:pPr>
    </w:p>
    <w:p w14:paraId="2F0C626A" w14:textId="77777777" w:rsidR="00CD4FAE" w:rsidRDefault="00CD4FAE" w:rsidP="00CD4FAE">
      <w:pPr>
        <w:jc w:val="center"/>
        <w:rPr>
          <w:rFonts w:cs="Times New Roman"/>
        </w:rPr>
      </w:pPr>
    </w:p>
    <w:p w14:paraId="09285574" w14:textId="77777777" w:rsidR="00CD4FAE" w:rsidRDefault="00CD4FAE" w:rsidP="00CD4FAE">
      <w:pPr>
        <w:jc w:val="center"/>
        <w:rPr>
          <w:rFonts w:cs="Times New Roman"/>
        </w:rPr>
      </w:pPr>
    </w:p>
    <w:p w14:paraId="6B62E78E" w14:textId="77777777" w:rsidR="00CD4FAE" w:rsidRDefault="00CD4FAE" w:rsidP="00CD4FAE">
      <w:pPr>
        <w:jc w:val="center"/>
        <w:rPr>
          <w:rFonts w:cs="Times New Roman"/>
        </w:rPr>
      </w:pPr>
    </w:p>
    <w:p w14:paraId="4C5A1710" w14:textId="77777777" w:rsidR="00CD4FAE" w:rsidRDefault="00CD4FAE" w:rsidP="00CD4FAE">
      <w:pPr>
        <w:jc w:val="center"/>
        <w:rPr>
          <w:rFonts w:cs="Times New Roman"/>
        </w:rPr>
      </w:pPr>
    </w:p>
    <w:p w14:paraId="3733B0FB" w14:textId="77777777" w:rsidR="00CD4FAE" w:rsidRDefault="00CD4FAE" w:rsidP="00CD4FAE">
      <w:pPr>
        <w:jc w:val="center"/>
        <w:rPr>
          <w:rFonts w:cs="Times New Roman"/>
        </w:rPr>
      </w:pPr>
    </w:p>
    <w:p w14:paraId="551963CD" w14:textId="77777777" w:rsidR="00CD4FAE" w:rsidRDefault="00CD4FAE" w:rsidP="00CD4FAE">
      <w:pPr>
        <w:jc w:val="center"/>
        <w:rPr>
          <w:rFonts w:cs="Times New Roman"/>
        </w:rPr>
      </w:pPr>
    </w:p>
    <w:p w14:paraId="4A16886A" w14:textId="77777777" w:rsidR="00CD4FAE" w:rsidRDefault="00CD4FAE" w:rsidP="00CD4FAE">
      <w:pPr>
        <w:jc w:val="center"/>
        <w:rPr>
          <w:rFonts w:cs="Times New Roman"/>
        </w:rPr>
      </w:pPr>
    </w:p>
    <w:p w14:paraId="5D7C1549" w14:textId="77777777" w:rsidR="00CD4FAE" w:rsidRDefault="00CD4FAE" w:rsidP="00CD4FAE">
      <w:pPr>
        <w:jc w:val="center"/>
        <w:rPr>
          <w:rFonts w:cs="Times New Roman"/>
        </w:rPr>
      </w:pPr>
    </w:p>
    <w:p w14:paraId="7C4975FF" w14:textId="77777777" w:rsidR="00CD4FAE" w:rsidRDefault="00CD4FAE" w:rsidP="00CD4FAE">
      <w:pPr>
        <w:jc w:val="center"/>
        <w:rPr>
          <w:rFonts w:cs="Times New Roman"/>
        </w:rPr>
      </w:pPr>
    </w:p>
    <w:p w14:paraId="2940A7BB" w14:textId="0BB576D4" w:rsidR="00CD4FAE" w:rsidRDefault="00CD4FAE" w:rsidP="00CD4FAE">
      <w:pPr>
        <w:jc w:val="center"/>
        <w:rPr>
          <w:rFonts w:cs="Times New Roman"/>
        </w:rPr>
      </w:pPr>
      <w:r>
        <w:rPr>
          <w:rFonts w:cs="Times New Roman"/>
        </w:rPr>
        <w:t xml:space="preserve">© Copyright by </w:t>
      </w:r>
      <w:r w:rsidR="00051EE3">
        <w:rPr>
          <w:rFonts w:cs="Times New Roman"/>
        </w:rPr>
        <w:t>SAMUEL JOSEPH ELIADES</w:t>
      </w:r>
      <w:r>
        <w:rPr>
          <w:rFonts w:cs="Times New Roman"/>
        </w:rPr>
        <w:t xml:space="preserve"> 202</w:t>
      </w:r>
      <w:r w:rsidR="00051EE3">
        <w:rPr>
          <w:rFonts w:cs="Times New Roman"/>
        </w:rPr>
        <w:t>2</w:t>
      </w:r>
    </w:p>
    <w:p w14:paraId="306F8095" w14:textId="65EBBB43" w:rsidR="00CD4FAE" w:rsidRDefault="00CD4FAE" w:rsidP="00CD4FAE">
      <w:pPr>
        <w:jc w:val="center"/>
        <w:rPr>
          <w:rFonts w:cs="Times New Roman"/>
        </w:rPr>
        <w:sectPr w:rsidR="00CD4FAE">
          <w:pgSz w:w="12240" w:h="15840"/>
          <w:pgMar w:top="1440" w:right="1440" w:bottom="1440" w:left="1440" w:header="720" w:footer="720" w:gutter="0"/>
          <w:cols w:space="720"/>
          <w:docGrid w:linePitch="360"/>
        </w:sectPr>
      </w:pPr>
      <w:r>
        <w:rPr>
          <w:rFonts w:cs="Times New Roman"/>
        </w:rPr>
        <w:t>All Rights Reserved</w:t>
      </w:r>
    </w:p>
    <w:p w14:paraId="378A5466" w14:textId="7C9624E6" w:rsidR="002E2D6D" w:rsidRDefault="00D90172" w:rsidP="009E5B19">
      <w:pPr>
        <w:jc w:val="center"/>
        <w:rPr>
          <w:rFonts w:cs="Times New Roman"/>
          <w:b/>
          <w:bCs/>
        </w:rPr>
      </w:pPr>
      <w:r>
        <w:rPr>
          <w:rFonts w:cs="Times New Roman"/>
          <w:b/>
          <w:bCs/>
        </w:rPr>
        <w:lastRenderedPageBreak/>
        <w:t>Acknowledgements</w:t>
      </w:r>
    </w:p>
    <w:p w14:paraId="271277FA" w14:textId="77777777" w:rsidR="00615626" w:rsidRPr="00615626" w:rsidRDefault="00615626" w:rsidP="00615626">
      <w:pPr>
        <w:rPr>
          <w:rFonts w:cs="Times New Roman"/>
          <w:b/>
          <w:bCs/>
        </w:rPr>
      </w:pPr>
    </w:p>
    <w:p w14:paraId="179E07DC" w14:textId="776F78F2" w:rsidR="00F34E48" w:rsidRDefault="00E54A7A" w:rsidP="00F34E48">
      <w:pPr>
        <w:spacing w:line="480" w:lineRule="auto"/>
        <w:rPr>
          <w:rFonts w:eastAsia="Times New Roman" w:cs="Times New Roman"/>
        </w:rPr>
      </w:pPr>
      <w:r>
        <w:rPr>
          <w:rFonts w:eastAsia="Times New Roman" w:cs="Times New Roman"/>
        </w:rPr>
        <w:t xml:space="preserve">This dissertation would not have been possible without tremendous help and support from countless people over the past five years. </w:t>
      </w:r>
      <w:r w:rsidR="002E2D6D" w:rsidRPr="0031643F">
        <w:rPr>
          <w:rFonts w:eastAsia="Times New Roman" w:cs="Times New Roman"/>
        </w:rPr>
        <w:t>I</w:t>
      </w:r>
      <w:r>
        <w:rPr>
          <w:rFonts w:eastAsia="Times New Roman" w:cs="Times New Roman"/>
        </w:rPr>
        <w:t xml:space="preserve"> am incredibly grateful to </w:t>
      </w:r>
      <w:r w:rsidR="00F34E48">
        <w:rPr>
          <w:rFonts w:eastAsia="Times New Roman" w:cs="Times New Roman"/>
        </w:rPr>
        <w:t xml:space="preserve">the Department of Biology and the entire OU community </w:t>
      </w:r>
      <w:r>
        <w:rPr>
          <w:rFonts w:eastAsia="Times New Roman" w:cs="Times New Roman"/>
        </w:rPr>
        <w:t xml:space="preserve">for allowing me to complete my degree at such a remarkable institution. </w:t>
      </w:r>
      <w:r w:rsidR="006A76DC">
        <w:rPr>
          <w:rFonts w:eastAsia="Times New Roman" w:cs="Times New Roman"/>
        </w:rPr>
        <w:t>Th</w:t>
      </w:r>
      <w:r w:rsidR="002E2D6D" w:rsidRPr="0031643F">
        <w:rPr>
          <w:rFonts w:eastAsia="Times New Roman" w:cs="Times New Roman"/>
        </w:rPr>
        <w:t xml:space="preserve">ank </w:t>
      </w:r>
      <w:r w:rsidR="006A76DC">
        <w:rPr>
          <w:rFonts w:eastAsia="Times New Roman" w:cs="Times New Roman"/>
        </w:rPr>
        <w:t xml:space="preserve">you very much to my </w:t>
      </w:r>
      <w:r w:rsidR="002E2D6D" w:rsidRPr="0031643F">
        <w:rPr>
          <w:rFonts w:eastAsia="Times New Roman" w:cs="Times New Roman"/>
        </w:rPr>
        <w:t>committee</w:t>
      </w:r>
      <w:r w:rsidR="002E2D6D">
        <w:rPr>
          <w:rFonts w:eastAsia="Times New Roman" w:cs="Times New Roman"/>
        </w:rPr>
        <w:t>:</w:t>
      </w:r>
      <w:r w:rsidR="002E2D6D" w:rsidRPr="0031643F">
        <w:rPr>
          <w:rFonts w:eastAsia="Times New Roman" w:cs="Times New Roman"/>
        </w:rPr>
        <w:t xml:space="preserve"> Dr. </w:t>
      </w:r>
      <w:r w:rsidR="002E2D6D">
        <w:rPr>
          <w:rFonts w:eastAsia="Times New Roman" w:cs="Times New Roman"/>
        </w:rPr>
        <w:t>Cameron D.</w:t>
      </w:r>
      <w:r w:rsidR="002E2D6D" w:rsidRPr="0031643F">
        <w:rPr>
          <w:rFonts w:eastAsia="Times New Roman" w:cs="Times New Roman"/>
        </w:rPr>
        <w:t xml:space="preserve"> </w:t>
      </w:r>
      <w:r w:rsidR="002E2D6D">
        <w:rPr>
          <w:rFonts w:eastAsia="Times New Roman" w:cs="Times New Roman"/>
        </w:rPr>
        <w:t xml:space="preserve">Siler, </w:t>
      </w:r>
      <w:r w:rsidR="002E2D6D" w:rsidRPr="002E2D6D">
        <w:rPr>
          <w:rFonts w:eastAsia="Times New Roman" w:cs="Times New Roman"/>
        </w:rPr>
        <w:t>Dr. John A. Banas</w:t>
      </w:r>
      <w:r w:rsidR="002E2D6D">
        <w:rPr>
          <w:rFonts w:eastAsia="Times New Roman" w:cs="Times New Roman"/>
        </w:rPr>
        <w:t xml:space="preserve">, </w:t>
      </w:r>
      <w:r w:rsidR="002E2D6D" w:rsidRPr="002E2D6D">
        <w:rPr>
          <w:rFonts w:eastAsia="Times New Roman" w:cs="Times New Roman"/>
        </w:rPr>
        <w:t>Dr. Katharine A. Marske</w:t>
      </w:r>
      <w:r w:rsidR="002E2D6D">
        <w:rPr>
          <w:rFonts w:eastAsia="Times New Roman" w:cs="Times New Roman"/>
        </w:rPr>
        <w:t xml:space="preserve">, </w:t>
      </w:r>
      <w:r w:rsidR="002E2D6D" w:rsidRPr="002E2D6D">
        <w:rPr>
          <w:rFonts w:eastAsia="Times New Roman" w:cs="Times New Roman"/>
        </w:rPr>
        <w:t>Dr. Ingo Schlupp</w:t>
      </w:r>
      <w:r w:rsidR="002E2D6D">
        <w:rPr>
          <w:rFonts w:eastAsia="Times New Roman" w:cs="Times New Roman"/>
        </w:rPr>
        <w:t xml:space="preserve">, and </w:t>
      </w:r>
      <w:r w:rsidR="002E2D6D" w:rsidRPr="002E2D6D">
        <w:rPr>
          <w:rFonts w:eastAsia="Times New Roman" w:cs="Times New Roman"/>
        </w:rPr>
        <w:t>Dr. Daniel J. Becker</w:t>
      </w:r>
      <w:r w:rsidR="002E2D6D">
        <w:rPr>
          <w:rFonts w:eastAsia="Times New Roman" w:cs="Times New Roman"/>
        </w:rPr>
        <w:t xml:space="preserve"> as well as Dr. Bradley S. Stevenson </w:t>
      </w:r>
      <w:r w:rsidR="002E2D6D" w:rsidRPr="0031643F">
        <w:rPr>
          <w:rFonts w:eastAsia="Times New Roman" w:cs="Times New Roman"/>
        </w:rPr>
        <w:t xml:space="preserve">for </w:t>
      </w:r>
      <w:r w:rsidR="00366301">
        <w:rPr>
          <w:rFonts w:eastAsia="Times New Roman" w:cs="Times New Roman"/>
        </w:rPr>
        <w:t>your</w:t>
      </w:r>
      <w:r w:rsidR="002E2D6D" w:rsidRPr="0031643F">
        <w:rPr>
          <w:rFonts w:eastAsia="Times New Roman" w:cs="Times New Roman"/>
        </w:rPr>
        <w:t xml:space="preserve"> </w:t>
      </w:r>
      <w:r w:rsidR="002E2D6D">
        <w:rPr>
          <w:rFonts w:eastAsia="Times New Roman" w:cs="Times New Roman"/>
        </w:rPr>
        <w:t>guidance</w:t>
      </w:r>
      <w:r w:rsidR="002E2D6D" w:rsidRPr="0031643F">
        <w:rPr>
          <w:rFonts w:eastAsia="Times New Roman" w:cs="Times New Roman"/>
        </w:rPr>
        <w:t xml:space="preserve">, feedback, </w:t>
      </w:r>
      <w:r w:rsidR="002E2D6D">
        <w:rPr>
          <w:rFonts w:eastAsia="Times New Roman" w:cs="Times New Roman"/>
        </w:rPr>
        <w:t>and</w:t>
      </w:r>
      <w:r w:rsidR="00366301">
        <w:rPr>
          <w:rFonts w:eastAsia="Times New Roman" w:cs="Times New Roman"/>
        </w:rPr>
        <w:t xml:space="preserve"> encouragement over the years</w:t>
      </w:r>
      <w:r w:rsidR="002E2D6D" w:rsidRPr="0031643F">
        <w:rPr>
          <w:rFonts w:eastAsia="Times New Roman" w:cs="Times New Roman"/>
        </w:rPr>
        <w:t>.</w:t>
      </w:r>
      <w:r w:rsidR="00381631">
        <w:rPr>
          <w:rFonts w:eastAsia="Times New Roman" w:cs="Times New Roman"/>
        </w:rPr>
        <w:t xml:space="preserve"> </w:t>
      </w:r>
    </w:p>
    <w:p w14:paraId="6E5F3E70" w14:textId="7B46AF99" w:rsidR="00F34E48" w:rsidRDefault="006A76DC" w:rsidP="00F34E48">
      <w:pPr>
        <w:spacing w:line="480" w:lineRule="auto"/>
        <w:ind w:firstLine="360"/>
        <w:rPr>
          <w:rFonts w:eastAsia="Times New Roman" w:cs="Times New Roman"/>
        </w:rPr>
      </w:pPr>
      <w:r>
        <w:rPr>
          <w:rFonts w:eastAsia="Times New Roman" w:cs="Times New Roman"/>
        </w:rPr>
        <w:t>To</w:t>
      </w:r>
      <w:r w:rsidR="00381631">
        <w:rPr>
          <w:rFonts w:eastAsia="Times New Roman" w:cs="Times New Roman"/>
        </w:rPr>
        <w:t xml:space="preserve"> Cam</w:t>
      </w:r>
      <w:r>
        <w:rPr>
          <w:rFonts w:eastAsia="Times New Roman" w:cs="Times New Roman"/>
        </w:rPr>
        <w:t xml:space="preserve"> in particular, thank you for the countless hours spent reviewing and revising drafts, </w:t>
      </w:r>
      <w:r w:rsidR="00BC3334">
        <w:rPr>
          <w:rFonts w:eastAsia="Times New Roman" w:cs="Times New Roman"/>
        </w:rPr>
        <w:t>racing to meet l</w:t>
      </w:r>
      <w:r>
        <w:rPr>
          <w:rFonts w:eastAsia="Times New Roman" w:cs="Times New Roman"/>
        </w:rPr>
        <w:t>ast-minute deadline</w:t>
      </w:r>
      <w:r w:rsidR="00BC3334">
        <w:rPr>
          <w:rFonts w:eastAsia="Times New Roman" w:cs="Times New Roman"/>
        </w:rPr>
        <w:t>s</w:t>
      </w:r>
      <w:r>
        <w:rPr>
          <w:rFonts w:eastAsia="Times New Roman" w:cs="Times New Roman"/>
        </w:rPr>
        <w:t xml:space="preserve">, and for </w:t>
      </w:r>
      <w:r w:rsidR="00366301">
        <w:rPr>
          <w:rFonts w:eastAsia="Times New Roman" w:cs="Times New Roman"/>
        </w:rPr>
        <w:t>pushing</w:t>
      </w:r>
      <w:r>
        <w:rPr>
          <w:rFonts w:eastAsia="Times New Roman" w:cs="Times New Roman"/>
        </w:rPr>
        <w:t xml:space="preserve"> me to pursue </w:t>
      </w:r>
      <w:r w:rsidR="00366301">
        <w:rPr>
          <w:rFonts w:eastAsia="Times New Roman" w:cs="Times New Roman"/>
        </w:rPr>
        <w:t xml:space="preserve">new </w:t>
      </w:r>
      <w:r>
        <w:rPr>
          <w:rFonts w:eastAsia="Times New Roman" w:cs="Times New Roman"/>
        </w:rPr>
        <w:t>opportunities</w:t>
      </w:r>
      <w:r w:rsidR="00F34E48">
        <w:rPr>
          <w:rFonts w:eastAsia="Times New Roman" w:cs="Times New Roman"/>
        </w:rPr>
        <w:t xml:space="preserve"> </w:t>
      </w:r>
      <w:r w:rsidR="00DD54C3">
        <w:rPr>
          <w:rFonts w:eastAsia="Times New Roman" w:cs="Times New Roman"/>
        </w:rPr>
        <w:t xml:space="preserve">throughout </w:t>
      </w:r>
      <w:r w:rsidR="00F34E48">
        <w:rPr>
          <w:rFonts w:eastAsia="Times New Roman" w:cs="Times New Roman"/>
        </w:rPr>
        <w:t>graduate school. I would not be on the exciting</w:t>
      </w:r>
      <w:r w:rsidR="00366301">
        <w:rPr>
          <w:rFonts w:eastAsia="Times New Roman" w:cs="Times New Roman"/>
        </w:rPr>
        <w:t xml:space="preserve"> career</w:t>
      </w:r>
      <w:r w:rsidR="00F34E48">
        <w:rPr>
          <w:rFonts w:eastAsia="Times New Roman" w:cs="Times New Roman"/>
        </w:rPr>
        <w:t xml:space="preserve"> path I am now without your endless </w:t>
      </w:r>
      <w:r w:rsidR="00BC3334">
        <w:rPr>
          <w:rFonts w:eastAsia="Times New Roman" w:cs="Times New Roman"/>
        </w:rPr>
        <w:t>input and support</w:t>
      </w:r>
      <w:r w:rsidR="00F34E48">
        <w:rPr>
          <w:rFonts w:eastAsia="Times New Roman" w:cs="Times New Roman"/>
        </w:rPr>
        <w:t>. I also cannot thank the entire Siler family enough for</w:t>
      </w:r>
      <w:r w:rsidR="00366301">
        <w:rPr>
          <w:rFonts w:eastAsia="Times New Roman" w:cs="Times New Roman"/>
        </w:rPr>
        <w:t xml:space="preserve"> </w:t>
      </w:r>
      <w:r w:rsidR="00DD54C3">
        <w:rPr>
          <w:rFonts w:eastAsia="Times New Roman" w:cs="Times New Roman"/>
        </w:rPr>
        <w:t>being so incredibly kind and welcoming</w:t>
      </w:r>
      <w:r w:rsidR="00F34E48">
        <w:rPr>
          <w:rFonts w:eastAsia="Times New Roman" w:cs="Times New Roman"/>
        </w:rPr>
        <w:t xml:space="preserve">. You all helped make Oklahoma feel like home from the time I arrived. </w:t>
      </w:r>
    </w:p>
    <w:p w14:paraId="0261622E" w14:textId="0EF062D2" w:rsidR="00F34E48" w:rsidRDefault="00381631" w:rsidP="00366301">
      <w:pPr>
        <w:spacing w:line="480" w:lineRule="auto"/>
        <w:ind w:firstLine="360"/>
        <w:rPr>
          <w:rFonts w:eastAsia="Times New Roman" w:cs="Times New Roman"/>
        </w:rPr>
      </w:pPr>
      <w:r>
        <w:rPr>
          <w:rFonts w:eastAsia="Times New Roman" w:cs="Times New Roman"/>
        </w:rPr>
        <w:t xml:space="preserve">Thank you to members of the Siler Lab past and present: Dr. Elyse Freitas, Dr. Kai Wang, Joey Brown, Miranda Vesy, Elyse Ellsworth, </w:t>
      </w:r>
      <w:r w:rsidR="00615A68">
        <w:rPr>
          <w:rFonts w:eastAsia="Times New Roman" w:cs="Times New Roman"/>
        </w:rPr>
        <w:t xml:space="preserve">Sierra Smith, </w:t>
      </w:r>
      <w:r>
        <w:rPr>
          <w:rFonts w:eastAsia="Times New Roman" w:cs="Times New Roman"/>
        </w:rPr>
        <w:t>Madelyn Kirsch, and Alex Fulton</w:t>
      </w:r>
      <w:r w:rsidR="00615A68">
        <w:rPr>
          <w:rFonts w:eastAsia="Times New Roman" w:cs="Times New Roman"/>
        </w:rPr>
        <w:t xml:space="preserve">. </w:t>
      </w:r>
      <w:r w:rsidR="00366301">
        <w:rPr>
          <w:rFonts w:eastAsia="Times New Roman" w:cs="Times New Roman"/>
        </w:rPr>
        <w:t xml:space="preserve">It was an absolute pleasure to </w:t>
      </w:r>
      <w:r w:rsidR="00451CAB">
        <w:rPr>
          <w:rFonts w:eastAsia="Times New Roman" w:cs="Times New Roman"/>
        </w:rPr>
        <w:t>share</w:t>
      </w:r>
      <w:r w:rsidR="00366301">
        <w:rPr>
          <w:rFonts w:eastAsia="Times New Roman" w:cs="Times New Roman"/>
        </w:rPr>
        <w:t xml:space="preserve"> a department with you all</w:t>
      </w:r>
      <w:r w:rsidR="00451CAB">
        <w:rPr>
          <w:rFonts w:eastAsia="Times New Roman" w:cs="Times New Roman"/>
        </w:rPr>
        <w:t>,</w:t>
      </w:r>
      <w:r w:rsidR="00366301">
        <w:rPr>
          <w:rFonts w:eastAsia="Times New Roman" w:cs="Times New Roman"/>
        </w:rPr>
        <w:t xml:space="preserve"> and I could not have asked for better lab mates. </w:t>
      </w:r>
      <w:r w:rsidR="00615A68">
        <w:rPr>
          <w:rFonts w:eastAsia="Times New Roman" w:cs="Times New Roman"/>
        </w:rPr>
        <w:t>Thank you to</w:t>
      </w:r>
      <w:r>
        <w:rPr>
          <w:rFonts w:eastAsia="Times New Roman" w:cs="Times New Roman"/>
        </w:rPr>
        <w:t xml:space="preserve"> Katherine Stroh and the many other undergraduate</w:t>
      </w:r>
      <w:r w:rsidR="00615A68">
        <w:rPr>
          <w:rFonts w:eastAsia="Times New Roman" w:cs="Times New Roman"/>
        </w:rPr>
        <w:t>s and</w:t>
      </w:r>
      <w:r>
        <w:rPr>
          <w:rFonts w:eastAsia="Times New Roman" w:cs="Times New Roman"/>
        </w:rPr>
        <w:t xml:space="preserve"> technicians that assisted in field work over the years</w:t>
      </w:r>
      <w:r w:rsidR="00DD54C3">
        <w:rPr>
          <w:rFonts w:eastAsia="Times New Roman" w:cs="Times New Roman"/>
        </w:rPr>
        <w:t>. Thank you to</w:t>
      </w:r>
      <w:r w:rsidR="00F34E48">
        <w:rPr>
          <w:rFonts w:eastAsia="Times New Roman" w:cs="Times New Roman"/>
        </w:rPr>
        <w:t xml:space="preserve"> Jessa Watters for organizing </w:t>
      </w:r>
      <w:r w:rsidR="00DD54C3">
        <w:rPr>
          <w:rFonts w:eastAsia="Times New Roman" w:cs="Times New Roman"/>
        </w:rPr>
        <w:t>so much</w:t>
      </w:r>
      <w:r w:rsidR="00366301">
        <w:rPr>
          <w:rFonts w:eastAsia="Times New Roman" w:cs="Times New Roman"/>
        </w:rPr>
        <w:t xml:space="preserve"> in the Herpetology Department </w:t>
      </w:r>
      <w:r w:rsidR="00DD54C3">
        <w:rPr>
          <w:rFonts w:eastAsia="Times New Roman" w:cs="Times New Roman"/>
        </w:rPr>
        <w:t xml:space="preserve">during my time there </w:t>
      </w:r>
      <w:r w:rsidR="00366301">
        <w:rPr>
          <w:rFonts w:eastAsia="Times New Roman" w:cs="Times New Roman"/>
        </w:rPr>
        <w:t>from specimen loans to field trips, supply orders</w:t>
      </w:r>
      <w:r w:rsidR="00BC3334">
        <w:rPr>
          <w:rFonts w:eastAsia="Times New Roman" w:cs="Times New Roman"/>
        </w:rPr>
        <w:t xml:space="preserve"> and everything in between.</w:t>
      </w:r>
    </w:p>
    <w:p w14:paraId="04E67939" w14:textId="50632CE8" w:rsidR="00451CAB" w:rsidRDefault="00BC3334" w:rsidP="00451CAB">
      <w:pPr>
        <w:spacing w:line="480" w:lineRule="auto"/>
        <w:ind w:firstLine="360"/>
        <w:rPr>
          <w:rFonts w:eastAsia="Times New Roman" w:cs="Times New Roman"/>
        </w:rPr>
      </w:pPr>
      <w:r>
        <w:rPr>
          <w:rFonts w:eastAsia="Times New Roman" w:cs="Times New Roman"/>
        </w:rPr>
        <w:t xml:space="preserve">I greatly appreciate the assistance and instruction provided by </w:t>
      </w:r>
      <w:r w:rsidR="002E2D6D">
        <w:rPr>
          <w:rFonts w:eastAsia="Times New Roman" w:cs="Times New Roman"/>
        </w:rPr>
        <w:t xml:space="preserve">Dr. </w:t>
      </w:r>
      <w:r w:rsidR="002E2D6D" w:rsidRPr="002E2D6D">
        <w:rPr>
          <w:rFonts w:eastAsia="Times New Roman" w:cs="Times New Roman"/>
        </w:rPr>
        <w:t>Krithivasan Sankaranarayanan</w:t>
      </w:r>
      <w:r>
        <w:rPr>
          <w:rFonts w:eastAsia="Times New Roman" w:cs="Times New Roman"/>
        </w:rPr>
        <w:t xml:space="preserve">. The analytic tools I learned from Krithi are the foundations for </w:t>
      </w:r>
      <w:r w:rsidR="00DD54C3">
        <w:rPr>
          <w:rFonts w:eastAsia="Times New Roman" w:cs="Times New Roman"/>
        </w:rPr>
        <w:t>much</w:t>
      </w:r>
      <w:r>
        <w:rPr>
          <w:rFonts w:eastAsia="Times New Roman" w:cs="Times New Roman"/>
        </w:rPr>
        <w:t xml:space="preserve"> of my dissertation work. Thank you to Ed Higgins</w:t>
      </w:r>
      <w:r w:rsidR="00451CAB">
        <w:rPr>
          <w:rFonts w:eastAsia="Times New Roman" w:cs="Times New Roman"/>
        </w:rPr>
        <w:t xml:space="preserve"> for </w:t>
      </w:r>
      <w:r w:rsidR="00C0683D">
        <w:rPr>
          <w:rFonts w:eastAsia="Times New Roman" w:cs="Times New Roman"/>
        </w:rPr>
        <w:t xml:space="preserve">helping me </w:t>
      </w:r>
      <w:r w:rsidR="005D35AB">
        <w:rPr>
          <w:rFonts w:eastAsia="Times New Roman" w:cs="Times New Roman"/>
        </w:rPr>
        <w:t>to learn and implement the pipeline,</w:t>
      </w:r>
      <w:r w:rsidR="00451CAB">
        <w:rPr>
          <w:rFonts w:eastAsia="Times New Roman" w:cs="Times New Roman"/>
        </w:rPr>
        <w:t xml:space="preserve"> troubleshooting code</w:t>
      </w:r>
      <w:r w:rsidR="00DD54C3">
        <w:rPr>
          <w:rFonts w:eastAsia="Times New Roman" w:cs="Times New Roman"/>
        </w:rPr>
        <w:t>,</w:t>
      </w:r>
      <w:r w:rsidR="00451CAB">
        <w:rPr>
          <w:rFonts w:eastAsia="Times New Roman" w:cs="Times New Roman"/>
        </w:rPr>
        <w:t xml:space="preserve"> and</w:t>
      </w:r>
      <w:r w:rsidR="005D35AB">
        <w:rPr>
          <w:rFonts w:eastAsia="Times New Roman" w:cs="Times New Roman"/>
        </w:rPr>
        <w:t xml:space="preserve"> making the entire experience easier and more enjoyable</w:t>
      </w:r>
      <w:r w:rsidR="00451CAB">
        <w:rPr>
          <w:rFonts w:eastAsia="Times New Roman" w:cs="Times New Roman"/>
        </w:rPr>
        <w:t>.</w:t>
      </w:r>
    </w:p>
    <w:p w14:paraId="6699E9E4" w14:textId="7E4D718D" w:rsidR="00B02711" w:rsidRDefault="00451CAB" w:rsidP="00D4187E">
      <w:pPr>
        <w:spacing w:line="480" w:lineRule="auto"/>
        <w:ind w:firstLine="360"/>
        <w:rPr>
          <w:rFonts w:eastAsia="Times New Roman" w:cs="Times New Roman"/>
        </w:rPr>
      </w:pPr>
      <w:r>
        <w:rPr>
          <w:rFonts w:eastAsia="Times New Roman" w:cs="Times New Roman"/>
        </w:rPr>
        <w:lastRenderedPageBreak/>
        <w:t>I extend a</w:t>
      </w:r>
      <w:r w:rsidR="00381631">
        <w:rPr>
          <w:rFonts w:eastAsia="Times New Roman" w:cs="Times New Roman"/>
        </w:rPr>
        <w:t xml:space="preserve"> big thank you to the many collaborators I had the pleasure of working with throughout </w:t>
      </w:r>
      <w:r>
        <w:rPr>
          <w:rFonts w:eastAsia="Times New Roman" w:cs="Times New Roman"/>
        </w:rPr>
        <w:t>my graduate school career</w:t>
      </w:r>
      <w:r w:rsidR="00381631">
        <w:rPr>
          <w:rFonts w:eastAsia="Times New Roman" w:cs="Times New Roman"/>
        </w:rPr>
        <w:t xml:space="preserve"> from natural history museums, zoos and aquariums, governmental</w:t>
      </w:r>
      <w:r>
        <w:rPr>
          <w:rFonts w:eastAsia="Times New Roman" w:cs="Times New Roman"/>
        </w:rPr>
        <w:t>,</w:t>
      </w:r>
      <w:r w:rsidR="00381631">
        <w:rPr>
          <w:rFonts w:eastAsia="Times New Roman" w:cs="Times New Roman"/>
        </w:rPr>
        <w:t xml:space="preserve"> and non-governmental organizations alike. </w:t>
      </w:r>
      <w:r w:rsidR="005761D8">
        <w:rPr>
          <w:rFonts w:eastAsia="Times New Roman" w:cs="Times New Roman"/>
        </w:rPr>
        <w:t xml:space="preserve">Thank you to Ray Moody at Tinker Air Force Base and Mark Howery at the Oklahoma Department of Wildlife Conservation for making my work with Texas horned lizards possible. To that end, </w:t>
      </w:r>
      <w:r w:rsidR="00381631">
        <w:rPr>
          <w:rFonts w:eastAsia="Times New Roman" w:cs="Times New Roman"/>
        </w:rPr>
        <w:t>I owe a tremendous amount to the Oklahoma City Zoo and Botanical Garden</w:t>
      </w:r>
      <w:r w:rsidR="00064D39">
        <w:rPr>
          <w:rFonts w:eastAsia="Times New Roman" w:cs="Times New Roman"/>
        </w:rPr>
        <w:t xml:space="preserve"> and its staff</w:t>
      </w:r>
      <w:r w:rsidR="00381631">
        <w:rPr>
          <w:rFonts w:eastAsia="Times New Roman" w:cs="Times New Roman"/>
        </w:rPr>
        <w:t>. To Dr. Dwight Lawson, Dr. Rebecca Snyder, Dr. Brad Lock, Dr. Lisa Barrett, Renaldo Woodson, Rae Karpinski, T.J. Wall, and the amazing herpetology and aquatics teams</w:t>
      </w:r>
      <w:r w:rsidR="00064D39">
        <w:rPr>
          <w:rFonts w:eastAsia="Times New Roman" w:cs="Times New Roman"/>
        </w:rPr>
        <w:t xml:space="preserve"> that taught me so much</w:t>
      </w:r>
      <w:r w:rsidR="00381631">
        <w:rPr>
          <w:rFonts w:eastAsia="Times New Roman" w:cs="Times New Roman"/>
        </w:rPr>
        <w:t>, thank you</w:t>
      </w:r>
      <w:r w:rsidR="00064D39">
        <w:rPr>
          <w:rFonts w:eastAsia="Times New Roman" w:cs="Times New Roman"/>
        </w:rPr>
        <w:t xml:space="preserve"> all.</w:t>
      </w:r>
      <w:r w:rsidR="00D4187E">
        <w:rPr>
          <w:rFonts w:eastAsia="Times New Roman" w:cs="Times New Roman"/>
        </w:rPr>
        <w:t xml:space="preserve"> </w:t>
      </w:r>
      <w:r w:rsidR="00C0683D" w:rsidRPr="00A0431E">
        <w:rPr>
          <w:rFonts w:eastAsia="Times New Roman" w:cs="Times New Roman"/>
        </w:rPr>
        <w:t xml:space="preserve">Thank you to Brad </w:t>
      </w:r>
      <w:r w:rsidR="00862C79">
        <w:rPr>
          <w:rFonts w:eastAsia="Times New Roman" w:cs="Times New Roman"/>
        </w:rPr>
        <w:t xml:space="preserve">in particular </w:t>
      </w:r>
      <w:r w:rsidR="00C0683D" w:rsidRPr="00A0431E">
        <w:rPr>
          <w:rFonts w:eastAsia="Times New Roman" w:cs="Times New Roman"/>
        </w:rPr>
        <w:t>who</w:t>
      </w:r>
      <w:r w:rsidR="00C0683D">
        <w:rPr>
          <w:rFonts w:eastAsia="Times New Roman" w:cs="Times New Roman"/>
        </w:rPr>
        <w:t xml:space="preserve"> became</w:t>
      </w:r>
      <w:r w:rsidR="00C0683D" w:rsidRPr="00A0431E">
        <w:rPr>
          <w:rFonts w:eastAsia="Times New Roman" w:cs="Times New Roman"/>
        </w:rPr>
        <w:t xml:space="preserve"> a mentor to me</w:t>
      </w:r>
      <w:r w:rsidR="00C0683D">
        <w:rPr>
          <w:rFonts w:eastAsia="Times New Roman" w:cs="Times New Roman"/>
        </w:rPr>
        <w:t xml:space="preserve"> and </w:t>
      </w:r>
      <w:r w:rsidR="00C0683D" w:rsidRPr="00A0431E">
        <w:rPr>
          <w:rFonts w:eastAsia="Times New Roman" w:cs="Times New Roman"/>
        </w:rPr>
        <w:t xml:space="preserve">taught me </w:t>
      </w:r>
      <w:r w:rsidR="00C0683D">
        <w:rPr>
          <w:rFonts w:eastAsia="Times New Roman" w:cs="Times New Roman"/>
        </w:rPr>
        <w:t>so much</w:t>
      </w:r>
      <w:r w:rsidR="00C0683D" w:rsidRPr="00A0431E">
        <w:rPr>
          <w:rFonts w:eastAsia="Times New Roman" w:cs="Times New Roman"/>
        </w:rPr>
        <w:t xml:space="preserve"> about animal husbandry and wildlife conservation.</w:t>
      </w:r>
      <w:r w:rsidR="00C0683D">
        <w:rPr>
          <w:rFonts w:eastAsia="Times New Roman" w:cs="Times New Roman"/>
        </w:rPr>
        <w:t xml:space="preserve"> </w:t>
      </w:r>
      <w:r w:rsidR="00D4187E">
        <w:rPr>
          <w:rFonts w:eastAsia="Times New Roman" w:cs="Times New Roman"/>
        </w:rPr>
        <w:t>What started as a small project in an unused space at the OKC Zoo turned into one of the best experiences of my life.</w:t>
      </w:r>
      <w:r w:rsidR="0025490E">
        <w:rPr>
          <w:rFonts w:eastAsia="Times New Roman" w:cs="Times New Roman"/>
        </w:rPr>
        <w:t xml:space="preserve"> </w:t>
      </w:r>
    </w:p>
    <w:p w14:paraId="2519E414" w14:textId="0962B9A0" w:rsidR="00FE0AFE" w:rsidRPr="00941476" w:rsidRDefault="00D4187E" w:rsidP="00941476">
      <w:pPr>
        <w:spacing w:line="480" w:lineRule="auto"/>
        <w:ind w:firstLine="360"/>
        <w:rPr>
          <w:rFonts w:eastAsia="Times New Roman" w:cs="Times New Roman"/>
        </w:rPr>
      </w:pPr>
      <w:r>
        <w:rPr>
          <w:rFonts w:eastAsia="Times New Roman" w:cs="Times New Roman"/>
        </w:rPr>
        <w:t>Finally, I am endlessly thankful to my friends, family, and wonderful partner that made this</w:t>
      </w:r>
      <w:r w:rsidR="00862C79">
        <w:rPr>
          <w:rFonts w:eastAsia="Times New Roman" w:cs="Times New Roman"/>
        </w:rPr>
        <w:t xml:space="preserve"> </w:t>
      </w:r>
      <w:r>
        <w:rPr>
          <w:rFonts w:eastAsia="Times New Roman" w:cs="Times New Roman"/>
        </w:rPr>
        <w:t xml:space="preserve">graduate school adventure possible. Thank you to Dr. Jonathan Lopez and Dr. John Muller </w:t>
      </w:r>
      <w:r w:rsidR="00A56B85">
        <w:rPr>
          <w:rFonts w:eastAsia="Times New Roman" w:cs="Times New Roman"/>
        </w:rPr>
        <w:t xml:space="preserve">for the unforgettable antics we </w:t>
      </w:r>
      <w:r w:rsidR="00C0683D">
        <w:rPr>
          <w:rFonts w:eastAsia="Times New Roman" w:cs="Times New Roman"/>
        </w:rPr>
        <w:t>endured</w:t>
      </w:r>
      <w:r w:rsidR="00A56B85">
        <w:rPr>
          <w:rFonts w:eastAsia="Times New Roman" w:cs="Times New Roman"/>
        </w:rPr>
        <w:t xml:space="preserve">. Thank you to my wonderful parents, brothers, and sister </w:t>
      </w:r>
      <w:r w:rsidR="00202C8D">
        <w:rPr>
          <w:rFonts w:eastAsia="Times New Roman" w:cs="Times New Roman"/>
        </w:rPr>
        <w:t>for constant support. And to the one that really made this all possible, Chloe Bryen, I simply can never thank you enough.</w:t>
      </w:r>
      <w:r w:rsidR="00D90172">
        <w:rPr>
          <w:rFonts w:cs="Times New Roman (Body CS)"/>
          <w:b/>
          <w:bCs/>
        </w:rPr>
        <w:br w:type="page"/>
      </w:r>
    </w:p>
    <w:p w14:paraId="2004EC48" w14:textId="242CF4C1" w:rsidR="00FE0AFE" w:rsidRDefault="00FE0AFE" w:rsidP="009E5B19">
      <w:pPr>
        <w:jc w:val="center"/>
        <w:rPr>
          <w:rFonts w:cs="Times New Roman (Body CS)"/>
          <w:b/>
          <w:bCs/>
        </w:rPr>
      </w:pPr>
      <w:r>
        <w:rPr>
          <w:rFonts w:cs="Times New Roman (Body CS)"/>
          <w:b/>
          <w:bCs/>
        </w:rPr>
        <w:lastRenderedPageBreak/>
        <w:t>Table of Contents</w:t>
      </w:r>
    </w:p>
    <w:p w14:paraId="6BB648FC" w14:textId="4B1ACBB8" w:rsidR="00FE0AFE" w:rsidRDefault="00FE0AFE" w:rsidP="009E5B19">
      <w:pPr>
        <w:jc w:val="center"/>
        <w:rPr>
          <w:rFonts w:cs="Times New Roman (Body CS)"/>
          <w:b/>
          <w:bCs/>
        </w:rPr>
      </w:pPr>
    </w:p>
    <w:p w14:paraId="5E061DBF" w14:textId="407CE32D" w:rsidR="00FE0AFE" w:rsidRPr="006E1A06" w:rsidRDefault="00FE0AFE" w:rsidP="00FE0AFE">
      <w:pPr>
        <w:rPr>
          <w:rFonts w:cs="Times New Roman (Body CS)"/>
        </w:rPr>
      </w:pPr>
      <w:r>
        <w:rPr>
          <w:rFonts w:cs="Times New Roman (Body CS)"/>
          <w:b/>
          <w:bCs/>
        </w:rPr>
        <w:t>Acknowledgements</w:t>
      </w:r>
      <w:r w:rsidR="006E1A06">
        <w:rPr>
          <w:rFonts w:cs="Times New Roman (Body CS)"/>
        </w:rPr>
        <w:t>……………………………………………………………………………...iv</w:t>
      </w:r>
    </w:p>
    <w:p w14:paraId="34EF1874" w14:textId="0EE96E2F" w:rsidR="006E1A06" w:rsidRDefault="006E1A06" w:rsidP="00FE0AFE">
      <w:pPr>
        <w:rPr>
          <w:rFonts w:cs="Times New Roman (Body CS)"/>
          <w:b/>
          <w:bCs/>
        </w:rPr>
      </w:pPr>
      <w:r>
        <w:rPr>
          <w:rFonts w:cs="Times New Roman (Body CS)"/>
          <w:b/>
          <w:bCs/>
        </w:rPr>
        <w:t>Table of Contents</w:t>
      </w:r>
      <w:r>
        <w:rPr>
          <w:rFonts w:cs="Times New Roman (Body CS)"/>
        </w:rPr>
        <w:t>……………………………………………………………………………...</w:t>
      </w:r>
      <w:r w:rsidR="000E0FAA">
        <w:rPr>
          <w:rFonts w:cs="Times New Roman (Body CS)"/>
        </w:rPr>
        <w:t>...vi</w:t>
      </w:r>
      <w:r>
        <w:rPr>
          <w:rFonts w:cs="Times New Roman (Body CS)"/>
          <w:b/>
          <w:bCs/>
        </w:rPr>
        <w:t xml:space="preserve"> </w:t>
      </w:r>
    </w:p>
    <w:p w14:paraId="0A883880" w14:textId="10410B8F" w:rsidR="00FE0AFE" w:rsidRDefault="00FE0AFE" w:rsidP="00FE0AFE">
      <w:pPr>
        <w:rPr>
          <w:rFonts w:cs="Times New Roman (Body CS)"/>
          <w:b/>
          <w:bCs/>
        </w:rPr>
      </w:pPr>
      <w:r>
        <w:rPr>
          <w:rFonts w:cs="Times New Roman (Body CS)"/>
          <w:b/>
          <w:bCs/>
        </w:rPr>
        <w:t>Abstract</w:t>
      </w:r>
      <w:r w:rsidR="000E0FAA">
        <w:rPr>
          <w:rFonts w:cs="Times New Roman (Body CS)"/>
        </w:rPr>
        <w:t>……………………………………………………………………………...................viii</w:t>
      </w:r>
    </w:p>
    <w:p w14:paraId="552FF401" w14:textId="2BB0B091" w:rsidR="00FE0AFE" w:rsidRDefault="00FE0AFE" w:rsidP="00FE0AFE">
      <w:pPr>
        <w:rPr>
          <w:rFonts w:cs="Times New Roman (Body CS)"/>
          <w:b/>
          <w:bCs/>
        </w:rPr>
      </w:pPr>
    </w:p>
    <w:p w14:paraId="34727B3A" w14:textId="323B6CEB" w:rsidR="00FE0AFE" w:rsidRDefault="00FE0AFE" w:rsidP="00FE0AFE">
      <w:pPr>
        <w:rPr>
          <w:rFonts w:cs="Times New Roman"/>
        </w:rPr>
      </w:pPr>
      <w:r>
        <w:rPr>
          <w:rFonts w:cs="Times New Roman (Body CS)"/>
          <w:b/>
          <w:bCs/>
        </w:rPr>
        <w:t>Chapter 1:</w:t>
      </w:r>
      <w:r w:rsidRPr="00FE0AFE">
        <w:rPr>
          <w:rFonts w:cs="Times New Roman"/>
          <w:b/>
          <w:bCs/>
        </w:rPr>
        <w:t xml:space="preserve"> </w:t>
      </w:r>
      <w:r w:rsidRPr="0060061C">
        <w:rPr>
          <w:rFonts w:cs="Times New Roman"/>
          <w:b/>
          <w:bCs/>
        </w:rPr>
        <w:t xml:space="preserve">Taxonomic Revision of Scaly-toed Geckos (Reptilia: Gekkonidae: </w:t>
      </w:r>
      <w:r w:rsidRPr="0060061C">
        <w:rPr>
          <w:rFonts w:cs="Times New Roman"/>
          <w:b/>
          <w:bCs/>
          <w:i/>
          <w:iCs/>
        </w:rPr>
        <w:t>Lepidodactylus</w:t>
      </w:r>
      <w:r w:rsidRPr="0060061C">
        <w:rPr>
          <w:rFonts w:cs="Times New Roman"/>
          <w:b/>
          <w:bCs/>
        </w:rPr>
        <w:t>) in the Northern Philippines, with Descriptions of Four New Species</w:t>
      </w:r>
      <w:r w:rsidRPr="00FE0AFE">
        <w:rPr>
          <w:rFonts w:cs="Times New Roman"/>
        </w:rPr>
        <w:t>………1</w:t>
      </w:r>
    </w:p>
    <w:p w14:paraId="2CCE5035" w14:textId="4ECD26D5" w:rsidR="00FE0AFE" w:rsidRDefault="00FE0AFE" w:rsidP="00FE0AFE">
      <w:pPr>
        <w:ind w:firstLine="360"/>
        <w:rPr>
          <w:rFonts w:cs="Times New Roman"/>
        </w:rPr>
      </w:pPr>
      <w:r>
        <w:rPr>
          <w:rFonts w:cs="Times New Roman"/>
        </w:rPr>
        <w:t>Abstract</w:t>
      </w:r>
      <w:r w:rsidR="00197284">
        <w:rPr>
          <w:rFonts w:cs="Times New Roman (Body CS)"/>
        </w:rPr>
        <w:t>…………………………………………………………………………….......</w:t>
      </w:r>
      <w:r w:rsidR="003C1878">
        <w:rPr>
          <w:rFonts w:cs="Times New Roman (Body CS)"/>
        </w:rPr>
        <w:t>.</w:t>
      </w:r>
      <w:r w:rsidR="00197284">
        <w:rPr>
          <w:rFonts w:cs="Times New Roman (Body CS)"/>
        </w:rPr>
        <w:t>..........</w:t>
      </w:r>
      <w:r w:rsidR="003C1878">
        <w:rPr>
          <w:rFonts w:cs="Times New Roman (Body CS)"/>
        </w:rPr>
        <w:t>1</w:t>
      </w:r>
    </w:p>
    <w:p w14:paraId="160BD31D" w14:textId="4D7E1F9A" w:rsidR="00FE0AFE" w:rsidRDefault="00FE0AFE" w:rsidP="00FE0AFE">
      <w:pPr>
        <w:ind w:firstLine="360"/>
        <w:rPr>
          <w:rFonts w:cs="Times New Roman"/>
        </w:rPr>
      </w:pPr>
      <w:r>
        <w:rPr>
          <w:rFonts w:cs="Times New Roman"/>
        </w:rPr>
        <w:t>Introduction</w:t>
      </w:r>
      <w:r w:rsidR="00197284">
        <w:rPr>
          <w:rFonts w:cs="Times New Roman (Body CS)"/>
        </w:rPr>
        <w:t>…………………………………………………………………..……............</w:t>
      </w:r>
      <w:r w:rsidR="003C1878">
        <w:rPr>
          <w:rFonts w:cs="Times New Roman (Body CS)"/>
        </w:rPr>
        <w:t>.</w:t>
      </w:r>
      <w:r w:rsidR="00197284">
        <w:rPr>
          <w:rFonts w:cs="Times New Roman (Body CS)"/>
        </w:rPr>
        <w:t>.....</w:t>
      </w:r>
      <w:r w:rsidR="003C1878">
        <w:rPr>
          <w:rFonts w:cs="Times New Roman (Body CS)"/>
        </w:rPr>
        <w:t>2</w:t>
      </w:r>
    </w:p>
    <w:p w14:paraId="02B243A5" w14:textId="4DD03A27" w:rsidR="00FE0AFE" w:rsidRDefault="00FE0AFE" w:rsidP="00FE0AFE">
      <w:pPr>
        <w:ind w:firstLine="360"/>
        <w:rPr>
          <w:rFonts w:cs="Times New Roman"/>
        </w:rPr>
      </w:pPr>
      <w:r>
        <w:rPr>
          <w:rFonts w:cs="Times New Roman"/>
        </w:rPr>
        <w:t>Taxonomic History</w:t>
      </w:r>
      <w:r w:rsidR="00197284">
        <w:rPr>
          <w:rFonts w:cs="Times New Roman (Body CS)"/>
        </w:rPr>
        <w:t>……………………………………………………………..…….............</w:t>
      </w:r>
      <w:r w:rsidR="003C1878">
        <w:rPr>
          <w:rFonts w:cs="Times New Roman (Body CS)"/>
        </w:rPr>
        <w:t>.5</w:t>
      </w:r>
    </w:p>
    <w:p w14:paraId="1080918D" w14:textId="58935864" w:rsidR="00FE0AFE" w:rsidRDefault="00FE0AFE" w:rsidP="00FE0AFE">
      <w:pPr>
        <w:ind w:firstLine="360"/>
        <w:rPr>
          <w:rFonts w:cs="Times New Roman"/>
        </w:rPr>
      </w:pPr>
      <w:r>
        <w:rPr>
          <w:rFonts w:cs="Times New Roman"/>
        </w:rPr>
        <w:t>Materials and Methods</w:t>
      </w:r>
      <w:r w:rsidR="00197284">
        <w:rPr>
          <w:rFonts w:cs="Times New Roman (Body CS)"/>
        </w:rPr>
        <w:t>………………………………………………………..……...............</w:t>
      </w:r>
      <w:r w:rsidR="003C1878">
        <w:rPr>
          <w:rFonts w:cs="Times New Roman (Body CS)"/>
        </w:rPr>
        <w:t>12</w:t>
      </w:r>
    </w:p>
    <w:p w14:paraId="58834294" w14:textId="219F25B9" w:rsidR="00FE0AFE" w:rsidRDefault="00FE0AFE" w:rsidP="00FE0AFE">
      <w:pPr>
        <w:ind w:firstLine="360"/>
        <w:rPr>
          <w:rFonts w:cs="Times New Roman"/>
        </w:rPr>
      </w:pPr>
      <w:r>
        <w:rPr>
          <w:rFonts w:cs="Times New Roman"/>
        </w:rPr>
        <w:t>Results</w:t>
      </w:r>
      <w:r w:rsidR="00197284">
        <w:rPr>
          <w:rFonts w:cs="Times New Roman (Body CS)"/>
        </w:rPr>
        <w:t>………………………………………………………………</w:t>
      </w:r>
      <w:r w:rsidR="003C1878">
        <w:rPr>
          <w:rFonts w:cs="Times New Roman (Body CS)"/>
        </w:rPr>
        <w:t>……….</w:t>
      </w:r>
      <w:r w:rsidR="00197284">
        <w:rPr>
          <w:rFonts w:cs="Times New Roman (Body CS)"/>
        </w:rPr>
        <w:t>..……...............</w:t>
      </w:r>
      <w:r w:rsidR="003C1878">
        <w:rPr>
          <w:rFonts w:cs="Times New Roman (Body CS)"/>
        </w:rPr>
        <w:t>17</w:t>
      </w:r>
    </w:p>
    <w:p w14:paraId="2B54CD7F" w14:textId="37C3D1FE" w:rsidR="00FE0AFE" w:rsidRDefault="00FE0AFE" w:rsidP="00FE0AFE">
      <w:pPr>
        <w:ind w:firstLine="360"/>
        <w:rPr>
          <w:rFonts w:cs="Times New Roman"/>
        </w:rPr>
      </w:pPr>
      <w:r>
        <w:rPr>
          <w:rFonts w:cs="Times New Roman"/>
        </w:rPr>
        <w:t>Species Accounts</w:t>
      </w:r>
      <w:r w:rsidR="003C1878">
        <w:rPr>
          <w:rFonts w:cs="Times New Roman (Body CS)"/>
        </w:rPr>
        <w:t>………………………………………………………..…….......................19</w:t>
      </w:r>
    </w:p>
    <w:p w14:paraId="33662236" w14:textId="68524614" w:rsidR="00FE0AFE" w:rsidRDefault="00FE0AFE" w:rsidP="00FE0AFE">
      <w:pPr>
        <w:ind w:firstLine="360"/>
        <w:rPr>
          <w:rFonts w:cs="Times New Roman"/>
        </w:rPr>
      </w:pPr>
      <w:r>
        <w:rPr>
          <w:rFonts w:cs="Times New Roman"/>
        </w:rPr>
        <w:t>Discussion</w:t>
      </w:r>
      <w:r w:rsidR="003C1878">
        <w:rPr>
          <w:rFonts w:cs="Times New Roman (Body CS)"/>
        </w:rPr>
        <w:t>………………………………………………………..……..................................47</w:t>
      </w:r>
    </w:p>
    <w:p w14:paraId="1BB24FCB" w14:textId="5D41551E" w:rsidR="00FE0AFE" w:rsidRDefault="00FE0AFE" w:rsidP="003C1878">
      <w:pPr>
        <w:ind w:firstLine="360"/>
        <w:rPr>
          <w:rFonts w:cs="Times New Roman"/>
        </w:rPr>
      </w:pPr>
      <w:r>
        <w:rPr>
          <w:rFonts w:cs="Times New Roman"/>
        </w:rPr>
        <w:t>Acknowledgements</w:t>
      </w:r>
      <w:r w:rsidR="003C1878">
        <w:rPr>
          <w:rFonts w:cs="Times New Roman (Body CS)"/>
        </w:rPr>
        <w:t>………………………………………………..……................................51</w:t>
      </w:r>
    </w:p>
    <w:p w14:paraId="56E7C9BC" w14:textId="525002A4" w:rsidR="00FE0AFE" w:rsidRDefault="00FE0AFE" w:rsidP="003C1878">
      <w:pPr>
        <w:ind w:firstLine="360"/>
        <w:rPr>
          <w:rFonts w:cs="Times New Roman"/>
        </w:rPr>
      </w:pPr>
      <w:r>
        <w:rPr>
          <w:rFonts w:cs="Times New Roman"/>
        </w:rPr>
        <w:t>Literature Cited</w:t>
      </w:r>
      <w:r w:rsidR="003C1878">
        <w:rPr>
          <w:rFonts w:cs="Times New Roman (Body CS)"/>
        </w:rPr>
        <w:t>………………………………………………..……......................................</w:t>
      </w:r>
      <w:r w:rsidR="0059159B">
        <w:rPr>
          <w:rFonts w:cs="Times New Roman (Body CS)"/>
        </w:rPr>
        <w:t>52</w:t>
      </w:r>
    </w:p>
    <w:p w14:paraId="025C5A49" w14:textId="3C58B44E" w:rsidR="00FE0AFE" w:rsidRDefault="00FE0AFE" w:rsidP="003C1878">
      <w:pPr>
        <w:ind w:firstLine="360"/>
        <w:rPr>
          <w:rFonts w:cs="Times New Roman"/>
        </w:rPr>
      </w:pPr>
      <w:r>
        <w:rPr>
          <w:rFonts w:cs="Times New Roman"/>
        </w:rPr>
        <w:t>Appendix</w:t>
      </w:r>
      <w:r w:rsidR="003C1878">
        <w:rPr>
          <w:rFonts w:cs="Times New Roman (Body CS)"/>
        </w:rPr>
        <w:t>………………………………………………..……................................................</w:t>
      </w:r>
      <w:r w:rsidR="0059159B">
        <w:rPr>
          <w:rFonts w:cs="Times New Roman (Body CS)"/>
        </w:rPr>
        <w:t>60</w:t>
      </w:r>
    </w:p>
    <w:p w14:paraId="001D522D" w14:textId="4E12B2C7" w:rsidR="00FE0AFE" w:rsidRDefault="00FE0AFE" w:rsidP="0059159B">
      <w:pPr>
        <w:ind w:firstLine="360"/>
        <w:rPr>
          <w:rFonts w:cs="Times New Roman"/>
        </w:rPr>
      </w:pPr>
      <w:r>
        <w:rPr>
          <w:rFonts w:cs="Times New Roman"/>
        </w:rPr>
        <w:t>Table</w:t>
      </w:r>
      <w:r w:rsidR="003C1878">
        <w:rPr>
          <w:rFonts w:cs="Times New Roman (Body CS)"/>
        </w:rPr>
        <w:t>……………………………………</w:t>
      </w:r>
      <w:r w:rsidR="0014365A">
        <w:rPr>
          <w:rFonts w:cs="Times New Roman (Body CS)"/>
        </w:rPr>
        <w:t>………….</w:t>
      </w:r>
      <w:r w:rsidR="003C1878">
        <w:rPr>
          <w:rFonts w:cs="Times New Roman (Body CS)"/>
        </w:rPr>
        <w:t>…….............................................</w:t>
      </w:r>
      <w:r w:rsidR="0014365A">
        <w:rPr>
          <w:rFonts w:cs="Times New Roman (Body CS)"/>
        </w:rPr>
        <w:t>.</w:t>
      </w:r>
      <w:r w:rsidR="003C1878">
        <w:rPr>
          <w:rFonts w:cs="Times New Roman (Body CS)"/>
        </w:rPr>
        <w:t>........</w:t>
      </w:r>
      <w:r w:rsidR="0059159B">
        <w:rPr>
          <w:rFonts w:cs="Times New Roman (Body CS)"/>
        </w:rPr>
        <w:t>.61</w:t>
      </w:r>
    </w:p>
    <w:p w14:paraId="314FDC26" w14:textId="27DCDEB2" w:rsidR="00FE0AFE" w:rsidRDefault="00FE0AFE" w:rsidP="003C1878">
      <w:pPr>
        <w:ind w:firstLine="360"/>
        <w:rPr>
          <w:rFonts w:cs="Times New Roman"/>
        </w:rPr>
      </w:pPr>
      <w:r>
        <w:rPr>
          <w:rFonts w:cs="Times New Roman"/>
        </w:rPr>
        <w:t>Figures and Figure Legends</w:t>
      </w:r>
      <w:r w:rsidR="003C1878">
        <w:rPr>
          <w:rFonts w:cs="Times New Roman (Body CS)"/>
        </w:rPr>
        <w:t>………………………………………………..……...................</w:t>
      </w:r>
      <w:r w:rsidR="0059159B">
        <w:rPr>
          <w:rFonts w:cs="Times New Roman (Body CS)"/>
        </w:rPr>
        <w:t>66</w:t>
      </w:r>
    </w:p>
    <w:p w14:paraId="371A95E6" w14:textId="09B6A761" w:rsidR="00FE0AFE" w:rsidRDefault="00FE0AFE" w:rsidP="00FE0AFE">
      <w:pPr>
        <w:rPr>
          <w:rFonts w:cs="Times New Roman"/>
        </w:rPr>
      </w:pPr>
    </w:p>
    <w:p w14:paraId="54D9AA9E" w14:textId="120A6EB3" w:rsidR="00FE0AFE" w:rsidRDefault="00FE0AFE" w:rsidP="00FE0AFE">
      <w:pPr>
        <w:spacing w:after="80"/>
        <w:rPr>
          <w:rFonts w:eastAsia="Times New Roman" w:cs="Times New Roman"/>
          <w:b/>
          <w:bCs/>
          <w:color w:val="000000"/>
        </w:rPr>
      </w:pPr>
      <w:r>
        <w:rPr>
          <w:rFonts w:eastAsia="Times New Roman" w:cs="Times New Roman"/>
          <w:b/>
          <w:bCs/>
          <w:color w:val="000000"/>
        </w:rPr>
        <w:t xml:space="preserve">Chapter 2: </w:t>
      </w:r>
      <w:r w:rsidRPr="00A65986">
        <w:rPr>
          <w:rFonts w:eastAsia="Times New Roman" w:cs="Times New Roman"/>
          <w:b/>
          <w:bCs/>
          <w:color w:val="000000"/>
        </w:rPr>
        <w:t>Gut microbial ecology of Philippine gekkonids: ecoevolutionary effects on microbiome compositions</w:t>
      </w:r>
      <w:r w:rsidR="00556252" w:rsidRPr="00FE0AFE">
        <w:rPr>
          <w:rFonts w:cs="Times New Roman"/>
        </w:rPr>
        <w:t>………</w:t>
      </w:r>
      <w:r w:rsidR="00556252">
        <w:rPr>
          <w:rFonts w:cs="Times New Roman"/>
        </w:rPr>
        <w:t>………………………………………………………………76</w:t>
      </w:r>
    </w:p>
    <w:p w14:paraId="10B3CF8D" w14:textId="7B911866" w:rsidR="00FE0AFE" w:rsidRDefault="00FE0AFE" w:rsidP="006E1A06">
      <w:pPr>
        <w:ind w:firstLine="360"/>
        <w:rPr>
          <w:rFonts w:cs="Times New Roman (Body CS)"/>
        </w:rPr>
      </w:pPr>
      <w:r>
        <w:rPr>
          <w:rFonts w:cs="Times New Roman (Body CS)"/>
        </w:rPr>
        <w:t>Abstract</w:t>
      </w:r>
      <w:r w:rsidR="003A0506" w:rsidRPr="003A0506">
        <w:rPr>
          <w:rFonts w:cs="Times New Roman (Body CS)"/>
        </w:rPr>
        <w:t>…………………………………………………………………</w:t>
      </w:r>
      <w:r w:rsidR="003A0506">
        <w:rPr>
          <w:rFonts w:cs="Times New Roman (Body CS)"/>
        </w:rPr>
        <w:t>………………</w:t>
      </w:r>
      <w:r w:rsidR="003A0506" w:rsidRPr="003A0506">
        <w:rPr>
          <w:rFonts w:cs="Times New Roman (Body CS)"/>
        </w:rPr>
        <w:t>……76</w:t>
      </w:r>
    </w:p>
    <w:p w14:paraId="3EDC6950" w14:textId="6A9515AE" w:rsidR="00FE0AFE" w:rsidRDefault="00FE0AFE" w:rsidP="003A0506">
      <w:pPr>
        <w:ind w:firstLine="360"/>
        <w:rPr>
          <w:rFonts w:cs="Times New Roman (Body CS)"/>
        </w:rPr>
      </w:pPr>
      <w:r>
        <w:rPr>
          <w:rFonts w:cs="Times New Roman (Body CS)"/>
        </w:rPr>
        <w:t>Introduction</w:t>
      </w:r>
      <w:r w:rsidR="003A0506" w:rsidRPr="003A0506">
        <w:rPr>
          <w:rFonts w:cs="Times New Roman (Body CS)"/>
        </w:rPr>
        <w:t>……………………………………………………</w:t>
      </w:r>
      <w:r w:rsidR="003A0506">
        <w:rPr>
          <w:rFonts w:cs="Times New Roman (Body CS)"/>
        </w:rPr>
        <w:t>………………</w:t>
      </w:r>
      <w:r w:rsidR="003A0506" w:rsidRPr="003A0506">
        <w:rPr>
          <w:rFonts w:cs="Times New Roman (Body CS)"/>
        </w:rPr>
        <w:t>…</w:t>
      </w:r>
      <w:r w:rsidR="005221FF">
        <w:rPr>
          <w:rFonts w:cs="Times New Roman (Body CS)"/>
        </w:rPr>
        <w:t>………..</w:t>
      </w:r>
      <w:r w:rsidR="003A0506" w:rsidRPr="003A0506">
        <w:rPr>
          <w:rFonts w:cs="Times New Roman (Body CS)"/>
        </w:rPr>
        <w:t>…7</w:t>
      </w:r>
      <w:r w:rsidR="003A0506">
        <w:rPr>
          <w:rFonts w:cs="Times New Roman (Body CS)"/>
        </w:rPr>
        <w:t>7</w:t>
      </w:r>
    </w:p>
    <w:p w14:paraId="17BE1AC0" w14:textId="72815441" w:rsidR="00FE0AFE" w:rsidRDefault="00FE0AFE" w:rsidP="006E1A06">
      <w:pPr>
        <w:ind w:firstLine="360"/>
        <w:rPr>
          <w:rFonts w:cs="Times New Roman (Body CS)"/>
        </w:rPr>
      </w:pPr>
      <w:r>
        <w:rPr>
          <w:rFonts w:cs="Times New Roman (Body CS)"/>
        </w:rPr>
        <w:t>Materials and Methods</w:t>
      </w:r>
      <w:r w:rsidR="003A0506">
        <w:rPr>
          <w:rFonts w:cs="Times New Roman (Body CS)"/>
        </w:rPr>
        <w:t>………………………</w:t>
      </w:r>
      <w:r w:rsidR="005221FF">
        <w:rPr>
          <w:rFonts w:cs="Times New Roman (Body CS)"/>
        </w:rPr>
        <w:t>……………………………………………….</w:t>
      </w:r>
      <w:r w:rsidR="003A0506">
        <w:rPr>
          <w:rFonts w:cs="Times New Roman (Body CS)"/>
        </w:rPr>
        <w:t>80</w:t>
      </w:r>
    </w:p>
    <w:p w14:paraId="16967C36" w14:textId="73C71A25" w:rsidR="00FE0AFE" w:rsidRDefault="00FE0AFE" w:rsidP="006E1A06">
      <w:pPr>
        <w:ind w:firstLine="360"/>
        <w:rPr>
          <w:rFonts w:cs="Times New Roman (Body CS)"/>
        </w:rPr>
      </w:pPr>
      <w:r>
        <w:rPr>
          <w:rFonts w:cs="Times New Roman (Body CS)"/>
        </w:rPr>
        <w:t>Results</w:t>
      </w:r>
      <w:r w:rsidR="003A0506">
        <w:rPr>
          <w:rFonts w:cs="Times New Roman (Body CS)"/>
        </w:rPr>
        <w:t>…………</w:t>
      </w:r>
      <w:r w:rsidR="005221FF">
        <w:rPr>
          <w:rFonts w:cs="Times New Roman (Body CS)"/>
        </w:rPr>
        <w:t>……………………………………………………………………………..</w:t>
      </w:r>
      <w:r w:rsidR="003A0506">
        <w:rPr>
          <w:rFonts w:cs="Times New Roman (Body CS)"/>
        </w:rPr>
        <w:t>86</w:t>
      </w:r>
    </w:p>
    <w:p w14:paraId="47F91642" w14:textId="6EC3832A" w:rsidR="00FE0AFE" w:rsidRDefault="00FE0AFE" w:rsidP="006E1A06">
      <w:pPr>
        <w:ind w:firstLine="360"/>
        <w:rPr>
          <w:rFonts w:cs="Times New Roman (Body CS)"/>
        </w:rPr>
      </w:pPr>
      <w:r>
        <w:rPr>
          <w:rFonts w:cs="Times New Roman (Body CS)"/>
        </w:rPr>
        <w:t>Discussion</w:t>
      </w:r>
      <w:r w:rsidR="003A0506">
        <w:rPr>
          <w:rFonts w:cs="Times New Roman (Body CS)"/>
        </w:rPr>
        <w:t>………</w:t>
      </w:r>
      <w:r w:rsidR="005221FF" w:rsidRPr="003A0506">
        <w:rPr>
          <w:rFonts w:cs="Times New Roman (Body CS)"/>
        </w:rPr>
        <w:t>……………………………</w:t>
      </w:r>
      <w:r w:rsidR="005221FF">
        <w:rPr>
          <w:rFonts w:cs="Times New Roman (Body CS)"/>
        </w:rPr>
        <w:t>………………</w:t>
      </w:r>
      <w:r w:rsidR="005221FF" w:rsidRPr="003A0506">
        <w:rPr>
          <w:rFonts w:cs="Times New Roman (Body CS)"/>
        </w:rPr>
        <w:t>……</w:t>
      </w:r>
      <w:r w:rsidR="005221FF">
        <w:rPr>
          <w:rFonts w:cs="Times New Roman (Body CS)"/>
        </w:rPr>
        <w:t>……………………...</w:t>
      </w:r>
      <w:r w:rsidR="003A0506">
        <w:rPr>
          <w:rFonts w:cs="Times New Roman (Body CS)"/>
        </w:rPr>
        <w:t>….93</w:t>
      </w:r>
    </w:p>
    <w:p w14:paraId="317353CD" w14:textId="7B3C075A" w:rsidR="003A0506" w:rsidRDefault="003A0506" w:rsidP="006E1A06">
      <w:pPr>
        <w:ind w:firstLine="360"/>
        <w:rPr>
          <w:rFonts w:cs="Times New Roman (Body CS)"/>
        </w:rPr>
      </w:pPr>
      <w:r>
        <w:rPr>
          <w:rFonts w:cs="Times New Roman (Body CS)"/>
        </w:rPr>
        <w:t>Funding………</w:t>
      </w:r>
      <w:r w:rsidR="005221FF" w:rsidRPr="003A0506">
        <w:rPr>
          <w:rFonts w:cs="Times New Roman (Body CS)"/>
        </w:rPr>
        <w:t>……………………………</w:t>
      </w:r>
      <w:r w:rsidR="005221FF">
        <w:rPr>
          <w:rFonts w:cs="Times New Roman (Body CS)"/>
        </w:rPr>
        <w:t>………………</w:t>
      </w:r>
      <w:r w:rsidR="005221FF" w:rsidRPr="003A0506">
        <w:rPr>
          <w:rFonts w:cs="Times New Roman (Body CS)"/>
        </w:rPr>
        <w:t>……</w:t>
      </w:r>
      <w:r w:rsidR="005221FF">
        <w:rPr>
          <w:rFonts w:cs="Times New Roman (Body CS)"/>
        </w:rPr>
        <w:t>………………………...</w:t>
      </w:r>
      <w:r>
        <w:rPr>
          <w:rFonts w:cs="Times New Roman (Body CS)"/>
        </w:rPr>
        <w:t>….96</w:t>
      </w:r>
    </w:p>
    <w:p w14:paraId="18BFA8D8" w14:textId="4EB01232" w:rsidR="003A0506" w:rsidRDefault="003A0506" w:rsidP="006E1A06">
      <w:pPr>
        <w:ind w:firstLine="360"/>
        <w:rPr>
          <w:rFonts w:cs="Times New Roman (Body CS)"/>
        </w:rPr>
      </w:pPr>
      <w:r>
        <w:rPr>
          <w:rFonts w:cs="Times New Roman (Body CS)"/>
        </w:rPr>
        <w:t>Conflict of interest………</w:t>
      </w:r>
      <w:r w:rsidR="005221FF" w:rsidRPr="003A0506">
        <w:rPr>
          <w:rFonts w:cs="Times New Roman (Body CS)"/>
        </w:rPr>
        <w:t>……………………………</w:t>
      </w:r>
      <w:r w:rsidR="005221FF">
        <w:rPr>
          <w:rFonts w:cs="Times New Roman (Body CS)"/>
        </w:rPr>
        <w:t>………………</w:t>
      </w:r>
      <w:r w:rsidR="005221FF" w:rsidRPr="003A0506">
        <w:rPr>
          <w:rFonts w:cs="Times New Roman (Body CS)"/>
        </w:rPr>
        <w:t>……</w:t>
      </w:r>
      <w:r w:rsidR="005221FF">
        <w:rPr>
          <w:rFonts w:cs="Times New Roman (Body CS)"/>
        </w:rPr>
        <w:t>……………..</w:t>
      </w:r>
      <w:r>
        <w:rPr>
          <w:rFonts w:cs="Times New Roman (Body CS)"/>
        </w:rPr>
        <w:t>….96</w:t>
      </w:r>
    </w:p>
    <w:p w14:paraId="1F3D3C68" w14:textId="75A33DE3" w:rsidR="003A0506" w:rsidRDefault="003A0506" w:rsidP="006E1A06">
      <w:pPr>
        <w:ind w:firstLine="360"/>
        <w:rPr>
          <w:rFonts w:cs="Times New Roman (Body CS)"/>
        </w:rPr>
      </w:pPr>
      <w:r>
        <w:rPr>
          <w:rFonts w:cs="Times New Roman (Body CS)"/>
        </w:rPr>
        <w:t>Acknowledgements………..…………</w:t>
      </w:r>
      <w:r w:rsidR="005221FF">
        <w:rPr>
          <w:rFonts w:cs="Times New Roman (Body CS)"/>
        </w:rPr>
        <w:t>………………………………………………………</w:t>
      </w:r>
      <w:r>
        <w:rPr>
          <w:rFonts w:cs="Times New Roman (Body CS)"/>
        </w:rPr>
        <w:t>96</w:t>
      </w:r>
    </w:p>
    <w:p w14:paraId="7F298CD2" w14:textId="29156B69" w:rsidR="003A0506" w:rsidRDefault="003A0506" w:rsidP="006E1A06">
      <w:pPr>
        <w:ind w:firstLine="360"/>
        <w:rPr>
          <w:rFonts w:cs="Times New Roman (Body CS)"/>
        </w:rPr>
      </w:pPr>
      <w:r>
        <w:rPr>
          <w:rFonts w:cs="Times New Roman (Body CS)"/>
        </w:rPr>
        <w:t>References………</w:t>
      </w:r>
      <w:r w:rsidR="005221FF" w:rsidRPr="003A0506">
        <w:rPr>
          <w:rFonts w:cs="Times New Roman (Body CS)"/>
        </w:rPr>
        <w:t>……………………………</w:t>
      </w:r>
      <w:r w:rsidR="005221FF">
        <w:rPr>
          <w:rFonts w:cs="Times New Roman (Body CS)"/>
        </w:rPr>
        <w:t>………………</w:t>
      </w:r>
      <w:r w:rsidR="005221FF" w:rsidRPr="003A0506">
        <w:rPr>
          <w:rFonts w:cs="Times New Roman (Body CS)"/>
        </w:rPr>
        <w:t>……</w:t>
      </w:r>
      <w:r w:rsidR="005221FF">
        <w:rPr>
          <w:rFonts w:cs="Times New Roman (Body CS)"/>
        </w:rPr>
        <w:t>……………………</w:t>
      </w:r>
      <w:r>
        <w:rPr>
          <w:rFonts w:cs="Times New Roman (Body CS)"/>
        </w:rPr>
        <w:t>…</w:t>
      </w:r>
      <w:r w:rsidR="005221FF">
        <w:rPr>
          <w:rFonts w:cs="Times New Roman (Body CS)"/>
        </w:rPr>
        <w:t>…</w:t>
      </w:r>
      <w:r>
        <w:rPr>
          <w:rFonts w:cs="Times New Roman (Body CS)"/>
        </w:rPr>
        <w:t>97</w:t>
      </w:r>
    </w:p>
    <w:p w14:paraId="50617A24" w14:textId="55C8926D" w:rsidR="00EA19C1" w:rsidRDefault="00EA19C1" w:rsidP="006E1A06">
      <w:pPr>
        <w:ind w:firstLine="360"/>
        <w:rPr>
          <w:rFonts w:cs="Times New Roman (Body CS)"/>
        </w:rPr>
      </w:pPr>
      <w:r>
        <w:rPr>
          <w:rFonts w:cs="Times New Roman (Body CS)"/>
        </w:rPr>
        <w:t>Table………………</w:t>
      </w:r>
      <w:r w:rsidR="005221FF" w:rsidRPr="003A0506">
        <w:rPr>
          <w:rFonts w:cs="Times New Roman (Body CS)"/>
        </w:rPr>
        <w:t>……………………………</w:t>
      </w:r>
      <w:r w:rsidR="005221FF">
        <w:rPr>
          <w:rFonts w:cs="Times New Roman (Body CS)"/>
        </w:rPr>
        <w:t>………………</w:t>
      </w:r>
      <w:r w:rsidR="005221FF" w:rsidRPr="003A0506">
        <w:rPr>
          <w:rFonts w:cs="Times New Roman (Body CS)"/>
        </w:rPr>
        <w:t>……</w:t>
      </w:r>
      <w:r w:rsidR="005221FF">
        <w:rPr>
          <w:rFonts w:cs="Times New Roman (Body CS)"/>
        </w:rPr>
        <w:t>…………….</w:t>
      </w:r>
      <w:r>
        <w:rPr>
          <w:rFonts w:cs="Times New Roman (Body CS)"/>
        </w:rPr>
        <w:t>……….104</w:t>
      </w:r>
    </w:p>
    <w:p w14:paraId="096639BD" w14:textId="5B28E0A1" w:rsidR="003A0506" w:rsidRDefault="003A0506" w:rsidP="006E1A06">
      <w:pPr>
        <w:ind w:firstLine="360"/>
        <w:rPr>
          <w:rFonts w:cs="Times New Roman (Body CS)"/>
        </w:rPr>
      </w:pPr>
      <w:r>
        <w:rPr>
          <w:rFonts w:cs="Times New Roman (Body CS)"/>
        </w:rPr>
        <w:t>Figures and Figure Legends……</w:t>
      </w:r>
      <w:r w:rsidR="005221FF" w:rsidRPr="003A0506">
        <w:rPr>
          <w:rFonts w:cs="Times New Roman (Body CS)"/>
        </w:rPr>
        <w:t>……………………………</w:t>
      </w:r>
      <w:r w:rsidR="005221FF">
        <w:rPr>
          <w:rFonts w:cs="Times New Roman (Body CS)"/>
        </w:rPr>
        <w:t>………………</w:t>
      </w:r>
      <w:r w:rsidR="005221FF" w:rsidRPr="003A0506">
        <w:rPr>
          <w:rFonts w:cs="Times New Roman (Body CS)"/>
        </w:rPr>
        <w:t>……</w:t>
      </w:r>
      <w:r w:rsidR="005221FF">
        <w:rPr>
          <w:rFonts w:cs="Times New Roman (Body CS)"/>
        </w:rPr>
        <w:t>……</w:t>
      </w:r>
      <w:r w:rsidR="004638E8">
        <w:rPr>
          <w:rFonts w:cs="Times New Roman (Body CS)"/>
        </w:rPr>
        <w:t>.</w:t>
      </w:r>
      <w:r w:rsidR="005221FF">
        <w:rPr>
          <w:rFonts w:cs="Times New Roman (Body CS)"/>
        </w:rPr>
        <w:t>…</w:t>
      </w:r>
      <w:r>
        <w:rPr>
          <w:rFonts w:cs="Times New Roman (Body CS)"/>
        </w:rPr>
        <w:t>.</w:t>
      </w:r>
      <w:r w:rsidR="005221FF">
        <w:rPr>
          <w:rFonts w:cs="Times New Roman (Body CS)"/>
        </w:rPr>
        <w:t>.</w:t>
      </w:r>
      <w:r>
        <w:rPr>
          <w:rFonts w:cs="Times New Roman (Body CS)"/>
        </w:rPr>
        <w:t>10</w:t>
      </w:r>
      <w:r w:rsidR="00EA19C1">
        <w:rPr>
          <w:rFonts w:cs="Times New Roman (Body CS)"/>
        </w:rPr>
        <w:t>5</w:t>
      </w:r>
    </w:p>
    <w:p w14:paraId="38524D7C" w14:textId="0EE67C45" w:rsidR="00FE0AFE" w:rsidRDefault="00FE0AFE" w:rsidP="006E1A06">
      <w:pPr>
        <w:ind w:firstLine="360"/>
        <w:rPr>
          <w:rFonts w:cs="Times New Roman (Body CS)"/>
        </w:rPr>
      </w:pPr>
    </w:p>
    <w:p w14:paraId="3B3A0CE1" w14:textId="27B469BB" w:rsidR="006E1A06" w:rsidRDefault="006E1A06" w:rsidP="00FE0AFE">
      <w:pPr>
        <w:rPr>
          <w:rFonts w:cs="Times New Roman (Body CS)"/>
        </w:rPr>
      </w:pPr>
    </w:p>
    <w:p w14:paraId="270A8DA2" w14:textId="42A54589" w:rsidR="006E1A06" w:rsidRDefault="006E1A06" w:rsidP="006E1A06">
      <w:pPr>
        <w:spacing w:after="80"/>
        <w:rPr>
          <w:b/>
          <w:bCs/>
        </w:rPr>
      </w:pPr>
      <w:r w:rsidRPr="00D064CF">
        <w:rPr>
          <w:rFonts w:cs="Times New Roman"/>
          <w:b/>
          <w:bCs/>
        </w:rPr>
        <w:t xml:space="preserve">Chapter </w:t>
      </w:r>
      <w:r w:rsidRPr="00460293">
        <w:rPr>
          <w:rFonts w:cs="Times New Roman"/>
          <w:b/>
          <w:bCs/>
        </w:rPr>
        <w:t xml:space="preserve">3: </w:t>
      </w:r>
      <w:r w:rsidRPr="00A65986">
        <w:rPr>
          <w:b/>
          <w:bCs/>
        </w:rPr>
        <w:t>Gut microbial ecology of the Critically Endangered Fijian crested iguana (</w:t>
      </w:r>
      <w:r w:rsidRPr="00A65986">
        <w:rPr>
          <w:b/>
          <w:bCs/>
          <w:i/>
        </w:rPr>
        <w:t>Brachylophus vitiensis</w:t>
      </w:r>
      <w:r w:rsidRPr="00A65986">
        <w:rPr>
          <w:b/>
          <w:bCs/>
        </w:rPr>
        <w:t>): effects of captivity status and host reintroduction on endogenous microbiomes</w:t>
      </w:r>
      <w:r w:rsidR="005221FF" w:rsidRPr="003A0506">
        <w:rPr>
          <w:rFonts w:cs="Times New Roman (Body CS)"/>
        </w:rPr>
        <w:t>……………………………………………</w:t>
      </w:r>
      <w:r w:rsidR="005221FF">
        <w:rPr>
          <w:rFonts w:cs="Times New Roman (Body CS)"/>
        </w:rPr>
        <w:t>………………</w:t>
      </w:r>
      <w:r w:rsidR="005221FF" w:rsidRPr="003A0506">
        <w:rPr>
          <w:rFonts w:cs="Times New Roman (Body CS)"/>
        </w:rPr>
        <w:t>…</w:t>
      </w:r>
      <w:r w:rsidR="005221FF">
        <w:rPr>
          <w:rFonts w:cs="Times New Roman (Body CS)"/>
        </w:rPr>
        <w:t>…………………</w:t>
      </w:r>
      <w:r w:rsidR="005221FF" w:rsidRPr="003A0506">
        <w:rPr>
          <w:rFonts w:cs="Times New Roman (Body CS)"/>
        </w:rPr>
        <w:t>…</w:t>
      </w:r>
      <w:r w:rsidR="005221FF">
        <w:rPr>
          <w:rFonts w:cs="Times New Roman (Body CS)"/>
        </w:rPr>
        <w:t>109</w:t>
      </w:r>
    </w:p>
    <w:p w14:paraId="05973F76" w14:textId="66BAADDE" w:rsidR="006E1A06" w:rsidRDefault="006E1A06" w:rsidP="006E1A06">
      <w:pPr>
        <w:ind w:firstLine="360"/>
        <w:rPr>
          <w:rFonts w:cs="Times New Roman (Body CS)"/>
        </w:rPr>
      </w:pPr>
      <w:r>
        <w:rPr>
          <w:rFonts w:cs="Times New Roman (Body CS)"/>
        </w:rPr>
        <w:t>Abstract</w:t>
      </w:r>
      <w:r w:rsidR="00D31AAF" w:rsidRPr="003A0506">
        <w:rPr>
          <w:rFonts w:cs="Times New Roman (Body CS)"/>
        </w:rPr>
        <w:t>……</w:t>
      </w:r>
      <w:r w:rsidR="00D31AAF">
        <w:rPr>
          <w:rFonts w:cs="Times New Roman (Body CS)"/>
        </w:rPr>
        <w:t>………………</w:t>
      </w:r>
      <w:r w:rsidR="00D31AAF" w:rsidRPr="003A0506">
        <w:rPr>
          <w:rFonts w:cs="Times New Roman (Body CS)"/>
        </w:rPr>
        <w:t>…</w:t>
      </w:r>
      <w:r w:rsidR="00D31AAF">
        <w:rPr>
          <w:rFonts w:cs="Times New Roman (Body CS)"/>
        </w:rPr>
        <w:t>……………</w:t>
      </w:r>
      <w:r w:rsidR="004C084B" w:rsidRPr="003A0506">
        <w:rPr>
          <w:rFonts w:cs="Times New Roman (Body CS)"/>
        </w:rPr>
        <w:t>………</w:t>
      </w:r>
      <w:r w:rsidR="004C084B">
        <w:rPr>
          <w:rFonts w:cs="Times New Roman (Body CS)"/>
        </w:rPr>
        <w:t>………………</w:t>
      </w:r>
      <w:r w:rsidR="004C084B" w:rsidRPr="003A0506">
        <w:rPr>
          <w:rFonts w:cs="Times New Roman (Body CS)"/>
        </w:rPr>
        <w:t>…</w:t>
      </w:r>
      <w:r w:rsidR="004C084B">
        <w:rPr>
          <w:rFonts w:cs="Times New Roman (Body CS)"/>
        </w:rPr>
        <w:t>……………..</w:t>
      </w:r>
      <w:r w:rsidR="00D31AAF">
        <w:rPr>
          <w:rFonts w:cs="Times New Roman (Body CS)"/>
        </w:rPr>
        <w:t>……</w:t>
      </w:r>
      <w:r w:rsidR="00D31AAF" w:rsidRPr="003A0506">
        <w:rPr>
          <w:rFonts w:cs="Times New Roman (Body CS)"/>
        </w:rPr>
        <w:t>…</w:t>
      </w:r>
      <w:r w:rsidR="00D31AAF">
        <w:rPr>
          <w:rFonts w:cs="Times New Roman (Body CS)"/>
        </w:rPr>
        <w:t>109</w:t>
      </w:r>
    </w:p>
    <w:p w14:paraId="166A39BB" w14:textId="7724CB33" w:rsidR="006E1A06" w:rsidRDefault="006E1A06" w:rsidP="006E1A06">
      <w:pPr>
        <w:ind w:firstLine="360"/>
        <w:rPr>
          <w:rFonts w:cs="Times New Roman (Body CS)"/>
        </w:rPr>
      </w:pPr>
      <w:r>
        <w:rPr>
          <w:rFonts w:cs="Times New Roman (Body CS)"/>
        </w:rPr>
        <w:t>Introduction</w:t>
      </w:r>
      <w:r w:rsidR="00D31AAF" w:rsidRPr="003A0506">
        <w:rPr>
          <w:rFonts w:cs="Times New Roman (Body CS)"/>
        </w:rPr>
        <w:t>……</w:t>
      </w:r>
      <w:r w:rsidR="00D31AAF">
        <w:rPr>
          <w:rFonts w:cs="Times New Roman (Body CS)"/>
        </w:rPr>
        <w:t>………………</w:t>
      </w:r>
      <w:r w:rsidR="00D31AAF" w:rsidRPr="003A0506">
        <w:rPr>
          <w:rFonts w:cs="Times New Roman (Body CS)"/>
        </w:rPr>
        <w:t>…</w:t>
      </w:r>
      <w:r w:rsidR="00D31AAF">
        <w:rPr>
          <w:rFonts w:cs="Times New Roman (Body CS)"/>
        </w:rPr>
        <w:t>…………………</w:t>
      </w:r>
      <w:r w:rsidR="00D31AAF" w:rsidRPr="003A0506">
        <w:rPr>
          <w:rFonts w:cs="Times New Roman (Body CS)"/>
        </w:rPr>
        <w:t>…</w:t>
      </w:r>
      <w:r w:rsidR="004C084B" w:rsidRPr="003A0506">
        <w:rPr>
          <w:rFonts w:cs="Times New Roman (Body CS)"/>
        </w:rPr>
        <w:t>………</w:t>
      </w:r>
      <w:r w:rsidR="004C084B">
        <w:rPr>
          <w:rFonts w:cs="Times New Roman (Body CS)"/>
        </w:rPr>
        <w:t>………………</w:t>
      </w:r>
      <w:r w:rsidR="004C084B" w:rsidRPr="003A0506">
        <w:rPr>
          <w:rFonts w:cs="Times New Roman (Body CS)"/>
        </w:rPr>
        <w:t>…</w:t>
      </w:r>
      <w:r w:rsidR="004C084B">
        <w:rPr>
          <w:rFonts w:cs="Times New Roman (Body CS)"/>
        </w:rPr>
        <w:t>…………</w:t>
      </w:r>
      <w:r w:rsidR="00D31AAF">
        <w:rPr>
          <w:rFonts w:cs="Times New Roman (Body CS)"/>
        </w:rPr>
        <w:t>110</w:t>
      </w:r>
    </w:p>
    <w:p w14:paraId="043586B1" w14:textId="6AF7A87A" w:rsidR="006E1A06" w:rsidRDefault="006E1A06" w:rsidP="006E1A06">
      <w:pPr>
        <w:ind w:firstLine="360"/>
        <w:rPr>
          <w:rFonts w:cs="Times New Roman (Body CS)"/>
        </w:rPr>
      </w:pPr>
      <w:r>
        <w:rPr>
          <w:rFonts w:cs="Times New Roman (Body CS)"/>
        </w:rPr>
        <w:t>Materials and Methods</w:t>
      </w:r>
      <w:r w:rsidR="00D31AAF" w:rsidRPr="003A0506">
        <w:rPr>
          <w:rFonts w:cs="Times New Roman (Body CS)"/>
        </w:rPr>
        <w:t>……</w:t>
      </w:r>
      <w:r w:rsidR="00D31AAF">
        <w:rPr>
          <w:rFonts w:cs="Times New Roman (Body CS)"/>
        </w:rPr>
        <w:t>………………</w:t>
      </w:r>
      <w:r w:rsidR="00D31AAF" w:rsidRPr="003A0506">
        <w:rPr>
          <w:rFonts w:cs="Times New Roman (Body CS)"/>
        </w:rPr>
        <w:t>…</w:t>
      </w:r>
      <w:r w:rsidR="00D31AAF">
        <w:rPr>
          <w:rFonts w:cs="Times New Roman (Body CS)"/>
        </w:rPr>
        <w:t>…………………</w:t>
      </w:r>
      <w:r w:rsidR="004C084B" w:rsidRPr="003A0506">
        <w:rPr>
          <w:rFonts w:cs="Times New Roman (Body CS)"/>
        </w:rPr>
        <w:t>………</w:t>
      </w:r>
      <w:r w:rsidR="004C084B">
        <w:rPr>
          <w:rFonts w:cs="Times New Roman (Body CS)"/>
        </w:rPr>
        <w:t>………………...</w:t>
      </w:r>
      <w:r w:rsidR="00D31AAF" w:rsidRPr="003A0506">
        <w:rPr>
          <w:rFonts w:cs="Times New Roman (Body CS)"/>
        </w:rPr>
        <w:t>…</w:t>
      </w:r>
      <w:r w:rsidR="00D31AAF">
        <w:rPr>
          <w:rFonts w:cs="Times New Roman (Body CS)"/>
        </w:rPr>
        <w:t>113</w:t>
      </w:r>
    </w:p>
    <w:p w14:paraId="147CD9EB" w14:textId="03309BEB" w:rsidR="006E1A06" w:rsidRDefault="006E1A06" w:rsidP="006E1A06">
      <w:pPr>
        <w:ind w:firstLine="360"/>
        <w:rPr>
          <w:rFonts w:cs="Times New Roman (Body CS)"/>
        </w:rPr>
      </w:pPr>
      <w:r>
        <w:rPr>
          <w:rFonts w:cs="Times New Roman (Body CS)"/>
        </w:rPr>
        <w:t>Results</w:t>
      </w:r>
      <w:r w:rsidR="00D31AAF" w:rsidRPr="003A0506">
        <w:rPr>
          <w:rFonts w:cs="Times New Roman (Body CS)"/>
        </w:rPr>
        <w:t>……</w:t>
      </w:r>
      <w:r w:rsidR="00D31AAF">
        <w:rPr>
          <w:rFonts w:cs="Times New Roman (Body CS)"/>
        </w:rPr>
        <w:t>………………</w:t>
      </w:r>
      <w:r w:rsidR="00D31AAF" w:rsidRPr="003A0506">
        <w:rPr>
          <w:rFonts w:cs="Times New Roman (Body CS)"/>
        </w:rPr>
        <w:t>…</w:t>
      </w:r>
      <w:r w:rsidR="00D31AAF">
        <w:rPr>
          <w:rFonts w:cs="Times New Roman (Body CS)"/>
        </w:rPr>
        <w:t>………………</w:t>
      </w:r>
      <w:r w:rsidR="004C084B" w:rsidRPr="003A0506">
        <w:rPr>
          <w:rFonts w:cs="Times New Roman (Body CS)"/>
        </w:rPr>
        <w:t>………</w:t>
      </w:r>
      <w:r w:rsidR="004C084B">
        <w:rPr>
          <w:rFonts w:cs="Times New Roman (Body CS)"/>
        </w:rPr>
        <w:t>………………</w:t>
      </w:r>
      <w:r w:rsidR="004C084B" w:rsidRPr="003A0506">
        <w:rPr>
          <w:rFonts w:cs="Times New Roman (Body CS)"/>
        </w:rPr>
        <w:t>…</w:t>
      </w:r>
      <w:r w:rsidR="004C084B">
        <w:rPr>
          <w:rFonts w:cs="Times New Roman (Body CS)"/>
        </w:rPr>
        <w:t>………………</w:t>
      </w:r>
      <w:r w:rsidR="00D31AAF">
        <w:rPr>
          <w:rFonts w:cs="Times New Roman (Body CS)"/>
        </w:rPr>
        <w:t>…</w:t>
      </w:r>
      <w:r w:rsidR="00D31AAF" w:rsidRPr="003A0506">
        <w:rPr>
          <w:rFonts w:cs="Times New Roman (Body CS)"/>
        </w:rPr>
        <w:t>…</w:t>
      </w:r>
      <w:r w:rsidR="00D31AAF">
        <w:rPr>
          <w:rFonts w:cs="Times New Roman (Body CS)"/>
        </w:rPr>
        <w:t>119</w:t>
      </w:r>
    </w:p>
    <w:p w14:paraId="14C0C6E5" w14:textId="69FC91A2" w:rsidR="006E1A06" w:rsidRDefault="006E1A06" w:rsidP="006E1A06">
      <w:pPr>
        <w:ind w:firstLine="360"/>
        <w:rPr>
          <w:rFonts w:cs="Times New Roman (Body CS)"/>
        </w:rPr>
      </w:pPr>
      <w:r>
        <w:rPr>
          <w:rFonts w:cs="Times New Roman (Body CS)"/>
        </w:rPr>
        <w:t>Discussion</w:t>
      </w:r>
      <w:r w:rsidR="00D31AAF" w:rsidRPr="003A0506">
        <w:rPr>
          <w:rFonts w:cs="Times New Roman (Body CS)"/>
        </w:rPr>
        <w:t>……</w:t>
      </w:r>
      <w:r w:rsidR="00D31AAF">
        <w:rPr>
          <w:rFonts w:cs="Times New Roman (Body CS)"/>
        </w:rPr>
        <w:t>………………</w:t>
      </w:r>
      <w:r w:rsidR="00D31AAF" w:rsidRPr="003A0506">
        <w:rPr>
          <w:rFonts w:cs="Times New Roman (Body CS)"/>
        </w:rPr>
        <w:t>…</w:t>
      </w:r>
      <w:r w:rsidR="00D31AAF">
        <w:rPr>
          <w:rFonts w:cs="Times New Roman (Body CS)"/>
        </w:rPr>
        <w:t>……</w:t>
      </w:r>
      <w:r w:rsidR="004C084B" w:rsidRPr="003A0506">
        <w:rPr>
          <w:rFonts w:cs="Times New Roman (Body CS)"/>
        </w:rPr>
        <w:t>………</w:t>
      </w:r>
      <w:r w:rsidR="004C084B">
        <w:rPr>
          <w:rFonts w:cs="Times New Roman (Body CS)"/>
        </w:rPr>
        <w:t>………………</w:t>
      </w:r>
      <w:r w:rsidR="004C084B" w:rsidRPr="003A0506">
        <w:rPr>
          <w:rFonts w:cs="Times New Roman (Body CS)"/>
        </w:rPr>
        <w:t>…</w:t>
      </w:r>
      <w:r w:rsidR="004C084B">
        <w:rPr>
          <w:rFonts w:cs="Times New Roman (Body CS)"/>
        </w:rPr>
        <w:t>…………..</w:t>
      </w:r>
      <w:r w:rsidR="00D31AAF">
        <w:rPr>
          <w:rFonts w:cs="Times New Roman (Body CS)"/>
        </w:rPr>
        <w:t>……………</w:t>
      </w:r>
      <w:r w:rsidR="00D31AAF" w:rsidRPr="003A0506">
        <w:rPr>
          <w:rFonts w:cs="Times New Roman (Body CS)"/>
        </w:rPr>
        <w:t>…</w:t>
      </w:r>
      <w:r w:rsidR="00D31AAF">
        <w:rPr>
          <w:rFonts w:cs="Times New Roman (Body CS)"/>
        </w:rPr>
        <w:t>1</w:t>
      </w:r>
      <w:r w:rsidR="004C084B">
        <w:rPr>
          <w:rFonts w:cs="Times New Roman (Body CS)"/>
        </w:rPr>
        <w:t>27</w:t>
      </w:r>
    </w:p>
    <w:p w14:paraId="13FAB3DC" w14:textId="520ADFD0" w:rsidR="004C084B" w:rsidRDefault="004C084B" w:rsidP="006E1A06">
      <w:pPr>
        <w:ind w:firstLine="360"/>
        <w:rPr>
          <w:rFonts w:cs="Times New Roman (Body CS)"/>
        </w:rPr>
      </w:pPr>
      <w:r>
        <w:rPr>
          <w:rFonts w:cs="Times New Roman (Body CS)"/>
        </w:rPr>
        <w:t>Acknowledgements……</w:t>
      </w:r>
      <w:r w:rsidRPr="003A0506">
        <w:rPr>
          <w:rFonts w:cs="Times New Roman (Body CS)"/>
        </w:rPr>
        <w:t>…</w:t>
      </w:r>
      <w:r>
        <w:rPr>
          <w:rFonts w:cs="Times New Roman (Body CS)"/>
        </w:rPr>
        <w:t>………………</w:t>
      </w:r>
      <w:r w:rsidRPr="003A0506">
        <w:rPr>
          <w:rFonts w:cs="Times New Roman (Body CS)"/>
        </w:rPr>
        <w:t>………</w:t>
      </w:r>
      <w:r>
        <w:rPr>
          <w:rFonts w:cs="Times New Roman (Body CS)"/>
        </w:rPr>
        <w:t>………………</w:t>
      </w:r>
      <w:r w:rsidRPr="003A0506">
        <w:rPr>
          <w:rFonts w:cs="Times New Roman (Body CS)"/>
        </w:rPr>
        <w:t>…</w:t>
      </w:r>
      <w:r>
        <w:rPr>
          <w:rFonts w:cs="Times New Roman (Body CS)"/>
        </w:rPr>
        <w:t>………………………131</w:t>
      </w:r>
    </w:p>
    <w:p w14:paraId="213C70C5" w14:textId="0357EDF2" w:rsidR="004C084B" w:rsidRDefault="004C084B" w:rsidP="006E1A06">
      <w:pPr>
        <w:ind w:firstLine="360"/>
        <w:rPr>
          <w:rFonts w:cs="Times New Roman (Body CS)"/>
        </w:rPr>
      </w:pPr>
      <w:r>
        <w:rPr>
          <w:rFonts w:cs="Times New Roman (Body CS)"/>
        </w:rPr>
        <w:t>References……</w:t>
      </w:r>
      <w:r w:rsidRPr="003A0506">
        <w:rPr>
          <w:rFonts w:cs="Times New Roman (Body CS)"/>
        </w:rPr>
        <w:t>…</w:t>
      </w:r>
      <w:r>
        <w:rPr>
          <w:rFonts w:cs="Times New Roman (Body CS)"/>
        </w:rPr>
        <w:t>……</w:t>
      </w:r>
      <w:r w:rsidRPr="003A0506">
        <w:rPr>
          <w:rFonts w:cs="Times New Roman (Body CS)"/>
        </w:rPr>
        <w:t>………</w:t>
      </w:r>
      <w:r>
        <w:rPr>
          <w:rFonts w:cs="Times New Roman (Body CS)"/>
        </w:rPr>
        <w:t>………………</w:t>
      </w:r>
      <w:r w:rsidRPr="003A0506">
        <w:rPr>
          <w:rFonts w:cs="Times New Roman (Body CS)"/>
        </w:rPr>
        <w:t>…</w:t>
      </w:r>
      <w:r>
        <w:rPr>
          <w:rFonts w:cs="Times New Roman (Body CS)"/>
        </w:rPr>
        <w:t>……………………………..……………132</w:t>
      </w:r>
    </w:p>
    <w:p w14:paraId="469EACC1" w14:textId="758E66F5" w:rsidR="004C084B" w:rsidRDefault="004C084B" w:rsidP="006E1A06">
      <w:pPr>
        <w:ind w:firstLine="360"/>
        <w:rPr>
          <w:rFonts w:cs="Times New Roman (Body CS)"/>
        </w:rPr>
      </w:pPr>
      <w:r>
        <w:rPr>
          <w:rFonts w:cs="Times New Roman (Body CS)"/>
        </w:rPr>
        <w:lastRenderedPageBreak/>
        <w:t>Data Accessibility……</w:t>
      </w:r>
      <w:r w:rsidRPr="003A0506">
        <w:rPr>
          <w:rFonts w:cs="Times New Roman (Body CS)"/>
        </w:rPr>
        <w:t>………</w:t>
      </w:r>
      <w:r>
        <w:rPr>
          <w:rFonts w:cs="Times New Roman (Body CS)"/>
        </w:rPr>
        <w:t>………………</w:t>
      </w:r>
      <w:r w:rsidRPr="003A0506">
        <w:rPr>
          <w:rFonts w:cs="Times New Roman (Body CS)"/>
        </w:rPr>
        <w:t>…</w:t>
      </w:r>
      <w:r>
        <w:rPr>
          <w:rFonts w:cs="Times New Roman (Body CS)"/>
        </w:rPr>
        <w:t>………</w:t>
      </w:r>
      <w:r w:rsidRPr="003A0506">
        <w:rPr>
          <w:rFonts w:cs="Times New Roman (Body CS)"/>
        </w:rPr>
        <w:t>………</w:t>
      </w:r>
      <w:r>
        <w:rPr>
          <w:rFonts w:cs="Times New Roman (Body CS)"/>
        </w:rPr>
        <w:t>………………….……….140</w:t>
      </w:r>
    </w:p>
    <w:p w14:paraId="7CBEE2E9" w14:textId="7E558FB9" w:rsidR="004C084B" w:rsidRDefault="004C084B" w:rsidP="006E1A06">
      <w:pPr>
        <w:ind w:firstLine="360"/>
        <w:rPr>
          <w:rFonts w:cs="Times New Roman (Body CS)"/>
        </w:rPr>
      </w:pPr>
      <w:r>
        <w:rPr>
          <w:rFonts w:cs="Times New Roman (Body CS)"/>
        </w:rPr>
        <w:t>Author Contributions………</w:t>
      </w:r>
      <w:r w:rsidRPr="003A0506">
        <w:rPr>
          <w:rFonts w:cs="Times New Roman (Body CS)"/>
        </w:rPr>
        <w:t>………</w:t>
      </w:r>
      <w:r>
        <w:rPr>
          <w:rFonts w:cs="Times New Roman (Body CS)"/>
        </w:rPr>
        <w:t>………………</w:t>
      </w:r>
      <w:r w:rsidRPr="003A0506">
        <w:rPr>
          <w:rFonts w:cs="Times New Roman (Body CS)"/>
        </w:rPr>
        <w:t>…</w:t>
      </w:r>
      <w:r>
        <w:rPr>
          <w:rFonts w:cs="Times New Roman (Body CS)"/>
        </w:rPr>
        <w:t>………</w:t>
      </w:r>
      <w:r w:rsidRPr="003A0506">
        <w:rPr>
          <w:rFonts w:cs="Times New Roman (Body CS)"/>
        </w:rPr>
        <w:t>………</w:t>
      </w:r>
      <w:r>
        <w:rPr>
          <w:rFonts w:cs="Times New Roman (Body CS)"/>
        </w:rPr>
        <w:t>………………...…..141</w:t>
      </w:r>
    </w:p>
    <w:p w14:paraId="35322728" w14:textId="4593C452" w:rsidR="004C084B" w:rsidRDefault="004C084B" w:rsidP="006E1A06">
      <w:pPr>
        <w:ind w:firstLine="360"/>
        <w:rPr>
          <w:rFonts w:cs="Times New Roman (Body CS)"/>
        </w:rPr>
      </w:pPr>
      <w:r>
        <w:rPr>
          <w:rFonts w:cs="Times New Roman (Body CS)"/>
        </w:rPr>
        <w:t>Conflict of Interest……………</w:t>
      </w:r>
      <w:r w:rsidRPr="003A0506">
        <w:rPr>
          <w:rFonts w:cs="Times New Roman (Body CS)"/>
        </w:rPr>
        <w:t>………</w:t>
      </w:r>
      <w:r>
        <w:rPr>
          <w:rFonts w:cs="Times New Roman (Body CS)"/>
        </w:rPr>
        <w:t>………………</w:t>
      </w:r>
      <w:r w:rsidRPr="003A0506">
        <w:rPr>
          <w:rFonts w:cs="Times New Roman (Body CS)"/>
        </w:rPr>
        <w:t>…</w:t>
      </w:r>
      <w:r>
        <w:rPr>
          <w:rFonts w:cs="Times New Roman (Body CS)"/>
        </w:rPr>
        <w:t>………</w:t>
      </w:r>
      <w:r w:rsidRPr="003A0506">
        <w:rPr>
          <w:rFonts w:cs="Times New Roman (Body CS)"/>
        </w:rPr>
        <w:t>………</w:t>
      </w:r>
      <w:r>
        <w:rPr>
          <w:rFonts w:cs="Times New Roman (Body CS)"/>
        </w:rPr>
        <w:t>…………….……141</w:t>
      </w:r>
    </w:p>
    <w:p w14:paraId="1484508D" w14:textId="23A354EB" w:rsidR="004C084B" w:rsidRDefault="004C084B" w:rsidP="004C084B">
      <w:pPr>
        <w:ind w:firstLine="360"/>
        <w:rPr>
          <w:rFonts w:cs="Times New Roman (Body CS)"/>
        </w:rPr>
      </w:pPr>
      <w:r>
        <w:rPr>
          <w:rFonts w:cs="Times New Roman (Body CS)"/>
        </w:rPr>
        <w:t>Figures and Figure Legends……</w:t>
      </w:r>
      <w:r w:rsidRPr="003A0506">
        <w:rPr>
          <w:rFonts w:cs="Times New Roman (Body CS)"/>
        </w:rPr>
        <w:t>……………………………</w:t>
      </w:r>
      <w:r>
        <w:rPr>
          <w:rFonts w:cs="Times New Roman (Body CS)"/>
        </w:rPr>
        <w:t>………………</w:t>
      </w:r>
      <w:r w:rsidRPr="003A0506">
        <w:rPr>
          <w:rFonts w:cs="Times New Roman (Body CS)"/>
        </w:rPr>
        <w:t>……</w:t>
      </w:r>
      <w:r>
        <w:rPr>
          <w:rFonts w:cs="Times New Roman (Body CS)"/>
        </w:rPr>
        <w:t>………...141</w:t>
      </w:r>
    </w:p>
    <w:p w14:paraId="0F3C0B25" w14:textId="0D84499C" w:rsidR="006E1A06" w:rsidRDefault="006E1A06" w:rsidP="006E1A06">
      <w:pPr>
        <w:spacing w:after="80"/>
        <w:rPr>
          <w:b/>
          <w:bCs/>
        </w:rPr>
      </w:pPr>
    </w:p>
    <w:p w14:paraId="5A0F55E1" w14:textId="364BF10D" w:rsidR="006E1A06" w:rsidRPr="006E1A06" w:rsidRDefault="006E1A06" w:rsidP="006E1A06">
      <w:pPr>
        <w:spacing w:after="80"/>
        <w:rPr>
          <w:b/>
          <w:bCs/>
        </w:rPr>
      </w:pPr>
      <w:r w:rsidRPr="006E1A06">
        <w:rPr>
          <w:b/>
          <w:bCs/>
        </w:rPr>
        <w:t>Chapter 4: Gut microbiota shifts through headstart and reintroduction of the locally threatened Texas horned lizard (</w:t>
      </w:r>
      <w:r w:rsidRPr="006E1A06">
        <w:rPr>
          <w:b/>
          <w:bCs/>
          <w:i/>
          <w:iCs/>
        </w:rPr>
        <w:t>Phyrnosoma cornutum</w:t>
      </w:r>
      <w:r w:rsidRPr="006E1A06">
        <w:rPr>
          <w:b/>
          <w:bCs/>
        </w:rPr>
        <w:t>)</w:t>
      </w:r>
      <w:r w:rsidR="004638E8" w:rsidRPr="004638E8">
        <w:rPr>
          <w:rFonts w:cs="Times New Roman (Body CS)"/>
        </w:rPr>
        <w:t xml:space="preserve"> </w:t>
      </w:r>
      <w:r w:rsidR="004638E8" w:rsidRPr="003A0506">
        <w:rPr>
          <w:rFonts w:cs="Times New Roman (Body CS)"/>
        </w:rPr>
        <w:t>…</w:t>
      </w:r>
      <w:r w:rsidR="004638E8">
        <w:rPr>
          <w:rFonts w:cs="Times New Roman (Body CS)"/>
        </w:rPr>
        <w:t>………………</w:t>
      </w:r>
      <w:r w:rsidR="004638E8" w:rsidRPr="003A0506">
        <w:rPr>
          <w:rFonts w:cs="Times New Roman (Body CS)"/>
        </w:rPr>
        <w:t>…</w:t>
      </w:r>
      <w:r w:rsidR="004638E8">
        <w:rPr>
          <w:rFonts w:cs="Times New Roman (Body CS)"/>
        </w:rPr>
        <w:t>…………….146</w:t>
      </w:r>
    </w:p>
    <w:p w14:paraId="55B2F5E6" w14:textId="771CD26B" w:rsidR="006E1A06" w:rsidRDefault="006E1A06" w:rsidP="006E1A06">
      <w:pPr>
        <w:ind w:firstLine="360"/>
        <w:rPr>
          <w:rFonts w:cs="Times New Roman (Body CS)"/>
        </w:rPr>
      </w:pPr>
      <w:r>
        <w:rPr>
          <w:rFonts w:cs="Times New Roman (Body CS)"/>
        </w:rPr>
        <w:t>Abstract</w:t>
      </w:r>
      <w:r w:rsidR="00BD0FEB" w:rsidRPr="003A0506">
        <w:rPr>
          <w:rFonts w:cs="Times New Roman (Body CS)"/>
        </w:rPr>
        <w:t>…</w:t>
      </w:r>
      <w:r w:rsidR="00BD0FEB">
        <w:rPr>
          <w:rFonts w:cs="Times New Roman (Body CS)"/>
        </w:rPr>
        <w:t>………………</w:t>
      </w:r>
      <w:r w:rsidR="00BD0FEB" w:rsidRPr="003A0506">
        <w:rPr>
          <w:rFonts w:cs="Times New Roman (Body CS)"/>
        </w:rPr>
        <w:t>…</w:t>
      </w:r>
      <w:r w:rsidR="00BD0FEB">
        <w:rPr>
          <w:rFonts w:cs="Times New Roman (Body CS)"/>
        </w:rPr>
        <w:t>……………</w:t>
      </w:r>
      <w:r w:rsidR="00BD0FEB" w:rsidRPr="003A0506">
        <w:rPr>
          <w:rFonts w:cs="Times New Roman (Body CS)"/>
        </w:rPr>
        <w:t>…</w:t>
      </w:r>
      <w:r w:rsidR="00BD0FEB">
        <w:rPr>
          <w:rFonts w:cs="Times New Roman (Body CS)"/>
        </w:rPr>
        <w:t>……………</w:t>
      </w:r>
      <w:r w:rsidR="00BD0FEB" w:rsidRPr="003A0506">
        <w:rPr>
          <w:rFonts w:cs="Times New Roman (Body CS)"/>
        </w:rPr>
        <w:t>…</w:t>
      </w:r>
      <w:r w:rsidR="00BD0FEB">
        <w:rPr>
          <w:rFonts w:cs="Times New Roman (Body CS)"/>
        </w:rPr>
        <w:t>…………….…</w:t>
      </w:r>
      <w:r w:rsidR="00BD0FEB" w:rsidRPr="003A0506">
        <w:rPr>
          <w:rFonts w:cs="Times New Roman (Body CS)"/>
        </w:rPr>
        <w:t>…</w:t>
      </w:r>
      <w:r w:rsidR="00BD0FEB">
        <w:rPr>
          <w:rFonts w:cs="Times New Roman (Body CS)"/>
        </w:rPr>
        <w:t>…………….14</w:t>
      </w:r>
      <w:r w:rsidR="003111E8">
        <w:rPr>
          <w:rFonts w:cs="Times New Roman (Body CS)"/>
        </w:rPr>
        <w:t>6</w:t>
      </w:r>
    </w:p>
    <w:p w14:paraId="4D90528B" w14:textId="6D585841" w:rsidR="006E1A06" w:rsidRDefault="006E1A06" w:rsidP="006E1A06">
      <w:pPr>
        <w:ind w:firstLine="360"/>
        <w:rPr>
          <w:rFonts w:cs="Times New Roman (Body CS)"/>
        </w:rPr>
      </w:pPr>
      <w:r>
        <w:rPr>
          <w:rFonts w:cs="Times New Roman (Body CS)"/>
        </w:rPr>
        <w:t>Introduction</w:t>
      </w:r>
      <w:r w:rsidR="00BD0FEB" w:rsidRPr="003A0506">
        <w:rPr>
          <w:rFonts w:cs="Times New Roman (Body CS)"/>
        </w:rPr>
        <w:t>…</w:t>
      </w:r>
      <w:r w:rsidR="00BD0FEB">
        <w:rPr>
          <w:rFonts w:cs="Times New Roman (Body CS)"/>
        </w:rPr>
        <w:t>…………</w:t>
      </w:r>
      <w:r w:rsidR="00BD0FEB" w:rsidRPr="003A0506">
        <w:rPr>
          <w:rFonts w:cs="Times New Roman (Body CS)"/>
        </w:rPr>
        <w:t>…</w:t>
      </w:r>
      <w:r w:rsidR="00BD0FEB">
        <w:rPr>
          <w:rFonts w:cs="Times New Roman (Body CS)"/>
        </w:rPr>
        <w:t>……………</w:t>
      </w:r>
      <w:r w:rsidR="00BD0FEB" w:rsidRPr="003A0506">
        <w:rPr>
          <w:rFonts w:cs="Times New Roman (Body CS)"/>
        </w:rPr>
        <w:t>…</w:t>
      </w:r>
      <w:r w:rsidR="00BD0FEB">
        <w:rPr>
          <w:rFonts w:cs="Times New Roman (Body CS)"/>
        </w:rPr>
        <w:t>……………</w:t>
      </w:r>
      <w:r w:rsidR="00BD0FEB" w:rsidRPr="003A0506">
        <w:rPr>
          <w:rFonts w:cs="Times New Roman (Body CS)"/>
        </w:rPr>
        <w:t>…</w:t>
      </w:r>
      <w:r w:rsidR="00BD0FEB">
        <w:rPr>
          <w:rFonts w:cs="Times New Roman (Body CS)"/>
        </w:rPr>
        <w:t>………………...</w:t>
      </w:r>
      <w:r w:rsidR="00BD0FEB" w:rsidRPr="003A0506">
        <w:rPr>
          <w:rFonts w:cs="Times New Roman (Body CS)"/>
        </w:rPr>
        <w:t>…</w:t>
      </w:r>
      <w:r w:rsidR="00BD0FEB">
        <w:rPr>
          <w:rFonts w:cs="Times New Roman (Body CS)"/>
        </w:rPr>
        <w:t>…………….147</w:t>
      </w:r>
    </w:p>
    <w:p w14:paraId="34BB7E1B" w14:textId="3D0EB399" w:rsidR="006E1A06" w:rsidRDefault="006E1A06" w:rsidP="006E1A06">
      <w:pPr>
        <w:ind w:firstLine="360"/>
        <w:rPr>
          <w:rFonts w:cs="Times New Roman (Body CS)"/>
        </w:rPr>
      </w:pPr>
      <w:r>
        <w:rPr>
          <w:rFonts w:cs="Times New Roman (Body CS)"/>
        </w:rPr>
        <w:t>Materials and Methods</w:t>
      </w:r>
      <w:r w:rsidR="00BD0FEB" w:rsidRPr="003A0506">
        <w:rPr>
          <w:rFonts w:cs="Times New Roman (Body CS)"/>
        </w:rPr>
        <w:t>…</w:t>
      </w:r>
      <w:r w:rsidR="00BD0FEB">
        <w:rPr>
          <w:rFonts w:cs="Times New Roman (Body CS)"/>
        </w:rPr>
        <w:t>……………</w:t>
      </w:r>
      <w:r w:rsidR="00BD0FEB" w:rsidRPr="003A0506">
        <w:rPr>
          <w:rFonts w:cs="Times New Roman (Body CS)"/>
        </w:rPr>
        <w:t>…</w:t>
      </w:r>
      <w:r w:rsidR="00BD0FEB">
        <w:rPr>
          <w:rFonts w:cs="Times New Roman (Body CS)"/>
        </w:rPr>
        <w:t>……………</w:t>
      </w:r>
      <w:r w:rsidR="00BD0FEB" w:rsidRPr="003A0506">
        <w:rPr>
          <w:rFonts w:cs="Times New Roman (Body CS)"/>
        </w:rPr>
        <w:t>…</w:t>
      </w:r>
      <w:r w:rsidR="00BD0FEB">
        <w:rPr>
          <w:rFonts w:cs="Times New Roman (Body CS)"/>
        </w:rPr>
        <w:t>……………</w:t>
      </w:r>
      <w:r w:rsidR="00BD0FEB" w:rsidRPr="003A0506">
        <w:rPr>
          <w:rFonts w:cs="Times New Roman (Body CS)"/>
        </w:rPr>
        <w:t>…</w:t>
      </w:r>
      <w:r w:rsidR="00BD0FEB">
        <w:rPr>
          <w:rFonts w:cs="Times New Roman (Body CS)"/>
        </w:rPr>
        <w:t>……………</w:t>
      </w:r>
      <w:r w:rsidR="00BD0FEB" w:rsidRPr="003A0506">
        <w:rPr>
          <w:rFonts w:cs="Times New Roman (Body CS)"/>
        </w:rPr>
        <w:t>…</w:t>
      </w:r>
      <w:r w:rsidR="00BD0FEB">
        <w:rPr>
          <w:rFonts w:cs="Times New Roman (Body CS)"/>
        </w:rPr>
        <w:t>…...15</w:t>
      </w:r>
      <w:r w:rsidR="003111E8">
        <w:rPr>
          <w:rFonts w:cs="Times New Roman (Body CS)"/>
        </w:rPr>
        <w:t>0</w:t>
      </w:r>
    </w:p>
    <w:p w14:paraId="17E1A2F5" w14:textId="708751EC" w:rsidR="006E1A06" w:rsidRDefault="006E1A06" w:rsidP="006E1A06">
      <w:pPr>
        <w:ind w:firstLine="360"/>
        <w:rPr>
          <w:rFonts w:cs="Times New Roman (Body CS)"/>
        </w:rPr>
      </w:pPr>
      <w:r>
        <w:rPr>
          <w:rFonts w:cs="Times New Roman (Body CS)"/>
        </w:rPr>
        <w:t>Results</w:t>
      </w:r>
      <w:r w:rsidR="00F36A93" w:rsidRPr="003A0506">
        <w:rPr>
          <w:rFonts w:cs="Times New Roman (Body CS)"/>
        </w:rPr>
        <w:t>…</w:t>
      </w:r>
      <w:r w:rsidR="00F36A93">
        <w:rPr>
          <w:rFonts w:cs="Times New Roman (Body CS)"/>
        </w:rPr>
        <w:t>……………</w:t>
      </w:r>
      <w:r w:rsidR="00F36A93" w:rsidRPr="003A0506">
        <w:rPr>
          <w:rFonts w:cs="Times New Roman (Body CS)"/>
        </w:rPr>
        <w:t>…</w:t>
      </w:r>
      <w:r w:rsidR="00F36A93">
        <w:rPr>
          <w:rFonts w:cs="Times New Roman (Body CS)"/>
        </w:rPr>
        <w:t>……………</w:t>
      </w:r>
      <w:r w:rsidR="00F36A93" w:rsidRPr="003A0506">
        <w:rPr>
          <w:rFonts w:cs="Times New Roman (Body CS)"/>
        </w:rPr>
        <w:t>…</w:t>
      </w:r>
      <w:r w:rsidR="00F36A93">
        <w:rPr>
          <w:rFonts w:cs="Times New Roman (Body CS)"/>
        </w:rPr>
        <w:t>……………</w:t>
      </w:r>
      <w:r w:rsidR="00F36A93" w:rsidRPr="003A0506">
        <w:rPr>
          <w:rFonts w:cs="Times New Roman (Body CS)"/>
        </w:rPr>
        <w:t>…</w:t>
      </w:r>
      <w:r w:rsidR="00F36A93">
        <w:rPr>
          <w:rFonts w:cs="Times New Roman (Body CS)"/>
        </w:rPr>
        <w:t>……………</w:t>
      </w:r>
      <w:r w:rsidR="00F36A93" w:rsidRPr="003A0506">
        <w:rPr>
          <w:rFonts w:cs="Times New Roman (Body CS)"/>
        </w:rPr>
        <w:t>…</w:t>
      </w:r>
      <w:r w:rsidR="00F36A93">
        <w:rPr>
          <w:rFonts w:cs="Times New Roman (Body CS)"/>
        </w:rPr>
        <w:t>……………</w:t>
      </w:r>
      <w:r w:rsidR="00F36A93" w:rsidRPr="003A0506">
        <w:rPr>
          <w:rFonts w:cs="Times New Roman (Body CS)"/>
        </w:rPr>
        <w:t>…</w:t>
      </w:r>
      <w:r w:rsidR="00F36A93">
        <w:rPr>
          <w:rFonts w:cs="Times New Roman (Body CS)"/>
        </w:rPr>
        <w:t>……155</w:t>
      </w:r>
    </w:p>
    <w:p w14:paraId="46355FFA" w14:textId="2701D013" w:rsidR="006E1A06" w:rsidRDefault="006E1A06" w:rsidP="006E1A06">
      <w:pPr>
        <w:ind w:firstLine="360"/>
        <w:rPr>
          <w:rFonts w:cs="Times New Roman (Body CS)"/>
        </w:rPr>
      </w:pPr>
      <w:r>
        <w:rPr>
          <w:rFonts w:cs="Times New Roman (Body CS)"/>
        </w:rPr>
        <w:t>Discussion</w:t>
      </w:r>
      <w:r w:rsidR="00F36A93" w:rsidRPr="003A0506">
        <w:rPr>
          <w:rFonts w:cs="Times New Roman (Body CS)"/>
        </w:rPr>
        <w:t>…</w:t>
      </w:r>
      <w:r w:rsidR="00F36A93">
        <w:rPr>
          <w:rFonts w:cs="Times New Roman (Body CS)"/>
        </w:rPr>
        <w:t>……………</w:t>
      </w:r>
      <w:r w:rsidR="00F36A93" w:rsidRPr="003A0506">
        <w:rPr>
          <w:rFonts w:cs="Times New Roman (Body CS)"/>
        </w:rPr>
        <w:t>…</w:t>
      </w:r>
      <w:r w:rsidR="00F36A93">
        <w:rPr>
          <w:rFonts w:cs="Times New Roman (Body CS)"/>
        </w:rPr>
        <w:t>……………</w:t>
      </w:r>
      <w:r w:rsidR="00F36A93" w:rsidRPr="003A0506">
        <w:rPr>
          <w:rFonts w:cs="Times New Roman (Body CS)"/>
        </w:rPr>
        <w:t>…</w:t>
      </w:r>
      <w:r w:rsidR="00F36A93">
        <w:rPr>
          <w:rFonts w:cs="Times New Roman (Body CS)"/>
        </w:rPr>
        <w:t>……………</w:t>
      </w:r>
      <w:r w:rsidR="00F36A93" w:rsidRPr="003A0506">
        <w:rPr>
          <w:rFonts w:cs="Times New Roman (Body CS)"/>
        </w:rPr>
        <w:t>…</w:t>
      </w:r>
      <w:r w:rsidR="00F36A93">
        <w:rPr>
          <w:rFonts w:cs="Times New Roman (Body CS)"/>
        </w:rPr>
        <w:t>……………</w:t>
      </w:r>
      <w:r w:rsidR="00F36A93" w:rsidRPr="003A0506">
        <w:rPr>
          <w:rFonts w:cs="Times New Roman (Body CS)"/>
        </w:rPr>
        <w:t>…</w:t>
      </w:r>
      <w:r w:rsidR="00F36A93">
        <w:rPr>
          <w:rFonts w:cs="Times New Roman (Body CS)"/>
        </w:rPr>
        <w:t>……………..…158</w:t>
      </w:r>
    </w:p>
    <w:p w14:paraId="61F981DB" w14:textId="1F23EDBA" w:rsidR="00F36A93" w:rsidRDefault="00F36A93" w:rsidP="00F36A93">
      <w:pPr>
        <w:ind w:firstLine="360"/>
        <w:rPr>
          <w:rFonts w:cs="Times New Roman (Body CS)"/>
        </w:rPr>
      </w:pPr>
      <w:r>
        <w:rPr>
          <w:rFonts w:cs="Times New Roman (Body CS)"/>
        </w:rPr>
        <w:t>Acknowledgements………</w:t>
      </w:r>
      <w:r w:rsidRPr="003A0506">
        <w:rPr>
          <w:rFonts w:cs="Times New Roman (Body CS)"/>
        </w:rPr>
        <w:t>…</w:t>
      </w:r>
      <w:r>
        <w:rPr>
          <w:rFonts w:cs="Times New Roman (Body CS)"/>
        </w:rPr>
        <w:t>……………</w:t>
      </w:r>
      <w:r w:rsidRPr="003A0506">
        <w:rPr>
          <w:rFonts w:cs="Times New Roman (Body CS)"/>
        </w:rPr>
        <w:t>…</w:t>
      </w:r>
      <w:r>
        <w:rPr>
          <w:rFonts w:cs="Times New Roman (Body CS)"/>
        </w:rPr>
        <w:t>…………</w:t>
      </w:r>
      <w:r w:rsidRPr="003A0506">
        <w:rPr>
          <w:rFonts w:cs="Times New Roman (Body CS)"/>
        </w:rPr>
        <w:t>…</w:t>
      </w:r>
      <w:r>
        <w:rPr>
          <w:rFonts w:cs="Times New Roman (Body CS)"/>
        </w:rPr>
        <w:t>……………</w:t>
      </w:r>
      <w:r w:rsidRPr="003A0506">
        <w:rPr>
          <w:rFonts w:cs="Times New Roman (Body CS)"/>
        </w:rPr>
        <w:t>…</w:t>
      </w:r>
      <w:r>
        <w:rPr>
          <w:rFonts w:cs="Times New Roman (Body CS)"/>
        </w:rPr>
        <w:t>…………</w:t>
      </w:r>
      <w:r w:rsidRPr="003A0506">
        <w:rPr>
          <w:rFonts w:cs="Times New Roman (Body CS)"/>
        </w:rPr>
        <w:t>…</w:t>
      </w:r>
      <w:r>
        <w:rPr>
          <w:rFonts w:cs="Times New Roman (Body CS)"/>
        </w:rPr>
        <w:t>……16</w:t>
      </w:r>
      <w:r w:rsidR="003111E8">
        <w:rPr>
          <w:rFonts w:cs="Times New Roman (Body CS)"/>
        </w:rPr>
        <w:t>2</w:t>
      </w:r>
    </w:p>
    <w:p w14:paraId="49C9AFEA" w14:textId="21084F29" w:rsidR="00F36A93" w:rsidRDefault="00F36A93" w:rsidP="00F36A93">
      <w:pPr>
        <w:ind w:firstLine="360"/>
        <w:rPr>
          <w:rFonts w:cs="Times New Roman (Body CS)"/>
        </w:rPr>
      </w:pPr>
      <w:r>
        <w:rPr>
          <w:rFonts w:cs="Times New Roman (Body CS)"/>
        </w:rPr>
        <w:t>References……</w:t>
      </w:r>
      <w:r w:rsidRPr="003A0506">
        <w:rPr>
          <w:rFonts w:cs="Times New Roman (Body CS)"/>
        </w:rPr>
        <w:t>…</w:t>
      </w:r>
      <w:r>
        <w:rPr>
          <w:rFonts w:cs="Times New Roman (Body CS)"/>
        </w:rPr>
        <w:t>……………</w:t>
      </w:r>
      <w:r w:rsidRPr="003A0506">
        <w:rPr>
          <w:rFonts w:cs="Times New Roman (Body CS)"/>
        </w:rPr>
        <w:t>…</w:t>
      </w:r>
      <w:r>
        <w:rPr>
          <w:rFonts w:cs="Times New Roman (Body CS)"/>
        </w:rPr>
        <w:t>……………</w:t>
      </w:r>
      <w:r w:rsidRPr="003A0506">
        <w:rPr>
          <w:rFonts w:cs="Times New Roman (Body CS)"/>
        </w:rPr>
        <w:t>…</w:t>
      </w:r>
      <w:r>
        <w:rPr>
          <w:rFonts w:cs="Times New Roman (Body CS)"/>
        </w:rPr>
        <w:t>……………</w:t>
      </w:r>
      <w:r w:rsidRPr="003A0506">
        <w:rPr>
          <w:rFonts w:cs="Times New Roman (Body CS)"/>
        </w:rPr>
        <w:t>…</w:t>
      </w:r>
      <w:r>
        <w:rPr>
          <w:rFonts w:cs="Times New Roman (Body CS)"/>
        </w:rPr>
        <w:t>……………………</w:t>
      </w:r>
      <w:r w:rsidRPr="003A0506">
        <w:rPr>
          <w:rFonts w:cs="Times New Roman (Body CS)"/>
        </w:rPr>
        <w:t>…</w:t>
      </w:r>
      <w:r>
        <w:rPr>
          <w:rFonts w:cs="Times New Roman (Body CS)"/>
        </w:rPr>
        <w:t>…..162</w:t>
      </w:r>
    </w:p>
    <w:p w14:paraId="4468B8CE" w14:textId="392091C8" w:rsidR="00F36A93" w:rsidRDefault="00F36A93" w:rsidP="00F36A93">
      <w:pPr>
        <w:ind w:firstLine="360"/>
        <w:rPr>
          <w:rFonts w:cs="Times New Roman (Body CS)"/>
        </w:rPr>
      </w:pPr>
      <w:r>
        <w:rPr>
          <w:rFonts w:cs="Times New Roman (Body CS)"/>
        </w:rPr>
        <w:t>Author Contributions………</w:t>
      </w:r>
      <w:r w:rsidRPr="003A0506">
        <w:rPr>
          <w:rFonts w:cs="Times New Roman (Body CS)"/>
        </w:rPr>
        <w:t>………</w:t>
      </w:r>
      <w:r>
        <w:rPr>
          <w:rFonts w:cs="Times New Roman (Body CS)"/>
        </w:rPr>
        <w:t>………………</w:t>
      </w:r>
      <w:r w:rsidRPr="003A0506">
        <w:rPr>
          <w:rFonts w:cs="Times New Roman (Body CS)"/>
        </w:rPr>
        <w:t>…</w:t>
      </w:r>
      <w:r>
        <w:rPr>
          <w:rFonts w:cs="Times New Roman (Body CS)"/>
        </w:rPr>
        <w:t>………</w:t>
      </w:r>
      <w:r w:rsidRPr="003A0506">
        <w:rPr>
          <w:rFonts w:cs="Times New Roman (Body CS)"/>
        </w:rPr>
        <w:t>………</w:t>
      </w:r>
      <w:r>
        <w:rPr>
          <w:rFonts w:cs="Times New Roman (Body CS)"/>
        </w:rPr>
        <w:t>………………...…..172</w:t>
      </w:r>
    </w:p>
    <w:p w14:paraId="31856CC4" w14:textId="39DF3D8D" w:rsidR="00CE2FD2" w:rsidRPr="00CE2FD2" w:rsidRDefault="00CE2FD2" w:rsidP="00CE2FD2">
      <w:pPr>
        <w:ind w:firstLine="360"/>
        <w:rPr>
          <w:rFonts w:cs="Times New Roman"/>
        </w:rPr>
      </w:pPr>
      <w:r>
        <w:rPr>
          <w:rFonts w:cs="Times New Roman"/>
        </w:rPr>
        <w:t>Table</w:t>
      </w:r>
      <w:r>
        <w:rPr>
          <w:rFonts w:cs="Times New Roman (Body CS)"/>
        </w:rPr>
        <w:t>………………………………</w:t>
      </w:r>
      <w:r w:rsidRPr="003A0506">
        <w:rPr>
          <w:rFonts w:cs="Times New Roman (Body CS)"/>
        </w:rPr>
        <w:t>…</w:t>
      </w:r>
      <w:r>
        <w:rPr>
          <w:rFonts w:cs="Times New Roman (Body CS)"/>
        </w:rPr>
        <w:t>………</w:t>
      </w:r>
      <w:r w:rsidRPr="003A0506">
        <w:rPr>
          <w:rFonts w:cs="Times New Roman (Body CS)"/>
        </w:rPr>
        <w:t>………</w:t>
      </w:r>
      <w:r>
        <w:rPr>
          <w:rFonts w:cs="Times New Roman (Body CS)"/>
        </w:rPr>
        <w:t>………………...…..</w:t>
      </w:r>
      <w:r w:rsidRPr="003A0506">
        <w:rPr>
          <w:rFonts w:cs="Times New Roman (Body CS)"/>
        </w:rPr>
        <w:t>…</w:t>
      </w:r>
      <w:r>
        <w:rPr>
          <w:rFonts w:cs="Times New Roman (Body CS)"/>
        </w:rPr>
        <w:t>………</w:t>
      </w:r>
      <w:r w:rsidRPr="003A0506">
        <w:rPr>
          <w:rFonts w:cs="Times New Roman (Body CS)"/>
        </w:rPr>
        <w:t>……</w:t>
      </w:r>
      <w:r>
        <w:rPr>
          <w:rFonts w:cs="Times New Roman (Body CS)"/>
        </w:rPr>
        <w:t>.17</w:t>
      </w:r>
      <w:r w:rsidR="003111E8">
        <w:rPr>
          <w:rFonts w:cs="Times New Roman (Body CS)"/>
        </w:rPr>
        <w:t>3</w:t>
      </w:r>
    </w:p>
    <w:p w14:paraId="482F0E93" w14:textId="4D655A15" w:rsidR="00F36A93" w:rsidRDefault="00F36A93" w:rsidP="00F36A93">
      <w:pPr>
        <w:ind w:firstLine="360"/>
        <w:rPr>
          <w:rFonts w:cs="Times New Roman (Body CS)"/>
        </w:rPr>
      </w:pPr>
      <w:r>
        <w:rPr>
          <w:rFonts w:cs="Times New Roman (Body CS)"/>
        </w:rPr>
        <w:t>Figures and Figure Legends……</w:t>
      </w:r>
      <w:r w:rsidRPr="003A0506">
        <w:rPr>
          <w:rFonts w:cs="Times New Roman (Body CS)"/>
        </w:rPr>
        <w:t>……………………………</w:t>
      </w:r>
      <w:r>
        <w:rPr>
          <w:rFonts w:cs="Times New Roman (Body CS)"/>
        </w:rPr>
        <w:t>………………</w:t>
      </w:r>
      <w:r w:rsidRPr="003A0506">
        <w:rPr>
          <w:rFonts w:cs="Times New Roman (Body CS)"/>
        </w:rPr>
        <w:t>……</w:t>
      </w:r>
      <w:r>
        <w:rPr>
          <w:rFonts w:cs="Times New Roman (Body CS)"/>
        </w:rPr>
        <w:t>………...17</w:t>
      </w:r>
      <w:r w:rsidR="00CE2FD2">
        <w:rPr>
          <w:rFonts w:cs="Times New Roman (Body CS)"/>
        </w:rPr>
        <w:t>4</w:t>
      </w:r>
    </w:p>
    <w:p w14:paraId="504F08B3" w14:textId="77777777" w:rsidR="00F36A93" w:rsidRDefault="00F36A93" w:rsidP="00F36A93">
      <w:pPr>
        <w:spacing w:after="80"/>
        <w:rPr>
          <w:b/>
          <w:bCs/>
        </w:rPr>
      </w:pPr>
    </w:p>
    <w:p w14:paraId="56D1A9B7" w14:textId="77777777" w:rsidR="00F36A93" w:rsidRDefault="00F36A93" w:rsidP="00F36A93">
      <w:pPr>
        <w:ind w:firstLine="360"/>
        <w:rPr>
          <w:rFonts w:cs="Times New Roman (Body CS)"/>
        </w:rPr>
      </w:pPr>
    </w:p>
    <w:p w14:paraId="08AFE4E6" w14:textId="77777777" w:rsidR="006E1A06" w:rsidRDefault="006E1A06" w:rsidP="006E1A06">
      <w:pPr>
        <w:ind w:firstLine="360"/>
        <w:rPr>
          <w:rFonts w:cs="Times New Roman (Body CS)"/>
        </w:rPr>
      </w:pPr>
    </w:p>
    <w:p w14:paraId="004B5DD0" w14:textId="705EDD83" w:rsidR="00437D39" w:rsidRDefault="00437D39" w:rsidP="0060061C">
      <w:pPr>
        <w:rPr>
          <w:rFonts w:cs="Times New Roman (Body CS)"/>
          <w:b/>
          <w:bCs/>
        </w:rPr>
      </w:pPr>
    </w:p>
    <w:p w14:paraId="0264EFBE" w14:textId="77777777" w:rsidR="00437D39" w:rsidRDefault="00437D39">
      <w:pPr>
        <w:rPr>
          <w:rFonts w:cs="Times New Roman (Body CS)"/>
          <w:b/>
          <w:bCs/>
        </w:rPr>
      </w:pPr>
      <w:r>
        <w:rPr>
          <w:rFonts w:cs="Times New Roman (Body CS)"/>
          <w:b/>
          <w:bCs/>
        </w:rPr>
        <w:br w:type="page"/>
      </w:r>
    </w:p>
    <w:p w14:paraId="1DE95D0C" w14:textId="015446B1" w:rsidR="005011F1" w:rsidRDefault="00437D39" w:rsidP="00DE3E53">
      <w:pPr>
        <w:jc w:val="center"/>
        <w:rPr>
          <w:rFonts w:cs="Times New Roman (Body CS)"/>
          <w:b/>
          <w:bCs/>
        </w:rPr>
      </w:pPr>
      <w:r>
        <w:rPr>
          <w:rFonts w:cs="Times New Roman (Body CS)"/>
          <w:b/>
          <w:bCs/>
        </w:rPr>
        <w:lastRenderedPageBreak/>
        <w:t>Abstract</w:t>
      </w:r>
    </w:p>
    <w:p w14:paraId="1928B484" w14:textId="77777777" w:rsidR="00DE3E53" w:rsidRPr="00DE3E53" w:rsidRDefault="00DE3E53" w:rsidP="00DE3E53">
      <w:pPr>
        <w:jc w:val="center"/>
        <w:rPr>
          <w:rFonts w:cs="Times New Roman (Body CS)"/>
          <w:b/>
          <w:bCs/>
        </w:rPr>
      </w:pPr>
    </w:p>
    <w:p w14:paraId="341EF422" w14:textId="7F5868A6" w:rsidR="00F2624D" w:rsidRDefault="005011F1" w:rsidP="00454833">
      <w:pPr>
        <w:spacing w:line="480" w:lineRule="auto"/>
        <w:rPr>
          <w:rFonts w:cs="Times New Roman (Body CS)"/>
        </w:rPr>
      </w:pPr>
      <w:r>
        <w:rPr>
          <w:rFonts w:cs="Times New Roman (Body CS)"/>
        </w:rPr>
        <w:t>R</w:t>
      </w:r>
      <w:r w:rsidR="00841107">
        <w:rPr>
          <w:rFonts w:cs="Times New Roman (Body CS)"/>
        </w:rPr>
        <w:t xml:space="preserve">oughly </w:t>
      </w:r>
      <w:r w:rsidR="00D4199D">
        <w:rPr>
          <w:rFonts w:cs="Times New Roman (Body CS)"/>
        </w:rPr>
        <w:t xml:space="preserve">one in five reptile species </w:t>
      </w:r>
      <w:r w:rsidR="00F2624D">
        <w:rPr>
          <w:rFonts w:cs="Times New Roman (Body CS)"/>
        </w:rPr>
        <w:t xml:space="preserve">globally </w:t>
      </w:r>
      <w:r w:rsidR="00383D58">
        <w:rPr>
          <w:rFonts w:cs="Times New Roman (Body CS)"/>
        </w:rPr>
        <w:t>is</w:t>
      </w:r>
      <w:r w:rsidR="00D4199D">
        <w:rPr>
          <w:rFonts w:cs="Times New Roman (Body CS)"/>
        </w:rPr>
        <w:t xml:space="preserve"> threatened with extinction </w:t>
      </w:r>
      <w:r>
        <w:rPr>
          <w:rFonts w:cs="Times New Roman (Body CS)"/>
        </w:rPr>
        <w:t>as of 2022</w:t>
      </w:r>
      <w:r w:rsidR="005770BE">
        <w:rPr>
          <w:rFonts w:cs="Times New Roman (Body CS)"/>
        </w:rPr>
        <w:t xml:space="preserve">. </w:t>
      </w:r>
      <w:r>
        <w:rPr>
          <w:rFonts w:cs="Times New Roman (Body CS)"/>
        </w:rPr>
        <w:t xml:space="preserve">Further, </w:t>
      </w:r>
      <w:r w:rsidR="005770BE">
        <w:rPr>
          <w:rFonts w:cs="Times New Roman (Body CS)"/>
        </w:rPr>
        <w:t xml:space="preserve">nearly 15% of described reptile species are considered Data Deficient by the IUCN and their conservation status </w:t>
      </w:r>
      <w:r w:rsidR="00383D58">
        <w:rPr>
          <w:rFonts w:cs="Times New Roman (Body CS)"/>
        </w:rPr>
        <w:t>has not yet</w:t>
      </w:r>
      <w:r>
        <w:rPr>
          <w:rFonts w:cs="Times New Roman (Body CS)"/>
        </w:rPr>
        <w:t xml:space="preserve"> be</w:t>
      </w:r>
      <w:r w:rsidR="00383D58">
        <w:rPr>
          <w:rFonts w:cs="Times New Roman (Body CS)"/>
        </w:rPr>
        <w:t>en</w:t>
      </w:r>
      <w:r w:rsidR="005770BE">
        <w:rPr>
          <w:rFonts w:cs="Times New Roman (Body CS)"/>
        </w:rPr>
        <w:t xml:space="preserve"> evaluated</w:t>
      </w:r>
      <w:r w:rsidR="000D79C9">
        <w:rPr>
          <w:rFonts w:cs="Times New Roman (Body CS)"/>
        </w:rPr>
        <w:t>.</w:t>
      </w:r>
      <w:r>
        <w:rPr>
          <w:rFonts w:cs="Times New Roman (Body CS)"/>
        </w:rPr>
        <w:t xml:space="preserve"> </w:t>
      </w:r>
      <w:r w:rsidR="00383D58">
        <w:rPr>
          <w:rFonts w:cs="Times New Roman (Body CS)"/>
        </w:rPr>
        <w:t xml:space="preserve">Many of the world’s 11,500+ </w:t>
      </w:r>
      <w:r w:rsidR="00454833">
        <w:rPr>
          <w:rFonts w:cs="Times New Roman (Body CS)"/>
        </w:rPr>
        <w:t>known</w:t>
      </w:r>
      <w:r w:rsidR="00383D58">
        <w:rPr>
          <w:rFonts w:cs="Times New Roman (Body CS)"/>
        </w:rPr>
        <w:t xml:space="preserve"> reptile species are in dire need of protection and </w:t>
      </w:r>
      <w:r w:rsidR="00454833">
        <w:rPr>
          <w:rFonts w:cs="Times New Roman (Body CS)"/>
        </w:rPr>
        <w:t xml:space="preserve">others must </w:t>
      </w:r>
      <w:r w:rsidR="00F3443A">
        <w:rPr>
          <w:rFonts w:cs="Times New Roman (Body CS)"/>
        </w:rPr>
        <w:t>first be</w:t>
      </w:r>
      <w:r w:rsidR="00454833">
        <w:rPr>
          <w:rFonts w:cs="Times New Roman (Body CS)"/>
        </w:rPr>
        <w:t xml:space="preserve"> described in the scientific literature to assess initial threats and potential conservation needs. For my dissertation research, I </w:t>
      </w:r>
      <w:r w:rsidR="00862C79">
        <w:rPr>
          <w:rFonts w:cs="Times New Roman (Body CS)"/>
        </w:rPr>
        <w:t>aim</w:t>
      </w:r>
      <w:r w:rsidR="00454833">
        <w:rPr>
          <w:rFonts w:cs="Times New Roman (Body CS)"/>
        </w:rPr>
        <w:t xml:space="preserve"> to </w:t>
      </w:r>
      <w:r w:rsidR="00F3443A">
        <w:rPr>
          <w:rFonts w:cs="Times New Roman (Body CS)"/>
        </w:rPr>
        <w:t xml:space="preserve">contribute to ongoing reptile conservation efforts from several different angles. First, I </w:t>
      </w:r>
      <w:r w:rsidR="007B3324">
        <w:rPr>
          <w:rFonts w:cs="Times New Roman (Body CS)"/>
        </w:rPr>
        <w:t xml:space="preserve">help to better </w:t>
      </w:r>
      <w:r w:rsidR="00182D89">
        <w:rPr>
          <w:rFonts w:cs="Times New Roman (Body CS)"/>
        </w:rPr>
        <w:t>document</w:t>
      </w:r>
      <w:r w:rsidR="007B3324">
        <w:rPr>
          <w:rFonts w:cs="Times New Roman (Body CS)"/>
        </w:rPr>
        <w:t xml:space="preserve"> the world’s reptile biodiversity by d</w:t>
      </w:r>
      <w:r w:rsidR="00182D89">
        <w:rPr>
          <w:rFonts w:cs="Times New Roman (Body CS)"/>
        </w:rPr>
        <w:t>escribing</w:t>
      </w:r>
      <w:r w:rsidR="007B3324">
        <w:rPr>
          <w:rFonts w:cs="Times New Roman (Body CS)"/>
        </w:rPr>
        <w:t xml:space="preserve"> novel species of geckos from the Philippines</w:t>
      </w:r>
      <w:r w:rsidR="00F2624D">
        <w:rPr>
          <w:rFonts w:cs="Times New Roman (Body CS)"/>
        </w:rPr>
        <w:t>. Next, I examin</w:t>
      </w:r>
      <w:r w:rsidR="00862C79">
        <w:rPr>
          <w:rFonts w:cs="Times New Roman (Body CS)"/>
        </w:rPr>
        <w:t>e</w:t>
      </w:r>
      <w:r w:rsidR="00F2624D">
        <w:rPr>
          <w:rFonts w:cs="Times New Roman (Body CS)"/>
        </w:rPr>
        <w:t xml:space="preserve"> gut microbial ecology in Philippine gekkonids to evaluate the roles of ecoevolutionary forces </w:t>
      </w:r>
      <w:r w:rsidR="00EE4D24">
        <w:rPr>
          <w:rFonts w:cs="Times New Roman (Body CS)"/>
        </w:rPr>
        <w:t>i</w:t>
      </w:r>
      <w:r w:rsidR="00F2624D">
        <w:rPr>
          <w:rFonts w:cs="Times New Roman (Body CS)"/>
        </w:rPr>
        <w:t xml:space="preserve">n shaping host-associated microbiomes. </w:t>
      </w:r>
      <w:r w:rsidR="00EE4D24">
        <w:rPr>
          <w:rFonts w:cs="Times New Roman (Body CS)"/>
        </w:rPr>
        <w:t>Finally,</w:t>
      </w:r>
      <w:r w:rsidR="00F2624D">
        <w:rPr>
          <w:rFonts w:cs="Times New Roman (Body CS)"/>
        </w:rPr>
        <w:t xml:space="preserve"> I stud</w:t>
      </w:r>
      <w:r w:rsidR="00862C79">
        <w:rPr>
          <w:rFonts w:cs="Times New Roman (Body CS)"/>
        </w:rPr>
        <w:t>y</w:t>
      </w:r>
      <w:r w:rsidR="00F2624D">
        <w:rPr>
          <w:rFonts w:cs="Times New Roman (Body CS)"/>
        </w:rPr>
        <w:t xml:space="preserve"> microbi</w:t>
      </w:r>
      <w:r w:rsidR="00EE4D24">
        <w:rPr>
          <w:rFonts w:cs="Times New Roman (Body CS)"/>
        </w:rPr>
        <w:t>al compositions</w:t>
      </w:r>
      <w:r w:rsidR="00F2624D">
        <w:rPr>
          <w:rFonts w:cs="Times New Roman (Body CS)"/>
        </w:rPr>
        <w:t xml:space="preserve"> in two different </w:t>
      </w:r>
      <w:r w:rsidR="00182D89">
        <w:rPr>
          <w:rFonts w:cs="Times New Roman (Body CS)"/>
        </w:rPr>
        <w:t xml:space="preserve">reptile </w:t>
      </w:r>
      <w:r w:rsidR="00F2624D">
        <w:rPr>
          <w:rFonts w:cs="Times New Roman (Body CS)"/>
        </w:rPr>
        <w:t>conservation translocation programs to determine how microbi</w:t>
      </w:r>
      <w:r w:rsidR="00EE4D24">
        <w:rPr>
          <w:rFonts w:cs="Times New Roman (Body CS)"/>
        </w:rPr>
        <w:t>omes respond</w:t>
      </w:r>
      <w:r w:rsidR="00F2624D">
        <w:rPr>
          <w:rFonts w:cs="Times New Roman (Body CS)"/>
        </w:rPr>
        <w:t xml:space="preserve"> </w:t>
      </w:r>
      <w:r w:rsidR="00EE4D24">
        <w:rPr>
          <w:rFonts w:cs="Times New Roman (Body CS)"/>
        </w:rPr>
        <w:t>following</w:t>
      </w:r>
      <w:r w:rsidR="00F2624D">
        <w:rPr>
          <w:rFonts w:cs="Times New Roman (Body CS)"/>
        </w:rPr>
        <w:t xml:space="preserve"> host introduction to novel, </w:t>
      </w:r>
      <w:r w:rsidR="005E77D9">
        <w:rPr>
          <w:rFonts w:cs="Times New Roman (Body CS)"/>
        </w:rPr>
        <w:t>wild</w:t>
      </w:r>
      <w:r w:rsidR="00F2624D">
        <w:rPr>
          <w:rFonts w:cs="Times New Roman (Body CS)"/>
        </w:rPr>
        <w:t xml:space="preserve"> habitats</w:t>
      </w:r>
      <w:r w:rsidR="00EE4D24">
        <w:rPr>
          <w:rFonts w:cs="Times New Roman (Body CS)"/>
        </w:rPr>
        <w:t xml:space="preserve">. These studies </w:t>
      </w:r>
      <w:r w:rsidR="005E77D9">
        <w:rPr>
          <w:rFonts w:cs="Times New Roman (Body CS)"/>
        </w:rPr>
        <w:t xml:space="preserve">expand our </w:t>
      </w:r>
      <w:r w:rsidR="00EE4D24">
        <w:rPr>
          <w:rFonts w:cs="Times New Roman (Body CS)"/>
        </w:rPr>
        <w:t xml:space="preserve">understanding of reptile biodiversity </w:t>
      </w:r>
      <w:r w:rsidR="0088097C">
        <w:rPr>
          <w:rFonts w:cs="Times New Roman (Body CS)"/>
        </w:rPr>
        <w:t>and</w:t>
      </w:r>
      <w:r w:rsidR="005E77D9">
        <w:rPr>
          <w:rFonts w:cs="Times New Roman (Body CS)"/>
        </w:rPr>
        <w:t xml:space="preserve"> </w:t>
      </w:r>
      <w:r w:rsidR="00182D89">
        <w:rPr>
          <w:rFonts w:cs="Times New Roman (Body CS)"/>
        </w:rPr>
        <w:t>help to</w:t>
      </w:r>
      <w:r w:rsidR="005E77D9">
        <w:rPr>
          <w:rFonts w:cs="Times New Roman (Body CS)"/>
        </w:rPr>
        <w:t xml:space="preserve"> improve </w:t>
      </w:r>
      <w:r w:rsidR="0088097C">
        <w:rPr>
          <w:rFonts w:cs="Times New Roman (Body CS)"/>
        </w:rPr>
        <w:t xml:space="preserve">methodologies used </w:t>
      </w:r>
      <w:r w:rsidR="00182D89">
        <w:rPr>
          <w:rFonts w:cs="Times New Roman (Body CS)"/>
        </w:rPr>
        <w:t xml:space="preserve">for </w:t>
      </w:r>
      <w:r w:rsidR="00862C79">
        <w:rPr>
          <w:rFonts w:cs="Times New Roman (Body CS)"/>
        </w:rPr>
        <w:t xml:space="preserve">applied </w:t>
      </w:r>
      <w:r w:rsidR="00182D89">
        <w:rPr>
          <w:rFonts w:cs="Times New Roman (Body CS)"/>
        </w:rPr>
        <w:t xml:space="preserve">reptile </w:t>
      </w:r>
      <w:r w:rsidR="00862C79">
        <w:rPr>
          <w:rFonts w:cs="Times New Roman (Body CS)"/>
        </w:rPr>
        <w:t>conservation</w:t>
      </w:r>
      <w:r w:rsidR="0088097C">
        <w:rPr>
          <w:rFonts w:cs="Times New Roman (Body CS)"/>
        </w:rPr>
        <w:t>.</w:t>
      </w:r>
    </w:p>
    <w:p w14:paraId="3F1AF29D" w14:textId="7AF7E609" w:rsidR="00794F4F" w:rsidRDefault="009E5B19" w:rsidP="009E5B19">
      <w:pPr>
        <w:spacing w:line="480" w:lineRule="auto"/>
        <w:ind w:firstLine="360"/>
        <w:rPr>
          <w:rFonts w:cs="Times New Roman (Body CS)"/>
        </w:rPr>
      </w:pPr>
      <w:r>
        <w:rPr>
          <w:rFonts w:cs="Times New Roman (Body CS)"/>
        </w:rPr>
        <w:t xml:space="preserve">In Chapter One, I use museum vouchered specimens to study a little-known group of geckos from the Philippines, Scaly-toed geckos </w:t>
      </w:r>
      <w:r w:rsidR="006674FB">
        <w:rPr>
          <w:rFonts w:cs="Times New Roman (Body CS)"/>
        </w:rPr>
        <w:t>of</w:t>
      </w:r>
      <w:r>
        <w:rPr>
          <w:rFonts w:cs="Times New Roman (Body CS)"/>
        </w:rPr>
        <w:t xml:space="preserve"> the genus </w:t>
      </w:r>
      <w:r>
        <w:rPr>
          <w:rFonts w:cs="Times New Roman (Body CS)"/>
          <w:i/>
          <w:iCs/>
        </w:rPr>
        <w:t>Lepidodactylus</w:t>
      </w:r>
      <w:r>
        <w:rPr>
          <w:rFonts w:cs="Times New Roman (Body CS)"/>
        </w:rPr>
        <w:t xml:space="preserve">. I use both morphological and molecular tools to analyze hundreds of gecko specimens collected throughout the Northern Philippines. In doing so, I </w:t>
      </w:r>
      <w:r w:rsidR="00182D89">
        <w:rPr>
          <w:rFonts w:cs="Times New Roman (Body CS)"/>
        </w:rPr>
        <w:t>identify</w:t>
      </w:r>
      <w:r>
        <w:rPr>
          <w:rFonts w:cs="Times New Roman (Body CS)"/>
        </w:rPr>
        <w:t xml:space="preserve"> four new species of Scaly-toed geckos</w:t>
      </w:r>
      <w:r>
        <w:rPr>
          <w:rFonts w:cs="Times New Roman (Body CS)"/>
          <w:i/>
          <w:iCs/>
        </w:rPr>
        <w:t xml:space="preserve"> </w:t>
      </w:r>
      <w:r>
        <w:rPr>
          <w:rFonts w:cs="Times New Roman (Body CS)"/>
        </w:rPr>
        <w:t>and describe them formally in the scientific literature.</w:t>
      </w:r>
      <w:r w:rsidR="00794F4F">
        <w:rPr>
          <w:rFonts w:cs="Times New Roman (Body CS)"/>
        </w:rPr>
        <w:t xml:space="preserve"> I highlight remaining taxonomic uncertainties in the </w:t>
      </w:r>
      <w:r w:rsidR="00794F4F">
        <w:rPr>
          <w:rFonts w:cs="Times New Roman (Body CS)"/>
          <w:i/>
          <w:iCs/>
        </w:rPr>
        <w:t>L</w:t>
      </w:r>
      <w:r w:rsidR="00794F4F">
        <w:rPr>
          <w:rFonts w:cs="Times New Roman (Body CS)"/>
        </w:rPr>
        <w:t xml:space="preserve">. </w:t>
      </w:r>
      <w:r w:rsidR="00794F4F">
        <w:rPr>
          <w:rFonts w:cs="Times New Roman (Body CS)"/>
          <w:i/>
          <w:iCs/>
        </w:rPr>
        <w:t>yami</w:t>
      </w:r>
      <w:r w:rsidR="00794F4F">
        <w:rPr>
          <w:rFonts w:cs="Times New Roman (Body CS)"/>
        </w:rPr>
        <w:t>-</w:t>
      </w:r>
      <w:r w:rsidR="00794F4F">
        <w:rPr>
          <w:rFonts w:cs="Times New Roman (Body CS)"/>
          <w:i/>
          <w:iCs/>
        </w:rPr>
        <w:t xml:space="preserve">balioburius </w:t>
      </w:r>
      <w:r w:rsidR="00794F4F">
        <w:rPr>
          <w:rFonts w:cs="Times New Roman (Body CS)"/>
        </w:rPr>
        <w:t xml:space="preserve">clade and stress the need for additional studies to better understand </w:t>
      </w:r>
      <w:r w:rsidR="00794F4F">
        <w:rPr>
          <w:rFonts w:cs="Times New Roman (Body CS)"/>
          <w:i/>
          <w:iCs/>
        </w:rPr>
        <w:t>Lepidodactylus</w:t>
      </w:r>
      <w:r w:rsidR="00794F4F">
        <w:rPr>
          <w:rFonts w:cs="Times New Roman (Body CS)"/>
        </w:rPr>
        <w:t xml:space="preserve"> diversity in the region. </w:t>
      </w:r>
      <w:r w:rsidR="006674FB">
        <w:rPr>
          <w:rFonts w:cs="Times New Roman (Body CS)"/>
        </w:rPr>
        <w:t xml:space="preserve">The description of these four species adds to our understanding of Philippine herpetofaunal biodiversity and lays the groundwork for future </w:t>
      </w:r>
      <w:r w:rsidR="00182D89">
        <w:rPr>
          <w:rFonts w:cs="Times New Roman (Body CS)"/>
        </w:rPr>
        <w:t xml:space="preserve">threat-assessments to evaluate the status of these previously unknown </w:t>
      </w:r>
      <w:r w:rsidR="00862C79">
        <w:rPr>
          <w:rFonts w:cs="Times New Roman (Body CS)"/>
        </w:rPr>
        <w:t>lizards</w:t>
      </w:r>
      <w:r w:rsidR="00182D89">
        <w:rPr>
          <w:rFonts w:cs="Times New Roman (Body CS)"/>
        </w:rPr>
        <w:t>.</w:t>
      </w:r>
    </w:p>
    <w:p w14:paraId="4B369BC6" w14:textId="2CB0000F" w:rsidR="008B631D" w:rsidRDefault="006674FB" w:rsidP="007F4ABE">
      <w:pPr>
        <w:spacing w:line="480" w:lineRule="auto"/>
        <w:ind w:firstLine="360"/>
        <w:rPr>
          <w:rFonts w:cs="Times New Roman"/>
        </w:rPr>
      </w:pPr>
      <w:r>
        <w:rPr>
          <w:rFonts w:cs="Times New Roman (Body CS)"/>
        </w:rPr>
        <w:lastRenderedPageBreak/>
        <w:t xml:space="preserve">In Chapter Two, I </w:t>
      </w:r>
      <w:r w:rsidR="00993417">
        <w:rPr>
          <w:rFonts w:cs="Times New Roman (Body CS)"/>
        </w:rPr>
        <w:t>examin</w:t>
      </w:r>
      <w:r w:rsidR="008B631D">
        <w:rPr>
          <w:rFonts w:cs="Times New Roman (Body CS)"/>
        </w:rPr>
        <w:t>e</w:t>
      </w:r>
      <w:r w:rsidR="00993417">
        <w:rPr>
          <w:rFonts w:cs="Times New Roman (Body CS)"/>
        </w:rPr>
        <w:t xml:space="preserve"> host-associated gut microbial communities in multiple gekkonid genera and species</w:t>
      </w:r>
      <w:r w:rsidR="008B631D">
        <w:rPr>
          <w:rFonts w:cs="Times New Roman (Body CS)"/>
        </w:rPr>
        <w:t>, with implications on the adaptive capacity of Philippine gekkonids to changing landscapes</w:t>
      </w:r>
      <w:r w:rsidR="00993417">
        <w:rPr>
          <w:rFonts w:cs="Times New Roman (Body CS)"/>
        </w:rPr>
        <w:t xml:space="preserve">. I use cloacal </w:t>
      </w:r>
      <w:r w:rsidR="00993417" w:rsidRPr="005E196F">
        <w:rPr>
          <w:rFonts w:cs="Times New Roman"/>
        </w:rPr>
        <w:t>sample</w:t>
      </w:r>
      <w:r w:rsidR="00993417">
        <w:rPr>
          <w:rFonts w:cs="Times New Roman"/>
        </w:rPr>
        <w:t xml:space="preserve">s </w:t>
      </w:r>
      <w:r w:rsidR="00F71492">
        <w:rPr>
          <w:rFonts w:cs="Times New Roman"/>
        </w:rPr>
        <w:t xml:space="preserve">collected in the field </w:t>
      </w:r>
      <w:r w:rsidR="00993417">
        <w:rPr>
          <w:rFonts w:cs="Times New Roman"/>
        </w:rPr>
        <w:t>from nine gecko species to better understand the ecoevolutionary forces that influence gut microbial assemblages and whether historical or contemporary</w:t>
      </w:r>
      <w:r w:rsidR="00CA38A0">
        <w:rPr>
          <w:rFonts w:cs="Times New Roman"/>
        </w:rPr>
        <w:t xml:space="preserve"> f</w:t>
      </w:r>
      <w:r w:rsidR="00862C79">
        <w:rPr>
          <w:rFonts w:cs="Times New Roman"/>
        </w:rPr>
        <w:t>actors may</w:t>
      </w:r>
      <w:r w:rsidR="00993417">
        <w:rPr>
          <w:rFonts w:cs="Times New Roman"/>
        </w:rPr>
        <w:t xml:space="preserve"> shape such compositions. </w:t>
      </w:r>
      <w:r w:rsidR="00CA38A0">
        <w:rPr>
          <w:rFonts w:cs="Times New Roman"/>
        </w:rPr>
        <w:t xml:space="preserve">I identify microbial </w:t>
      </w:r>
      <w:r w:rsidR="008B631D">
        <w:rPr>
          <w:rFonts w:cs="Times New Roman"/>
        </w:rPr>
        <w:t>assemblages</w:t>
      </w:r>
      <w:r w:rsidR="00CA38A0">
        <w:rPr>
          <w:rFonts w:cs="Times New Roman"/>
        </w:rPr>
        <w:t xml:space="preserve"> specific to each host species </w:t>
      </w:r>
      <w:r w:rsidR="008B631D">
        <w:rPr>
          <w:rFonts w:cs="Times New Roman"/>
        </w:rPr>
        <w:t>and note</w:t>
      </w:r>
      <w:r w:rsidR="00CA38A0">
        <w:rPr>
          <w:rFonts w:cs="Times New Roman"/>
        </w:rPr>
        <w:t xml:space="preserve"> marked variation among conspecifics at distinct sampling sites</w:t>
      </w:r>
      <w:r w:rsidR="008B631D">
        <w:rPr>
          <w:rFonts w:cs="Times New Roman"/>
        </w:rPr>
        <w:t>,</w:t>
      </w:r>
      <w:r w:rsidR="00CA38A0">
        <w:rPr>
          <w:rFonts w:cs="Times New Roman"/>
        </w:rPr>
        <w:t xml:space="preserve"> indicat</w:t>
      </w:r>
      <w:r w:rsidR="008B631D">
        <w:rPr>
          <w:rFonts w:cs="Times New Roman"/>
        </w:rPr>
        <w:t>ing</w:t>
      </w:r>
      <w:r w:rsidR="00CA38A0">
        <w:rPr>
          <w:rFonts w:cs="Times New Roman"/>
        </w:rPr>
        <w:t xml:space="preserve"> that host locality influences gut microbiomes </w:t>
      </w:r>
      <w:r w:rsidR="00F71492">
        <w:rPr>
          <w:rFonts w:cs="Times New Roman"/>
        </w:rPr>
        <w:t>strongly</w:t>
      </w:r>
      <w:r w:rsidR="00CA38A0">
        <w:rPr>
          <w:rFonts w:cs="Times New Roman"/>
        </w:rPr>
        <w:t>.</w:t>
      </w:r>
      <w:r w:rsidR="007F4ABE">
        <w:rPr>
          <w:rFonts w:cs="Times New Roman"/>
        </w:rPr>
        <w:t xml:space="preserve"> I document an interesting trend where individuals grouped as widespread and microendemic </w:t>
      </w:r>
      <w:r w:rsidR="008B631D">
        <w:rPr>
          <w:rFonts w:cs="Times New Roman"/>
        </w:rPr>
        <w:t>in their range</w:t>
      </w:r>
      <w:r w:rsidR="00F71492">
        <w:rPr>
          <w:rFonts w:cs="Times New Roman"/>
        </w:rPr>
        <w:t xml:space="preserve"> tendencies</w:t>
      </w:r>
      <w:r w:rsidR="008B631D">
        <w:rPr>
          <w:rFonts w:cs="Times New Roman"/>
        </w:rPr>
        <w:t xml:space="preserve"> </w:t>
      </w:r>
      <w:r w:rsidR="007F4ABE">
        <w:rPr>
          <w:rFonts w:cs="Times New Roman"/>
        </w:rPr>
        <w:t xml:space="preserve">regardless of host species identity display significant differences in alpha and beta diversity metrics </w:t>
      </w:r>
      <w:r w:rsidR="008B631D">
        <w:rPr>
          <w:rFonts w:cs="Times New Roman"/>
        </w:rPr>
        <w:t>examined</w:t>
      </w:r>
      <w:r w:rsidR="007F4ABE">
        <w:rPr>
          <w:rFonts w:cs="Times New Roman"/>
        </w:rPr>
        <w:t>.</w:t>
      </w:r>
      <w:r w:rsidR="008B631D">
        <w:rPr>
          <w:rFonts w:cs="Times New Roman"/>
        </w:rPr>
        <w:t xml:space="preserve"> Such findings suggest certain species may have differ</w:t>
      </w:r>
      <w:r w:rsidR="00F71492">
        <w:rPr>
          <w:rFonts w:cs="Times New Roman"/>
        </w:rPr>
        <w:t>ing</w:t>
      </w:r>
      <w:r w:rsidR="008B631D">
        <w:rPr>
          <w:rFonts w:cs="Times New Roman"/>
        </w:rPr>
        <w:t xml:space="preserve"> adaptive capacities to persist in novel or </w:t>
      </w:r>
      <w:r w:rsidR="00862C79">
        <w:rPr>
          <w:rFonts w:cs="Times New Roman"/>
        </w:rPr>
        <w:t xml:space="preserve">altered </w:t>
      </w:r>
      <w:r w:rsidR="008B631D">
        <w:rPr>
          <w:rFonts w:cs="Times New Roman"/>
        </w:rPr>
        <w:t>habitats.</w:t>
      </w:r>
    </w:p>
    <w:p w14:paraId="2782CDA5" w14:textId="0BB38366" w:rsidR="0037472C" w:rsidRDefault="00D838D4" w:rsidP="00BC4F91">
      <w:pPr>
        <w:spacing w:line="480" w:lineRule="auto"/>
        <w:ind w:firstLine="360"/>
        <w:rPr>
          <w:rFonts w:cs="Times New Roman (Body CS)"/>
        </w:rPr>
      </w:pPr>
      <w:r>
        <w:rPr>
          <w:rFonts w:cs="Times New Roman (Body CS)"/>
        </w:rPr>
        <w:t xml:space="preserve">In Chapter Three, </w:t>
      </w:r>
      <w:r w:rsidR="008B631D">
        <w:rPr>
          <w:rFonts w:cs="Times New Roman (Body CS)"/>
        </w:rPr>
        <w:t xml:space="preserve">I use these same microbial ecology tools to </w:t>
      </w:r>
      <w:r w:rsidR="004A3287">
        <w:rPr>
          <w:rFonts w:cs="Times New Roman (Body CS)"/>
        </w:rPr>
        <w:t>assess</w:t>
      </w:r>
      <w:r w:rsidR="008B631D">
        <w:rPr>
          <w:rFonts w:cs="Times New Roman (Body CS)"/>
        </w:rPr>
        <w:t xml:space="preserve"> how gut microbial communities in both captive and wild Fijian crested iguanas (</w:t>
      </w:r>
      <w:r w:rsidR="008B631D" w:rsidRPr="00C21098">
        <w:rPr>
          <w:bCs/>
          <w:i/>
        </w:rPr>
        <w:t>Brachylophus vitiensis</w:t>
      </w:r>
      <w:r w:rsidR="008B631D">
        <w:rPr>
          <w:rFonts w:cs="Times New Roman (Body CS)"/>
        </w:rPr>
        <w:t>)</w:t>
      </w:r>
      <w:r w:rsidR="004A3287">
        <w:rPr>
          <w:rFonts w:cs="Times New Roman (Body CS)"/>
        </w:rPr>
        <w:t xml:space="preserve"> differ and how microbiomes respond in captive-reared </w:t>
      </w:r>
      <w:r w:rsidR="00631664">
        <w:rPr>
          <w:rFonts w:cs="Times New Roman (Body CS)"/>
        </w:rPr>
        <w:t xml:space="preserve">hosts </w:t>
      </w:r>
      <w:r w:rsidR="00F14FDD">
        <w:rPr>
          <w:rFonts w:cs="Times New Roman (Body CS)"/>
        </w:rPr>
        <w:t xml:space="preserve">(e.g. those raised </w:t>
      </w:r>
      <w:r w:rsidR="00631664">
        <w:rPr>
          <w:rFonts w:cs="Times New Roman (Body CS)"/>
          <w:i/>
          <w:iCs/>
        </w:rPr>
        <w:t>ex</w:t>
      </w:r>
      <w:r w:rsidR="00631664">
        <w:rPr>
          <w:rFonts w:cs="Times New Roman (Body CS)"/>
        </w:rPr>
        <w:t>-</w:t>
      </w:r>
      <w:r w:rsidR="00631664">
        <w:rPr>
          <w:rFonts w:cs="Times New Roman (Body CS)"/>
          <w:i/>
          <w:iCs/>
        </w:rPr>
        <w:t>situ</w:t>
      </w:r>
      <w:r w:rsidR="00631664">
        <w:rPr>
          <w:rFonts w:cs="Times New Roman (Body CS)"/>
        </w:rPr>
        <w:t xml:space="preserve"> </w:t>
      </w:r>
      <w:r w:rsidR="00F14FDD">
        <w:rPr>
          <w:rFonts w:cs="Times New Roman (Body CS)"/>
        </w:rPr>
        <w:t>in conservation-</w:t>
      </w:r>
      <w:r w:rsidR="00631664">
        <w:rPr>
          <w:rFonts w:cs="Times New Roman (Body CS)"/>
        </w:rPr>
        <w:t>based facilities</w:t>
      </w:r>
      <w:r w:rsidR="00F14FDD">
        <w:rPr>
          <w:rFonts w:cs="Times New Roman (Body CS)"/>
        </w:rPr>
        <w:t>)</w:t>
      </w:r>
      <w:r w:rsidR="004A3287">
        <w:rPr>
          <w:rFonts w:cs="Times New Roman (Body CS)"/>
        </w:rPr>
        <w:t xml:space="preserve"> </w:t>
      </w:r>
      <w:r w:rsidR="00631664">
        <w:rPr>
          <w:rFonts w:cs="Times New Roman (Body CS)"/>
        </w:rPr>
        <w:t xml:space="preserve">after they </w:t>
      </w:r>
      <w:r w:rsidR="004A3287">
        <w:rPr>
          <w:rFonts w:cs="Times New Roman (Body CS)"/>
        </w:rPr>
        <w:t xml:space="preserve">are released into the wild. </w:t>
      </w:r>
      <w:r w:rsidR="004A3287">
        <w:t>I</w:t>
      </w:r>
      <w:r w:rsidR="004A3287" w:rsidRPr="00C21098">
        <w:t xml:space="preserve"> use both cloacal swabs and fecal samples to</w:t>
      </w:r>
      <w:r w:rsidR="004A3287">
        <w:t xml:space="preserve"> establish an initial</w:t>
      </w:r>
      <w:r w:rsidR="004A3287" w:rsidRPr="00C21098">
        <w:t xml:space="preserve"> understanding of gut </w:t>
      </w:r>
      <w:r w:rsidR="00F14FDD">
        <w:t>microbiomes</w:t>
      </w:r>
      <w:r w:rsidR="004A3287" w:rsidRPr="00C21098">
        <w:t xml:space="preserve"> in this </w:t>
      </w:r>
      <w:r w:rsidR="004A3287">
        <w:t xml:space="preserve">IUCN </w:t>
      </w:r>
      <w:r w:rsidR="004A3287" w:rsidRPr="00C21098">
        <w:t xml:space="preserve">Critically Endangered species. </w:t>
      </w:r>
      <w:r w:rsidR="004A3287">
        <w:t>I find</w:t>
      </w:r>
      <w:r w:rsidR="004A3287" w:rsidRPr="00C21098">
        <w:t xml:space="preserve"> significant differentiation in gut microbial community composition and structure between captive and wild iguanas in both sampling schemes. </w:t>
      </w:r>
      <w:r w:rsidR="00631664">
        <w:t>T</w:t>
      </w:r>
      <w:r w:rsidR="004A3287" w:rsidRPr="00C21098">
        <w:t xml:space="preserve">wo months </w:t>
      </w:r>
      <w:r w:rsidR="004A3287">
        <w:t xml:space="preserve">after captive-reared animals are released </w:t>
      </w:r>
      <w:r w:rsidR="00F14FDD">
        <w:t xml:space="preserve">from captivity </w:t>
      </w:r>
      <w:r w:rsidR="004A3287">
        <w:t>to native habitat</w:t>
      </w:r>
      <w:r w:rsidR="004A3287" w:rsidRPr="00C21098">
        <w:t>,</w:t>
      </w:r>
      <w:r w:rsidR="004A3287">
        <w:t xml:space="preserve"> I </w:t>
      </w:r>
      <w:r w:rsidR="00F14FDD">
        <w:t>show</w:t>
      </w:r>
      <w:r w:rsidR="004A3287">
        <w:t xml:space="preserve"> that</w:t>
      </w:r>
      <w:r w:rsidR="004A3287" w:rsidRPr="00C21098">
        <w:t xml:space="preserve"> microbial communities </w:t>
      </w:r>
      <w:r w:rsidR="00631664">
        <w:t xml:space="preserve">recovered </w:t>
      </w:r>
      <w:r w:rsidR="00F14FDD">
        <w:t>from</w:t>
      </w:r>
      <w:r w:rsidR="004A3287" w:rsidRPr="00C21098">
        <w:t xml:space="preserve"> cloacal samples closely resemble wild counterparts. </w:t>
      </w:r>
      <w:r w:rsidR="00FC5682">
        <w:t>M</w:t>
      </w:r>
      <w:r w:rsidR="004A3287" w:rsidRPr="00C21098">
        <w:t>icrobial communities in fecal samples from these</w:t>
      </w:r>
      <w:r w:rsidR="00631664">
        <w:t xml:space="preserve"> same</w:t>
      </w:r>
      <w:r w:rsidR="004A3287" w:rsidRPr="00C21098">
        <w:t xml:space="preserve"> </w:t>
      </w:r>
      <w:r w:rsidR="00A329FF" w:rsidRPr="00C21098">
        <w:t>individuals,</w:t>
      </w:r>
      <w:r w:rsidR="004A3287" w:rsidRPr="00C21098">
        <w:t xml:space="preserve"> </w:t>
      </w:r>
      <w:r w:rsidR="00FC5682">
        <w:t xml:space="preserve">however, </w:t>
      </w:r>
      <w:r w:rsidR="004A3287" w:rsidRPr="00C21098">
        <w:t xml:space="preserve">remain significantly distinct from wild conspecifics. </w:t>
      </w:r>
      <w:r w:rsidR="00FC5682">
        <w:t xml:space="preserve">Interestingly, </w:t>
      </w:r>
      <w:r w:rsidR="00A329FF">
        <w:t xml:space="preserve">we also collected </w:t>
      </w:r>
      <w:r w:rsidR="00FC5682">
        <w:t xml:space="preserve">fecal samples from lizards reintroduced two years </w:t>
      </w:r>
      <w:r w:rsidR="00A329FF">
        <w:t xml:space="preserve">prior and </w:t>
      </w:r>
      <w:r w:rsidR="00862C79">
        <w:t>which show</w:t>
      </w:r>
      <w:r w:rsidR="00FC5682">
        <w:t xml:space="preserve"> microbiomes indistinguishable from those in wild lizards. </w:t>
      </w:r>
      <w:r w:rsidR="004A3287">
        <w:t xml:space="preserve">These </w:t>
      </w:r>
      <w:r w:rsidR="004A3287" w:rsidRPr="00C21098">
        <w:t xml:space="preserve">results </w:t>
      </w:r>
      <w:r w:rsidR="004A3287" w:rsidRPr="00C21098">
        <w:lastRenderedPageBreak/>
        <w:t xml:space="preserve">indicate that captive upbringings can lead to differences in microbial assemblages in </w:t>
      </w:r>
      <w:r w:rsidR="00605228">
        <w:t xml:space="preserve">captive-reared </w:t>
      </w:r>
      <w:r w:rsidR="004A3287" w:rsidRPr="00C21098">
        <w:t xml:space="preserve">iguanas compared to wild individuals </w:t>
      </w:r>
      <w:r w:rsidR="00FC5682">
        <w:t>and such differences may</w:t>
      </w:r>
      <w:r w:rsidR="00631664">
        <w:t xml:space="preserve"> persist </w:t>
      </w:r>
      <w:r w:rsidR="00FC5682">
        <w:t xml:space="preserve">for a time </w:t>
      </w:r>
      <w:r w:rsidR="004A3287" w:rsidRPr="00C21098">
        <w:t>even after host reintroduction. This investigation highlights the necessity of continuous monitoring of reintroduced animals in the wild to ensure successful acclimatization a</w:t>
      </w:r>
      <w:r w:rsidR="00631664">
        <w:t>fter</w:t>
      </w:r>
      <w:r w:rsidR="004A3287" w:rsidRPr="00C21098">
        <w:t xml:space="preserve"> release.</w:t>
      </w:r>
    </w:p>
    <w:p w14:paraId="175A1044" w14:textId="6DADDDEE" w:rsidR="00D4199D" w:rsidRPr="00626755" w:rsidRDefault="00BC4F91" w:rsidP="00E649E5">
      <w:pPr>
        <w:spacing w:line="480" w:lineRule="auto"/>
        <w:ind w:firstLine="360"/>
        <w:rPr>
          <w:rFonts w:cs="Times New Roman (Body CS)"/>
        </w:rPr>
        <w:sectPr w:rsidR="00D4199D" w:rsidRPr="00626755" w:rsidSect="00906B0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fmt="lowerRoman" w:start="4"/>
          <w:cols w:space="720"/>
          <w:docGrid w:linePitch="360"/>
        </w:sectPr>
      </w:pPr>
      <w:r>
        <w:rPr>
          <w:rFonts w:cs="Times New Roman (Body CS)"/>
        </w:rPr>
        <w:t xml:space="preserve">Finally in Chapter 4, </w:t>
      </w:r>
      <w:r w:rsidR="00E649E5">
        <w:rPr>
          <w:rFonts w:cs="Times New Roman (Body CS)"/>
        </w:rPr>
        <w:t>I again evaluate microbial composition</w:t>
      </w:r>
      <w:r w:rsidR="00631664">
        <w:rPr>
          <w:rFonts w:cs="Times New Roman (Body CS)"/>
        </w:rPr>
        <w:t>s</w:t>
      </w:r>
      <w:r w:rsidR="00E649E5">
        <w:rPr>
          <w:rFonts w:cs="Times New Roman (Body CS)"/>
        </w:rPr>
        <w:t xml:space="preserve"> </w:t>
      </w:r>
      <w:r w:rsidR="00631664">
        <w:rPr>
          <w:rFonts w:cs="Times New Roman (Body CS)"/>
        </w:rPr>
        <w:t xml:space="preserve">in </w:t>
      </w:r>
      <w:r w:rsidR="00E649E5">
        <w:rPr>
          <w:rFonts w:cs="Times New Roman (Body CS)"/>
        </w:rPr>
        <w:t xml:space="preserve">reptiles </w:t>
      </w:r>
      <w:r w:rsidR="00631664">
        <w:rPr>
          <w:rFonts w:cs="Times New Roman (Body CS)"/>
        </w:rPr>
        <w:t xml:space="preserve">from a </w:t>
      </w:r>
      <w:r w:rsidR="00E649E5">
        <w:rPr>
          <w:rFonts w:cs="Times New Roman (Body CS)"/>
        </w:rPr>
        <w:t>reintroduction</w:t>
      </w:r>
      <w:r w:rsidR="00631664">
        <w:rPr>
          <w:rFonts w:cs="Times New Roman (Body CS)"/>
        </w:rPr>
        <w:t xml:space="preserve"> and translocation program</w:t>
      </w:r>
      <w:r w:rsidR="00E649E5">
        <w:rPr>
          <w:rFonts w:cs="Times New Roman (Body CS)"/>
        </w:rPr>
        <w:t>. I analyze fecal samples from Texas horned lizards (</w:t>
      </w:r>
      <w:r w:rsidR="00E649E5">
        <w:rPr>
          <w:rFonts w:cs="Times New Roman (Body CS)"/>
          <w:i/>
          <w:iCs/>
        </w:rPr>
        <w:t>Phrynosoma cornutum</w:t>
      </w:r>
      <w:r w:rsidR="00E649E5">
        <w:rPr>
          <w:rFonts w:cs="Times New Roman (Body CS)"/>
        </w:rPr>
        <w:t>) raised at the Oklahoma City Zoo and Botanical Garden and released on</w:t>
      </w:r>
      <w:r w:rsidR="00631664">
        <w:rPr>
          <w:rFonts w:cs="Times New Roman (Body CS)"/>
        </w:rPr>
        <w:t>to</w:t>
      </w:r>
      <w:r w:rsidR="00E649E5">
        <w:rPr>
          <w:rFonts w:cs="Times New Roman (Body CS)"/>
        </w:rPr>
        <w:t xml:space="preserve"> Tinker Air Force Base</w:t>
      </w:r>
      <w:r w:rsidR="00FC5682">
        <w:rPr>
          <w:rFonts w:cs="Times New Roman (Body CS)"/>
        </w:rPr>
        <w:t>. I do this</w:t>
      </w:r>
      <w:r w:rsidR="00E649E5">
        <w:rPr>
          <w:rFonts w:cs="Times New Roman (Body CS)"/>
        </w:rPr>
        <w:t xml:space="preserve"> to </w:t>
      </w:r>
      <w:r w:rsidR="00E649E5">
        <w:t xml:space="preserve">identify differences in gut microbial communities between </w:t>
      </w:r>
      <w:r w:rsidR="00E649E5">
        <w:rPr>
          <w:bCs/>
        </w:rPr>
        <w:t xml:space="preserve">captive-reared and wild lizards and to assess whether gut microbiota in reintroduced Texas horned lizards shift to closely resemble wild counterparts following release. Within three months of reintroduction, </w:t>
      </w:r>
      <w:r w:rsidR="00605228">
        <w:rPr>
          <w:bCs/>
        </w:rPr>
        <w:t>translocated</w:t>
      </w:r>
      <w:r w:rsidR="00E649E5">
        <w:rPr>
          <w:bCs/>
        </w:rPr>
        <w:t xml:space="preserve"> Texas horned lizard microbiomes were substantially more similar to wild counterparts than </w:t>
      </w:r>
      <w:r w:rsidR="00FC5682">
        <w:rPr>
          <w:bCs/>
        </w:rPr>
        <w:t xml:space="preserve">they were </w:t>
      </w:r>
      <w:r w:rsidR="00E649E5">
        <w:rPr>
          <w:bCs/>
        </w:rPr>
        <w:t xml:space="preserve">while housed in captivity. These results suggest reintroduced animals </w:t>
      </w:r>
      <w:r w:rsidR="00E53DC1">
        <w:rPr>
          <w:bCs/>
        </w:rPr>
        <w:t xml:space="preserve">from captive-rearing and release programs </w:t>
      </w:r>
      <w:r w:rsidR="00E649E5">
        <w:rPr>
          <w:bCs/>
        </w:rPr>
        <w:t xml:space="preserve">have the capacity to rapidly alter gut microbiota to </w:t>
      </w:r>
      <w:r w:rsidR="00E53DC1">
        <w:rPr>
          <w:bCs/>
        </w:rPr>
        <w:t>mirror microbiomes</w:t>
      </w:r>
      <w:r w:rsidR="00E649E5">
        <w:rPr>
          <w:bCs/>
        </w:rPr>
        <w:t xml:space="preserve"> found in naturally occurring host populations. This study offers promising signs for the plasticity of microbio</w:t>
      </w:r>
      <w:r w:rsidR="00E53DC1">
        <w:rPr>
          <w:bCs/>
        </w:rPr>
        <w:t>mes</w:t>
      </w:r>
      <w:r w:rsidR="00E649E5">
        <w:rPr>
          <w:bCs/>
        </w:rPr>
        <w:t xml:space="preserve"> in reintroduced hosts and </w:t>
      </w:r>
      <w:r w:rsidR="00E53DC1">
        <w:rPr>
          <w:bCs/>
        </w:rPr>
        <w:t>lays important foundations for continued evaluations o</w:t>
      </w:r>
      <w:r w:rsidR="00605228">
        <w:rPr>
          <w:bCs/>
        </w:rPr>
        <w:t>f</w:t>
      </w:r>
      <w:r w:rsidR="00E53DC1">
        <w:rPr>
          <w:bCs/>
        </w:rPr>
        <w:t xml:space="preserve"> microbiomes and their impacts on </w:t>
      </w:r>
      <w:r w:rsidR="00605228">
        <w:rPr>
          <w:bCs/>
        </w:rPr>
        <w:t>an animal translocation</w:t>
      </w:r>
      <w:r w:rsidR="00E53DC1">
        <w:rPr>
          <w:bCs/>
        </w:rPr>
        <w:t xml:space="preserve"> program</w:t>
      </w:r>
      <w:r w:rsidR="00E649E5">
        <w:rPr>
          <w:bCs/>
        </w:rPr>
        <w:t>.</w:t>
      </w:r>
    </w:p>
    <w:p w14:paraId="39FE520C" w14:textId="5EC9F116" w:rsidR="00F6339D" w:rsidRPr="00BD0FEB" w:rsidRDefault="00283550" w:rsidP="00F6339D">
      <w:pPr>
        <w:spacing w:line="480" w:lineRule="auto"/>
        <w:jc w:val="center"/>
        <w:rPr>
          <w:rFonts w:cs="Times New Roman (Body CS)"/>
          <w:b/>
          <w:bCs/>
          <w:sz w:val="28"/>
          <w:szCs w:val="28"/>
        </w:rPr>
      </w:pPr>
      <w:r w:rsidRPr="00BD0FEB">
        <w:rPr>
          <w:rFonts w:cs="Times New Roman (Body CS)"/>
          <w:b/>
          <w:bCs/>
          <w:sz w:val="28"/>
          <w:szCs w:val="28"/>
        </w:rPr>
        <w:lastRenderedPageBreak/>
        <w:t xml:space="preserve">Chapter 1: </w:t>
      </w:r>
      <w:r w:rsidR="00F6339D" w:rsidRPr="00BD0FEB">
        <w:rPr>
          <w:rFonts w:cs="Times New Roman (Body CS)"/>
          <w:b/>
          <w:bCs/>
          <w:sz w:val="28"/>
          <w:szCs w:val="28"/>
        </w:rPr>
        <w:t xml:space="preserve">Taxonomic Revision of Scaly-toed Geckos (Reptilia: Gekkonidae: </w:t>
      </w:r>
      <w:r w:rsidR="00F6339D" w:rsidRPr="00BD0FEB">
        <w:rPr>
          <w:rFonts w:cs="Times New Roman (Body CS)"/>
          <w:b/>
          <w:bCs/>
          <w:i/>
          <w:iCs/>
          <w:sz w:val="28"/>
          <w:szCs w:val="28"/>
        </w:rPr>
        <w:t>Lepidodactylus</w:t>
      </w:r>
      <w:r w:rsidR="00F6339D" w:rsidRPr="00BD0FEB">
        <w:rPr>
          <w:rFonts w:cs="Times New Roman (Body CS)"/>
          <w:b/>
          <w:bCs/>
          <w:sz w:val="28"/>
          <w:szCs w:val="28"/>
        </w:rPr>
        <w:t>) in the Northern Philippines, with Descriptions of Four New Species</w:t>
      </w:r>
    </w:p>
    <w:p w14:paraId="6C9E681B" w14:textId="46453E25" w:rsidR="00F6339D" w:rsidRPr="005D4756" w:rsidRDefault="00F6339D" w:rsidP="00F6339D">
      <w:pPr>
        <w:spacing w:line="480" w:lineRule="auto"/>
        <w:jc w:val="center"/>
        <w:rPr>
          <w:rFonts w:cs="Times New Roman (Body CS)"/>
        </w:rPr>
      </w:pPr>
      <w:r w:rsidRPr="005D4756">
        <w:rPr>
          <w:rFonts w:cs="Times New Roman (Body CS)"/>
        </w:rPr>
        <w:t>Samuel J. Eliades, Rafe M. Brown, Wen-san Huang, and Cameron D. Siler</w:t>
      </w:r>
    </w:p>
    <w:p w14:paraId="4A10CA83" w14:textId="2D980C2F" w:rsidR="00F6339D" w:rsidRDefault="00880D3A" w:rsidP="00283550">
      <w:pPr>
        <w:spacing w:line="480" w:lineRule="auto"/>
        <w:jc w:val="center"/>
      </w:pPr>
      <w:r w:rsidRPr="00283550">
        <w:rPr>
          <w:i/>
          <w:iCs/>
        </w:rPr>
        <w:t>Published in Herpetological Monographs</w:t>
      </w:r>
    </w:p>
    <w:p w14:paraId="3D183380" w14:textId="77777777" w:rsidR="00283550" w:rsidRPr="00283550" w:rsidRDefault="00283550" w:rsidP="00283550">
      <w:pPr>
        <w:spacing w:line="480" w:lineRule="auto"/>
        <w:jc w:val="center"/>
        <w:rPr>
          <w:rStyle w:val="A0"/>
          <w:rFonts w:cstheme="minorBidi"/>
          <w:smallCaps/>
          <w:color w:val="auto"/>
          <w:sz w:val="24"/>
          <w:szCs w:val="24"/>
        </w:rPr>
      </w:pPr>
    </w:p>
    <w:p w14:paraId="0135E5FA" w14:textId="77777777" w:rsidR="00F6339D" w:rsidRDefault="00F6339D" w:rsidP="00F6339D">
      <w:pPr>
        <w:autoSpaceDE w:val="0"/>
        <w:autoSpaceDN w:val="0"/>
        <w:adjustRightInd w:val="0"/>
        <w:spacing w:line="480" w:lineRule="auto"/>
        <w:ind w:firstLine="360"/>
        <w:rPr>
          <w:rFonts w:cs="Times New Roman"/>
        </w:rPr>
      </w:pPr>
      <w:r w:rsidRPr="00AE4F72">
        <w:rPr>
          <w:rFonts w:cs="Times New Roman"/>
          <w:smallCaps/>
        </w:rPr>
        <w:t>Abstract</w:t>
      </w:r>
      <w:r w:rsidRPr="00AE4F72">
        <w:rPr>
          <w:rFonts w:cs="Times New Roman"/>
        </w:rPr>
        <w:t xml:space="preserve">: </w:t>
      </w:r>
      <w:r>
        <w:rPr>
          <w:rFonts w:cs="Times New Roman"/>
        </w:rPr>
        <w:t xml:space="preserve">Recent higher-level phylogenetic analyses of gekkonid lizards of the genus </w:t>
      </w:r>
      <w:r>
        <w:rPr>
          <w:rFonts w:cs="Times New Roman"/>
          <w:i/>
        </w:rPr>
        <w:t>Lepidodactylus</w:t>
      </w:r>
      <w:r>
        <w:t xml:space="preserve"> uncovered an array of unrecognized species diversity, particularly within the Philippine archipelago. Novel phylogenetic analyses of multilocus datasets suggest as many as five </w:t>
      </w:r>
      <w:r w:rsidRPr="00DB5BF1">
        <w:t>previously undescribed, species</w:t>
      </w:r>
      <w:r>
        <w:t>-</w:t>
      </w:r>
      <w:r w:rsidRPr="00DB5BF1">
        <w:t>level</w:t>
      </w:r>
      <w:r>
        <w:t xml:space="preserve"> lineages of Scaly-toed Geckos occur only in northern portions of the archipelago. Here, we evaluate </w:t>
      </w:r>
      <w:r>
        <w:rPr>
          <w:i/>
        </w:rPr>
        <w:t xml:space="preserve">Lepidodactylus </w:t>
      </w:r>
      <w:r>
        <w:t xml:space="preserve">species diversity in the </w:t>
      </w:r>
      <w:r>
        <w:rPr>
          <w:i/>
        </w:rPr>
        <w:t>Lepidodactylus</w:t>
      </w:r>
      <w:r>
        <w:rPr>
          <w:rFonts w:cs="Times New Roman"/>
          <w:i/>
        </w:rPr>
        <w:t xml:space="preserve"> yami-balioburius </w:t>
      </w:r>
      <w:r>
        <w:rPr>
          <w:rFonts w:cs="Times New Roman"/>
        </w:rPr>
        <w:t>clade and describe four new forest species from Luzon Island and surrounding minor island groups. Interestingly, these species</w:t>
      </w:r>
      <w:r w:rsidRPr="002A34DE">
        <w:rPr>
          <w:rFonts w:cs="Times New Roman"/>
        </w:rPr>
        <w:t xml:space="preserve"> </w:t>
      </w:r>
      <w:r>
        <w:rPr>
          <w:rFonts w:cs="Times New Roman"/>
        </w:rPr>
        <w:t>are the</w:t>
      </w:r>
      <w:r w:rsidRPr="002A34DE">
        <w:rPr>
          <w:rFonts w:cs="Times New Roman"/>
        </w:rPr>
        <w:t xml:space="preserve"> </w:t>
      </w:r>
      <w:r>
        <w:rPr>
          <w:rFonts w:cs="Times New Roman"/>
        </w:rPr>
        <w:t xml:space="preserve">first endemic taxa </w:t>
      </w:r>
      <w:r w:rsidRPr="002A34DE">
        <w:rPr>
          <w:rFonts w:cs="Times New Roman"/>
        </w:rPr>
        <w:t>described from Luzon proper</w:t>
      </w:r>
      <w:r>
        <w:rPr>
          <w:rFonts w:cs="Times New Roman"/>
        </w:rPr>
        <w:t xml:space="preserve"> and peripheral islands</w:t>
      </w:r>
      <w:r w:rsidRPr="002A34DE">
        <w:rPr>
          <w:rFonts w:cs="Times New Roman"/>
        </w:rPr>
        <w:t>.</w:t>
      </w:r>
      <w:r>
        <w:rPr>
          <w:rFonts w:cs="Times New Roman"/>
        </w:rPr>
        <w:t xml:space="preserve"> In this first review of Philippine </w:t>
      </w:r>
      <w:r>
        <w:rPr>
          <w:rFonts w:cs="Times New Roman"/>
          <w:i/>
        </w:rPr>
        <w:t>Lepidodactylus</w:t>
      </w:r>
      <w:r>
        <w:rPr>
          <w:rFonts w:cs="Times New Roman"/>
        </w:rPr>
        <w:t xml:space="preserve"> diversity in nearly half a century, we use a suite of morphological characters along with molecular data to delimit evolutionary lineages. All species described herein can be distinguished from congeners by an array of discrete external traits; all are also monophyletic groups, separated in our phylogenetic analyses of the mitochondrial ND2 gene. This study increases significantly the number of known Scaly-toed Geckos in the Philippines from seven to 11, which is likely still an underestimate of the species diversity in this understudied clade.</w:t>
      </w:r>
    </w:p>
    <w:p w14:paraId="0BC447E5" w14:textId="77777777" w:rsidR="00F6339D" w:rsidRDefault="00F6339D" w:rsidP="00F6339D">
      <w:pPr>
        <w:autoSpaceDE w:val="0"/>
        <w:autoSpaceDN w:val="0"/>
        <w:adjustRightInd w:val="0"/>
        <w:spacing w:line="480" w:lineRule="auto"/>
        <w:rPr>
          <w:b/>
          <w:bCs/>
          <w:iCs/>
        </w:rPr>
      </w:pPr>
    </w:p>
    <w:p w14:paraId="0406C5C8" w14:textId="77777777" w:rsidR="00F6339D" w:rsidRPr="00101C86" w:rsidRDefault="00F6339D" w:rsidP="00F6339D">
      <w:pPr>
        <w:autoSpaceDE w:val="0"/>
        <w:autoSpaceDN w:val="0"/>
        <w:adjustRightInd w:val="0"/>
        <w:spacing w:line="480" w:lineRule="auto"/>
      </w:pPr>
      <w:r w:rsidRPr="000970EC">
        <w:rPr>
          <w:b/>
          <w:bCs/>
          <w:iCs/>
        </w:rPr>
        <w:t>Key words</w:t>
      </w:r>
      <w:r w:rsidRPr="000970EC">
        <w:rPr>
          <w:iCs/>
        </w:rPr>
        <w:t>:</w:t>
      </w:r>
      <w:r w:rsidRPr="00B731F6">
        <w:rPr>
          <w:b/>
          <w:iCs/>
        </w:rPr>
        <w:t xml:space="preserve"> </w:t>
      </w:r>
      <w:r w:rsidRPr="00986887">
        <w:t>Biodiversity; Endemism; Luzon; Philippines; Species delimitation; Taxonomy</w:t>
      </w:r>
    </w:p>
    <w:p w14:paraId="12DE415E" w14:textId="77777777" w:rsidR="00F6339D" w:rsidRDefault="00F6339D" w:rsidP="00F6339D">
      <w:pPr>
        <w:spacing w:line="480" w:lineRule="auto"/>
        <w:rPr>
          <w:rFonts w:cs="Times New Roman"/>
        </w:rPr>
      </w:pPr>
    </w:p>
    <w:p w14:paraId="737E7BB7" w14:textId="77777777" w:rsidR="00F6339D" w:rsidRPr="005B0B1A" w:rsidRDefault="00F6339D" w:rsidP="00F6339D">
      <w:pPr>
        <w:spacing w:line="480" w:lineRule="auto"/>
        <w:ind w:firstLine="360"/>
        <w:rPr>
          <w:rFonts w:cs="Times New Roman"/>
          <w:highlight w:val="yellow"/>
        </w:rPr>
      </w:pPr>
      <w:r w:rsidRPr="000970EC">
        <w:rPr>
          <w:rFonts w:cs="Times New Roman"/>
          <w:smallCaps/>
        </w:rPr>
        <w:lastRenderedPageBreak/>
        <w:t>The striking</w:t>
      </w:r>
      <w:r w:rsidRPr="002A34DE">
        <w:rPr>
          <w:rFonts w:cs="Times New Roman"/>
        </w:rPr>
        <w:t xml:space="preserve"> diversity of gecko species found in the Philippines has been the subject of increased attention over the past decade (</w:t>
      </w:r>
      <w:r w:rsidRPr="002A34DE">
        <w:rPr>
          <w:rFonts w:cs="Times New Roman"/>
          <w:color w:val="000000" w:themeColor="text1"/>
        </w:rPr>
        <w:t>Brown et al. 2008, 2009, 2011</w:t>
      </w:r>
      <w:r>
        <w:rPr>
          <w:rFonts w:cs="Times New Roman"/>
          <w:color w:val="000000" w:themeColor="text1"/>
        </w:rPr>
        <w:t xml:space="preserve">a,b, </w:t>
      </w:r>
      <w:r w:rsidRPr="003B2D46">
        <w:rPr>
          <w:rFonts w:cs="Times New Roman"/>
          <w:color w:val="000000" w:themeColor="text1"/>
        </w:rPr>
        <w:t>2020</w:t>
      </w:r>
      <w:r w:rsidRPr="002A34DE">
        <w:rPr>
          <w:rFonts w:cs="Times New Roman"/>
          <w:color w:val="000000" w:themeColor="text1"/>
        </w:rPr>
        <w:t xml:space="preserve">; </w:t>
      </w:r>
      <w:r w:rsidRPr="002A34DE">
        <w:rPr>
          <w:rFonts w:cs="Times New Roman"/>
        </w:rPr>
        <w:t xml:space="preserve">Welton et al. 2009, 2010a,b; </w:t>
      </w:r>
      <w:r w:rsidRPr="002A34DE">
        <w:rPr>
          <w:rFonts w:cs="Times New Roman"/>
          <w:color w:val="000000" w:themeColor="text1"/>
        </w:rPr>
        <w:t xml:space="preserve">Linkem </w:t>
      </w:r>
      <w:r>
        <w:rPr>
          <w:rFonts w:cs="Times New Roman"/>
          <w:color w:val="000000" w:themeColor="text1"/>
        </w:rPr>
        <w:t>et al.</w:t>
      </w:r>
      <w:r w:rsidRPr="002A34DE">
        <w:rPr>
          <w:rFonts w:cs="Times New Roman"/>
          <w:color w:val="000000" w:themeColor="text1"/>
        </w:rPr>
        <w:t xml:space="preserve"> 2010; Siler </w:t>
      </w:r>
      <w:r>
        <w:rPr>
          <w:rFonts w:cs="Times New Roman"/>
          <w:color w:val="000000" w:themeColor="text1"/>
        </w:rPr>
        <w:t>et al.</w:t>
      </w:r>
      <w:r w:rsidRPr="002A34DE">
        <w:rPr>
          <w:rFonts w:cs="Times New Roman"/>
          <w:color w:val="000000" w:themeColor="text1"/>
        </w:rPr>
        <w:t xml:space="preserve"> 2014</w:t>
      </w:r>
      <w:r>
        <w:rPr>
          <w:rFonts w:cs="Times New Roman"/>
          <w:color w:val="000000" w:themeColor="text1"/>
        </w:rPr>
        <w:t>a</w:t>
      </w:r>
      <w:r w:rsidRPr="002A34DE">
        <w:rPr>
          <w:rFonts w:cs="Times New Roman"/>
          <w:color w:val="000000" w:themeColor="text1"/>
        </w:rPr>
        <w:t>, 2016</w:t>
      </w:r>
      <w:r>
        <w:rPr>
          <w:rFonts w:cs="Times New Roman"/>
          <w:color w:val="000000" w:themeColor="text1"/>
        </w:rPr>
        <w:t>a</w:t>
      </w:r>
      <w:r w:rsidRPr="002A34DE">
        <w:rPr>
          <w:rFonts w:cs="Times New Roman"/>
          <w:color w:val="000000" w:themeColor="text1"/>
        </w:rPr>
        <w:t xml:space="preserve">, 2017; Davis </w:t>
      </w:r>
      <w:r>
        <w:rPr>
          <w:rFonts w:cs="Times New Roman"/>
          <w:color w:val="000000" w:themeColor="text1"/>
        </w:rPr>
        <w:t>et al.</w:t>
      </w:r>
      <w:r w:rsidRPr="002A34DE">
        <w:rPr>
          <w:rFonts w:cs="Times New Roman"/>
          <w:color w:val="000000" w:themeColor="text1"/>
        </w:rPr>
        <w:t xml:space="preserve"> 2015</w:t>
      </w:r>
      <w:r w:rsidRPr="002A34DE">
        <w:t>). Of the 5</w:t>
      </w:r>
      <w:r>
        <w:t>8</w:t>
      </w:r>
      <w:r w:rsidRPr="002A34DE">
        <w:t xml:space="preserve"> gekkonid species now recognized from th</w:t>
      </w:r>
      <w:r>
        <w:t>is</w:t>
      </w:r>
      <w:r w:rsidRPr="002A34DE">
        <w:t xml:space="preserve"> </w:t>
      </w:r>
      <w:r>
        <w:t xml:space="preserve">Southeast Asian </w:t>
      </w:r>
      <w:r w:rsidRPr="002A34DE">
        <w:t xml:space="preserve">country, </w:t>
      </w:r>
      <w:r w:rsidRPr="002A34DE">
        <w:rPr>
          <w:rFonts w:cs="Times New Roman"/>
        </w:rPr>
        <w:t>1</w:t>
      </w:r>
      <w:r>
        <w:rPr>
          <w:rFonts w:cs="Times New Roman"/>
        </w:rPr>
        <w:t>8</w:t>
      </w:r>
      <w:r w:rsidRPr="002A34DE">
        <w:rPr>
          <w:rFonts w:cs="Times New Roman"/>
        </w:rPr>
        <w:t xml:space="preserve"> have been described since 2009 (Uetz </w:t>
      </w:r>
      <w:r>
        <w:rPr>
          <w:rFonts w:cs="Times New Roman"/>
        </w:rPr>
        <w:t>et al.</w:t>
      </w:r>
      <w:r w:rsidRPr="002A34DE">
        <w:rPr>
          <w:rFonts w:cs="Times New Roman"/>
        </w:rPr>
        <w:t xml:space="preserve"> 20</w:t>
      </w:r>
      <w:r>
        <w:rPr>
          <w:rFonts w:cs="Times New Roman"/>
        </w:rPr>
        <w:t>20</w:t>
      </w:r>
      <w:r w:rsidRPr="002A34DE">
        <w:rPr>
          <w:rFonts w:cs="Times New Roman"/>
        </w:rPr>
        <w:t xml:space="preserve">). Most recent phylogenetic studies have focused largely on three genera: </w:t>
      </w:r>
      <w:r w:rsidRPr="002A34DE">
        <w:rPr>
          <w:rFonts w:cs="Times New Roman"/>
          <w:i/>
        </w:rPr>
        <w:t>Cyrtodactylus</w:t>
      </w:r>
      <w:r w:rsidRPr="002A34DE">
        <w:rPr>
          <w:rFonts w:cs="Times New Roman"/>
        </w:rPr>
        <w:t xml:space="preserve"> (Welton </w:t>
      </w:r>
      <w:r>
        <w:rPr>
          <w:rFonts w:cs="Times New Roman"/>
        </w:rPr>
        <w:t>et al.</w:t>
      </w:r>
      <w:r w:rsidRPr="002A34DE">
        <w:rPr>
          <w:rFonts w:cs="Times New Roman"/>
        </w:rPr>
        <w:t xml:space="preserve"> 2009, 2010a,b), </w:t>
      </w:r>
      <w:r w:rsidRPr="002A34DE">
        <w:rPr>
          <w:rFonts w:cs="Times New Roman"/>
          <w:i/>
        </w:rPr>
        <w:t>Gekko</w:t>
      </w:r>
      <w:r w:rsidRPr="002A34DE">
        <w:rPr>
          <w:rFonts w:cs="Times New Roman"/>
        </w:rPr>
        <w:t xml:space="preserve"> (</w:t>
      </w:r>
      <w:r w:rsidRPr="002A34DE">
        <w:rPr>
          <w:rFonts w:cs="Times New Roman"/>
          <w:color w:val="000000" w:themeColor="text1"/>
        </w:rPr>
        <w:t xml:space="preserve">Brown </w:t>
      </w:r>
      <w:r>
        <w:rPr>
          <w:rFonts w:cs="Times New Roman"/>
          <w:color w:val="000000" w:themeColor="text1"/>
        </w:rPr>
        <w:t>et al.</w:t>
      </w:r>
      <w:r w:rsidRPr="002A34DE">
        <w:rPr>
          <w:rFonts w:cs="Times New Roman"/>
          <w:color w:val="000000" w:themeColor="text1"/>
        </w:rPr>
        <w:t xml:space="preserve"> 2008, 2009, 2011</w:t>
      </w:r>
      <w:r>
        <w:rPr>
          <w:rFonts w:cs="Times New Roman"/>
          <w:color w:val="000000" w:themeColor="text1"/>
        </w:rPr>
        <w:t>a</w:t>
      </w:r>
      <w:r w:rsidRPr="002A34DE">
        <w:rPr>
          <w:rFonts w:cs="Times New Roman"/>
          <w:color w:val="000000" w:themeColor="text1"/>
        </w:rPr>
        <w:t xml:space="preserve">; Linkem </w:t>
      </w:r>
      <w:r>
        <w:rPr>
          <w:rFonts w:cs="Times New Roman"/>
          <w:color w:val="000000" w:themeColor="text1"/>
        </w:rPr>
        <w:t>et al.</w:t>
      </w:r>
      <w:r w:rsidRPr="002A34DE">
        <w:rPr>
          <w:rFonts w:cs="Times New Roman"/>
          <w:color w:val="000000" w:themeColor="text1"/>
        </w:rPr>
        <w:t xml:space="preserve"> 2010</w:t>
      </w:r>
      <w:r w:rsidRPr="002A34DE">
        <w:rPr>
          <w:rFonts w:cs="Times New Roman"/>
        </w:rPr>
        <w:t xml:space="preserve">), and </w:t>
      </w:r>
      <w:r w:rsidRPr="002A34DE">
        <w:rPr>
          <w:rFonts w:cs="Times New Roman"/>
          <w:i/>
        </w:rPr>
        <w:t>Pseudogekko</w:t>
      </w:r>
      <w:r w:rsidRPr="002A34DE">
        <w:rPr>
          <w:rFonts w:cs="Times New Roman"/>
        </w:rPr>
        <w:t xml:space="preserve"> (</w:t>
      </w:r>
      <w:r w:rsidRPr="002A34DE">
        <w:rPr>
          <w:rFonts w:cs="Times New Roman"/>
          <w:color w:val="000000" w:themeColor="text1"/>
        </w:rPr>
        <w:t xml:space="preserve">Siler </w:t>
      </w:r>
      <w:r>
        <w:rPr>
          <w:rFonts w:cs="Times New Roman"/>
          <w:color w:val="000000" w:themeColor="text1"/>
        </w:rPr>
        <w:t>et al.</w:t>
      </w:r>
      <w:r w:rsidRPr="002A34DE">
        <w:rPr>
          <w:rFonts w:cs="Times New Roman"/>
          <w:color w:val="000000" w:themeColor="text1"/>
        </w:rPr>
        <w:t xml:space="preserve"> 2014</w:t>
      </w:r>
      <w:r>
        <w:rPr>
          <w:rFonts w:cs="Times New Roman"/>
          <w:color w:val="000000" w:themeColor="text1"/>
        </w:rPr>
        <w:t>a</w:t>
      </w:r>
      <w:r w:rsidRPr="002A34DE">
        <w:rPr>
          <w:rFonts w:cs="Times New Roman"/>
          <w:color w:val="000000" w:themeColor="text1"/>
        </w:rPr>
        <w:t>, 2016</w:t>
      </w:r>
      <w:r>
        <w:rPr>
          <w:rFonts w:cs="Times New Roman"/>
          <w:color w:val="000000" w:themeColor="text1"/>
        </w:rPr>
        <w:t>a</w:t>
      </w:r>
      <w:r w:rsidRPr="002A34DE">
        <w:rPr>
          <w:rFonts w:cs="Times New Roman"/>
          <w:color w:val="000000" w:themeColor="text1"/>
        </w:rPr>
        <w:t xml:space="preserve">, 2017; Davis </w:t>
      </w:r>
      <w:r>
        <w:rPr>
          <w:rFonts w:cs="Times New Roman"/>
          <w:color w:val="000000" w:themeColor="text1"/>
        </w:rPr>
        <w:t>et al.</w:t>
      </w:r>
      <w:r w:rsidRPr="002A34DE">
        <w:rPr>
          <w:rFonts w:cs="Times New Roman"/>
          <w:color w:val="000000" w:themeColor="text1"/>
        </w:rPr>
        <w:t xml:space="preserve"> 2015</w:t>
      </w:r>
      <w:r>
        <w:rPr>
          <w:rFonts w:cs="Times New Roman"/>
          <w:color w:val="000000" w:themeColor="text1"/>
        </w:rPr>
        <w:t>; Brown et al. 2020</w:t>
      </w:r>
      <w:r w:rsidRPr="002A34DE">
        <w:rPr>
          <w:rFonts w:cs="Times New Roman"/>
        </w:rPr>
        <w:t>)</w:t>
      </w:r>
      <w:r>
        <w:rPr>
          <w:rFonts w:cs="Times New Roman"/>
        </w:rPr>
        <w:t>, whereas</w:t>
      </w:r>
      <w:r w:rsidRPr="002A34DE">
        <w:rPr>
          <w:rFonts w:cs="Times New Roman"/>
        </w:rPr>
        <w:t xml:space="preserve"> the diversity within a number of other gekkonid genera in the Philippines (i.e., </w:t>
      </w:r>
      <w:r w:rsidRPr="002A34DE">
        <w:rPr>
          <w:rFonts w:cs="Times New Roman"/>
          <w:i/>
        </w:rPr>
        <w:t>Hemiphyllodactylus</w:t>
      </w:r>
      <w:r w:rsidRPr="002A34DE">
        <w:rPr>
          <w:rFonts w:cs="Times New Roman"/>
        </w:rPr>
        <w:t xml:space="preserve"> and</w:t>
      </w:r>
      <w:r w:rsidRPr="002A34DE">
        <w:rPr>
          <w:rFonts w:cs="Times New Roman"/>
          <w:i/>
        </w:rPr>
        <w:t xml:space="preserve"> Luperosaurus</w:t>
      </w:r>
      <w:r w:rsidRPr="002A34DE">
        <w:rPr>
          <w:rFonts w:cs="Times New Roman"/>
        </w:rPr>
        <w:t>) remain</w:t>
      </w:r>
      <w:r>
        <w:rPr>
          <w:rFonts w:cs="Times New Roman"/>
        </w:rPr>
        <w:t>s</w:t>
      </w:r>
      <w:r w:rsidRPr="002A34DE">
        <w:rPr>
          <w:rFonts w:cs="Times New Roman"/>
        </w:rPr>
        <w:t xml:space="preserve"> poorly understood (Brown </w:t>
      </w:r>
      <w:r>
        <w:rPr>
          <w:rFonts w:cs="Times New Roman"/>
        </w:rPr>
        <w:t>et al.</w:t>
      </w:r>
      <w:r w:rsidRPr="002A34DE">
        <w:rPr>
          <w:rFonts w:cs="Times New Roman"/>
        </w:rPr>
        <w:t xml:space="preserve"> 2007, 2011b, 2012</w:t>
      </w:r>
      <w:r>
        <w:rPr>
          <w:rFonts w:cs="Times New Roman"/>
        </w:rPr>
        <w:t>a</w:t>
      </w:r>
      <w:r w:rsidRPr="002A34DE">
        <w:rPr>
          <w:rFonts w:cs="Times New Roman"/>
        </w:rPr>
        <w:t xml:space="preserve">; Grismer </w:t>
      </w:r>
      <w:r>
        <w:rPr>
          <w:rFonts w:cs="Times New Roman"/>
        </w:rPr>
        <w:t>et al.</w:t>
      </w:r>
      <w:r w:rsidRPr="002A34DE">
        <w:rPr>
          <w:rFonts w:cs="Times New Roman"/>
        </w:rPr>
        <w:t xml:space="preserve"> 2013; Siler </w:t>
      </w:r>
      <w:r>
        <w:rPr>
          <w:rFonts w:cs="Times New Roman"/>
        </w:rPr>
        <w:t>et al.</w:t>
      </w:r>
      <w:r w:rsidRPr="002A34DE">
        <w:rPr>
          <w:rFonts w:cs="Times New Roman"/>
        </w:rPr>
        <w:t xml:space="preserve"> 2014</w:t>
      </w:r>
      <w:r>
        <w:rPr>
          <w:rFonts w:cs="Times New Roman"/>
        </w:rPr>
        <w:t>a</w:t>
      </w:r>
      <w:r w:rsidRPr="002A34DE">
        <w:rPr>
          <w:rFonts w:cs="Times New Roman"/>
        </w:rPr>
        <w:t xml:space="preserve">). The genus </w:t>
      </w:r>
      <w:r w:rsidRPr="002A34DE">
        <w:rPr>
          <w:rFonts w:cs="Times New Roman"/>
          <w:i/>
        </w:rPr>
        <w:t>Lepidodactylus</w:t>
      </w:r>
      <w:r w:rsidRPr="002A34DE">
        <w:rPr>
          <w:rFonts w:cs="Times New Roman"/>
        </w:rPr>
        <w:t xml:space="preserve"> Fitzinger 1843 is one such example of a group that has received limited taxonomic attention in the Philippines in recent years</w:t>
      </w:r>
      <w:r>
        <w:rPr>
          <w:rFonts w:cs="Times New Roman"/>
        </w:rPr>
        <w:t xml:space="preserve">; the last comprehensive taxonomic revision was over 40 years ago (Brown and Alcala 1978). </w:t>
      </w:r>
      <w:bookmarkStart w:id="0" w:name="_Hlk50733000"/>
      <w:r>
        <w:rPr>
          <w:rFonts w:cs="Times New Roman"/>
        </w:rPr>
        <w:t xml:space="preserve">Recently, molecular phylogenetic </w:t>
      </w:r>
      <w:r w:rsidRPr="005B0B1A">
        <w:rPr>
          <w:rFonts w:cs="Times New Roman"/>
        </w:rPr>
        <w:t xml:space="preserve">studies have concluded that </w:t>
      </w:r>
      <w:r w:rsidRPr="005B0B1A">
        <w:rPr>
          <w:rFonts w:cs="Times New Roman"/>
          <w:i/>
          <w:iCs/>
        </w:rPr>
        <w:t>Lepidodactylus</w:t>
      </w:r>
      <w:r w:rsidRPr="005B0B1A">
        <w:rPr>
          <w:rFonts w:cs="Times New Roman"/>
        </w:rPr>
        <w:t xml:space="preserve"> is closely allied with </w:t>
      </w:r>
      <w:r>
        <w:rPr>
          <w:rFonts w:cs="Times New Roman"/>
        </w:rPr>
        <w:t xml:space="preserve">other </w:t>
      </w:r>
      <w:r w:rsidRPr="005B0B1A">
        <w:rPr>
          <w:rFonts w:cs="Times New Roman"/>
        </w:rPr>
        <w:t xml:space="preserve">Philippine gekkonid genera including </w:t>
      </w:r>
      <w:r w:rsidRPr="005B0B1A">
        <w:rPr>
          <w:rFonts w:cs="Times New Roman"/>
          <w:i/>
          <w:iCs/>
        </w:rPr>
        <w:t>Gekko</w:t>
      </w:r>
      <w:r w:rsidRPr="005B0B1A">
        <w:rPr>
          <w:rFonts w:cs="Times New Roman"/>
        </w:rPr>
        <w:t xml:space="preserve">, </w:t>
      </w:r>
      <w:r w:rsidRPr="005B0B1A">
        <w:rPr>
          <w:rFonts w:cs="Times New Roman"/>
          <w:i/>
          <w:iCs/>
        </w:rPr>
        <w:t>Luperosaurus</w:t>
      </w:r>
      <w:r w:rsidRPr="005B0B1A">
        <w:rPr>
          <w:rFonts w:cs="Times New Roman"/>
        </w:rPr>
        <w:t xml:space="preserve">, </w:t>
      </w:r>
      <w:r w:rsidRPr="005B0B1A">
        <w:rPr>
          <w:rFonts w:cs="Times New Roman"/>
          <w:i/>
          <w:iCs/>
        </w:rPr>
        <w:t>Pseudogekko</w:t>
      </w:r>
      <w:r w:rsidRPr="005B0B1A">
        <w:rPr>
          <w:rFonts w:cs="Times New Roman"/>
        </w:rPr>
        <w:t xml:space="preserve">, and </w:t>
      </w:r>
      <w:r w:rsidRPr="005B0B1A">
        <w:rPr>
          <w:rFonts w:cs="Times New Roman"/>
          <w:i/>
          <w:iCs/>
        </w:rPr>
        <w:t>Ptychozoon</w:t>
      </w:r>
      <w:r>
        <w:rPr>
          <w:rFonts w:cs="Times New Roman"/>
        </w:rPr>
        <w:t xml:space="preserve">; all </w:t>
      </w:r>
      <w:r w:rsidRPr="005B0B1A">
        <w:rPr>
          <w:rFonts w:cs="Times New Roman"/>
        </w:rPr>
        <w:t xml:space="preserve">have even highlighted the paraphyletic nature of the genus </w:t>
      </w:r>
      <w:r>
        <w:rPr>
          <w:rFonts w:cs="Times New Roman"/>
        </w:rPr>
        <w:t>with</w:t>
      </w:r>
      <w:r w:rsidRPr="005B0B1A">
        <w:rPr>
          <w:rFonts w:cs="Times New Roman"/>
        </w:rPr>
        <w:t xml:space="preserve"> </w:t>
      </w:r>
      <w:r>
        <w:rPr>
          <w:rFonts w:cs="Times New Roman"/>
        </w:rPr>
        <w:t xml:space="preserve">respect to the </w:t>
      </w:r>
      <w:r w:rsidRPr="005B0B1A">
        <w:rPr>
          <w:rFonts w:cs="Times New Roman"/>
        </w:rPr>
        <w:t xml:space="preserve">sister genera </w:t>
      </w:r>
      <w:r w:rsidRPr="005B0B1A">
        <w:rPr>
          <w:rFonts w:cs="Times New Roman"/>
          <w:i/>
          <w:iCs/>
        </w:rPr>
        <w:t>Luperosaurus</w:t>
      </w:r>
      <w:r w:rsidRPr="005B0B1A">
        <w:rPr>
          <w:rFonts w:cs="Times New Roman"/>
        </w:rPr>
        <w:t xml:space="preserve"> and </w:t>
      </w:r>
      <w:r w:rsidRPr="005B0B1A">
        <w:rPr>
          <w:rFonts w:cs="Times New Roman"/>
          <w:i/>
          <w:iCs/>
        </w:rPr>
        <w:t>Pseudogekko</w:t>
      </w:r>
      <w:r>
        <w:rPr>
          <w:rFonts w:cs="Times New Roman"/>
        </w:rPr>
        <w:t>, which are deeply</w:t>
      </w:r>
      <w:r w:rsidRPr="005B0B1A">
        <w:rPr>
          <w:rFonts w:cs="Times New Roman"/>
        </w:rPr>
        <w:t xml:space="preserve"> </w:t>
      </w:r>
      <w:r>
        <w:rPr>
          <w:rFonts w:cs="Times New Roman"/>
        </w:rPr>
        <w:t xml:space="preserve">embedded within </w:t>
      </w:r>
      <w:r>
        <w:rPr>
          <w:rFonts w:cs="Times New Roman"/>
          <w:i/>
          <w:iCs/>
        </w:rPr>
        <w:t xml:space="preserve">Lepidodactylus </w:t>
      </w:r>
      <w:r w:rsidRPr="005B0B1A">
        <w:rPr>
          <w:rFonts w:cs="Times New Roman"/>
        </w:rPr>
        <w:t>(Brown et al. 2012</w:t>
      </w:r>
      <w:r>
        <w:rPr>
          <w:rFonts w:cs="Times New Roman"/>
        </w:rPr>
        <w:t>a</w:t>
      </w:r>
      <w:r w:rsidRPr="005B0B1A">
        <w:rPr>
          <w:rFonts w:cs="Times New Roman"/>
        </w:rPr>
        <w:t xml:space="preserve">; Heinicke et al. 2012). However, </w:t>
      </w:r>
      <w:r>
        <w:rPr>
          <w:rFonts w:cs="Times New Roman"/>
        </w:rPr>
        <w:t xml:space="preserve">a </w:t>
      </w:r>
      <w:r w:rsidRPr="005B0B1A">
        <w:rPr>
          <w:rFonts w:cs="Times New Roman"/>
        </w:rPr>
        <w:t xml:space="preserve">taxonomic </w:t>
      </w:r>
      <w:r>
        <w:rPr>
          <w:rFonts w:cs="Times New Roman"/>
        </w:rPr>
        <w:t>reappraisal of</w:t>
      </w:r>
      <w:r w:rsidRPr="005B0B1A">
        <w:rPr>
          <w:rFonts w:cs="Times New Roman"/>
        </w:rPr>
        <w:t xml:space="preserve"> </w:t>
      </w:r>
      <w:r w:rsidRPr="005B0B1A">
        <w:rPr>
          <w:rFonts w:cs="Times New Roman"/>
          <w:i/>
          <w:iCs/>
        </w:rPr>
        <w:t>Lepidodactylus</w:t>
      </w:r>
      <w:r w:rsidRPr="005B0B1A">
        <w:rPr>
          <w:rFonts w:cs="Times New Roman"/>
        </w:rPr>
        <w:t xml:space="preserve"> </w:t>
      </w:r>
      <w:r>
        <w:rPr>
          <w:rFonts w:cs="Times New Roman"/>
        </w:rPr>
        <w:t xml:space="preserve">species diversity </w:t>
      </w:r>
      <w:r w:rsidRPr="005B0B1A">
        <w:rPr>
          <w:rFonts w:cs="Times New Roman"/>
        </w:rPr>
        <w:t xml:space="preserve">in the Philippines </w:t>
      </w:r>
      <w:r>
        <w:rPr>
          <w:rFonts w:cs="Times New Roman"/>
        </w:rPr>
        <w:t>is still</w:t>
      </w:r>
      <w:r w:rsidRPr="005B0B1A">
        <w:rPr>
          <w:rFonts w:cs="Times New Roman"/>
        </w:rPr>
        <w:t xml:space="preserve"> lacking. </w:t>
      </w:r>
      <w:bookmarkEnd w:id="0"/>
      <w:r w:rsidRPr="005B0B1A">
        <w:rPr>
          <w:rFonts w:cs="Times New Roman"/>
        </w:rPr>
        <w:t xml:space="preserve">Seven </w:t>
      </w:r>
      <w:r w:rsidRPr="005B0B1A">
        <w:rPr>
          <w:rFonts w:cs="Times New Roman"/>
          <w:i/>
        </w:rPr>
        <w:t>Lepidodactylus</w:t>
      </w:r>
      <w:r w:rsidRPr="005B0B1A">
        <w:rPr>
          <w:rFonts w:cs="Times New Roman"/>
        </w:rPr>
        <w:t xml:space="preserve"> species are recognized from the archipelago with the most recent addition, </w:t>
      </w:r>
      <w:r w:rsidRPr="005B0B1A">
        <w:rPr>
          <w:rFonts w:cs="Times New Roman"/>
          <w:i/>
        </w:rPr>
        <w:t>L</w:t>
      </w:r>
      <w:r w:rsidRPr="005B0B1A">
        <w:rPr>
          <w:rFonts w:cs="Times New Roman"/>
        </w:rPr>
        <w:t xml:space="preserve">. </w:t>
      </w:r>
      <w:r w:rsidRPr="005B0B1A">
        <w:rPr>
          <w:rFonts w:cs="Times New Roman"/>
          <w:i/>
        </w:rPr>
        <w:t>balioburius</w:t>
      </w:r>
      <w:r w:rsidRPr="005B0B1A">
        <w:rPr>
          <w:rFonts w:cs="Times New Roman"/>
        </w:rPr>
        <w:t xml:space="preserve">, having been described 30 years ago (Duméril and Bibron 1836; Peters 1867; Stejneger 1905; Taylor 1915; Taylor 1917; Taylor 1923; </w:t>
      </w:r>
      <w:r>
        <w:rPr>
          <w:rFonts w:cs="Times New Roman"/>
        </w:rPr>
        <w:t xml:space="preserve">Brown and Alcala 1978; </w:t>
      </w:r>
      <w:r w:rsidRPr="005B0B1A">
        <w:rPr>
          <w:rFonts w:cs="Times New Roman"/>
        </w:rPr>
        <w:t>Ota and Crombie 1989).</w:t>
      </w:r>
    </w:p>
    <w:p w14:paraId="565D0564" w14:textId="77777777" w:rsidR="00F6339D" w:rsidRPr="00372BA9" w:rsidRDefault="00F6339D" w:rsidP="00F6339D">
      <w:pPr>
        <w:spacing w:line="480" w:lineRule="auto"/>
        <w:ind w:firstLine="360"/>
        <w:rPr>
          <w:rFonts w:cs="Times New Roman"/>
        </w:rPr>
      </w:pPr>
      <w:r w:rsidRPr="002A34DE">
        <w:rPr>
          <w:rFonts w:cs="Times New Roman"/>
        </w:rPr>
        <w:lastRenderedPageBreak/>
        <w:t>Scaly</w:t>
      </w:r>
      <w:r>
        <w:rPr>
          <w:rFonts w:cs="Times New Roman"/>
        </w:rPr>
        <w:t>-t</w:t>
      </w:r>
      <w:r w:rsidRPr="002A34DE">
        <w:rPr>
          <w:rFonts w:cs="Times New Roman"/>
        </w:rPr>
        <w:t xml:space="preserve">oed </w:t>
      </w:r>
      <w:r>
        <w:rPr>
          <w:rFonts w:cs="Times New Roman"/>
        </w:rPr>
        <w:t>G</w:t>
      </w:r>
      <w:r w:rsidRPr="002A34DE">
        <w:rPr>
          <w:rFonts w:cs="Times New Roman"/>
        </w:rPr>
        <w:t xml:space="preserve">eckos of the genus </w:t>
      </w:r>
      <w:r w:rsidRPr="002A34DE">
        <w:rPr>
          <w:rFonts w:cs="Times New Roman"/>
          <w:i/>
        </w:rPr>
        <w:t>Lepidodactylus</w:t>
      </w:r>
      <w:r w:rsidRPr="002A34DE">
        <w:rPr>
          <w:rFonts w:cs="Times New Roman"/>
        </w:rPr>
        <w:t xml:space="preserve"> are small</w:t>
      </w:r>
      <w:r>
        <w:rPr>
          <w:rFonts w:cs="Times New Roman"/>
        </w:rPr>
        <w:t>-</w:t>
      </w:r>
      <w:r w:rsidRPr="002A34DE">
        <w:rPr>
          <w:rFonts w:cs="Times New Roman"/>
        </w:rPr>
        <w:t>bodied species found across Southeast Asia and Oceania. Most species appear to have limited ranges along coastal habitats (</w:t>
      </w:r>
      <w:bookmarkStart w:id="1" w:name="_Hlk4699530"/>
      <w:r w:rsidRPr="002A34DE">
        <w:rPr>
          <w:rFonts w:cs="Times New Roman"/>
        </w:rPr>
        <w:t>Brown and Parker 1977; Brown and Alcala 1978</w:t>
      </w:r>
      <w:bookmarkEnd w:id="1"/>
      <w:r>
        <w:rPr>
          <w:rFonts w:cs="Times New Roman"/>
        </w:rPr>
        <w:t xml:space="preserve">; </w:t>
      </w:r>
      <w:r w:rsidRPr="009F07CC">
        <w:rPr>
          <w:rFonts w:cs="Times New Roman"/>
        </w:rPr>
        <w:t>Bauer and Henle 1994</w:t>
      </w:r>
      <w:r w:rsidRPr="002A34DE">
        <w:rPr>
          <w:rFonts w:cs="Times New Roman"/>
        </w:rPr>
        <w:t>), except for the wide</w:t>
      </w:r>
      <w:r>
        <w:rPr>
          <w:rFonts w:cs="Times New Roman"/>
        </w:rPr>
        <w:t>-</w:t>
      </w:r>
      <w:r w:rsidRPr="002A34DE">
        <w:rPr>
          <w:rFonts w:cs="Times New Roman"/>
        </w:rPr>
        <w:t xml:space="preserve">ranging </w:t>
      </w:r>
      <w:r w:rsidRPr="002A34DE">
        <w:rPr>
          <w:rFonts w:cs="Times New Roman"/>
          <w:i/>
        </w:rPr>
        <w:t>L. lugubris</w:t>
      </w:r>
      <w:r>
        <w:rPr>
          <w:rFonts w:cs="Times New Roman"/>
          <w:i/>
        </w:rPr>
        <w:t>,</w:t>
      </w:r>
      <w:r w:rsidRPr="002A34DE">
        <w:rPr>
          <w:rFonts w:cs="Times New Roman"/>
        </w:rPr>
        <w:t xml:space="preserve"> which, </w:t>
      </w:r>
      <w:r>
        <w:rPr>
          <w:rFonts w:cs="Times New Roman"/>
        </w:rPr>
        <w:t>presumably due to its</w:t>
      </w:r>
      <w:r w:rsidRPr="002A34DE">
        <w:rPr>
          <w:rFonts w:cs="Times New Roman"/>
        </w:rPr>
        <w:t xml:space="preserve"> parthenogenetic reproductive mod</w:t>
      </w:r>
      <w:r>
        <w:rPr>
          <w:rFonts w:cs="Times New Roman"/>
        </w:rPr>
        <w:t>e</w:t>
      </w:r>
      <w:r w:rsidRPr="002A34DE">
        <w:rPr>
          <w:rFonts w:cs="Times New Roman"/>
        </w:rPr>
        <w:t xml:space="preserve">, is thought to be native throughout most of insular Southeast Asia and the Pacific (Ota </w:t>
      </w:r>
      <w:r>
        <w:rPr>
          <w:rFonts w:cs="Times New Roman"/>
        </w:rPr>
        <w:t>et al.</w:t>
      </w:r>
      <w:r w:rsidRPr="002A34DE">
        <w:rPr>
          <w:rFonts w:cs="Times New Roman"/>
        </w:rPr>
        <w:t xml:space="preserve"> 1995; Radtkey </w:t>
      </w:r>
      <w:r>
        <w:rPr>
          <w:rFonts w:cs="Times New Roman"/>
        </w:rPr>
        <w:t>et al.</w:t>
      </w:r>
      <w:r w:rsidRPr="002A34DE">
        <w:rPr>
          <w:rFonts w:cs="Times New Roman"/>
        </w:rPr>
        <w:t xml:space="preserve"> 1995). </w:t>
      </w:r>
      <w:bookmarkStart w:id="2" w:name="_Hlk50754735"/>
      <w:r>
        <w:rPr>
          <w:rFonts w:cs="Times New Roman"/>
        </w:rPr>
        <w:t xml:space="preserve">With 41 species of </w:t>
      </w:r>
      <w:r>
        <w:rPr>
          <w:rFonts w:cs="Times New Roman"/>
          <w:i/>
          <w:iCs/>
        </w:rPr>
        <w:t xml:space="preserve">Lepidodactylus </w:t>
      </w:r>
      <w:r>
        <w:rPr>
          <w:rFonts w:cs="Times New Roman"/>
        </w:rPr>
        <w:t>recognized to date, the genus represents a diverse array of gekkonid species and the Philippines in particular, w</w:t>
      </w:r>
      <w:r w:rsidRPr="002A34DE">
        <w:rPr>
          <w:rFonts w:cs="Times New Roman"/>
        </w:rPr>
        <w:t>ith six endemic species</w:t>
      </w:r>
      <w:r>
        <w:rPr>
          <w:rFonts w:cs="Times New Roman"/>
        </w:rPr>
        <w:t xml:space="preserve"> (</w:t>
      </w:r>
      <w:r>
        <w:rPr>
          <w:rFonts w:cs="Times New Roman"/>
          <w:i/>
        </w:rPr>
        <w:t>L</w:t>
      </w:r>
      <w:r>
        <w:rPr>
          <w:rFonts w:cs="Times New Roman"/>
        </w:rPr>
        <w:t xml:space="preserve">. </w:t>
      </w:r>
      <w:r>
        <w:rPr>
          <w:rFonts w:cs="Times New Roman"/>
          <w:i/>
        </w:rPr>
        <w:t>aureolineatus</w:t>
      </w:r>
      <w:r>
        <w:rPr>
          <w:rFonts w:cs="Times New Roman"/>
        </w:rPr>
        <w:t xml:space="preserve">, </w:t>
      </w:r>
      <w:r>
        <w:rPr>
          <w:rFonts w:cs="Times New Roman"/>
          <w:i/>
        </w:rPr>
        <w:t>L. balioburius, L. christiani</w:t>
      </w:r>
      <w:r>
        <w:rPr>
          <w:rFonts w:cs="Times New Roman"/>
        </w:rPr>
        <w:t xml:space="preserve">, </w:t>
      </w:r>
      <w:r>
        <w:rPr>
          <w:rFonts w:cs="Times New Roman"/>
          <w:i/>
        </w:rPr>
        <w:t>L. herrrei</w:t>
      </w:r>
      <w:r>
        <w:rPr>
          <w:rFonts w:cs="Times New Roman"/>
        </w:rPr>
        <w:t xml:space="preserve">, </w:t>
      </w:r>
      <w:r>
        <w:rPr>
          <w:rFonts w:cs="Times New Roman"/>
          <w:i/>
        </w:rPr>
        <w:t>L. labialis</w:t>
      </w:r>
      <w:r>
        <w:rPr>
          <w:rFonts w:cs="Times New Roman"/>
        </w:rPr>
        <w:t>, and</w:t>
      </w:r>
      <w:r w:rsidRPr="002A34DE">
        <w:rPr>
          <w:rFonts w:cs="Times New Roman"/>
        </w:rPr>
        <w:t xml:space="preserve"> </w:t>
      </w:r>
      <w:r>
        <w:rPr>
          <w:rFonts w:cs="Times New Roman"/>
          <w:i/>
        </w:rPr>
        <w:t>L. planicaudus</w:t>
      </w:r>
      <w:r>
        <w:rPr>
          <w:rFonts w:cs="Times New Roman"/>
          <w:iCs/>
        </w:rPr>
        <w:t>)</w:t>
      </w:r>
      <w:r>
        <w:rPr>
          <w:rFonts w:cs="Times New Roman"/>
        </w:rPr>
        <w:t xml:space="preserve">, </w:t>
      </w:r>
      <w:r w:rsidRPr="002A34DE">
        <w:rPr>
          <w:rFonts w:cs="Times New Roman"/>
        </w:rPr>
        <w:t xml:space="preserve">and the widespread </w:t>
      </w:r>
      <w:r>
        <w:rPr>
          <w:rFonts w:cs="Times New Roman"/>
        </w:rPr>
        <w:t xml:space="preserve">Southeast Asian taxon </w:t>
      </w:r>
      <w:r w:rsidRPr="002A34DE">
        <w:rPr>
          <w:rFonts w:cs="Times New Roman"/>
          <w:i/>
        </w:rPr>
        <w:t>L. lugubris</w:t>
      </w:r>
      <w:r>
        <w:rPr>
          <w:rFonts w:cs="Times New Roman"/>
          <w:i/>
        </w:rPr>
        <w:t xml:space="preserve"> </w:t>
      </w:r>
      <w:r>
        <w:rPr>
          <w:rFonts w:cs="Times New Roman"/>
          <w:iCs/>
        </w:rPr>
        <w:t>present</w:t>
      </w:r>
      <w:r w:rsidRPr="002A34DE">
        <w:rPr>
          <w:rFonts w:cs="Times New Roman"/>
        </w:rPr>
        <w:t xml:space="preserve">, </w:t>
      </w:r>
      <w:r>
        <w:rPr>
          <w:rFonts w:cs="Times New Roman"/>
        </w:rPr>
        <w:t>is</w:t>
      </w:r>
      <w:r w:rsidRPr="002A34DE">
        <w:rPr>
          <w:rFonts w:cs="Times New Roman"/>
        </w:rPr>
        <w:t xml:space="preserve"> home to one of the most </w:t>
      </w:r>
      <w:r>
        <w:rPr>
          <w:rFonts w:cs="Times New Roman"/>
        </w:rPr>
        <w:t>varied</w:t>
      </w:r>
      <w:r w:rsidRPr="002A34DE">
        <w:rPr>
          <w:rFonts w:cs="Times New Roman"/>
        </w:rPr>
        <w:t xml:space="preserve"> assemblages of </w:t>
      </w:r>
      <w:r>
        <w:rPr>
          <w:rFonts w:cs="Times New Roman"/>
        </w:rPr>
        <w:t>S</w:t>
      </w:r>
      <w:r w:rsidRPr="002A34DE">
        <w:rPr>
          <w:rFonts w:cs="Times New Roman"/>
        </w:rPr>
        <w:t>caly</w:t>
      </w:r>
      <w:r>
        <w:rPr>
          <w:rFonts w:cs="Times New Roman"/>
        </w:rPr>
        <w:t>-t</w:t>
      </w:r>
      <w:r w:rsidRPr="002A34DE">
        <w:rPr>
          <w:rFonts w:cs="Times New Roman"/>
        </w:rPr>
        <w:t xml:space="preserve">oed </w:t>
      </w:r>
      <w:r>
        <w:rPr>
          <w:rFonts w:cs="Times New Roman"/>
        </w:rPr>
        <w:t>G</w:t>
      </w:r>
      <w:r w:rsidRPr="002A34DE">
        <w:rPr>
          <w:rFonts w:cs="Times New Roman"/>
        </w:rPr>
        <w:t>eckos in the world (Brown and Parker 1977; Brown and Alcala 1978; Ota and Crombie 1989</w:t>
      </w:r>
      <w:r>
        <w:rPr>
          <w:rFonts w:cs="Times New Roman"/>
        </w:rPr>
        <w:t>; Uetz et al. 2020</w:t>
      </w:r>
      <w:r w:rsidRPr="002A34DE">
        <w:rPr>
          <w:rFonts w:cs="Times New Roman"/>
        </w:rPr>
        <w:t xml:space="preserve">). </w:t>
      </w:r>
      <w:bookmarkEnd w:id="2"/>
      <w:r w:rsidRPr="002A34DE">
        <w:rPr>
          <w:rFonts w:cs="Times New Roman"/>
        </w:rPr>
        <w:t xml:space="preserve">Interestingly, </w:t>
      </w:r>
      <w:r>
        <w:rPr>
          <w:rFonts w:cs="Times New Roman"/>
        </w:rPr>
        <w:t xml:space="preserve">nearly </w:t>
      </w:r>
      <w:r w:rsidRPr="002A34DE">
        <w:rPr>
          <w:rFonts w:cs="Times New Roman"/>
        </w:rPr>
        <w:t>all species described to date occur in central or southern faunal regions or Pleistocene Aggerate Island Complexes</w:t>
      </w:r>
      <w:r>
        <w:rPr>
          <w:rFonts w:cs="Times New Roman"/>
        </w:rPr>
        <w:t xml:space="preserve"> of the island archipelago (PAICs; </w:t>
      </w:r>
      <w:r w:rsidRPr="002A34DE">
        <w:rPr>
          <w:rFonts w:cs="Times New Roman"/>
        </w:rPr>
        <w:t>Brown and Guttman 2002</w:t>
      </w:r>
      <w:r>
        <w:rPr>
          <w:rFonts w:cs="Times New Roman"/>
        </w:rPr>
        <w:t xml:space="preserve">; </w:t>
      </w:r>
      <w:r w:rsidRPr="003B2D46">
        <w:rPr>
          <w:rFonts w:cs="Times New Roman"/>
        </w:rPr>
        <w:t>Brown et al. 2013</w:t>
      </w:r>
      <w:r>
        <w:rPr>
          <w:rFonts w:cs="Times New Roman"/>
        </w:rPr>
        <w:t>),</w:t>
      </w:r>
      <w:r w:rsidRPr="002A34DE">
        <w:rPr>
          <w:rFonts w:cs="Times New Roman"/>
        </w:rPr>
        <w:t xml:space="preserve"> </w:t>
      </w:r>
      <w:r>
        <w:rPr>
          <w:rFonts w:cs="Times New Roman"/>
        </w:rPr>
        <w:t>including Mindanao, Mindoro, and West Visayan PAICs (</w:t>
      </w:r>
      <w:r w:rsidRPr="002A34DE">
        <w:rPr>
          <w:rFonts w:cs="Times New Roman"/>
        </w:rPr>
        <w:t>Brown and Parker 1977; Brown and Alcala 1978)</w:t>
      </w:r>
      <w:r>
        <w:rPr>
          <w:rFonts w:cs="Times New Roman"/>
        </w:rPr>
        <w:t xml:space="preserve">. The only exception to this is </w:t>
      </w:r>
      <w:r w:rsidRPr="002A34DE">
        <w:rPr>
          <w:rFonts w:cs="Times New Roman"/>
          <w:i/>
        </w:rPr>
        <w:t>L. balioburiu</w:t>
      </w:r>
      <w:r>
        <w:rPr>
          <w:rFonts w:cs="Times New Roman"/>
          <w:i/>
        </w:rPr>
        <w:t xml:space="preserve">s </w:t>
      </w:r>
      <w:r w:rsidRPr="002A34DE">
        <w:rPr>
          <w:rFonts w:cs="Times New Roman"/>
        </w:rPr>
        <w:t xml:space="preserve">from the Batanes </w:t>
      </w:r>
      <w:r>
        <w:rPr>
          <w:rFonts w:cs="Times New Roman"/>
        </w:rPr>
        <w:t>Island Group</w:t>
      </w:r>
      <w:r w:rsidRPr="002A34DE">
        <w:rPr>
          <w:rFonts w:cs="Times New Roman"/>
        </w:rPr>
        <w:t xml:space="preserve"> in the extreme northern extent </w:t>
      </w:r>
      <w:r>
        <w:rPr>
          <w:rFonts w:cs="Times New Roman"/>
        </w:rPr>
        <w:t xml:space="preserve">of the country </w:t>
      </w:r>
      <w:r w:rsidRPr="002A34DE">
        <w:rPr>
          <w:rFonts w:cs="Times New Roman"/>
        </w:rPr>
        <w:t xml:space="preserve">(Ota and Crombie 1989). Despite being the largest </w:t>
      </w:r>
      <w:r>
        <w:rPr>
          <w:rFonts w:cs="Times New Roman"/>
        </w:rPr>
        <w:t>island</w:t>
      </w:r>
      <w:r w:rsidRPr="002A34DE">
        <w:rPr>
          <w:rFonts w:cs="Times New Roman"/>
        </w:rPr>
        <w:t xml:space="preserve"> in the </w:t>
      </w:r>
      <w:r>
        <w:rPr>
          <w:rFonts w:cs="Times New Roman"/>
        </w:rPr>
        <w:t xml:space="preserve">Philippine </w:t>
      </w:r>
      <w:r w:rsidRPr="002A34DE">
        <w:rPr>
          <w:rFonts w:cs="Times New Roman"/>
        </w:rPr>
        <w:t xml:space="preserve">archipelago, no species have </w:t>
      </w:r>
      <w:r>
        <w:rPr>
          <w:rFonts w:cs="Times New Roman"/>
        </w:rPr>
        <w:t>been</w:t>
      </w:r>
      <w:r w:rsidRPr="002A34DE">
        <w:rPr>
          <w:rFonts w:cs="Times New Roman"/>
        </w:rPr>
        <w:t xml:space="preserve"> described from Luzon proper</w:t>
      </w:r>
      <w:r>
        <w:rPr>
          <w:rFonts w:cs="Times New Roman"/>
        </w:rPr>
        <w:t xml:space="preserve"> to date</w:t>
      </w:r>
      <w:r w:rsidRPr="002A34DE">
        <w:rPr>
          <w:rFonts w:cs="Times New Roman"/>
        </w:rPr>
        <w:t>.</w:t>
      </w:r>
    </w:p>
    <w:p w14:paraId="49A4B0C2" w14:textId="77777777" w:rsidR="00F6339D" w:rsidRPr="00D85193" w:rsidRDefault="00F6339D" w:rsidP="00F6339D">
      <w:pPr>
        <w:widowControl w:val="0"/>
        <w:autoSpaceDE w:val="0"/>
        <w:autoSpaceDN w:val="0"/>
        <w:adjustRightInd w:val="0"/>
        <w:spacing w:line="480" w:lineRule="auto"/>
        <w:ind w:firstLine="360"/>
        <w:rPr>
          <w:rFonts w:cs="Times New Roman"/>
        </w:rPr>
      </w:pPr>
      <w:r w:rsidRPr="002A34DE">
        <w:rPr>
          <w:rFonts w:cs="Times New Roman"/>
        </w:rPr>
        <w:t xml:space="preserve">Over the last </w:t>
      </w:r>
      <w:r>
        <w:rPr>
          <w:rFonts w:cs="Times New Roman"/>
        </w:rPr>
        <w:t>15</w:t>
      </w:r>
      <w:r w:rsidRPr="002A34DE">
        <w:rPr>
          <w:rFonts w:cs="Times New Roman"/>
        </w:rPr>
        <w:t xml:space="preserve"> years, our collaborative herpetofaunal surveys across the Philippines </w:t>
      </w:r>
      <w:r>
        <w:rPr>
          <w:rFonts w:cs="Times New Roman"/>
        </w:rPr>
        <w:t>(</w:t>
      </w:r>
      <w:r w:rsidRPr="003B2D46">
        <w:rPr>
          <w:rFonts w:cs="Times New Roman"/>
        </w:rPr>
        <w:t>Brown et al. 2013</w:t>
      </w:r>
      <w:r>
        <w:rPr>
          <w:rFonts w:cs="Times New Roman"/>
        </w:rPr>
        <w:t xml:space="preserve">) </w:t>
      </w:r>
      <w:r w:rsidRPr="002A34DE">
        <w:rPr>
          <w:rFonts w:cs="Times New Roman"/>
        </w:rPr>
        <w:t xml:space="preserve">have resulted in the gradual acquisition of </w:t>
      </w:r>
      <w:r w:rsidRPr="002A34DE">
        <w:rPr>
          <w:rFonts w:cs="Times New Roman"/>
          <w:i/>
        </w:rPr>
        <w:t xml:space="preserve">Lepidodactylus </w:t>
      </w:r>
      <w:r w:rsidRPr="002A34DE">
        <w:rPr>
          <w:rFonts w:cs="Times New Roman"/>
        </w:rPr>
        <w:t>specimens from the central and northern regions of the archipelago, including across Luzon Island.</w:t>
      </w:r>
      <w:r>
        <w:rPr>
          <w:rFonts w:cs="Times New Roman"/>
        </w:rPr>
        <w:t xml:space="preserve"> Assignment of such individuals to known species has proven difficult due to the morphologically conserved nature of taxa within the genus</w:t>
      </w:r>
      <w:r w:rsidRPr="002A34DE">
        <w:rPr>
          <w:rFonts w:cs="Times New Roman"/>
        </w:rPr>
        <w:t>.</w:t>
      </w:r>
      <w:r>
        <w:rPr>
          <w:rFonts w:cs="Times New Roman"/>
        </w:rPr>
        <w:t xml:space="preserve"> Historical recognition of</w:t>
      </w:r>
      <w:r w:rsidRPr="002A34DE">
        <w:rPr>
          <w:rFonts w:cs="Times New Roman"/>
        </w:rPr>
        <w:t xml:space="preserve"> </w:t>
      </w:r>
      <w:r>
        <w:rPr>
          <w:rFonts w:cs="Times New Roman"/>
        </w:rPr>
        <w:t>taxa</w:t>
      </w:r>
      <w:r w:rsidRPr="002A34DE">
        <w:rPr>
          <w:rFonts w:cs="Times New Roman"/>
        </w:rPr>
        <w:t xml:space="preserve"> based on morphological characters </w:t>
      </w:r>
      <w:r>
        <w:rPr>
          <w:rFonts w:cs="Times New Roman"/>
        </w:rPr>
        <w:t>exclusively</w:t>
      </w:r>
      <w:r w:rsidRPr="002A34DE">
        <w:rPr>
          <w:rFonts w:cs="Times New Roman"/>
        </w:rPr>
        <w:t xml:space="preserve"> (Brown and Parker 1977; Brown and Alcala 1978) </w:t>
      </w:r>
      <w:r>
        <w:rPr>
          <w:rFonts w:cs="Times New Roman"/>
        </w:rPr>
        <w:t xml:space="preserve">has led to some confusion </w:t>
      </w:r>
      <w:r>
        <w:rPr>
          <w:rFonts w:cs="Times New Roman"/>
        </w:rPr>
        <w:lastRenderedPageBreak/>
        <w:t xml:space="preserve">between specimens placed in </w:t>
      </w:r>
      <w:r>
        <w:rPr>
          <w:rFonts w:cs="Times New Roman"/>
          <w:i/>
        </w:rPr>
        <w:t xml:space="preserve">Lepidodactylus </w:t>
      </w:r>
      <w:r>
        <w:rPr>
          <w:rFonts w:cs="Times New Roman"/>
        </w:rPr>
        <w:t xml:space="preserve">and the closely related genus </w:t>
      </w:r>
      <w:r w:rsidRPr="002A34DE">
        <w:rPr>
          <w:rFonts w:cs="Times New Roman"/>
          <w:i/>
        </w:rPr>
        <w:t xml:space="preserve">Pseudogekko </w:t>
      </w:r>
      <w:r w:rsidRPr="002A34DE">
        <w:rPr>
          <w:rFonts w:cs="Times New Roman"/>
        </w:rPr>
        <w:t>(</w:t>
      </w:r>
      <w:r>
        <w:rPr>
          <w:rFonts w:cs="Times New Roman"/>
        </w:rPr>
        <w:t xml:space="preserve">Kluge 1968; Brown and Alcala 1978; Siler et al. 2014a). To prevent further taxonomic inconsistencies, all </w:t>
      </w:r>
      <w:r>
        <w:rPr>
          <w:rFonts w:cs="Times New Roman"/>
          <w:i/>
        </w:rPr>
        <w:t>Lepidodactylus</w:t>
      </w:r>
      <w:r>
        <w:rPr>
          <w:rFonts w:cs="Times New Roman"/>
        </w:rPr>
        <w:t xml:space="preserve"> specimens collected within the past 15 years have been assigned to </w:t>
      </w:r>
      <w:r>
        <w:rPr>
          <w:rFonts w:cs="Times New Roman"/>
          <w:i/>
        </w:rPr>
        <w:t xml:space="preserve">L. </w:t>
      </w:r>
      <w:r>
        <w:rPr>
          <w:rFonts w:cs="Times New Roman"/>
        </w:rPr>
        <w:t xml:space="preserve">cf. </w:t>
      </w:r>
      <w:r>
        <w:rPr>
          <w:rFonts w:cs="Times New Roman"/>
          <w:i/>
        </w:rPr>
        <w:t>lugubris</w:t>
      </w:r>
      <w:r>
        <w:rPr>
          <w:rFonts w:cs="Times New Roman"/>
        </w:rPr>
        <w:t xml:space="preserve"> pending in-depth morphological and phylogenetic examination.</w:t>
      </w:r>
    </w:p>
    <w:p w14:paraId="4E1DDDBD" w14:textId="77777777" w:rsidR="00F6339D" w:rsidRPr="002A34DE" w:rsidRDefault="00F6339D" w:rsidP="00F6339D">
      <w:pPr>
        <w:spacing w:line="480" w:lineRule="auto"/>
        <w:ind w:firstLine="360"/>
        <w:rPr>
          <w:rFonts w:cs="Times New Roman"/>
        </w:rPr>
      </w:pPr>
      <w:r>
        <w:rPr>
          <w:rFonts w:cs="Times New Roman"/>
        </w:rPr>
        <w:t>More recently, p</w:t>
      </w:r>
      <w:r w:rsidRPr="002A34DE">
        <w:rPr>
          <w:rFonts w:cs="Times New Roman"/>
        </w:rPr>
        <w:t>hylogenetic studies of Old</w:t>
      </w:r>
      <w:r>
        <w:rPr>
          <w:rFonts w:cs="Times New Roman"/>
        </w:rPr>
        <w:t xml:space="preserve"> </w:t>
      </w:r>
      <w:r w:rsidRPr="002A34DE">
        <w:rPr>
          <w:rFonts w:cs="Times New Roman"/>
        </w:rPr>
        <w:t>World geckos have started to shed light on species</w:t>
      </w:r>
      <w:r>
        <w:rPr>
          <w:rFonts w:cs="Times New Roman"/>
        </w:rPr>
        <w:t>-</w:t>
      </w:r>
      <w:r w:rsidRPr="002A34DE">
        <w:rPr>
          <w:rFonts w:cs="Times New Roman"/>
        </w:rPr>
        <w:t xml:space="preserve">level relationships within </w:t>
      </w:r>
      <w:r w:rsidRPr="002A34DE">
        <w:rPr>
          <w:rFonts w:cs="Times New Roman"/>
          <w:i/>
        </w:rPr>
        <w:t xml:space="preserve">Lepidodactylus </w:t>
      </w:r>
      <w:r w:rsidRPr="002A34DE">
        <w:rPr>
          <w:rFonts w:cs="Times New Roman"/>
        </w:rPr>
        <w:t>as well as how the genus fits into the larger gekkonid tree</w:t>
      </w:r>
      <w:r>
        <w:rPr>
          <w:rFonts w:cs="Times New Roman"/>
        </w:rPr>
        <w:t xml:space="preserve"> </w:t>
      </w:r>
      <w:r w:rsidRPr="002A34DE">
        <w:rPr>
          <w:rFonts w:cs="Times New Roman"/>
        </w:rPr>
        <w:t>of</w:t>
      </w:r>
      <w:r>
        <w:rPr>
          <w:rFonts w:cs="Times New Roman"/>
        </w:rPr>
        <w:t xml:space="preserve"> </w:t>
      </w:r>
      <w:r w:rsidRPr="002A34DE">
        <w:rPr>
          <w:rFonts w:cs="Times New Roman"/>
        </w:rPr>
        <w:t xml:space="preserve">life (Radtkey </w:t>
      </w:r>
      <w:r>
        <w:rPr>
          <w:rFonts w:cs="Times New Roman"/>
        </w:rPr>
        <w:t>et al.</w:t>
      </w:r>
      <w:r w:rsidRPr="002A34DE">
        <w:rPr>
          <w:rFonts w:cs="Times New Roman"/>
        </w:rPr>
        <w:t xml:space="preserve"> 1995; Heinicke </w:t>
      </w:r>
      <w:r>
        <w:rPr>
          <w:rFonts w:cs="Times New Roman"/>
        </w:rPr>
        <w:t>et al.</w:t>
      </w:r>
      <w:r w:rsidRPr="002A34DE">
        <w:rPr>
          <w:rFonts w:cs="Times New Roman"/>
        </w:rPr>
        <w:t xml:space="preserve"> 2012; Oliver </w:t>
      </w:r>
      <w:r>
        <w:rPr>
          <w:rFonts w:cs="Times New Roman"/>
        </w:rPr>
        <w:t>et al.</w:t>
      </w:r>
      <w:r w:rsidRPr="002A34DE">
        <w:rPr>
          <w:rFonts w:cs="Times New Roman"/>
        </w:rPr>
        <w:t xml:space="preserve"> 2018). </w:t>
      </w:r>
      <w:r>
        <w:rPr>
          <w:rFonts w:cs="Times New Roman"/>
        </w:rPr>
        <w:t>As of 25 years ago</w:t>
      </w:r>
      <w:r w:rsidRPr="002A34DE">
        <w:rPr>
          <w:rFonts w:cs="Times New Roman"/>
        </w:rPr>
        <w:t xml:space="preserve">, the first phylogenetic analysis inclusive of Philippine </w:t>
      </w:r>
      <w:r>
        <w:rPr>
          <w:rFonts w:cs="Times New Roman"/>
        </w:rPr>
        <w:t>S</w:t>
      </w:r>
      <w:r w:rsidRPr="002A34DE">
        <w:rPr>
          <w:rFonts w:cs="Times New Roman"/>
        </w:rPr>
        <w:t>caly</w:t>
      </w:r>
      <w:r>
        <w:rPr>
          <w:rFonts w:cs="Times New Roman"/>
        </w:rPr>
        <w:t>-t</w:t>
      </w:r>
      <w:r w:rsidRPr="002A34DE">
        <w:rPr>
          <w:rFonts w:cs="Times New Roman"/>
        </w:rPr>
        <w:t xml:space="preserve">oed </w:t>
      </w:r>
      <w:r>
        <w:rPr>
          <w:rFonts w:cs="Times New Roman"/>
        </w:rPr>
        <w:t>G</w:t>
      </w:r>
      <w:r w:rsidRPr="002A34DE">
        <w:rPr>
          <w:rFonts w:cs="Times New Roman"/>
        </w:rPr>
        <w:t>ecko</w:t>
      </w:r>
      <w:r>
        <w:rPr>
          <w:rFonts w:cs="Times New Roman"/>
        </w:rPr>
        <w:t>s</w:t>
      </w:r>
      <w:r w:rsidRPr="002A34DE">
        <w:rPr>
          <w:rFonts w:cs="Times New Roman"/>
        </w:rPr>
        <w:t xml:space="preserve"> provided support for the validity of </w:t>
      </w:r>
      <w:r w:rsidRPr="002A34DE">
        <w:rPr>
          <w:rFonts w:cs="Times New Roman"/>
          <w:i/>
        </w:rPr>
        <w:t>L. aureolineatus</w:t>
      </w:r>
      <w:r w:rsidRPr="002A34DE">
        <w:rPr>
          <w:rFonts w:cs="Times New Roman"/>
        </w:rPr>
        <w:t xml:space="preserve">, </w:t>
      </w:r>
      <w:r w:rsidRPr="002A34DE">
        <w:rPr>
          <w:rFonts w:cs="Times New Roman"/>
          <w:i/>
        </w:rPr>
        <w:t>L. herrei</w:t>
      </w:r>
      <w:r w:rsidRPr="002A34DE">
        <w:rPr>
          <w:rFonts w:cs="Times New Roman"/>
        </w:rPr>
        <w:t xml:space="preserve">, and </w:t>
      </w:r>
      <w:r w:rsidRPr="002A34DE">
        <w:rPr>
          <w:rFonts w:cs="Times New Roman"/>
          <w:i/>
        </w:rPr>
        <w:t>L. christiani</w:t>
      </w:r>
      <w:r w:rsidRPr="002A34DE">
        <w:rPr>
          <w:rFonts w:cs="Times New Roman"/>
        </w:rPr>
        <w:t xml:space="preserve"> as distinct evolutionary lineages (Radtkey </w:t>
      </w:r>
      <w:r>
        <w:rPr>
          <w:rFonts w:cs="Times New Roman"/>
        </w:rPr>
        <w:t>et al.</w:t>
      </w:r>
      <w:r w:rsidRPr="002A34DE">
        <w:rPr>
          <w:rFonts w:cs="Times New Roman"/>
        </w:rPr>
        <w:t xml:space="preserve"> 1995).</w:t>
      </w:r>
      <w:r>
        <w:rPr>
          <w:rFonts w:cs="Times New Roman"/>
        </w:rPr>
        <w:t xml:space="preserve"> </w:t>
      </w:r>
      <w:r w:rsidRPr="002A34DE">
        <w:rPr>
          <w:rFonts w:cs="Times New Roman"/>
        </w:rPr>
        <w:t>Heinicke et al. (2012) include</w:t>
      </w:r>
      <w:r>
        <w:rPr>
          <w:rFonts w:cs="Times New Roman"/>
        </w:rPr>
        <w:t>d</w:t>
      </w:r>
      <w:r w:rsidRPr="002A34DE">
        <w:rPr>
          <w:rFonts w:cs="Times New Roman"/>
        </w:rPr>
        <w:t xml:space="preserve"> a single Philippine </w:t>
      </w:r>
      <w:r w:rsidRPr="002A34DE">
        <w:rPr>
          <w:rFonts w:cs="Times New Roman"/>
          <w:i/>
        </w:rPr>
        <w:t xml:space="preserve">L. lugubris </w:t>
      </w:r>
      <w:r>
        <w:rPr>
          <w:rFonts w:cs="Times New Roman"/>
        </w:rPr>
        <w:t>specimen collected in the Philippines in</w:t>
      </w:r>
      <w:r w:rsidRPr="002A34DE">
        <w:rPr>
          <w:rFonts w:cs="Times New Roman"/>
        </w:rPr>
        <w:t xml:space="preserve"> phylogenetic analyses focused on evolutionary relationships among multiple Asian gecko genera</w:t>
      </w:r>
      <w:r>
        <w:rPr>
          <w:rFonts w:cs="Times New Roman"/>
        </w:rPr>
        <w:t xml:space="preserve"> and found support for the widespread nature of this species.</w:t>
      </w:r>
    </w:p>
    <w:p w14:paraId="6AD07EA3" w14:textId="77777777" w:rsidR="00F6339D" w:rsidRPr="002A34DE" w:rsidRDefault="00F6339D" w:rsidP="00F6339D">
      <w:pPr>
        <w:widowControl w:val="0"/>
        <w:autoSpaceDE w:val="0"/>
        <w:autoSpaceDN w:val="0"/>
        <w:adjustRightInd w:val="0"/>
        <w:spacing w:line="480" w:lineRule="auto"/>
        <w:ind w:firstLine="360"/>
        <w:rPr>
          <w:rFonts w:cs="Times New Roman"/>
        </w:rPr>
      </w:pPr>
      <w:r w:rsidRPr="002A34DE">
        <w:rPr>
          <w:rFonts w:cs="Times New Roman"/>
        </w:rPr>
        <w:t xml:space="preserve">Interestingly, it was not until </w:t>
      </w:r>
      <w:r>
        <w:rPr>
          <w:rFonts w:cs="Times New Roman"/>
        </w:rPr>
        <w:t xml:space="preserve">a few years ago that </w:t>
      </w:r>
      <w:r w:rsidRPr="002A34DE">
        <w:rPr>
          <w:rFonts w:cs="Times New Roman"/>
        </w:rPr>
        <w:t xml:space="preserve">Oliver et al. (2018) </w:t>
      </w:r>
      <w:r>
        <w:rPr>
          <w:rFonts w:cs="Times New Roman"/>
        </w:rPr>
        <w:t>provided a</w:t>
      </w:r>
      <w:r w:rsidRPr="002A34DE">
        <w:rPr>
          <w:rFonts w:cs="Times New Roman"/>
        </w:rPr>
        <w:t xml:space="preserve"> comprehensive phylogeny including </w:t>
      </w:r>
      <w:r>
        <w:rPr>
          <w:rFonts w:cs="Times New Roman"/>
        </w:rPr>
        <w:t>many of the recognized</w:t>
      </w:r>
      <w:r w:rsidRPr="002A34DE">
        <w:rPr>
          <w:rFonts w:cs="Times New Roman"/>
        </w:rPr>
        <w:t xml:space="preserve"> Philippine </w:t>
      </w:r>
      <w:r w:rsidRPr="002A34DE">
        <w:rPr>
          <w:rFonts w:cs="Times New Roman"/>
          <w:i/>
        </w:rPr>
        <w:t>Lepidodactylus</w:t>
      </w:r>
      <w:r w:rsidRPr="002A34DE">
        <w:rPr>
          <w:rFonts w:cs="Times New Roman"/>
        </w:rPr>
        <w:t xml:space="preserve"> </w:t>
      </w:r>
      <w:r>
        <w:rPr>
          <w:rFonts w:cs="Times New Roman"/>
        </w:rPr>
        <w:t>lineages</w:t>
      </w:r>
      <w:r w:rsidRPr="002A34DE">
        <w:rPr>
          <w:rFonts w:cs="Times New Roman"/>
        </w:rPr>
        <w:t xml:space="preserve">. </w:t>
      </w:r>
      <w:r>
        <w:rPr>
          <w:rFonts w:cs="Times New Roman"/>
        </w:rPr>
        <w:t>Although this</w:t>
      </w:r>
      <w:r w:rsidRPr="002A34DE">
        <w:rPr>
          <w:rFonts w:cs="Times New Roman"/>
        </w:rPr>
        <w:t xml:space="preserve"> most recent </w:t>
      </w:r>
      <w:r>
        <w:rPr>
          <w:rFonts w:cs="Times New Roman"/>
        </w:rPr>
        <w:t>study</w:t>
      </w:r>
      <w:r w:rsidRPr="002A34DE">
        <w:rPr>
          <w:rFonts w:cs="Times New Roman"/>
        </w:rPr>
        <w:t xml:space="preserve"> </w:t>
      </w:r>
      <w:r>
        <w:rPr>
          <w:rFonts w:cs="Times New Roman"/>
        </w:rPr>
        <w:t xml:space="preserve">omitted </w:t>
      </w:r>
      <w:r>
        <w:rPr>
          <w:rFonts w:cs="Times New Roman"/>
          <w:i/>
        </w:rPr>
        <w:t xml:space="preserve">L. labialis </w:t>
      </w:r>
      <w:r>
        <w:rPr>
          <w:rFonts w:cs="Times New Roman"/>
        </w:rPr>
        <w:t>due to a lack of genetic material, all other endemic</w:t>
      </w:r>
      <w:r>
        <w:rPr>
          <w:i/>
        </w:rPr>
        <w:t xml:space="preserve"> Lepidodactylus</w:t>
      </w:r>
      <w:r>
        <w:rPr>
          <w:rFonts w:cs="Times New Roman"/>
        </w:rPr>
        <w:t xml:space="preserve"> species as well as a widespread sampling of </w:t>
      </w:r>
      <w:r>
        <w:rPr>
          <w:rFonts w:cs="Times New Roman"/>
          <w:i/>
        </w:rPr>
        <w:t>L. lugubris</w:t>
      </w:r>
      <w:r>
        <w:rPr>
          <w:rFonts w:cs="Times New Roman"/>
          <w:iCs/>
        </w:rPr>
        <w:t xml:space="preserve"> were included</w:t>
      </w:r>
      <w:r>
        <w:rPr>
          <w:rFonts w:cs="Times New Roman"/>
        </w:rPr>
        <w:t>. Despite the study’s focus on higher-level relationships and biogeographic history</w:t>
      </w:r>
      <w:r w:rsidRPr="002A34DE">
        <w:rPr>
          <w:rFonts w:cs="Times New Roman"/>
        </w:rPr>
        <w:t xml:space="preserve"> </w:t>
      </w:r>
      <w:r>
        <w:rPr>
          <w:rFonts w:cs="Times New Roman"/>
        </w:rPr>
        <w:t xml:space="preserve">of the genus, the results highlighted as many </w:t>
      </w:r>
      <w:r w:rsidRPr="002A34DE">
        <w:rPr>
          <w:rFonts w:cs="Times New Roman"/>
        </w:rPr>
        <w:t xml:space="preserve">as six </w:t>
      </w:r>
      <w:r>
        <w:rPr>
          <w:rFonts w:cs="Times New Roman"/>
        </w:rPr>
        <w:t xml:space="preserve">new, undescribed </w:t>
      </w:r>
      <w:r w:rsidRPr="002A34DE">
        <w:rPr>
          <w:rFonts w:cs="Times New Roman"/>
        </w:rPr>
        <w:t>species may persist within the Philippines</w:t>
      </w:r>
      <w:r>
        <w:rPr>
          <w:rFonts w:cs="Times New Roman"/>
        </w:rPr>
        <w:t>. Surprisingly, five of these divergent</w:t>
      </w:r>
      <w:r w:rsidRPr="002A34DE">
        <w:rPr>
          <w:rFonts w:cs="Times New Roman"/>
        </w:rPr>
        <w:t xml:space="preserve"> </w:t>
      </w:r>
      <w:r>
        <w:rPr>
          <w:rFonts w:cs="Times New Roman"/>
        </w:rPr>
        <w:t>lineages are</w:t>
      </w:r>
      <w:r w:rsidRPr="002A34DE">
        <w:rPr>
          <w:rFonts w:cs="Times New Roman"/>
        </w:rPr>
        <w:t xml:space="preserve"> </w:t>
      </w:r>
      <w:r>
        <w:rPr>
          <w:rFonts w:cs="Times New Roman"/>
        </w:rPr>
        <w:t>from the Luzon PAIC and were recovered as part of a</w:t>
      </w:r>
      <w:r w:rsidRPr="002A34DE">
        <w:rPr>
          <w:rFonts w:cs="Times New Roman"/>
        </w:rPr>
        <w:t xml:space="preserve"> clade </w:t>
      </w:r>
      <w:r>
        <w:rPr>
          <w:rFonts w:cs="Times New Roman"/>
        </w:rPr>
        <w:t>with</w:t>
      </w:r>
      <w:r w:rsidRPr="002A34DE">
        <w:rPr>
          <w:rFonts w:cs="Times New Roman"/>
        </w:rPr>
        <w:t xml:space="preserve"> </w:t>
      </w:r>
      <w:r w:rsidRPr="002A34DE">
        <w:rPr>
          <w:rFonts w:cs="Times New Roman"/>
          <w:i/>
        </w:rPr>
        <w:t>L</w:t>
      </w:r>
      <w:r w:rsidRPr="002A34DE">
        <w:rPr>
          <w:rFonts w:cs="Times New Roman"/>
        </w:rPr>
        <w:t xml:space="preserve">. </w:t>
      </w:r>
      <w:r w:rsidRPr="002A34DE">
        <w:rPr>
          <w:rFonts w:cs="Times New Roman"/>
          <w:i/>
        </w:rPr>
        <w:t xml:space="preserve">balioburius </w:t>
      </w:r>
      <w:r w:rsidRPr="002A34DE">
        <w:rPr>
          <w:rFonts w:cs="Times New Roman"/>
        </w:rPr>
        <w:t xml:space="preserve">(Oliver </w:t>
      </w:r>
      <w:r>
        <w:rPr>
          <w:rFonts w:cs="Times New Roman"/>
        </w:rPr>
        <w:t>et al.</w:t>
      </w:r>
      <w:r w:rsidRPr="002A34DE">
        <w:rPr>
          <w:rFonts w:cs="Times New Roman"/>
        </w:rPr>
        <w:t xml:space="preserve"> 2018) and </w:t>
      </w:r>
      <w:r w:rsidRPr="002A34DE">
        <w:rPr>
          <w:rFonts w:cs="Times New Roman"/>
          <w:i/>
        </w:rPr>
        <w:t>L</w:t>
      </w:r>
      <w:r w:rsidRPr="002A34DE">
        <w:rPr>
          <w:rFonts w:cs="Times New Roman"/>
        </w:rPr>
        <w:t xml:space="preserve">. </w:t>
      </w:r>
      <w:r w:rsidRPr="002A34DE">
        <w:rPr>
          <w:rFonts w:cs="Times New Roman"/>
          <w:i/>
        </w:rPr>
        <w:t>yami</w:t>
      </w:r>
      <w:r w:rsidRPr="002A34DE">
        <w:rPr>
          <w:rFonts w:cs="Times New Roman"/>
        </w:rPr>
        <w:t xml:space="preserve"> </w:t>
      </w:r>
      <w:r>
        <w:rPr>
          <w:rFonts w:cs="Times New Roman"/>
        </w:rPr>
        <w:t xml:space="preserve">from Lanyu Island, Taiwan, herein referred to as the </w:t>
      </w:r>
      <w:r>
        <w:rPr>
          <w:rFonts w:cs="Times New Roman"/>
          <w:i/>
        </w:rPr>
        <w:t>L</w:t>
      </w:r>
      <w:r>
        <w:rPr>
          <w:rFonts w:cs="Times New Roman"/>
        </w:rPr>
        <w:t>.</w:t>
      </w:r>
      <w:r w:rsidRPr="00E45FA5">
        <w:rPr>
          <w:rFonts w:cs="Times New Roman"/>
          <w:i/>
        </w:rPr>
        <w:t xml:space="preserve"> </w:t>
      </w:r>
      <w:r>
        <w:rPr>
          <w:rFonts w:cs="Times New Roman"/>
          <w:i/>
        </w:rPr>
        <w:t>balioburius-</w:t>
      </w:r>
      <w:r w:rsidRPr="002A34DE">
        <w:rPr>
          <w:rFonts w:cs="Times New Roman"/>
          <w:i/>
        </w:rPr>
        <w:t>yami</w:t>
      </w:r>
      <w:r>
        <w:rPr>
          <w:rFonts w:cs="Times New Roman"/>
          <w:i/>
        </w:rPr>
        <w:t xml:space="preserve"> </w:t>
      </w:r>
      <w:r>
        <w:rPr>
          <w:rFonts w:cs="Times New Roman"/>
        </w:rPr>
        <w:t>clade</w:t>
      </w:r>
      <w:r w:rsidRPr="002A34DE">
        <w:rPr>
          <w:rFonts w:cs="Times New Roman"/>
        </w:rPr>
        <w:t>.</w:t>
      </w:r>
    </w:p>
    <w:p w14:paraId="5B973165" w14:textId="77777777" w:rsidR="00F6339D" w:rsidRPr="00441E81" w:rsidRDefault="00F6339D" w:rsidP="00F6339D">
      <w:pPr>
        <w:widowControl w:val="0"/>
        <w:autoSpaceDE w:val="0"/>
        <w:autoSpaceDN w:val="0"/>
        <w:adjustRightInd w:val="0"/>
        <w:spacing w:line="480" w:lineRule="auto"/>
        <w:ind w:firstLine="360"/>
        <w:rPr>
          <w:rFonts w:cs="Times New Roman"/>
          <w:iCs/>
        </w:rPr>
      </w:pPr>
      <w:r>
        <w:rPr>
          <w:rFonts w:cs="Times New Roman"/>
        </w:rPr>
        <w:t>In this study, we examine all newly available</w:t>
      </w:r>
      <w:r w:rsidRPr="002A34DE">
        <w:rPr>
          <w:rFonts w:cs="Times New Roman"/>
        </w:rPr>
        <w:t xml:space="preserve"> vouchered specimens and genetic samples in </w:t>
      </w:r>
      <w:r w:rsidRPr="002A34DE">
        <w:rPr>
          <w:rFonts w:cs="Times New Roman"/>
        </w:rPr>
        <w:lastRenderedPageBreak/>
        <w:t>natural history collections</w:t>
      </w:r>
      <w:r>
        <w:rPr>
          <w:rFonts w:cs="Times New Roman"/>
        </w:rPr>
        <w:t xml:space="preserve"> to evaluate and revise the </w:t>
      </w:r>
      <w:r>
        <w:rPr>
          <w:rFonts w:cs="Times New Roman"/>
          <w:i/>
        </w:rPr>
        <w:t>L</w:t>
      </w:r>
      <w:r>
        <w:rPr>
          <w:rFonts w:cs="Times New Roman"/>
        </w:rPr>
        <w:t>.</w:t>
      </w:r>
      <w:r w:rsidRPr="00E45FA5">
        <w:rPr>
          <w:rFonts w:cs="Times New Roman"/>
          <w:i/>
        </w:rPr>
        <w:t xml:space="preserve"> </w:t>
      </w:r>
      <w:r>
        <w:rPr>
          <w:rFonts w:cs="Times New Roman"/>
          <w:i/>
        </w:rPr>
        <w:t>balioburius-</w:t>
      </w:r>
      <w:r w:rsidRPr="002A34DE">
        <w:rPr>
          <w:rFonts w:cs="Times New Roman"/>
          <w:i/>
        </w:rPr>
        <w:t>yami</w:t>
      </w:r>
      <w:r>
        <w:rPr>
          <w:rFonts w:cs="Times New Roman"/>
          <w:i/>
        </w:rPr>
        <w:t xml:space="preserve"> </w:t>
      </w:r>
      <w:r>
        <w:rPr>
          <w:rFonts w:cs="Times New Roman"/>
        </w:rPr>
        <w:t>clade</w:t>
      </w:r>
      <w:r w:rsidRPr="002A34DE">
        <w:rPr>
          <w:rFonts w:cs="Times New Roman"/>
        </w:rPr>
        <w:t xml:space="preserve"> in the Philippines.</w:t>
      </w:r>
      <w:r>
        <w:rPr>
          <w:rFonts w:cs="Times New Roman"/>
        </w:rPr>
        <w:t xml:space="preserve"> We employ </w:t>
      </w:r>
      <w:r w:rsidRPr="002A34DE">
        <w:rPr>
          <w:rFonts w:cs="Times New Roman"/>
        </w:rPr>
        <w:t>morphological, molecular, and geographic data</w:t>
      </w:r>
      <w:r>
        <w:rPr>
          <w:rFonts w:cs="Times New Roman"/>
        </w:rPr>
        <w:t>sets</w:t>
      </w:r>
      <w:r w:rsidRPr="002A34DE">
        <w:rPr>
          <w:rFonts w:cs="Times New Roman"/>
        </w:rPr>
        <w:t xml:space="preserve"> available for all Philippine </w:t>
      </w:r>
      <w:r w:rsidRPr="002A34DE">
        <w:rPr>
          <w:rFonts w:cs="Times New Roman"/>
          <w:i/>
        </w:rPr>
        <w:t>Lepidodactylus</w:t>
      </w:r>
      <w:r w:rsidRPr="002A34DE">
        <w:rPr>
          <w:rFonts w:cs="Times New Roman"/>
        </w:rPr>
        <w:t xml:space="preserve"> specimens associated</w:t>
      </w:r>
      <w:r>
        <w:rPr>
          <w:rFonts w:cs="Times New Roman"/>
        </w:rPr>
        <w:t xml:space="preserve"> </w:t>
      </w:r>
      <w:r w:rsidRPr="002A34DE">
        <w:rPr>
          <w:rFonts w:cs="Times New Roman"/>
        </w:rPr>
        <w:t xml:space="preserve">with the </w:t>
      </w:r>
      <w:r>
        <w:rPr>
          <w:rFonts w:cs="Times New Roman"/>
        </w:rPr>
        <w:t xml:space="preserve">focal </w:t>
      </w:r>
      <w:r w:rsidRPr="002A34DE">
        <w:rPr>
          <w:rFonts w:cs="Times New Roman"/>
        </w:rPr>
        <w:t>c</w:t>
      </w:r>
      <w:r>
        <w:rPr>
          <w:rFonts w:cs="Times New Roman"/>
        </w:rPr>
        <w:t>lade to</w:t>
      </w:r>
      <w:r w:rsidRPr="002A34DE">
        <w:rPr>
          <w:rFonts w:cs="Times New Roman"/>
        </w:rPr>
        <w:t xml:space="preserve"> describe four new species from Luzon Island</w:t>
      </w:r>
      <w:r>
        <w:rPr>
          <w:rFonts w:cs="Times New Roman"/>
        </w:rPr>
        <w:t>, Lubang Island,</w:t>
      </w:r>
      <w:r w:rsidRPr="002A34DE">
        <w:rPr>
          <w:rFonts w:cs="Times New Roman"/>
        </w:rPr>
        <w:t xml:space="preserve"> and the Babuyan Island </w:t>
      </w:r>
      <w:r>
        <w:rPr>
          <w:rFonts w:cs="Times New Roman"/>
        </w:rPr>
        <w:t>Group in the northern Philippines</w:t>
      </w:r>
      <w:r w:rsidRPr="002A34DE">
        <w:rPr>
          <w:rFonts w:cs="Times New Roman"/>
        </w:rPr>
        <w:t>.</w:t>
      </w:r>
      <w:r>
        <w:rPr>
          <w:rFonts w:cs="Times New Roman"/>
        </w:rPr>
        <w:t xml:space="preserve"> In doing so, we</w:t>
      </w:r>
      <w:r w:rsidRPr="002A34DE">
        <w:rPr>
          <w:rFonts w:cs="Times New Roman"/>
        </w:rPr>
        <w:t xml:space="preserve"> provide the first in</w:t>
      </w:r>
      <w:r>
        <w:rPr>
          <w:rFonts w:cs="Times New Roman"/>
        </w:rPr>
        <w:t>-</w:t>
      </w:r>
      <w:r w:rsidRPr="002A34DE">
        <w:rPr>
          <w:rFonts w:cs="Times New Roman"/>
        </w:rPr>
        <w:t xml:space="preserve">depth </w:t>
      </w:r>
      <w:r>
        <w:rPr>
          <w:rFonts w:cs="Times New Roman"/>
        </w:rPr>
        <w:t>investigation</w:t>
      </w:r>
      <w:r w:rsidRPr="002A34DE">
        <w:rPr>
          <w:rFonts w:cs="Times New Roman"/>
        </w:rPr>
        <w:t xml:space="preserve"> </w:t>
      </w:r>
      <w:r>
        <w:rPr>
          <w:rFonts w:cs="Times New Roman"/>
        </w:rPr>
        <w:t>of</w:t>
      </w:r>
      <w:r w:rsidRPr="002A34DE">
        <w:rPr>
          <w:rFonts w:cs="Times New Roman"/>
        </w:rPr>
        <w:t xml:space="preserve"> the genus </w:t>
      </w:r>
      <w:r w:rsidRPr="002A34DE">
        <w:rPr>
          <w:rFonts w:cs="Times New Roman"/>
          <w:i/>
        </w:rPr>
        <w:t xml:space="preserve">Lepidodactylus </w:t>
      </w:r>
      <w:r w:rsidRPr="002A34DE">
        <w:rPr>
          <w:rFonts w:cs="Times New Roman"/>
        </w:rPr>
        <w:t xml:space="preserve">in the Philippines in almost 50 years and increase the </w:t>
      </w:r>
      <w:r>
        <w:rPr>
          <w:rFonts w:cs="Times New Roman"/>
        </w:rPr>
        <w:t xml:space="preserve">country’s </w:t>
      </w:r>
      <w:r w:rsidRPr="002A34DE">
        <w:rPr>
          <w:rFonts w:cs="Times New Roman"/>
        </w:rPr>
        <w:t xml:space="preserve">diversity of </w:t>
      </w:r>
      <w:r>
        <w:rPr>
          <w:rFonts w:cs="Times New Roman"/>
        </w:rPr>
        <w:t>S</w:t>
      </w:r>
      <w:r w:rsidRPr="002A34DE">
        <w:rPr>
          <w:rFonts w:cs="Times New Roman"/>
        </w:rPr>
        <w:t>caly</w:t>
      </w:r>
      <w:r>
        <w:rPr>
          <w:rFonts w:cs="Times New Roman"/>
        </w:rPr>
        <w:t>-t</w:t>
      </w:r>
      <w:r w:rsidRPr="002A34DE">
        <w:rPr>
          <w:rFonts w:cs="Times New Roman"/>
        </w:rPr>
        <w:t xml:space="preserve">oed </w:t>
      </w:r>
      <w:r>
        <w:rPr>
          <w:rFonts w:cs="Times New Roman"/>
        </w:rPr>
        <w:t>G</w:t>
      </w:r>
      <w:r w:rsidRPr="002A34DE">
        <w:rPr>
          <w:rFonts w:cs="Times New Roman"/>
        </w:rPr>
        <w:t>eckos by</w:t>
      </w:r>
      <w:r>
        <w:rPr>
          <w:rFonts w:cs="Times New Roman"/>
        </w:rPr>
        <w:t xml:space="preserve"> over half. In contrast to past characterizations of the northern Philippines as a region without an endemic </w:t>
      </w:r>
      <w:r w:rsidRPr="002A34DE">
        <w:rPr>
          <w:rFonts w:cs="Times New Roman"/>
          <w:i/>
        </w:rPr>
        <w:t>Lepidodactylus</w:t>
      </w:r>
      <w:r>
        <w:rPr>
          <w:rFonts w:cs="Times New Roman"/>
          <w:i/>
        </w:rPr>
        <w:t xml:space="preserve"> </w:t>
      </w:r>
      <w:r>
        <w:rPr>
          <w:rFonts w:cs="Times New Roman"/>
          <w:iCs/>
        </w:rPr>
        <w:t xml:space="preserve">fauna (Brown et al. 1978) we demonstrate that this biogeographic province of the Philippines is home to a diverse, poorly-studied, highly distinct, endemic </w:t>
      </w:r>
      <w:r>
        <w:rPr>
          <w:rFonts w:cs="Times New Roman"/>
          <w:i/>
        </w:rPr>
        <w:t xml:space="preserve">in situ </w:t>
      </w:r>
      <w:r>
        <w:rPr>
          <w:rFonts w:cs="Times New Roman"/>
          <w:iCs/>
        </w:rPr>
        <w:t>radiation—composed of secretive forest species which may be imperiled by habitat destruction.</w:t>
      </w:r>
    </w:p>
    <w:p w14:paraId="524EC509" w14:textId="77777777" w:rsidR="00F6339D" w:rsidRPr="00F66998" w:rsidRDefault="00F6339D" w:rsidP="00F6339D">
      <w:pPr>
        <w:widowControl w:val="0"/>
        <w:autoSpaceDE w:val="0"/>
        <w:autoSpaceDN w:val="0"/>
        <w:adjustRightInd w:val="0"/>
        <w:spacing w:line="480" w:lineRule="auto"/>
        <w:rPr>
          <w:rFonts w:cs="Times New Roman"/>
        </w:rPr>
      </w:pPr>
    </w:p>
    <w:p w14:paraId="32E9BFD7" w14:textId="77777777" w:rsidR="00F6339D" w:rsidRPr="00196B30" w:rsidRDefault="00F6339D" w:rsidP="00F6339D">
      <w:pPr>
        <w:widowControl w:val="0"/>
        <w:autoSpaceDE w:val="0"/>
        <w:autoSpaceDN w:val="0"/>
        <w:adjustRightInd w:val="0"/>
        <w:spacing w:line="480" w:lineRule="auto"/>
        <w:jc w:val="center"/>
        <w:rPr>
          <w:rFonts w:cs="Times New Roman"/>
          <w:bCs/>
          <w:smallCaps/>
          <w:color w:val="000000"/>
        </w:rPr>
      </w:pPr>
      <w:r w:rsidRPr="00196B30">
        <w:rPr>
          <w:rFonts w:cs="Times New Roman"/>
          <w:bCs/>
          <w:smallCaps/>
          <w:color w:val="000000"/>
        </w:rPr>
        <w:t>Taxonomic History</w:t>
      </w:r>
    </w:p>
    <w:p w14:paraId="4C715F37" w14:textId="77777777" w:rsidR="00F6339D" w:rsidRPr="00B731F6" w:rsidRDefault="00F6339D" w:rsidP="00F6339D">
      <w:pPr>
        <w:widowControl w:val="0"/>
        <w:autoSpaceDE w:val="0"/>
        <w:autoSpaceDN w:val="0"/>
        <w:adjustRightInd w:val="0"/>
        <w:spacing w:line="480" w:lineRule="auto"/>
        <w:jc w:val="center"/>
        <w:rPr>
          <w:rFonts w:cs="Times New Roman"/>
          <w:iCs/>
          <w:color w:val="000000"/>
        </w:rPr>
      </w:pPr>
      <w:r w:rsidRPr="00196B30">
        <w:rPr>
          <w:rFonts w:cs="Times New Roman"/>
          <w:iCs/>
          <w:color w:val="000000"/>
        </w:rPr>
        <w:t>Historical Taxonomic Classifications</w:t>
      </w:r>
    </w:p>
    <w:p w14:paraId="345E9F17" w14:textId="77777777" w:rsidR="00F6339D" w:rsidRDefault="00F6339D" w:rsidP="00F6339D">
      <w:pPr>
        <w:widowControl w:val="0"/>
        <w:autoSpaceDE w:val="0"/>
        <w:autoSpaceDN w:val="0"/>
        <w:adjustRightInd w:val="0"/>
        <w:spacing w:line="480" w:lineRule="auto"/>
        <w:ind w:firstLine="360"/>
        <w:rPr>
          <w:rFonts w:cs="Times New Roman"/>
        </w:rPr>
      </w:pPr>
      <w:r w:rsidRPr="00E7423F">
        <w:rPr>
          <w:rFonts w:cs="Times New Roman"/>
          <w:i/>
          <w:color w:val="000000"/>
        </w:rPr>
        <w:t xml:space="preserve">Lepidodactylus lugubris </w:t>
      </w:r>
      <w:r w:rsidRPr="00E7423F">
        <w:rPr>
          <w:rFonts w:cs="Times New Roman"/>
          <w:color w:val="000000"/>
        </w:rPr>
        <w:t xml:space="preserve">was first described by </w:t>
      </w:r>
      <w:r w:rsidRPr="002A34DE">
        <w:rPr>
          <w:rFonts w:cs="Times New Roman"/>
        </w:rPr>
        <w:t>Duméril</w:t>
      </w:r>
      <w:r w:rsidRPr="00E7423F">
        <w:rPr>
          <w:rFonts w:cs="Times New Roman"/>
        </w:rPr>
        <w:t xml:space="preserve"> &amp; Bibron (1836) as </w:t>
      </w:r>
      <w:r w:rsidRPr="00E7423F">
        <w:rPr>
          <w:rFonts w:cs="Times New Roman"/>
          <w:i/>
        </w:rPr>
        <w:t>Platydactylus lugubris</w:t>
      </w:r>
      <w:r w:rsidRPr="00E7423F">
        <w:rPr>
          <w:rFonts w:cs="Times New Roman"/>
        </w:rPr>
        <w:t xml:space="preserve"> from Tahiti, </w:t>
      </w:r>
      <w:r>
        <w:rPr>
          <w:rFonts w:cs="Times New Roman"/>
        </w:rPr>
        <w:t>Polynesia</w:t>
      </w:r>
      <w:r w:rsidRPr="00E7423F">
        <w:rPr>
          <w:rFonts w:cs="Times New Roman"/>
        </w:rPr>
        <w:t xml:space="preserve"> based on two female specimens. </w:t>
      </w:r>
      <w:r>
        <w:rPr>
          <w:rFonts w:cs="Times New Roman"/>
        </w:rPr>
        <w:t xml:space="preserve">Shortly thereafter, </w:t>
      </w:r>
      <w:r w:rsidRPr="00E7423F">
        <w:rPr>
          <w:rFonts w:cs="Times New Roman"/>
        </w:rPr>
        <w:t xml:space="preserve">Fitzinger (1843) </w:t>
      </w:r>
      <w:r>
        <w:rPr>
          <w:rFonts w:cs="Times New Roman"/>
        </w:rPr>
        <w:t>described</w:t>
      </w:r>
      <w:r w:rsidRPr="00E7423F">
        <w:rPr>
          <w:rFonts w:cs="Times New Roman"/>
        </w:rPr>
        <w:t xml:space="preserve"> </w:t>
      </w:r>
      <w:r>
        <w:rPr>
          <w:rFonts w:cs="Times New Roman"/>
        </w:rPr>
        <w:t xml:space="preserve">the </w:t>
      </w:r>
      <w:r w:rsidRPr="00E7423F">
        <w:rPr>
          <w:rFonts w:cs="Times New Roman"/>
        </w:rPr>
        <w:t xml:space="preserve">monotypic genus </w:t>
      </w:r>
      <w:r w:rsidRPr="00E7423F">
        <w:rPr>
          <w:rFonts w:cs="Times New Roman"/>
          <w:i/>
        </w:rPr>
        <w:t>Lepidodactylus</w:t>
      </w:r>
      <w:r w:rsidRPr="00E7423F">
        <w:rPr>
          <w:rFonts w:cs="Times New Roman"/>
        </w:rPr>
        <w:t xml:space="preserve"> for </w:t>
      </w:r>
      <w:r w:rsidRPr="00E7423F">
        <w:rPr>
          <w:rFonts w:cs="Times New Roman"/>
          <w:i/>
        </w:rPr>
        <w:t>L. lugubris</w:t>
      </w:r>
      <w:r w:rsidRPr="00E7423F">
        <w:rPr>
          <w:rFonts w:cs="Times New Roman"/>
        </w:rPr>
        <w:t xml:space="preserve"> where the species remained until it was reassigned to </w:t>
      </w:r>
      <w:r w:rsidRPr="00E7423F">
        <w:rPr>
          <w:rFonts w:cs="Times New Roman"/>
          <w:i/>
        </w:rPr>
        <w:t xml:space="preserve">Amydosaurus lugubris </w:t>
      </w:r>
      <w:r w:rsidRPr="00E7423F">
        <w:rPr>
          <w:rFonts w:cs="Times New Roman"/>
        </w:rPr>
        <w:t>by Gray (1845)</w:t>
      </w:r>
      <w:r>
        <w:rPr>
          <w:rFonts w:cs="Times New Roman"/>
        </w:rPr>
        <w:t xml:space="preserve"> and the novel genus was sunk temporarily</w:t>
      </w:r>
      <w:r w:rsidRPr="00E7423F">
        <w:rPr>
          <w:rFonts w:cs="Times New Roman"/>
        </w:rPr>
        <w:t xml:space="preserve">. </w:t>
      </w:r>
      <w:r>
        <w:rPr>
          <w:rFonts w:cs="Times New Roman"/>
        </w:rPr>
        <w:t xml:space="preserve">The </w:t>
      </w:r>
      <w:r>
        <w:rPr>
          <w:rFonts w:cs="Times New Roman"/>
          <w:color w:val="000000" w:themeColor="text1"/>
        </w:rPr>
        <w:t xml:space="preserve">species was moved back to the genus </w:t>
      </w:r>
      <w:r>
        <w:rPr>
          <w:rFonts w:cs="Times New Roman"/>
          <w:i/>
          <w:color w:val="000000" w:themeColor="text1"/>
        </w:rPr>
        <w:t xml:space="preserve">Platydactylus </w:t>
      </w:r>
      <w:r>
        <w:rPr>
          <w:rFonts w:cs="Times New Roman"/>
          <w:color w:val="000000" w:themeColor="text1"/>
        </w:rPr>
        <w:t xml:space="preserve">by </w:t>
      </w:r>
      <w:r w:rsidRPr="00610692">
        <w:rPr>
          <w:rFonts w:cs="Times New Roman"/>
          <w:color w:val="000000" w:themeColor="text1"/>
        </w:rPr>
        <w:t>Cantor</w:t>
      </w:r>
      <w:r>
        <w:rPr>
          <w:rFonts w:cs="Times New Roman"/>
          <w:color w:val="000000" w:themeColor="text1"/>
        </w:rPr>
        <w:t xml:space="preserve"> (1847) after examining a single </w:t>
      </w:r>
      <w:r>
        <w:rPr>
          <w:rFonts w:cs="Times New Roman"/>
          <w:i/>
          <w:color w:val="000000" w:themeColor="text1"/>
        </w:rPr>
        <w:t xml:space="preserve">Lepidodactylus </w:t>
      </w:r>
      <w:r>
        <w:rPr>
          <w:rFonts w:cs="Times New Roman"/>
          <w:color w:val="000000" w:themeColor="text1"/>
        </w:rPr>
        <w:t>male collected from the valley of Pinang, Malaysia. After another 20 years,</w:t>
      </w:r>
      <w:r w:rsidRPr="005E396B">
        <w:rPr>
          <w:rFonts w:cs="Times New Roman"/>
          <w:i/>
        </w:rPr>
        <w:t xml:space="preserve"> </w:t>
      </w:r>
      <w:r w:rsidRPr="00E7423F">
        <w:rPr>
          <w:rFonts w:cs="Times New Roman"/>
        </w:rPr>
        <w:t>Steindachner (1867)</w:t>
      </w:r>
      <w:r>
        <w:rPr>
          <w:rFonts w:cs="Times New Roman"/>
        </w:rPr>
        <w:t xml:space="preserve"> reassigned this species again from </w:t>
      </w:r>
      <w:r>
        <w:rPr>
          <w:rFonts w:cs="Times New Roman"/>
          <w:i/>
        </w:rPr>
        <w:t xml:space="preserve">Platydactylus </w:t>
      </w:r>
      <w:r>
        <w:t>to</w:t>
      </w:r>
      <w:r>
        <w:rPr>
          <w:rFonts w:cs="Times New Roman"/>
        </w:rPr>
        <w:t xml:space="preserve"> </w:t>
      </w:r>
      <w:r w:rsidRPr="00E7423F">
        <w:rPr>
          <w:rFonts w:cs="Times New Roman"/>
          <w:i/>
        </w:rPr>
        <w:t>Gecko</w:t>
      </w:r>
      <w:r>
        <w:rPr>
          <w:rFonts w:cs="Times New Roman"/>
        </w:rPr>
        <w:t>.</w:t>
      </w:r>
    </w:p>
    <w:p w14:paraId="2D0A1497" w14:textId="77777777" w:rsidR="00F6339D" w:rsidRDefault="00F6339D" w:rsidP="00F6339D">
      <w:pPr>
        <w:widowControl w:val="0"/>
        <w:autoSpaceDE w:val="0"/>
        <w:autoSpaceDN w:val="0"/>
        <w:adjustRightInd w:val="0"/>
        <w:spacing w:line="480" w:lineRule="auto"/>
        <w:ind w:firstLine="360"/>
        <w:rPr>
          <w:rFonts w:cs="Times New Roman"/>
        </w:rPr>
      </w:pPr>
      <w:r>
        <w:t>That same year,</w:t>
      </w:r>
      <w:r w:rsidRPr="009F3293">
        <w:rPr>
          <w:rFonts w:cs="Times New Roman"/>
          <w:color w:val="000000" w:themeColor="text1"/>
        </w:rPr>
        <w:t xml:space="preserve"> </w:t>
      </w:r>
      <w:r w:rsidRPr="00E7423F">
        <w:rPr>
          <w:rFonts w:cs="Times New Roman"/>
          <w:color w:val="000000" w:themeColor="text1"/>
        </w:rPr>
        <w:t>Peters (1867) first mention</w:t>
      </w:r>
      <w:r>
        <w:rPr>
          <w:rFonts w:cs="Times New Roman"/>
          <w:color w:val="000000" w:themeColor="text1"/>
        </w:rPr>
        <w:t>ed</w:t>
      </w:r>
      <w:r w:rsidRPr="00E7423F">
        <w:rPr>
          <w:rFonts w:cs="Times New Roman"/>
          <w:color w:val="000000" w:themeColor="text1"/>
        </w:rPr>
        <w:t xml:space="preserve"> </w:t>
      </w:r>
      <w:r>
        <w:rPr>
          <w:rFonts w:cs="Times New Roman"/>
          <w:color w:val="000000" w:themeColor="text1"/>
        </w:rPr>
        <w:t>what are now recognized as</w:t>
      </w:r>
      <w:r w:rsidRPr="00E7423F">
        <w:rPr>
          <w:rFonts w:cs="Times New Roman"/>
          <w:color w:val="000000" w:themeColor="text1"/>
        </w:rPr>
        <w:t xml:space="preserve"> </w:t>
      </w:r>
      <w:r>
        <w:rPr>
          <w:rFonts w:cs="Times New Roman"/>
          <w:color w:val="000000" w:themeColor="text1"/>
        </w:rPr>
        <w:t>S</w:t>
      </w:r>
      <w:r w:rsidRPr="00E7423F">
        <w:rPr>
          <w:rFonts w:cs="Times New Roman"/>
          <w:color w:val="000000" w:themeColor="text1"/>
        </w:rPr>
        <w:t>caly</w:t>
      </w:r>
      <w:r>
        <w:rPr>
          <w:rFonts w:cs="Times New Roman"/>
          <w:color w:val="000000" w:themeColor="text1"/>
        </w:rPr>
        <w:t>-t</w:t>
      </w:r>
      <w:r w:rsidRPr="00E7423F">
        <w:rPr>
          <w:rFonts w:cs="Times New Roman"/>
          <w:color w:val="000000" w:themeColor="text1"/>
        </w:rPr>
        <w:t xml:space="preserve">oed </w:t>
      </w:r>
      <w:r>
        <w:rPr>
          <w:rFonts w:cs="Times New Roman"/>
          <w:color w:val="000000" w:themeColor="text1"/>
        </w:rPr>
        <w:t>G</w:t>
      </w:r>
      <w:r w:rsidRPr="00E7423F">
        <w:rPr>
          <w:rFonts w:cs="Times New Roman"/>
          <w:color w:val="000000" w:themeColor="text1"/>
        </w:rPr>
        <w:t>ecko</w:t>
      </w:r>
      <w:r>
        <w:rPr>
          <w:rFonts w:cs="Times New Roman"/>
          <w:color w:val="000000" w:themeColor="text1"/>
        </w:rPr>
        <w:t>s</w:t>
      </w:r>
      <w:r w:rsidRPr="00E7423F">
        <w:rPr>
          <w:rFonts w:cs="Times New Roman"/>
          <w:color w:val="000000" w:themeColor="text1"/>
        </w:rPr>
        <w:t xml:space="preserve"> in the Philippines </w:t>
      </w:r>
      <w:r>
        <w:rPr>
          <w:rFonts w:cs="Times New Roman"/>
          <w:color w:val="000000" w:themeColor="text1"/>
        </w:rPr>
        <w:t xml:space="preserve">in </w:t>
      </w:r>
      <w:r w:rsidRPr="00E7423F">
        <w:rPr>
          <w:rFonts w:cs="Times New Roman"/>
          <w:color w:val="000000" w:themeColor="text1"/>
        </w:rPr>
        <w:t xml:space="preserve">describing </w:t>
      </w:r>
      <w:r w:rsidRPr="00E7423F">
        <w:rPr>
          <w:rFonts w:cs="Times New Roman"/>
          <w:i/>
          <w:color w:val="000000" w:themeColor="text1"/>
        </w:rPr>
        <w:t>Gecko labialis</w:t>
      </w:r>
      <w:r w:rsidRPr="00E7423F">
        <w:rPr>
          <w:rFonts w:cs="Times New Roman"/>
          <w:color w:val="000000" w:themeColor="text1"/>
        </w:rPr>
        <w:t xml:space="preserve"> from Mindanao Island based on a single </w:t>
      </w:r>
      <w:r w:rsidRPr="00E7423F">
        <w:rPr>
          <w:rFonts w:cs="Times New Roman"/>
          <w:color w:val="000000" w:themeColor="text1"/>
        </w:rPr>
        <w:lastRenderedPageBreak/>
        <w:t>individual</w:t>
      </w:r>
      <w:r>
        <w:rPr>
          <w:rFonts w:cs="Times New Roman"/>
          <w:color w:val="000000" w:themeColor="text1"/>
        </w:rPr>
        <w:t>. Peters noted that the</w:t>
      </w:r>
      <w:r w:rsidRPr="00E7423F">
        <w:rPr>
          <w:rFonts w:cs="Times New Roman"/>
          <w:color w:val="000000" w:themeColor="text1"/>
        </w:rPr>
        <w:t xml:space="preserve"> individual </w:t>
      </w:r>
      <w:r>
        <w:rPr>
          <w:rFonts w:cs="Times New Roman"/>
          <w:color w:val="000000" w:themeColor="text1"/>
        </w:rPr>
        <w:t>appeared</w:t>
      </w:r>
      <w:r w:rsidRPr="00E7423F">
        <w:rPr>
          <w:rFonts w:cs="Times New Roman"/>
          <w:color w:val="000000" w:themeColor="text1"/>
        </w:rPr>
        <w:t xml:space="preserve"> closely related to </w:t>
      </w:r>
      <w:r>
        <w:rPr>
          <w:rFonts w:cs="Times New Roman"/>
          <w:i/>
          <w:color w:val="000000" w:themeColor="text1"/>
        </w:rPr>
        <w:t>G.</w:t>
      </w:r>
      <w:r w:rsidRPr="00E7423F">
        <w:rPr>
          <w:rFonts w:cs="Times New Roman"/>
          <w:i/>
          <w:color w:val="000000" w:themeColor="text1"/>
        </w:rPr>
        <w:t xml:space="preserve"> lugubris </w:t>
      </w:r>
      <w:r w:rsidRPr="00E7423F">
        <w:rPr>
          <w:rFonts w:cs="Times New Roman"/>
          <w:color w:val="000000" w:themeColor="text1"/>
        </w:rPr>
        <w:t>from Tahiti (Peters 1867).</w:t>
      </w:r>
      <w:r w:rsidRPr="009F3293">
        <w:t xml:space="preserve"> </w:t>
      </w:r>
      <w:r>
        <w:t xml:space="preserve">The genus </w:t>
      </w:r>
      <w:r>
        <w:rPr>
          <w:i/>
        </w:rPr>
        <w:t xml:space="preserve">Lepidodactylus </w:t>
      </w:r>
      <w:r>
        <w:t xml:space="preserve">was resurrected in 1879 when </w:t>
      </w:r>
      <w:r>
        <w:rPr>
          <w:i/>
        </w:rPr>
        <w:t>Platydactylus crepuscularis</w:t>
      </w:r>
      <w:r>
        <w:t xml:space="preserve"> was moved to </w:t>
      </w:r>
      <w:r>
        <w:rPr>
          <w:i/>
        </w:rPr>
        <w:t>L.</w:t>
      </w:r>
      <w:r w:rsidRPr="00124D5B">
        <w:rPr>
          <w:i/>
        </w:rPr>
        <w:t xml:space="preserve"> </w:t>
      </w:r>
      <w:r>
        <w:rPr>
          <w:i/>
        </w:rPr>
        <w:t xml:space="preserve">crepuscularis </w:t>
      </w:r>
      <w:r>
        <w:t xml:space="preserve">in a report on geckos of New Caledonia (Sauvage 1879) and the genus expanded quickly thereafter. In an inventory of reptiles at the British Museum, </w:t>
      </w:r>
      <w:r w:rsidRPr="00E7423F">
        <w:rPr>
          <w:rFonts w:cs="Times New Roman"/>
        </w:rPr>
        <w:t xml:space="preserve">Boulenger (1885) </w:t>
      </w:r>
      <w:r>
        <w:rPr>
          <w:rFonts w:cs="Times New Roman"/>
        </w:rPr>
        <w:t xml:space="preserve">recognized the first Philippine </w:t>
      </w:r>
      <w:r>
        <w:rPr>
          <w:rFonts w:cs="Times New Roman"/>
          <w:i/>
        </w:rPr>
        <w:t xml:space="preserve">Lepidodactylus </w:t>
      </w:r>
      <w:r>
        <w:rPr>
          <w:rFonts w:cs="Times New Roman"/>
        </w:rPr>
        <w:t xml:space="preserve">when he </w:t>
      </w:r>
      <w:r w:rsidRPr="00E7423F">
        <w:rPr>
          <w:rFonts w:cs="Times New Roman"/>
        </w:rPr>
        <w:t xml:space="preserve">moved both </w:t>
      </w:r>
      <w:r w:rsidRPr="00E7423F">
        <w:rPr>
          <w:rFonts w:cs="Times New Roman"/>
          <w:i/>
        </w:rPr>
        <w:t>Gecko labialis</w:t>
      </w:r>
      <w:r w:rsidRPr="00E7423F">
        <w:rPr>
          <w:rFonts w:cs="Times New Roman"/>
        </w:rPr>
        <w:t xml:space="preserve"> and </w:t>
      </w:r>
      <w:r w:rsidRPr="00E7423F">
        <w:rPr>
          <w:rFonts w:cs="Times New Roman"/>
          <w:i/>
        </w:rPr>
        <w:t>Gecko lugubris</w:t>
      </w:r>
      <w:r w:rsidRPr="00E7423F">
        <w:rPr>
          <w:rFonts w:cs="Times New Roman"/>
        </w:rPr>
        <w:t xml:space="preserve"> to the genus </w:t>
      </w:r>
      <w:r w:rsidRPr="00E7423F">
        <w:rPr>
          <w:rFonts w:cs="Times New Roman"/>
          <w:i/>
        </w:rPr>
        <w:t>Lepidodactylus</w:t>
      </w:r>
      <w:r>
        <w:rPr>
          <w:rFonts w:cs="Times New Roman"/>
        </w:rPr>
        <w:t>.</w:t>
      </w:r>
      <w:r>
        <w:rPr>
          <w:rFonts w:cs="Times New Roman"/>
          <w:i/>
        </w:rPr>
        <w:t xml:space="preserve"> </w:t>
      </w:r>
      <w:r>
        <w:rPr>
          <w:rFonts w:cs="Times New Roman"/>
        </w:rPr>
        <w:t xml:space="preserve">At the time, only </w:t>
      </w:r>
      <w:r>
        <w:rPr>
          <w:rFonts w:cs="Times New Roman"/>
          <w:i/>
        </w:rPr>
        <w:t>L</w:t>
      </w:r>
      <w:r>
        <w:rPr>
          <w:rFonts w:cs="Times New Roman"/>
        </w:rPr>
        <w:t xml:space="preserve">. </w:t>
      </w:r>
      <w:r>
        <w:rPr>
          <w:rFonts w:cs="Times New Roman"/>
          <w:i/>
        </w:rPr>
        <w:t xml:space="preserve">labialis </w:t>
      </w:r>
      <w:r>
        <w:rPr>
          <w:rFonts w:cs="Times New Roman"/>
        </w:rPr>
        <w:t xml:space="preserve">was recognized from the Philippines, as </w:t>
      </w:r>
      <w:r>
        <w:rPr>
          <w:rFonts w:cs="Times New Roman"/>
          <w:i/>
        </w:rPr>
        <w:t>L</w:t>
      </w:r>
      <w:r>
        <w:rPr>
          <w:rFonts w:cs="Times New Roman"/>
        </w:rPr>
        <w:t xml:space="preserve">. </w:t>
      </w:r>
      <w:r>
        <w:rPr>
          <w:rFonts w:cs="Times New Roman"/>
          <w:i/>
        </w:rPr>
        <w:t xml:space="preserve">lugubris </w:t>
      </w:r>
      <w:r>
        <w:rPr>
          <w:rFonts w:cs="Times New Roman"/>
        </w:rPr>
        <w:t>was not documented officially in the country for another 45 years</w:t>
      </w:r>
      <w:r w:rsidRPr="00E7423F">
        <w:rPr>
          <w:rFonts w:cs="Times New Roman"/>
        </w:rPr>
        <w:t>.</w:t>
      </w:r>
    </w:p>
    <w:p w14:paraId="76C4B985" w14:textId="77777777" w:rsidR="00F6339D" w:rsidRDefault="00F6339D" w:rsidP="00F6339D">
      <w:pPr>
        <w:widowControl w:val="0"/>
        <w:autoSpaceDE w:val="0"/>
        <w:autoSpaceDN w:val="0"/>
        <w:adjustRightInd w:val="0"/>
        <w:spacing w:line="480" w:lineRule="auto"/>
        <w:ind w:firstLine="360"/>
        <w:rPr>
          <w:rFonts w:cs="Times New Roman"/>
          <w:color w:val="000000" w:themeColor="text1"/>
        </w:rPr>
      </w:pPr>
      <w:r>
        <w:rPr>
          <w:rFonts w:cs="Times New Roman"/>
          <w:i/>
          <w:color w:val="000000" w:themeColor="text1"/>
        </w:rPr>
        <w:t xml:space="preserve">Lepidodactylus brevipes </w:t>
      </w:r>
      <w:r>
        <w:rPr>
          <w:rFonts w:cs="Times New Roman"/>
          <w:color w:val="000000" w:themeColor="text1"/>
        </w:rPr>
        <w:t xml:space="preserve">(Boettger 1897) from Samar Island and </w:t>
      </w:r>
      <w:r>
        <w:rPr>
          <w:rFonts w:cs="Times New Roman"/>
          <w:i/>
          <w:color w:val="000000" w:themeColor="text1"/>
        </w:rPr>
        <w:t>L</w:t>
      </w:r>
      <w:r>
        <w:rPr>
          <w:rFonts w:cs="Times New Roman"/>
          <w:color w:val="000000" w:themeColor="text1"/>
        </w:rPr>
        <w:t xml:space="preserve">. </w:t>
      </w:r>
      <w:r>
        <w:rPr>
          <w:rFonts w:cs="Times New Roman"/>
          <w:i/>
          <w:color w:val="000000" w:themeColor="text1"/>
        </w:rPr>
        <w:t xml:space="preserve">planicaudus </w:t>
      </w:r>
      <w:r>
        <w:rPr>
          <w:rFonts w:cs="Times New Roman"/>
          <w:color w:val="000000" w:themeColor="text1"/>
        </w:rPr>
        <w:t xml:space="preserve">Stejneger 1905 from Mt. Apo, Mindanao Island were both described from single specimens based on morphological distinction from known congeners and increased the number of Philippine </w:t>
      </w:r>
      <w:r>
        <w:rPr>
          <w:rFonts w:cs="Times New Roman"/>
          <w:i/>
          <w:color w:val="000000" w:themeColor="text1"/>
        </w:rPr>
        <w:t xml:space="preserve">Lepidodactylus </w:t>
      </w:r>
      <w:r>
        <w:rPr>
          <w:rFonts w:cs="Times New Roman"/>
          <w:color w:val="000000" w:themeColor="text1"/>
        </w:rPr>
        <w:t>to three around the turn of the 20</w:t>
      </w:r>
      <w:r w:rsidRPr="00A633DA">
        <w:rPr>
          <w:rFonts w:cs="Times New Roman"/>
          <w:color w:val="000000" w:themeColor="text1"/>
          <w:vertAlign w:val="superscript"/>
        </w:rPr>
        <w:t>th</w:t>
      </w:r>
      <w:r>
        <w:rPr>
          <w:rFonts w:cs="Times New Roman"/>
          <w:color w:val="000000" w:themeColor="text1"/>
        </w:rPr>
        <w:t xml:space="preserve"> century.</w:t>
      </w:r>
    </w:p>
    <w:p w14:paraId="740E2D42" w14:textId="77777777" w:rsidR="00F6339D" w:rsidRPr="00A633DA" w:rsidRDefault="00F6339D" w:rsidP="00F6339D">
      <w:pPr>
        <w:widowControl w:val="0"/>
        <w:autoSpaceDE w:val="0"/>
        <w:autoSpaceDN w:val="0"/>
        <w:adjustRightInd w:val="0"/>
        <w:spacing w:line="480" w:lineRule="auto"/>
        <w:ind w:firstLine="360"/>
        <w:rPr>
          <w:rFonts w:cs="Times New Roman"/>
          <w:color w:val="000000" w:themeColor="text1"/>
        </w:rPr>
      </w:pPr>
      <w:r>
        <w:rPr>
          <w:rFonts w:cs="Times New Roman"/>
          <w:color w:val="000000" w:themeColor="text1"/>
        </w:rPr>
        <w:t>In the early 1900s</w:t>
      </w:r>
      <w:r w:rsidRPr="00E7423F">
        <w:rPr>
          <w:rFonts w:cs="Times New Roman"/>
          <w:color w:val="000000" w:themeColor="text1"/>
        </w:rPr>
        <w:t xml:space="preserve">, E.H. Taylor </w:t>
      </w:r>
      <w:r>
        <w:rPr>
          <w:rFonts w:cs="Times New Roman"/>
          <w:color w:val="000000" w:themeColor="text1"/>
        </w:rPr>
        <w:t>described</w:t>
      </w:r>
      <w:r w:rsidRPr="00E7423F">
        <w:rPr>
          <w:rFonts w:cs="Times New Roman"/>
          <w:color w:val="000000" w:themeColor="text1"/>
        </w:rPr>
        <w:t xml:space="preserve"> several </w:t>
      </w:r>
      <w:r>
        <w:rPr>
          <w:rFonts w:cs="Times New Roman"/>
          <w:color w:val="000000" w:themeColor="text1"/>
        </w:rPr>
        <w:t xml:space="preserve">additional </w:t>
      </w:r>
      <w:r w:rsidRPr="00E7423F">
        <w:rPr>
          <w:rFonts w:cs="Times New Roman"/>
          <w:i/>
          <w:color w:val="000000" w:themeColor="text1"/>
        </w:rPr>
        <w:t xml:space="preserve">Lepidodactylus </w:t>
      </w:r>
      <w:r w:rsidRPr="00E7423F">
        <w:rPr>
          <w:rFonts w:cs="Times New Roman"/>
          <w:color w:val="000000" w:themeColor="text1"/>
        </w:rPr>
        <w:t>species</w:t>
      </w:r>
      <w:r>
        <w:rPr>
          <w:rFonts w:cs="Times New Roman"/>
          <w:color w:val="000000" w:themeColor="text1"/>
        </w:rPr>
        <w:t xml:space="preserve"> in the Philippines,</w:t>
      </w:r>
      <w:r w:rsidRPr="00E7423F">
        <w:rPr>
          <w:rFonts w:cs="Times New Roman"/>
          <w:color w:val="000000" w:themeColor="text1"/>
        </w:rPr>
        <w:t xml:space="preserve"> including </w:t>
      </w:r>
      <w:r w:rsidRPr="00E7423F">
        <w:rPr>
          <w:rFonts w:cs="Times New Roman"/>
          <w:i/>
          <w:color w:val="000000" w:themeColor="text1"/>
        </w:rPr>
        <w:t>L. aureolineatus</w:t>
      </w:r>
      <w:r w:rsidRPr="00E7423F">
        <w:rPr>
          <w:rFonts w:cs="Times New Roman"/>
        </w:rPr>
        <w:t xml:space="preserve"> Taylor, 1915 from </w:t>
      </w:r>
      <w:r w:rsidRPr="00E7423F">
        <w:rPr>
          <w:rFonts w:cs="Times New Roman"/>
          <w:color w:val="000000" w:themeColor="text1"/>
        </w:rPr>
        <w:t>Bunauan, Mindanao</w:t>
      </w:r>
      <w:r>
        <w:rPr>
          <w:rFonts w:cs="Times New Roman"/>
          <w:color w:val="000000" w:themeColor="text1"/>
        </w:rPr>
        <w:t xml:space="preserve"> Island</w:t>
      </w:r>
      <w:r w:rsidRPr="00E7423F">
        <w:rPr>
          <w:rFonts w:cs="Times New Roman"/>
          <w:color w:val="000000" w:themeColor="text1"/>
        </w:rPr>
        <w:t xml:space="preserve">, </w:t>
      </w:r>
      <w:r w:rsidRPr="00E7423F">
        <w:rPr>
          <w:rFonts w:cs="Times New Roman"/>
          <w:i/>
          <w:color w:val="000000" w:themeColor="text1"/>
        </w:rPr>
        <w:t>L. christiani</w:t>
      </w:r>
      <w:r w:rsidRPr="00E7423F">
        <w:rPr>
          <w:rFonts w:cs="Times New Roman"/>
          <w:color w:val="000000" w:themeColor="text1"/>
        </w:rPr>
        <w:t xml:space="preserve"> Taylor, 1917 from Mt. Kanlaon, Negros Island, </w:t>
      </w:r>
      <w:r w:rsidRPr="00E7423F">
        <w:rPr>
          <w:rFonts w:cs="Times New Roman"/>
          <w:i/>
          <w:color w:val="000000" w:themeColor="text1"/>
        </w:rPr>
        <w:t xml:space="preserve">L. divergens </w:t>
      </w:r>
      <w:r w:rsidRPr="00E7423F">
        <w:rPr>
          <w:rFonts w:cs="Times New Roman"/>
          <w:color w:val="000000" w:themeColor="text1"/>
        </w:rPr>
        <w:t xml:space="preserve">Taylor, 1918 from Little Govenen Island, and </w:t>
      </w:r>
      <w:r w:rsidRPr="00E7423F">
        <w:rPr>
          <w:rFonts w:cs="Times New Roman"/>
          <w:i/>
          <w:color w:val="000000" w:themeColor="text1"/>
        </w:rPr>
        <w:t>L naujanensis</w:t>
      </w:r>
      <w:r w:rsidRPr="00E7423F">
        <w:rPr>
          <w:rFonts w:cs="Times New Roman"/>
          <w:color w:val="000000" w:themeColor="text1"/>
        </w:rPr>
        <w:t xml:space="preserve"> Taylor, 1919 from Lake Naujan, Mindoro</w:t>
      </w:r>
      <w:r>
        <w:rPr>
          <w:rFonts w:cs="Times New Roman"/>
          <w:color w:val="000000" w:themeColor="text1"/>
        </w:rPr>
        <w:t xml:space="preserve"> Island</w:t>
      </w:r>
      <w:r w:rsidRPr="00E7423F">
        <w:rPr>
          <w:rFonts w:cs="Times New Roman"/>
          <w:color w:val="000000" w:themeColor="text1"/>
        </w:rPr>
        <w:t xml:space="preserve">. Additionally, Taylor (1918) </w:t>
      </w:r>
      <w:r>
        <w:rPr>
          <w:rFonts w:cs="Times New Roman"/>
          <w:color w:val="000000" w:themeColor="text1"/>
        </w:rPr>
        <w:t>referenced</w:t>
      </w:r>
      <w:r w:rsidRPr="00E7423F">
        <w:rPr>
          <w:rFonts w:cs="Times New Roman"/>
          <w:color w:val="000000" w:themeColor="text1"/>
        </w:rPr>
        <w:t xml:space="preserve"> a series of 17 specimens from Mindoro, Cancuman, Dipolod, Marongas, and Bubuan </w:t>
      </w:r>
      <w:r>
        <w:rPr>
          <w:rFonts w:cs="Times New Roman"/>
          <w:color w:val="000000" w:themeColor="text1"/>
        </w:rPr>
        <w:t>islands</w:t>
      </w:r>
      <w:r w:rsidRPr="00E7423F">
        <w:rPr>
          <w:rFonts w:cs="Times New Roman"/>
          <w:color w:val="000000" w:themeColor="text1"/>
        </w:rPr>
        <w:t xml:space="preserve"> as the Solomon Island species </w:t>
      </w:r>
      <w:r w:rsidRPr="00E7423F">
        <w:rPr>
          <w:rFonts w:cs="Times New Roman"/>
          <w:i/>
          <w:color w:val="000000" w:themeColor="text1"/>
        </w:rPr>
        <w:t xml:space="preserve">L. woodfordi </w:t>
      </w:r>
      <w:r w:rsidRPr="00E7423F">
        <w:rPr>
          <w:rFonts w:cs="Times New Roman"/>
          <w:color w:val="000000" w:themeColor="text1"/>
        </w:rPr>
        <w:t xml:space="preserve">Boulenger, 1887 </w:t>
      </w:r>
      <w:r w:rsidRPr="00A633DA">
        <w:rPr>
          <w:rFonts w:cs="Times New Roman"/>
          <w:color w:val="000000" w:themeColor="text1"/>
        </w:rPr>
        <w:t xml:space="preserve">due to a lack of morphological differences between those specimens and the traits listed as belonging to </w:t>
      </w:r>
      <w:r w:rsidRPr="00A633DA">
        <w:rPr>
          <w:rFonts w:cs="Times New Roman"/>
          <w:i/>
          <w:color w:val="000000" w:themeColor="text1"/>
        </w:rPr>
        <w:t>L. woodfordi</w:t>
      </w:r>
      <w:r w:rsidRPr="00A633DA">
        <w:rPr>
          <w:rFonts w:cs="Times New Roman"/>
          <w:color w:val="000000" w:themeColor="text1"/>
        </w:rPr>
        <w:t>.</w:t>
      </w:r>
    </w:p>
    <w:p w14:paraId="5EEB2640" w14:textId="77777777" w:rsidR="00F6339D" w:rsidRPr="00E7423F" w:rsidRDefault="00F6339D" w:rsidP="00F6339D">
      <w:pPr>
        <w:widowControl w:val="0"/>
        <w:autoSpaceDE w:val="0"/>
        <w:autoSpaceDN w:val="0"/>
        <w:adjustRightInd w:val="0"/>
        <w:spacing w:line="480" w:lineRule="auto"/>
        <w:ind w:firstLine="360"/>
        <w:rPr>
          <w:rFonts w:cs="Times New Roman"/>
          <w:color w:val="000000" w:themeColor="text1"/>
        </w:rPr>
      </w:pPr>
      <w:r w:rsidRPr="00E7423F">
        <w:rPr>
          <w:rFonts w:cs="Times New Roman"/>
          <w:color w:val="000000" w:themeColor="text1"/>
        </w:rPr>
        <w:t>Taylor (1922) provide</w:t>
      </w:r>
      <w:r>
        <w:rPr>
          <w:rFonts w:cs="Times New Roman"/>
          <w:color w:val="000000" w:themeColor="text1"/>
        </w:rPr>
        <w:t>d</w:t>
      </w:r>
      <w:r w:rsidRPr="00E7423F">
        <w:rPr>
          <w:rFonts w:cs="Times New Roman"/>
          <w:color w:val="000000" w:themeColor="text1"/>
        </w:rPr>
        <w:t xml:space="preserve"> the first comprehensive examination of Philippine gekkonids and in this work he recognize</w:t>
      </w:r>
      <w:r>
        <w:rPr>
          <w:rFonts w:cs="Times New Roman"/>
          <w:color w:val="000000" w:themeColor="text1"/>
        </w:rPr>
        <w:t>d</w:t>
      </w:r>
      <w:r w:rsidRPr="00E7423F">
        <w:rPr>
          <w:rFonts w:cs="Times New Roman"/>
          <w:color w:val="000000" w:themeColor="text1"/>
        </w:rPr>
        <w:t xml:space="preserve"> eight species of </w:t>
      </w:r>
      <w:r w:rsidRPr="00E7423F">
        <w:rPr>
          <w:rFonts w:cs="Times New Roman"/>
          <w:i/>
          <w:color w:val="000000" w:themeColor="text1"/>
        </w:rPr>
        <w:t>Lepidodactylus</w:t>
      </w:r>
      <w:r>
        <w:rPr>
          <w:rFonts w:cs="Times New Roman"/>
          <w:color w:val="000000" w:themeColor="text1"/>
        </w:rPr>
        <w:t xml:space="preserve"> at the time</w:t>
      </w:r>
      <w:r w:rsidRPr="00E7423F">
        <w:rPr>
          <w:rFonts w:cs="Times New Roman"/>
          <w:color w:val="000000" w:themeColor="text1"/>
        </w:rPr>
        <w:t xml:space="preserve">: </w:t>
      </w:r>
      <w:r w:rsidRPr="00E7423F">
        <w:rPr>
          <w:rFonts w:cs="Times New Roman"/>
          <w:i/>
          <w:color w:val="000000" w:themeColor="text1"/>
        </w:rPr>
        <w:t>L. aureolineatus</w:t>
      </w:r>
      <w:r w:rsidRPr="00E7423F">
        <w:rPr>
          <w:rFonts w:cs="Times New Roman"/>
          <w:color w:val="000000" w:themeColor="text1"/>
        </w:rPr>
        <w:t xml:space="preserve">, </w:t>
      </w:r>
      <w:r w:rsidRPr="00AF7524">
        <w:rPr>
          <w:rFonts w:cs="Times New Roman"/>
          <w:i/>
          <w:color w:val="000000" w:themeColor="text1"/>
        </w:rPr>
        <w:t xml:space="preserve">L. </w:t>
      </w:r>
      <w:r w:rsidRPr="00E7423F">
        <w:rPr>
          <w:rFonts w:cs="Times New Roman"/>
          <w:i/>
          <w:color w:val="000000" w:themeColor="text1"/>
        </w:rPr>
        <w:t>brevipes</w:t>
      </w:r>
      <w:r w:rsidRPr="00E7423F">
        <w:rPr>
          <w:rFonts w:cs="Times New Roman"/>
          <w:color w:val="000000" w:themeColor="text1"/>
        </w:rPr>
        <w:t xml:space="preserve">, </w:t>
      </w:r>
      <w:r w:rsidRPr="00AF7524">
        <w:rPr>
          <w:rFonts w:cs="Times New Roman"/>
          <w:i/>
          <w:color w:val="000000" w:themeColor="text1"/>
        </w:rPr>
        <w:t xml:space="preserve">L. </w:t>
      </w:r>
      <w:r w:rsidRPr="00E7423F">
        <w:rPr>
          <w:rFonts w:cs="Times New Roman"/>
          <w:i/>
          <w:color w:val="000000" w:themeColor="text1"/>
        </w:rPr>
        <w:t>christiani</w:t>
      </w:r>
      <w:r w:rsidRPr="00E7423F">
        <w:rPr>
          <w:rFonts w:cs="Times New Roman"/>
          <w:color w:val="000000" w:themeColor="text1"/>
        </w:rPr>
        <w:t xml:space="preserve">, </w:t>
      </w:r>
      <w:r w:rsidRPr="00AF7524">
        <w:rPr>
          <w:rFonts w:cs="Times New Roman"/>
          <w:i/>
          <w:color w:val="000000" w:themeColor="text1"/>
        </w:rPr>
        <w:t xml:space="preserve">L. </w:t>
      </w:r>
      <w:r w:rsidRPr="00E7423F">
        <w:rPr>
          <w:rFonts w:cs="Times New Roman"/>
          <w:i/>
          <w:color w:val="000000" w:themeColor="text1"/>
        </w:rPr>
        <w:t>divergens</w:t>
      </w:r>
      <w:r w:rsidRPr="00E7423F">
        <w:rPr>
          <w:rFonts w:cs="Times New Roman"/>
          <w:color w:val="000000" w:themeColor="text1"/>
        </w:rPr>
        <w:t xml:space="preserve">, </w:t>
      </w:r>
      <w:r w:rsidRPr="00AF7524">
        <w:rPr>
          <w:rFonts w:cs="Times New Roman"/>
          <w:i/>
          <w:color w:val="000000" w:themeColor="text1"/>
        </w:rPr>
        <w:t xml:space="preserve">L. </w:t>
      </w:r>
      <w:r w:rsidRPr="00E7423F">
        <w:rPr>
          <w:rFonts w:cs="Times New Roman"/>
          <w:i/>
          <w:color w:val="000000" w:themeColor="text1"/>
        </w:rPr>
        <w:t>labialis</w:t>
      </w:r>
      <w:r w:rsidRPr="00E7423F">
        <w:rPr>
          <w:rFonts w:cs="Times New Roman"/>
          <w:color w:val="000000" w:themeColor="text1"/>
        </w:rPr>
        <w:t>,</w:t>
      </w:r>
      <w:r w:rsidRPr="00E7423F">
        <w:rPr>
          <w:rFonts w:cs="Times New Roman"/>
          <w:i/>
          <w:color w:val="000000" w:themeColor="text1"/>
        </w:rPr>
        <w:t xml:space="preserve"> </w:t>
      </w:r>
      <w:r w:rsidRPr="00AF7524">
        <w:rPr>
          <w:rFonts w:cs="Times New Roman"/>
          <w:i/>
          <w:color w:val="000000" w:themeColor="text1"/>
        </w:rPr>
        <w:t xml:space="preserve">L. </w:t>
      </w:r>
      <w:r w:rsidRPr="00E7423F">
        <w:rPr>
          <w:rFonts w:cs="Times New Roman"/>
          <w:i/>
          <w:color w:val="000000" w:themeColor="text1"/>
        </w:rPr>
        <w:t>naujanensis</w:t>
      </w:r>
      <w:r w:rsidRPr="00E7423F">
        <w:rPr>
          <w:rFonts w:cs="Times New Roman"/>
          <w:color w:val="000000" w:themeColor="text1"/>
        </w:rPr>
        <w:t xml:space="preserve">, </w:t>
      </w:r>
      <w:r w:rsidRPr="00AF7524">
        <w:rPr>
          <w:rFonts w:cs="Times New Roman"/>
          <w:i/>
          <w:color w:val="000000" w:themeColor="text1"/>
        </w:rPr>
        <w:t xml:space="preserve">L. </w:t>
      </w:r>
      <w:r w:rsidRPr="00E7423F">
        <w:rPr>
          <w:rFonts w:cs="Times New Roman"/>
          <w:i/>
          <w:color w:val="000000" w:themeColor="text1"/>
        </w:rPr>
        <w:t>planicaudus</w:t>
      </w:r>
      <w:r w:rsidRPr="00E7423F">
        <w:rPr>
          <w:rFonts w:cs="Times New Roman"/>
          <w:color w:val="000000" w:themeColor="text1"/>
        </w:rPr>
        <w:t xml:space="preserve">, and </w:t>
      </w:r>
      <w:r w:rsidRPr="00AF7524">
        <w:rPr>
          <w:rFonts w:cs="Times New Roman"/>
          <w:i/>
          <w:color w:val="000000" w:themeColor="text1"/>
        </w:rPr>
        <w:t xml:space="preserve">L. </w:t>
      </w:r>
      <w:r w:rsidRPr="00E7423F">
        <w:rPr>
          <w:rFonts w:cs="Times New Roman"/>
          <w:i/>
          <w:color w:val="000000" w:themeColor="text1"/>
        </w:rPr>
        <w:lastRenderedPageBreak/>
        <w:t>woodfordi</w:t>
      </w:r>
      <w:r w:rsidRPr="00E7423F">
        <w:rPr>
          <w:rFonts w:cs="Times New Roman"/>
          <w:color w:val="000000" w:themeColor="text1"/>
        </w:rPr>
        <w:t>. The following year he describe</w:t>
      </w:r>
      <w:r>
        <w:rPr>
          <w:rFonts w:cs="Times New Roman"/>
          <w:color w:val="000000" w:themeColor="text1"/>
        </w:rPr>
        <w:t>d</w:t>
      </w:r>
      <w:r w:rsidRPr="00E7423F">
        <w:rPr>
          <w:rFonts w:cs="Times New Roman"/>
          <w:color w:val="000000" w:themeColor="text1"/>
        </w:rPr>
        <w:t xml:space="preserve"> </w:t>
      </w:r>
      <w:r w:rsidRPr="00E7423F">
        <w:rPr>
          <w:rFonts w:cs="Times New Roman"/>
          <w:i/>
          <w:color w:val="000000" w:themeColor="text1"/>
        </w:rPr>
        <w:t>L. herrei</w:t>
      </w:r>
      <w:r w:rsidRPr="00E7423F">
        <w:rPr>
          <w:rFonts w:cs="Times New Roman"/>
          <w:color w:val="000000" w:themeColor="text1"/>
        </w:rPr>
        <w:t xml:space="preserve"> Taylor, 1923 based o</w:t>
      </w:r>
      <w:r>
        <w:rPr>
          <w:rFonts w:cs="Times New Roman"/>
          <w:color w:val="000000" w:themeColor="text1"/>
        </w:rPr>
        <w:t>n</w:t>
      </w:r>
      <w:r w:rsidRPr="00E7423F">
        <w:rPr>
          <w:rFonts w:cs="Times New Roman"/>
          <w:color w:val="000000" w:themeColor="text1"/>
        </w:rPr>
        <w:t xml:space="preserve"> a single specimen from Luzurriaga, Negros</w:t>
      </w:r>
      <w:r>
        <w:rPr>
          <w:rFonts w:cs="Times New Roman"/>
          <w:color w:val="000000" w:themeColor="text1"/>
        </w:rPr>
        <w:t xml:space="preserve"> Province</w:t>
      </w:r>
      <w:r w:rsidRPr="00E7423F">
        <w:rPr>
          <w:rFonts w:cs="Times New Roman"/>
          <w:color w:val="000000" w:themeColor="text1"/>
        </w:rPr>
        <w:t xml:space="preserve">, </w:t>
      </w:r>
      <w:r>
        <w:rPr>
          <w:rFonts w:cs="Times New Roman"/>
          <w:color w:val="000000" w:themeColor="text1"/>
        </w:rPr>
        <w:t xml:space="preserve">that was described as being </w:t>
      </w:r>
      <w:r w:rsidRPr="00E7423F">
        <w:rPr>
          <w:rFonts w:cs="Times New Roman"/>
          <w:color w:val="000000" w:themeColor="text1"/>
        </w:rPr>
        <w:t xml:space="preserve">closely related to </w:t>
      </w:r>
      <w:r w:rsidRPr="00E7423F">
        <w:rPr>
          <w:rFonts w:cs="Times New Roman"/>
          <w:i/>
          <w:color w:val="000000" w:themeColor="text1"/>
        </w:rPr>
        <w:t>L. aureolineatus</w:t>
      </w:r>
      <w:r>
        <w:rPr>
          <w:rFonts w:cs="Times New Roman"/>
          <w:iCs/>
          <w:color w:val="000000" w:themeColor="text1"/>
        </w:rPr>
        <w:t>,</w:t>
      </w:r>
      <w:r w:rsidRPr="00E7423F">
        <w:rPr>
          <w:rFonts w:cs="Times New Roman"/>
          <w:color w:val="000000" w:themeColor="text1"/>
        </w:rPr>
        <w:t xml:space="preserve"> </w:t>
      </w:r>
      <w:r>
        <w:rPr>
          <w:rFonts w:cs="Times New Roman"/>
          <w:color w:val="000000" w:themeColor="text1"/>
        </w:rPr>
        <w:t>al</w:t>
      </w:r>
      <w:r w:rsidRPr="00E7423F">
        <w:rPr>
          <w:rFonts w:cs="Times New Roman"/>
          <w:color w:val="000000" w:themeColor="text1"/>
        </w:rPr>
        <w:t>though differ</w:t>
      </w:r>
      <w:r>
        <w:rPr>
          <w:rFonts w:cs="Times New Roman"/>
          <w:color w:val="000000" w:themeColor="text1"/>
        </w:rPr>
        <w:t>ent</w:t>
      </w:r>
      <w:r w:rsidRPr="00E7423F">
        <w:rPr>
          <w:rFonts w:cs="Times New Roman"/>
          <w:color w:val="000000" w:themeColor="text1"/>
        </w:rPr>
        <w:t xml:space="preserve"> in ha</w:t>
      </w:r>
      <w:r>
        <w:rPr>
          <w:rFonts w:cs="Times New Roman"/>
          <w:color w:val="000000" w:themeColor="text1"/>
        </w:rPr>
        <w:t>ving an apparently larger body size.</w:t>
      </w:r>
      <w:r w:rsidRPr="00E7423F">
        <w:rPr>
          <w:rFonts w:cs="Times New Roman"/>
          <w:color w:val="000000" w:themeColor="text1"/>
        </w:rPr>
        <w:t xml:space="preserve"> Following th</w:t>
      </w:r>
      <w:r>
        <w:rPr>
          <w:rFonts w:cs="Times New Roman"/>
          <w:color w:val="000000" w:themeColor="text1"/>
        </w:rPr>
        <w:t xml:space="preserve">is rise in </w:t>
      </w:r>
      <w:r w:rsidRPr="00E7423F">
        <w:rPr>
          <w:rFonts w:cs="Times New Roman"/>
          <w:color w:val="000000" w:themeColor="text1"/>
        </w:rPr>
        <w:t>descriptions</w:t>
      </w:r>
      <w:r>
        <w:rPr>
          <w:rFonts w:cs="Times New Roman"/>
          <w:color w:val="000000" w:themeColor="text1"/>
        </w:rPr>
        <w:t xml:space="preserve"> of Scaly-toed Geckos by Taylor in the </w:t>
      </w:r>
      <w:r w:rsidRPr="00E7423F">
        <w:rPr>
          <w:rFonts w:cs="Times New Roman"/>
          <w:color w:val="000000" w:themeColor="text1"/>
        </w:rPr>
        <w:t xml:space="preserve">1910s and </w:t>
      </w:r>
      <w:r>
        <w:rPr>
          <w:rFonts w:cs="Times New Roman"/>
          <w:color w:val="000000" w:themeColor="text1"/>
        </w:rPr>
        <w:t>19</w:t>
      </w:r>
      <w:r w:rsidRPr="00E7423F">
        <w:rPr>
          <w:rFonts w:cs="Times New Roman"/>
          <w:color w:val="000000" w:themeColor="text1"/>
        </w:rPr>
        <w:t xml:space="preserve">20s, </w:t>
      </w:r>
      <w:r>
        <w:rPr>
          <w:rFonts w:cs="Times New Roman"/>
          <w:color w:val="000000" w:themeColor="text1"/>
        </w:rPr>
        <w:t xml:space="preserve">no new species of Philippine </w:t>
      </w:r>
      <w:r>
        <w:rPr>
          <w:rFonts w:cs="Times New Roman"/>
          <w:i/>
          <w:color w:val="000000" w:themeColor="text1"/>
        </w:rPr>
        <w:t xml:space="preserve">Lepidodactylus </w:t>
      </w:r>
      <w:r>
        <w:t>were described for over 60 years. M</w:t>
      </w:r>
      <w:r w:rsidRPr="00E7423F">
        <w:rPr>
          <w:rFonts w:cs="Times New Roman"/>
          <w:color w:val="000000" w:themeColor="text1"/>
        </w:rPr>
        <w:t xml:space="preserve">ost work regarding </w:t>
      </w:r>
      <w:r>
        <w:rPr>
          <w:rFonts w:cs="Times New Roman"/>
          <w:color w:val="000000" w:themeColor="text1"/>
        </w:rPr>
        <w:t>the genus in the archipelago throughout the mid-20</w:t>
      </w:r>
      <w:r w:rsidRPr="005D2463">
        <w:rPr>
          <w:rFonts w:cs="Times New Roman"/>
          <w:color w:val="000000" w:themeColor="text1"/>
          <w:vertAlign w:val="superscript"/>
        </w:rPr>
        <w:t>th</w:t>
      </w:r>
      <w:r>
        <w:rPr>
          <w:rFonts w:cs="Times New Roman"/>
          <w:color w:val="000000" w:themeColor="text1"/>
        </w:rPr>
        <w:t xml:space="preserve"> century</w:t>
      </w:r>
      <w:r w:rsidRPr="00E7423F">
        <w:rPr>
          <w:rFonts w:cs="Times New Roman"/>
          <w:color w:val="000000" w:themeColor="text1"/>
        </w:rPr>
        <w:t xml:space="preserve"> revolved around the</w:t>
      </w:r>
      <w:r>
        <w:rPr>
          <w:rFonts w:cs="Times New Roman"/>
          <w:color w:val="000000" w:themeColor="text1"/>
        </w:rPr>
        <w:t xml:space="preserve"> validation</w:t>
      </w:r>
      <w:r w:rsidRPr="00E7423F">
        <w:rPr>
          <w:rFonts w:cs="Times New Roman"/>
          <w:color w:val="000000" w:themeColor="text1"/>
        </w:rPr>
        <w:t xml:space="preserve"> of </w:t>
      </w:r>
      <w:r>
        <w:rPr>
          <w:rFonts w:cs="Times New Roman"/>
          <w:color w:val="000000" w:themeColor="text1"/>
        </w:rPr>
        <w:t xml:space="preserve">the nine </w:t>
      </w:r>
      <w:r w:rsidRPr="00E7423F">
        <w:rPr>
          <w:rFonts w:cs="Times New Roman"/>
          <w:color w:val="000000" w:themeColor="text1"/>
        </w:rPr>
        <w:t>species</w:t>
      </w:r>
      <w:r>
        <w:rPr>
          <w:rFonts w:cs="Times New Roman"/>
          <w:color w:val="000000" w:themeColor="text1"/>
        </w:rPr>
        <w:t xml:space="preserve"> recognized by Taylor based on morphological features</w:t>
      </w:r>
      <w:r w:rsidRPr="00E7423F">
        <w:rPr>
          <w:rFonts w:cs="Times New Roman"/>
          <w:color w:val="000000" w:themeColor="text1"/>
        </w:rPr>
        <w:t>.</w:t>
      </w:r>
    </w:p>
    <w:p w14:paraId="7E274707" w14:textId="77777777" w:rsidR="00F6339D" w:rsidRPr="00E7423F" w:rsidRDefault="00F6339D" w:rsidP="00F6339D">
      <w:pPr>
        <w:widowControl w:val="0"/>
        <w:autoSpaceDE w:val="0"/>
        <w:autoSpaceDN w:val="0"/>
        <w:adjustRightInd w:val="0"/>
        <w:spacing w:line="480" w:lineRule="auto"/>
        <w:ind w:firstLine="360"/>
        <w:rPr>
          <w:rFonts w:cs="Times New Roman"/>
          <w:color w:val="000000" w:themeColor="text1"/>
        </w:rPr>
      </w:pPr>
      <w:r w:rsidRPr="00E7423F">
        <w:rPr>
          <w:rFonts w:cs="Times New Roman"/>
          <w:color w:val="000000" w:themeColor="text1"/>
        </w:rPr>
        <w:t xml:space="preserve">Specimens of </w:t>
      </w:r>
      <w:r w:rsidRPr="00E7423F">
        <w:rPr>
          <w:rFonts w:cs="Times New Roman"/>
          <w:i/>
          <w:color w:val="000000" w:themeColor="text1"/>
        </w:rPr>
        <w:t>L. aureolineatus</w:t>
      </w:r>
      <w:r w:rsidRPr="00E7423F">
        <w:rPr>
          <w:rFonts w:cs="Times New Roman"/>
          <w:color w:val="000000" w:themeColor="text1"/>
        </w:rPr>
        <w:t xml:space="preserve"> and </w:t>
      </w:r>
      <w:r w:rsidRPr="00E7423F">
        <w:rPr>
          <w:rFonts w:cs="Times New Roman"/>
          <w:i/>
          <w:color w:val="000000" w:themeColor="text1"/>
        </w:rPr>
        <w:t>L. divergens</w:t>
      </w:r>
      <w:r w:rsidRPr="00E7423F">
        <w:rPr>
          <w:rFonts w:cs="Times New Roman"/>
          <w:color w:val="000000" w:themeColor="text1"/>
        </w:rPr>
        <w:t xml:space="preserve"> collected by Taylor originally were re</w:t>
      </w:r>
      <w:r>
        <w:rPr>
          <w:rFonts w:cs="Times New Roman"/>
          <w:color w:val="000000" w:themeColor="text1"/>
        </w:rPr>
        <w:t>-</w:t>
      </w:r>
      <w:r w:rsidRPr="00E7423F">
        <w:rPr>
          <w:rFonts w:cs="Times New Roman"/>
          <w:color w:val="000000" w:themeColor="text1"/>
        </w:rPr>
        <w:t xml:space="preserve">examined by Smith (1935) and both species were collapsed into </w:t>
      </w:r>
      <w:r w:rsidRPr="00E7423F">
        <w:rPr>
          <w:rFonts w:cs="Times New Roman"/>
          <w:i/>
          <w:color w:val="000000" w:themeColor="text1"/>
        </w:rPr>
        <w:t>L</w:t>
      </w:r>
      <w:r w:rsidRPr="00E7423F">
        <w:rPr>
          <w:rFonts w:cs="Times New Roman"/>
          <w:color w:val="000000" w:themeColor="text1"/>
        </w:rPr>
        <w:t>.</w:t>
      </w:r>
      <w:r w:rsidRPr="00E7423F">
        <w:rPr>
          <w:rFonts w:cs="Times New Roman"/>
          <w:i/>
          <w:color w:val="000000" w:themeColor="text1"/>
        </w:rPr>
        <w:t xml:space="preserve"> lugubris </w:t>
      </w:r>
      <w:r w:rsidRPr="00E7423F">
        <w:rPr>
          <w:rFonts w:cs="Times New Roman"/>
          <w:color w:val="000000" w:themeColor="text1"/>
        </w:rPr>
        <w:t>because Smith could not</w:t>
      </w:r>
      <w:r>
        <w:rPr>
          <w:rFonts w:cs="Times New Roman"/>
          <w:color w:val="000000" w:themeColor="text1"/>
        </w:rPr>
        <w:t xml:space="preserve"> find a series of morphological characters by which to separate them from </w:t>
      </w:r>
      <w:r w:rsidRPr="00E7423F">
        <w:rPr>
          <w:rFonts w:cs="Times New Roman"/>
          <w:i/>
          <w:color w:val="000000" w:themeColor="text1"/>
        </w:rPr>
        <w:t>L</w:t>
      </w:r>
      <w:r w:rsidRPr="00E7423F">
        <w:rPr>
          <w:rFonts w:cs="Times New Roman"/>
          <w:color w:val="000000" w:themeColor="text1"/>
        </w:rPr>
        <w:t>.</w:t>
      </w:r>
      <w:r w:rsidRPr="00E7423F">
        <w:rPr>
          <w:rFonts w:cs="Times New Roman"/>
          <w:i/>
          <w:color w:val="000000" w:themeColor="text1"/>
        </w:rPr>
        <w:t xml:space="preserve"> </w:t>
      </w:r>
      <w:r>
        <w:rPr>
          <w:rFonts w:cs="Times New Roman"/>
          <w:i/>
          <w:color w:val="000000" w:themeColor="text1"/>
        </w:rPr>
        <w:t>lugubris</w:t>
      </w:r>
      <w:r>
        <w:rPr>
          <w:rFonts w:cs="Times New Roman"/>
          <w:color w:val="000000" w:themeColor="text1"/>
        </w:rPr>
        <w:t xml:space="preserve">. </w:t>
      </w:r>
      <w:r w:rsidRPr="00E7423F">
        <w:rPr>
          <w:rFonts w:cs="Times New Roman"/>
          <w:color w:val="000000" w:themeColor="text1"/>
        </w:rPr>
        <w:t xml:space="preserve">As such, </w:t>
      </w:r>
      <w:r w:rsidRPr="00E7423F">
        <w:rPr>
          <w:rFonts w:cs="Times New Roman"/>
          <w:i/>
          <w:color w:val="000000" w:themeColor="text1"/>
        </w:rPr>
        <w:t>L</w:t>
      </w:r>
      <w:r w:rsidRPr="00E7423F">
        <w:rPr>
          <w:rFonts w:cs="Times New Roman"/>
          <w:color w:val="000000" w:themeColor="text1"/>
        </w:rPr>
        <w:t xml:space="preserve">. </w:t>
      </w:r>
      <w:r w:rsidRPr="00E7423F">
        <w:rPr>
          <w:rFonts w:cs="Times New Roman"/>
          <w:i/>
          <w:color w:val="000000" w:themeColor="text1"/>
        </w:rPr>
        <w:t>lugubris</w:t>
      </w:r>
      <w:r w:rsidRPr="00E7423F">
        <w:rPr>
          <w:rFonts w:cs="Times New Roman"/>
          <w:color w:val="000000" w:themeColor="text1"/>
        </w:rPr>
        <w:t xml:space="preserve"> was considered present in the Philippines as of 193</w:t>
      </w:r>
      <w:r>
        <w:rPr>
          <w:rFonts w:cs="Times New Roman"/>
          <w:color w:val="000000" w:themeColor="text1"/>
        </w:rPr>
        <w:t>5 (Smith 1935)</w:t>
      </w:r>
      <w:r w:rsidRPr="00E7423F">
        <w:rPr>
          <w:rFonts w:cs="Times New Roman"/>
          <w:color w:val="000000" w:themeColor="text1"/>
        </w:rPr>
        <w:t xml:space="preserve">. </w:t>
      </w:r>
      <w:r>
        <w:rPr>
          <w:rFonts w:cs="Times New Roman"/>
          <w:color w:val="000000" w:themeColor="text1"/>
        </w:rPr>
        <w:t xml:space="preserve">Another </w:t>
      </w:r>
      <w:r w:rsidRPr="00E7423F">
        <w:rPr>
          <w:rFonts w:cs="Times New Roman"/>
          <w:color w:val="000000" w:themeColor="text1"/>
        </w:rPr>
        <w:t xml:space="preserve">30 years </w:t>
      </w:r>
      <w:r>
        <w:rPr>
          <w:rFonts w:cs="Times New Roman"/>
          <w:color w:val="000000" w:themeColor="text1"/>
        </w:rPr>
        <w:t xml:space="preserve">passed with no mention of </w:t>
      </w:r>
      <w:r>
        <w:rPr>
          <w:rFonts w:cs="Times New Roman"/>
          <w:i/>
          <w:color w:val="000000" w:themeColor="text1"/>
        </w:rPr>
        <w:t xml:space="preserve">Lepidodactylus </w:t>
      </w:r>
      <w:r>
        <w:rPr>
          <w:rFonts w:cs="Times New Roman"/>
          <w:color w:val="000000" w:themeColor="text1"/>
        </w:rPr>
        <w:t>in the Philippines before</w:t>
      </w:r>
      <w:r w:rsidRPr="00E7423F">
        <w:rPr>
          <w:rFonts w:cs="Times New Roman"/>
          <w:color w:val="000000" w:themeColor="text1"/>
        </w:rPr>
        <w:t xml:space="preserve"> </w:t>
      </w:r>
      <w:r>
        <w:rPr>
          <w:rFonts w:cs="Times New Roman"/>
          <w:color w:val="000000" w:themeColor="text1"/>
        </w:rPr>
        <w:t>a</w:t>
      </w:r>
      <w:r w:rsidRPr="00E7423F">
        <w:rPr>
          <w:rFonts w:cs="Times New Roman"/>
          <w:color w:val="000000" w:themeColor="text1"/>
        </w:rPr>
        <w:t xml:space="preserve"> checklist of amphibians and reptiles </w:t>
      </w:r>
      <w:r>
        <w:rPr>
          <w:rFonts w:cs="Times New Roman"/>
          <w:color w:val="000000" w:themeColor="text1"/>
        </w:rPr>
        <w:t xml:space="preserve">was released </w:t>
      </w:r>
      <w:r w:rsidRPr="00E7423F">
        <w:rPr>
          <w:rFonts w:cs="Times New Roman"/>
          <w:color w:val="000000" w:themeColor="text1"/>
        </w:rPr>
        <w:t xml:space="preserve">by </w:t>
      </w:r>
      <w:r w:rsidRPr="002D2311">
        <w:rPr>
          <w:rFonts w:cs="Times New Roman"/>
          <w:color w:val="000000" w:themeColor="text1"/>
        </w:rPr>
        <w:t xml:space="preserve">Wermuth (1965) that agreed with these placements and recognized </w:t>
      </w:r>
      <w:r w:rsidRPr="002D2311">
        <w:rPr>
          <w:rFonts w:cs="Times New Roman"/>
          <w:i/>
          <w:color w:val="000000" w:themeColor="text1"/>
        </w:rPr>
        <w:t xml:space="preserve">L. lugubris </w:t>
      </w:r>
      <w:r w:rsidRPr="002D2311">
        <w:rPr>
          <w:rFonts w:cs="Times New Roman"/>
          <w:color w:val="000000" w:themeColor="text1"/>
        </w:rPr>
        <w:t>as a wide</w:t>
      </w:r>
      <w:r>
        <w:rPr>
          <w:rFonts w:cs="Times New Roman"/>
          <w:color w:val="000000" w:themeColor="text1"/>
        </w:rPr>
        <w:t>-</w:t>
      </w:r>
      <w:r w:rsidRPr="002D2311">
        <w:rPr>
          <w:rFonts w:cs="Times New Roman"/>
          <w:color w:val="000000" w:themeColor="text1"/>
        </w:rPr>
        <w:t>ranging species in the Philippines.</w:t>
      </w:r>
    </w:p>
    <w:p w14:paraId="43DCD952" w14:textId="77777777" w:rsidR="00F6339D" w:rsidRDefault="00F6339D" w:rsidP="00F6339D">
      <w:pPr>
        <w:widowControl w:val="0"/>
        <w:autoSpaceDE w:val="0"/>
        <w:autoSpaceDN w:val="0"/>
        <w:adjustRightInd w:val="0"/>
        <w:spacing w:line="480" w:lineRule="auto"/>
        <w:ind w:firstLine="360"/>
        <w:rPr>
          <w:rFonts w:cs="Times New Roman"/>
        </w:rPr>
      </w:pPr>
      <w:r w:rsidRPr="00E7423F">
        <w:rPr>
          <w:rFonts w:cs="Times New Roman"/>
          <w:color w:val="000000" w:themeColor="text1"/>
        </w:rPr>
        <w:t>Kluge (1968) reviewed the genus</w:t>
      </w:r>
      <w:r>
        <w:rPr>
          <w:rFonts w:cs="Times New Roman"/>
          <w:color w:val="000000" w:themeColor="text1"/>
        </w:rPr>
        <w:t xml:space="preserve"> </w:t>
      </w:r>
      <w:r w:rsidRPr="00E7423F">
        <w:rPr>
          <w:rFonts w:cs="Times New Roman"/>
          <w:color w:val="000000" w:themeColor="text1"/>
        </w:rPr>
        <w:t xml:space="preserve">shortly </w:t>
      </w:r>
      <w:r>
        <w:rPr>
          <w:rFonts w:cs="Times New Roman"/>
          <w:color w:val="000000" w:themeColor="text1"/>
        </w:rPr>
        <w:t xml:space="preserve">after the release of this checklist </w:t>
      </w:r>
      <w:r w:rsidRPr="00E7423F">
        <w:rPr>
          <w:rFonts w:cs="Times New Roman"/>
          <w:color w:val="000000" w:themeColor="text1"/>
        </w:rPr>
        <w:t>and</w:t>
      </w:r>
      <w:r>
        <w:rPr>
          <w:rFonts w:cs="Times New Roman"/>
          <w:color w:val="000000" w:themeColor="text1"/>
        </w:rPr>
        <w:t xml:space="preserve"> agreed with</w:t>
      </w:r>
      <w:r w:rsidRPr="00E7423F">
        <w:rPr>
          <w:rFonts w:cs="Times New Roman"/>
          <w:color w:val="000000" w:themeColor="text1"/>
        </w:rPr>
        <w:t xml:space="preserve"> </w:t>
      </w:r>
      <w:r w:rsidRPr="00E7423F">
        <w:rPr>
          <w:rFonts w:cs="Times New Roman"/>
          <w:i/>
          <w:color w:val="000000" w:themeColor="text1"/>
        </w:rPr>
        <w:t>L. divergens</w:t>
      </w:r>
      <w:r w:rsidRPr="00E7423F">
        <w:rPr>
          <w:rFonts w:cs="Times New Roman"/>
          <w:color w:val="000000" w:themeColor="text1"/>
        </w:rPr>
        <w:t xml:space="preserve"> </w:t>
      </w:r>
      <w:r>
        <w:rPr>
          <w:rFonts w:cs="Times New Roman"/>
          <w:color w:val="000000" w:themeColor="text1"/>
        </w:rPr>
        <w:t>being</w:t>
      </w:r>
      <w:r w:rsidRPr="00E7423F">
        <w:rPr>
          <w:rFonts w:cs="Times New Roman"/>
          <w:color w:val="000000" w:themeColor="text1"/>
        </w:rPr>
        <w:t xml:space="preserve"> synonymous to </w:t>
      </w:r>
      <w:r w:rsidRPr="00E7423F">
        <w:rPr>
          <w:rFonts w:cs="Times New Roman"/>
          <w:i/>
          <w:color w:val="000000" w:themeColor="text1"/>
        </w:rPr>
        <w:t xml:space="preserve">L. lugubris </w:t>
      </w:r>
      <w:r w:rsidRPr="00E7423F">
        <w:rPr>
          <w:rFonts w:cs="Times New Roman"/>
          <w:color w:val="000000" w:themeColor="text1"/>
        </w:rPr>
        <w:t>but re</w:t>
      </w:r>
      <w:r>
        <w:rPr>
          <w:rFonts w:cs="Times New Roman"/>
          <w:color w:val="000000" w:themeColor="text1"/>
        </w:rPr>
        <w:t>surrected</w:t>
      </w:r>
      <w:r w:rsidRPr="00E7423F">
        <w:rPr>
          <w:rFonts w:cs="Times New Roman"/>
          <w:color w:val="000000" w:themeColor="text1"/>
        </w:rPr>
        <w:t xml:space="preserve"> </w:t>
      </w:r>
      <w:r w:rsidRPr="00E7423F">
        <w:rPr>
          <w:rFonts w:cs="Times New Roman"/>
          <w:i/>
          <w:color w:val="000000" w:themeColor="text1"/>
        </w:rPr>
        <w:t>L. aureolineatus</w:t>
      </w:r>
      <w:r>
        <w:rPr>
          <w:rFonts w:cs="Times New Roman"/>
          <w:i/>
          <w:color w:val="000000" w:themeColor="text1"/>
        </w:rPr>
        <w:t xml:space="preserve"> </w:t>
      </w:r>
      <w:r>
        <w:rPr>
          <w:rFonts w:cs="Times New Roman"/>
          <w:color w:val="000000" w:themeColor="text1"/>
        </w:rPr>
        <w:t>as a distinct lineage,</w:t>
      </w:r>
      <w:r w:rsidRPr="00E7423F">
        <w:rPr>
          <w:rFonts w:cs="Times New Roman"/>
          <w:color w:val="000000" w:themeColor="text1"/>
        </w:rPr>
        <w:t xml:space="preserve"> citing that it </w:t>
      </w:r>
      <w:r>
        <w:rPr>
          <w:rFonts w:cs="Times New Roman"/>
          <w:color w:val="000000" w:themeColor="text1"/>
        </w:rPr>
        <w:t>was</w:t>
      </w:r>
      <w:r w:rsidRPr="00E7423F">
        <w:rPr>
          <w:rFonts w:cs="Times New Roman"/>
          <w:color w:val="000000" w:themeColor="text1"/>
        </w:rPr>
        <w:t xml:space="preserve"> sufficiently distinct from </w:t>
      </w:r>
      <w:r w:rsidRPr="00E7423F">
        <w:rPr>
          <w:rFonts w:cs="Times New Roman"/>
          <w:i/>
          <w:color w:val="000000" w:themeColor="text1"/>
        </w:rPr>
        <w:t>L. lugubris</w:t>
      </w:r>
      <w:r w:rsidRPr="00E7423F">
        <w:rPr>
          <w:rFonts w:cs="Times New Roman"/>
          <w:color w:val="000000" w:themeColor="text1"/>
        </w:rPr>
        <w:t xml:space="preserve"> to warrant </w:t>
      </w:r>
      <w:r>
        <w:rPr>
          <w:rFonts w:cs="Times New Roman"/>
          <w:color w:val="000000" w:themeColor="text1"/>
        </w:rPr>
        <w:t>its</w:t>
      </w:r>
      <w:r w:rsidRPr="00E7423F">
        <w:rPr>
          <w:rFonts w:cs="Times New Roman"/>
          <w:color w:val="000000" w:themeColor="text1"/>
        </w:rPr>
        <w:t xml:space="preserve"> own species. The author went further and placed </w:t>
      </w:r>
      <w:r w:rsidRPr="00E7423F">
        <w:rPr>
          <w:rFonts w:cs="Times New Roman"/>
          <w:i/>
          <w:color w:val="000000" w:themeColor="text1"/>
        </w:rPr>
        <w:t xml:space="preserve">L. christiani </w:t>
      </w:r>
      <w:r w:rsidRPr="00E7423F">
        <w:rPr>
          <w:rFonts w:cs="Times New Roman"/>
          <w:color w:val="000000" w:themeColor="text1"/>
        </w:rPr>
        <w:t xml:space="preserve">as a </w:t>
      </w:r>
      <w:r w:rsidRPr="00E7423F">
        <w:rPr>
          <w:rFonts w:cs="Times New Roman"/>
          <w:i/>
          <w:color w:val="000000" w:themeColor="text1"/>
        </w:rPr>
        <w:t>species inquirenda</w:t>
      </w:r>
      <w:r w:rsidRPr="00E7423F">
        <w:rPr>
          <w:rFonts w:cs="Times New Roman"/>
          <w:color w:val="000000" w:themeColor="text1"/>
        </w:rPr>
        <w:t xml:space="preserve"> and transferred </w:t>
      </w:r>
      <w:r w:rsidRPr="00E7423F">
        <w:rPr>
          <w:rFonts w:cs="Times New Roman"/>
          <w:i/>
          <w:color w:val="000000" w:themeColor="text1"/>
        </w:rPr>
        <w:t>L. brevipes</w:t>
      </w:r>
      <w:r w:rsidRPr="00E7423F">
        <w:rPr>
          <w:rFonts w:cs="Times New Roman"/>
        </w:rPr>
        <w:t xml:space="preserve"> to the genus </w:t>
      </w:r>
      <w:r w:rsidRPr="00E7423F">
        <w:rPr>
          <w:rFonts w:cs="Times New Roman"/>
          <w:i/>
        </w:rPr>
        <w:t>Pseudogekko</w:t>
      </w:r>
      <w:r w:rsidRPr="00E7423F">
        <w:rPr>
          <w:rFonts w:cs="Times New Roman"/>
        </w:rPr>
        <w:t xml:space="preserve">. </w:t>
      </w:r>
      <w:r>
        <w:rPr>
          <w:rFonts w:cs="Times New Roman"/>
        </w:rPr>
        <w:t>S</w:t>
      </w:r>
      <w:r w:rsidRPr="00E7423F">
        <w:rPr>
          <w:rFonts w:cs="Times New Roman"/>
        </w:rPr>
        <w:t>ix species from the Philippines</w:t>
      </w:r>
      <w:r>
        <w:rPr>
          <w:rFonts w:cs="Times New Roman"/>
        </w:rPr>
        <w:t xml:space="preserve"> were retained by the end of the 1960s including</w:t>
      </w:r>
      <w:r w:rsidRPr="00E7423F">
        <w:rPr>
          <w:rFonts w:cs="Times New Roman"/>
        </w:rPr>
        <w:t xml:space="preserve">: </w:t>
      </w:r>
      <w:r w:rsidRPr="00E7423F">
        <w:rPr>
          <w:rFonts w:cs="Times New Roman"/>
          <w:i/>
        </w:rPr>
        <w:t>L</w:t>
      </w:r>
      <w:r w:rsidRPr="00E7423F">
        <w:rPr>
          <w:rFonts w:cs="Times New Roman"/>
        </w:rPr>
        <w:t>.</w:t>
      </w:r>
      <w:r>
        <w:rPr>
          <w:rFonts w:cs="Times New Roman"/>
        </w:rPr>
        <w:t xml:space="preserve"> </w:t>
      </w:r>
      <w:r w:rsidRPr="00E7423F">
        <w:rPr>
          <w:rFonts w:cs="Times New Roman"/>
          <w:i/>
        </w:rPr>
        <w:t>aureolineatus</w:t>
      </w:r>
      <w:r w:rsidRPr="00E7423F">
        <w:rPr>
          <w:rFonts w:cs="Times New Roman"/>
        </w:rPr>
        <w:t xml:space="preserve">, </w:t>
      </w:r>
      <w:r w:rsidRPr="00AF7524">
        <w:rPr>
          <w:rFonts w:cs="Times New Roman"/>
          <w:i/>
        </w:rPr>
        <w:t>L</w:t>
      </w:r>
      <w:r w:rsidRPr="00AF7524">
        <w:rPr>
          <w:rFonts w:cs="Times New Roman"/>
        </w:rPr>
        <w:t>.</w:t>
      </w:r>
      <w:r>
        <w:rPr>
          <w:rFonts w:cs="Times New Roman"/>
        </w:rPr>
        <w:t xml:space="preserve"> </w:t>
      </w:r>
      <w:r w:rsidRPr="00E7423F">
        <w:rPr>
          <w:rFonts w:cs="Times New Roman"/>
          <w:i/>
        </w:rPr>
        <w:t>herrei</w:t>
      </w:r>
      <w:r w:rsidRPr="00E7423F">
        <w:rPr>
          <w:rFonts w:cs="Times New Roman"/>
        </w:rPr>
        <w:t xml:space="preserve">, </w:t>
      </w:r>
      <w:r w:rsidRPr="00AF7524">
        <w:rPr>
          <w:rFonts w:cs="Times New Roman"/>
          <w:i/>
        </w:rPr>
        <w:t>L</w:t>
      </w:r>
      <w:r w:rsidRPr="00AF7524">
        <w:rPr>
          <w:rFonts w:cs="Times New Roman"/>
        </w:rPr>
        <w:t>.</w:t>
      </w:r>
      <w:r>
        <w:rPr>
          <w:rFonts w:cs="Times New Roman"/>
        </w:rPr>
        <w:t xml:space="preserve"> </w:t>
      </w:r>
      <w:r w:rsidRPr="00E7423F">
        <w:rPr>
          <w:rFonts w:cs="Times New Roman"/>
          <w:i/>
        </w:rPr>
        <w:t>lugubris</w:t>
      </w:r>
      <w:r w:rsidRPr="00E7423F">
        <w:rPr>
          <w:rFonts w:cs="Times New Roman"/>
        </w:rPr>
        <w:t xml:space="preserve">, </w:t>
      </w:r>
      <w:r w:rsidRPr="00AF7524">
        <w:rPr>
          <w:rFonts w:cs="Times New Roman"/>
          <w:i/>
        </w:rPr>
        <w:t>L</w:t>
      </w:r>
      <w:r w:rsidRPr="00AF7524">
        <w:rPr>
          <w:rFonts w:cs="Times New Roman"/>
        </w:rPr>
        <w:t>.</w:t>
      </w:r>
      <w:r>
        <w:rPr>
          <w:rFonts w:cs="Times New Roman"/>
        </w:rPr>
        <w:t xml:space="preserve"> </w:t>
      </w:r>
      <w:r w:rsidRPr="00E7423F">
        <w:rPr>
          <w:rFonts w:cs="Times New Roman"/>
          <w:i/>
        </w:rPr>
        <w:t>naujanensis</w:t>
      </w:r>
      <w:r w:rsidRPr="00E7423F">
        <w:rPr>
          <w:rFonts w:cs="Times New Roman"/>
        </w:rPr>
        <w:t xml:space="preserve">, </w:t>
      </w:r>
      <w:r w:rsidRPr="00AF7524">
        <w:rPr>
          <w:rFonts w:cs="Times New Roman"/>
          <w:i/>
        </w:rPr>
        <w:t>L</w:t>
      </w:r>
      <w:r w:rsidRPr="00AF7524">
        <w:rPr>
          <w:rFonts w:cs="Times New Roman"/>
        </w:rPr>
        <w:t>.</w:t>
      </w:r>
      <w:r>
        <w:rPr>
          <w:rFonts w:cs="Times New Roman"/>
        </w:rPr>
        <w:t xml:space="preserve"> </w:t>
      </w:r>
      <w:r w:rsidRPr="00E7423F">
        <w:rPr>
          <w:rFonts w:cs="Times New Roman"/>
          <w:i/>
        </w:rPr>
        <w:t>planicaudus</w:t>
      </w:r>
      <w:r w:rsidRPr="00E7423F">
        <w:rPr>
          <w:rFonts w:cs="Times New Roman"/>
        </w:rPr>
        <w:t xml:space="preserve">, </w:t>
      </w:r>
      <w:r>
        <w:rPr>
          <w:rFonts w:cs="Times New Roman"/>
        </w:rPr>
        <w:t xml:space="preserve">and </w:t>
      </w:r>
      <w:r w:rsidRPr="00AF7524">
        <w:rPr>
          <w:rFonts w:cs="Times New Roman"/>
          <w:i/>
        </w:rPr>
        <w:t>L</w:t>
      </w:r>
      <w:r w:rsidRPr="00AF7524">
        <w:rPr>
          <w:rFonts w:cs="Times New Roman"/>
        </w:rPr>
        <w:t>.</w:t>
      </w:r>
      <w:r>
        <w:rPr>
          <w:rFonts w:cs="Times New Roman"/>
        </w:rPr>
        <w:t xml:space="preserve"> </w:t>
      </w:r>
      <w:r w:rsidRPr="00E7423F">
        <w:rPr>
          <w:rFonts w:cs="Times New Roman"/>
          <w:i/>
        </w:rPr>
        <w:t>woodfordi</w:t>
      </w:r>
      <w:r w:rsidRPr="00E7423F">
        <w:rPr>
          <w:rFonts w:cs="Times New Roman"/>
        </w:rPr>
        <w:t>.</w:t>
      </w:r>
    </w:p>
    <w:p w14:paraId="0A89E959" w14:textId="77777777" w:rsidR="00F6339D" w:rsidRDefault="00F6339D" w:rsidP="00F6339D">
      <w:pPr>
        <w:widowControl w:val="0"/>
        <w:autoSpaceDE w:val="0"/>
        <w:autoSpaceDN w:val="0"/>
        <w:adjustRightInd w:val="0"/>
        <w:spacing w:line="480" w:lineRule="auto"/>
        <w:ind w:firstLine="360"/>
        <w:rPr>
          <w:rFonts w:cs="Times New Roman"/>
        </w:rPr>
      </w:pPr>
      <w:r>
        <w:rPr>
          <w:rFonts w:cs="Times New Roman"/>
        </w:rPr>
        <w:t xml:space="preserve">In the </w:t>
      </w:r>
      <w:r w:rsidRPr="00E7423F">
        <w:rPr>
          <w:rFonts w:cs="Times New Roman"/>
        </w:rPr>
        <w:t>second exhaustive systematic review of Philippine gekkonids following Taylor</w:t>
      </w:r>
      <w:r>
        <w:rPr>
          <w:rFonts w:cs="Times New Roman"/>
        </w:rPr>
        <w:t xml:space="preserve">’s work in 1922, </w:t>
      </w:r>
      <w:r w:rsidRPr="00E7423F">
        <w:rPr>
          <w:rFonts w:cs="Times New Roman"/>
        </w:rPr>
        <w:t xml:space="preserve">Brown and Alcala (1978) recognized four endemic species of </w:t>
      </w:r>
      <w:r w:rsidRPr="00E7423F">
        <w:rPr>
          <w:rFonts w:cs="Times New Roman"/>
          <w:i/>
        </w:rPr>
        <w:t>Lepidodactylus</w:t>
      </w:r>
      <w:r>
        <w:rPr>
          <w:rFonts w:cs="Times New Roman"/>
        </w:rPr>
        <w:t>:</w:t>
      </w:r>
      <w:r w:rsidRPr="00E7423F">
        <w:rPr>
          <w:rFonts w:cs="Times New Roman"/>
        </w:rPr>
        <w:t xml:space="preserve"> </w:t>
      </w:r>
      <w:r w:rsidRPr="00E7423F">
        <w:rPr>
          <w:rFonts w:cs="Times New Roman"/>
          <w:i/>
        </w:rPr>
        <w:t xml:space="preserve">L. </w:t>
      </w:r>
      <w:r w:rsidRPr="00E7423F">
        <w:rPr>
          <w:rFonts w:cs="Times New Roman"/>
          <w:i/>
        </w:rPr>
        <w:lastRenderedPageBreak/>
        <w:t>aureolineatus</w:t>
      </w:r>
      <w:r w:rsidRPr="00E7423F">
        <w:rPr>
          <w:rFonts w:cs="Times New Roman"/>
        </w:rPr>
        <w:t xml:space="preserve">, </w:t>
      </w:r>
      <w:r w:rsidRPr="00AF7524">
        <w:rPr>
          <w:rFonts w:cs="Times New Roman"/>
          <w:i/>
        </w:rPr>
        <w:t>L.</w:t>
      </w:r>
      <w:r>
        <w:rPr>
          <w:rFonts w:cs="Times New Roman"/>
          <w:i/>
        </w:rPr>
        <w:t xml:space="preserve"> </w:t>
      </w:r>
      <w:r w:rsidRPr="00E7423F">
        <w:rPr>
          <w:rFonts w:cs="Times New Roman"/>
          <w:i/>
        </w:rPr>
        <w:t>christiani</w:t>
      </w:r>
      <w:r w:rsidRPr="00E7423F">
        <w:rPr>
          <w:rFonts w:cs="Times New Roman"/>
        </w:rPr>
        <w:t xml:space="preserve">, </w:t>
      </w:r>
      <w:r w:rsidRPr="00AF7524">
        <w:rPr>
          <w:rFonts w:cs="Times New Roman"/>
          <w:i/>
        </w:rPr>
        <w:t>L.</w:t>
      </w:r>
      <w:r>
        <w:rPr>
          <w:rFonts w:cs="Times New Roman"/>
          <w:i/>
        </w:rPr>
        <w:t xml:space="preserve"> </w:t>
      </w:r>
      <w:r w:rsidRPr="00E7423F">
        <w:rPr>
          <w:rFonts w:cs="Times New Roman"/>
          <w:i/>
        </w:rPr>
        <w:t>herrei</w:t>
      </w:r>
      <w:r w:rsidRPr="00E7423F">
        <w:rPr>
          <w:rFonts w:cs="Times New Roman"/>
        </w:rPr>
        <w:t xml:space="preserve">, and </w:t>
      </w:r>
      <w:r w:rsidRPr="00AF7524">
        <w:rPr>
          <w:rFonts w:cs="Times New Roman"/>
          <w:i/>
        </w:rPr>
        <w:t>L.</w:t>
      </w:r>
      <w:r>
        <w:rPr>
          <w:rFonts w:cs="Times New Roman"/>
          <w:i/>
        </w:rPr>
        <w:t xml:space="preserve"> </w:t>
      </w:r>
      <w:r w:rsidRPr="00E7423F">
        <w:rPr>
          <w:rFonts w:cs="Times New Roman"/>
          <w:i/>
        </w:rPr>
        <w:t>planicaudus</w:t>
      </w:r>
      <w:r w:rsidRPr="00E7423F">
        <w:rPr>
          <w:rFonts w:cs="Times New Roman"/>
        </w:rPr>
        <w:t>,</w:t>
      </w:r>
      <w:r w:rsidRPr="00E7423F">
        <w:rPr>
          <w:rFonts w:cs="Times New Roman"/>
          <w:i/>
        </w:rPr>
        <w:t xml:space="preserve"> </w:t>
      </w:r>
      <w:r>
        <w:rPr>
          <w:rFonts w:cs="Times New Roman"/>
        </w:rPr>
        <w:t>as well as the widespread (non-endemic)</w:t>
      </w:r>
      <w:r w:rsidRPr="00E7423F">
        <w:rPr>
          <w:rFonts w:cs="Times New Roman"/>
        </w:rPr>
        <w:t xml:space="preserve"> </w:t>
      </w:r>
      <w:r w:rsidRPr="00E7423F">
        <w:rPr>
          <w:rFonts w:cs="Times New Roman"/>
          <w:i/>
        </w:rPr>
        <w:t>L</w:t>
      </w:r>
      <w:r w:rsidRPr="00E7423F">
        <w:rPr>
          <w:rFonts w:cs="Times New Roman"/>
        </w:rPr>
        <w:t>.</w:t>
      </w:r>
      <w:r w:rsidRPr="00E7423F">
        <w:rPr>
          <w:rFonts w:cs="Times New Roman"/>
          <w:i/>
        </w:rPr>
        <w:t xml:space="preserve"> lugubris</w:t>
      </w:r>
      <w:r w:rsidRPr="00E7423F">
        <w:rPr>
          <w:rFonts w:cs="Times New Roman"/>
        </w:rPr>
        <w:t>.</w:t>
      </w:r>
      <w:r>
        <w:rPr>
          <w:rFonts w:cs="Times New Roman"/>
        </w:rPr>
        <w:t xml:space="preserve"> In this review,</w:t>
      </w:r>
      <w:r w:rsidRPr="00E7423F">
        <w:rPr>
          <w:rFonts w:cs="Times New Roman"/>
        </w:rPr>
        <w:t xml:space="preserve"> </w:t>
      </w:r>
      <w:r>
        <w:rPr>
          <w:rFonts w:cs="Times New Roman"/>
          <w:i/>
        </w:rPr>
        <w:t>Lepidodactylus</w:t>
      </w:r>
      <w:r>
        <w:rPr>
          <w:rFonts w:cs="Times New Roman"/>
        </w:rPr>
        <w:t xml:space="preserve"> </w:t>
      </w:r>
      <w:r>
        <w:rPr>
          <w:rFonts w:cs="Times New Roman"/>
          <w:i/>
        </w:rPr>
        <w:t>naujanensis</w:t>
      </w:r>
      <w:r>
        <w:rPr>
          <w:rFonts w:cs="Times New Roman"/>
        </w:rPr>
        <w:t xml:space="preserve"> was collapsed into </w:t>
      </w:r>
      <w:r>
        <w:rPr>
          <w:rFonts w:cs="Times New Roman"/>
          <w:i/>
        </w:rPr>
        <w:t>L</w:t>
      </w:r>
      <w:r>
        <w:rPr>
          <w:rFonts w:cs="Times New Roman"/>
        </w:rPr>
        <w:t xml:space="preserve">. </w:t>
      </w:r>
      <w:r>
        <w:rPr>
          <w:rFonts w:cs="Times New Roman"/>
          <w:i/>
        </w:rPr>
        <w:t>planicaudus</w:t>
      </w:r>
      <w:r>
        <w:rPr>
          <w:rFonts w:cs="Times New Roman"/>
        </w:rPr>
        <w:t xml:space="preserve"> on the grounds of no morphological distinction between the two species and </w:t>
      </w:r>
      <w:r w:rsidRPr="00E7423F">
        <w:rPr>
          <w:rFonts w:cs="Times New Roman"/>
        </w:rPr>
        <w:t xml:space="preserve">the presence of </w:t>
      </w:r>
      <w:r>
        <w:rPr>
          <w:rFonts w:cs="Times New Roman"/>
        </w:rPr>
        <w:t>another distinct endemic species (</w:t>
      </w:r>
      <w:r w:rsidRPr="00E7423F">
        <w:rPr>
          <w:rFonts w:cs="Times New Roman"/>
          <w:i/>
        </w:rPr>
        <w:t>L. woodfordi</w:t>
      </w:r>
      <w:r>
        <w:rPr>
          <w:rFonts w:cs="Times New Roman"/>
          <w:iCs/>
        </w:rPr>
        <w:t>)</w:t>
      </w:r>
      <w:r w:rsidRPr="00E7423F">
        <w:rPr>
          <w:rFonts w:cs="Times New Roman"/>
        </w:rPr>
        <w:t xml:space="preserve"> in the Philippines </w:t>
      </w:r>
      <w:r>
        <w:rPr>
          <w:rFonts w:cs="Times New Roman"/>
        </w:rPr>
        <w:t>was considered untenable. Brown and Alcala (1978) reassigned Taylor’s (1918) ser</w:t>
      </w:r>
      <w:r w:rsidRPr="00E7423F">
        <w:rPr>
          <w:rFonts w:cs="Times New Roman"/>
        </w:rPr>
        <w:t>i</w:t>
      </w:r>
      <w:r>
        <w:rPr>
          <w:rFonts w:cs="Times New Roman"/>
        </w:rPr>
        <w:t>es of specimens to</w:t>
      </w:r>
      <w:r w:rsidRPr="00E7423F">
        <w:rPr>
          <w:rFonts w:cs="Times New Roman"/>
        </w:rPr>
        <w:t xml:space="preserve"> </w:t>
      </w:r>
      <w:r w:rsidRPr="00E7423F">
        <w:rPr>
          <w:rFonts w:cs="Times New Roman"/>
          <w:i/>
        </w:rPr>
        <w:t>L. lugubris</w:t>
      </w:r>
      <w:r w:rsidRPr="00E7423F">
        <w:rPr>
          <w:rFonts w:cs="Times New Roman"/>
        </w:rPr>
        <w:t>.</w:t>
      </w:r>
      <w:r>
        <w:rPr>
          <w:rFonts w:cs="Times New Roman"/>
        </w:rPr>
        <w:t xml:space="preserve"> In addition to submerging previously recognized species,</w:t>
      </w:r>
      <w:r w:rsidRPr="00E7423F">
        <w:rPr>
          <w:rFonts w:cs="Times New Roman"/>
        </w:rPr>
        <w:t xml:space="preserve"> the authors </w:t>
      </w:r>
      <w:r>
        <w:rPr>
          <w:rFonts w:cs="Times New Roman"/>
        </w:rPr>
        <w:t>reported on</w:t>
      </w:r>
      <w:r w:rsidRPr="00E7423F">
        <w:rPr>
          <w:rFonts w:cs="Times New Roman"/>
        </w:rPr>
        <w:t xml:space="preserve"> 30 </w:t>
      </w:r>
      <w:r>
        <w:rPr>
          <w:rFonts w:cs="Times New Roman"/>
        </w:rPr>
        <w:t xml:space="preserve">additional </w:t>
      </w:r>
      <w:r w:rsidRPr="00E7423F">
        <w:rPr>
          <w:rFonts w:cs="Times New Roman"/>
        </w:rPr>
        <w:t xml:space="preserve">specimens of the </w:t>
      </w:r>
      <w:r>
        <w:rPr>
          <w:rFonts w:cs="Times New Roman"/>
        </w:rPr>
        <w:t>poorly understood taxon</w:t>
      </w:r>
      <w:r w:rsidRPr="00E7423F">
        <w:rPr>
          <w:rFonts w:cs="Times New Roman"/>
        </w:rPr>
        <w:t xml:space="preserve"> </w:t>
      </w:r>
      <w:r w:rsidRPr="00E7423F">
        <w:rPr>
          <w:rFonts w:cs="Times New Roman"/>
          <w:i/>
        </w:rPr>
        <w:t>L. labialis</w:t>
      </w:r>
      <w:r w:rsidRPr="00E7423F">
        <w:rPr>
          <w:rFonts w:cs="Times New Roman"/>
        </w:rPr>
        <w:t xml:space="preserve"> and upon comparison to other </w:t>
      </w:r>
      <w:r w:rsidRPr="00E7423F">
        <w:rPr>
          <w:rFonts w:cs="Times New Roman"/>
          <w:i/>
        </w:rPr>
        <w:t xml:space="preserve">Lepidodactylus </w:t>
      </w:r>
      <w:r w:rsidRPr="00E7423F">
        <w:rPr>
          <w:rFonts w:cs="Times New Roman"/>
        </w:rPr>
        <w:t xml:space="preserve">species and </w:t>
      </w:r>
      <w:r w:rsidRPr="00E7423F">
        <w:rPr>
          <w:rFonts w:cs="Times New Roman"/>
          <w:i/>
        </w:rPr>
        <w:t>Pseudogekko brevipes</w:t>
      </w:r>
      <w:r w:rsidRPr="00E7423F">
        <w:rPr>
          <w:rFonts w:cs="Times New Roman"/>
        </w:rPr>
        <w:t xml:space="preserve">, the authors moved this species to the genus </w:t>
      </w:r>
      <w:r w:rsidRPr="00E7423F">
        <w:rPr>
          <w:rFonts w:cs="Times New Roman"/>
          <w:i/>
        </w:rPr>
        <w:t>Pseudogekko</w:t>
      </w:r>
      <w:r w:rsidRPr="00E7423F">
        <w:rPr>
          <w:rFonts w:cs="Times New Roman"/>
        </w:rPr>
        <w:t>.</w:t>
      </w:r>
      <w:r>
        <w:rPr>
          <w:rFonts w:cs="Times New Roman"/>
        </w:rPr>
        <w:t xml:space="preserve"> Brown and Alcala (1978) also named</w:t>
      </w:r>
      <w:r w:rsidRPr="00E7423F">
        <w:rPr>
          <w:rFonts w:cs="Times New Roman"/>
        </w:rPr>
        <w:t xml:space="preserve"> two subspecies </w:t>
      </w:r>
      <w:r>
        <w:rPr>
          <w:rFonts w:cs="Times New Roman"/>
        </w:rPr>
        <w:t xml:space="preserve">of </w:t>
      </w:r>
      <w:r>
        <w:rPr>
          <w:rFonts w:cs="Times New Roman"/>
          <w:i/>
        </w:rPr>
        <w:t>L</w:t>
      </w:r>
      <w:r>
        <w:rPr>
          <w:rFonts w:cs="Times New Roman"/>
        </w:rPr>
        <w:t xml:space="preserve">. </w:t>
      </w:r>
      <w:r>
        <w:rPr>
          <w:rFonts w:cs="Times New Roman"/>
          <w:i/>
        </w:rPr>
        <w:t>herrei</w:t>
      </w:r>
      <w:r>
        <w:rPr>
          <w:rFonts w:cs="Times New Roman"/>
          <w:iCs/>
        </w:rPr>
        <w:t>:</w:t>
      </w:r>
      <w:r w:rsidRPr="00E7423F">
        <w:rPr>
          <w:rFonts w:cs="Times New Roman"/>
        </w:rPr>
        <w:t xml:space="preserve"> </w:t>
      </w:r>
      <w:r w:rsidRPr="00E7423F">
        <w:rPr>
          <w:rFonts w:cs="Times New Roman"/>
          <w:i/>
        </w:rPr>
        <w:t>L</w:t>
      </w:r>
      <w:r w:rsidRPr="00E7423F">
        <w:rPr>
          <w:rFonts w:cs="Times New Roman"/>
        </w:rPr>
        <w:t xml:space="preserve">. </w:t>
      </w:r>
      <w:r w:rsidRPr="00E7423F">
        <w:rPr>
          <w:rFonts w:cs="Times New Roman"/>
          <w:i/>
        </w:rPr>
        <w:t>h</w:t>
      </w:r>
      <w:r w:rsidRPr="00E7423F">
        <w:rPr>
          <w:rFonts w:cs="Times New Roman"/>
        </w:rPr>
        <w:t>.</w:t>
      </w:r>
      <w:r w:rsidRPr="00E7423F">
        <w:rPr>
          <w:rFonts w:cs="Times New Roman"/>
          <w:i/>
        </w:rPr>
        <w:t xml:space="preserve"> herrei </w:t>
      </w:r>
      <w:r w:rsidRPr="00E7423F">
        <w:rPr>
          <w:rFonts w:cs="Times New Roman"/>
        </w:rPr>
        <w:t xml:space="preserve">and </w:t>
      </w:r>
      <w:r w:rsidRPr="00E7423F">
        <w:rPr>
          <w:rFonts w:cs="Times New Roman"/>
          <w:i/>
        </w:rPr>
        <w:t>L</w:t>
      </w:r>
      <w:r w:rsidRPr="00E7423F">
        <w:rPr>
          <w:rFonts w:cs="Times New Roman"/>
        </w:rPr>
        <w:t xml:space="preserve">. </w:t>
      </w:r>
      <w:r w:rsidRPr="00E7423F">
        <w:rPr>
          <w:rFonts w:cs="Times New Roman"/>
          <w:i/>
        </w:rPr>
        <w:t>h</w:t>
      </w:r>
      <w:r w:rsidRPr="00E7423F">
        <w:rPr>
          <w:rFonts w:cs="Times New Roman"/>
        </w:rPr>
        <w:t>.</w:t>
      </w:r>
      <w:r w:rsidRPr="00E7423F">
        <w:rPr>
          <w:rFonts w:cs="Times New Roman"/>
          <w:i/>
        </w:rPr>
        <w:t xml:space="preserve"> medianus</w:t>
      </w:r>
      <w:r w:rsidRPr="00E7423F">
        <w:rPr>
          <w:rFonts w:cs="Times New Roman"/>
        </w:rPr>
        <w:t xml:space="preserve"> and</w:t>
      </w:r>
      <w:r>
        <w:rPr>
          <w:rFonts w:cs="Times New Roman"/>
        </w:rPr>
        <w:t xml:space="preserve"> asserted that</w:t>
      </w:r>
      <w:r w:rsidRPr="00E7423F">
        <w:rPr>
          <w:rFonts w:cs="Times New Roman"/>
        </w:rPr>
        <w:t xml:space="preserve"> </w:t>
      </w:r>
      <w:r w:rsidRPr="00E7423F">
        <w:rPr>
          <w:rFonts w:cs="Times New Roman"/>
          <w:i/>
        </w:rPr>
        <w:t>L</w:t>
      </w:r>
      <w:r w:rsidRPr="00E7423F">
        <w:rPr>
          <w:rFonts w:cs="Times New Roman"/>
        </w:rPr>
        <w:t xml:space="preserve">. </w:t>
      </w:r>
      <w:r w:rsidRPr="00E7423F">
        <w:rPr>
          <w:rFonts w:cs="Times New Roman"/>
          <w:i/>
        </w:rPr>
        <w:t>h</w:t>
      </w:r>
      <w:r w:rsidRPr="00E7423F">
        <w:rPr>
          <w:rFonts w:cs="Times New Roman"/>
        </w:rPr>
        <w:t>.</w:t>
      </w:r>
      <w:r w:rsidRPr="00E7423F">
        <w:rPr>
          <w:rFonts w:cs="Times New Roman"/>
          <w:i/>
        </w:rPr>
        <w:t xml:space="preserve"> medianus</w:t>
      </w:r>
      <w:r w:rsidRPr="00E7423F">
        <w:rPr>
          <w:rFonts w:cs="Times New Roman"/>
        </w:rPr>
        <w:t xml:space="preserve"> </w:t>
      </w:r>
      <w:r>
        <w:rPr>
          <w:rFonts w:cs="Times New Roman"/>
        </w:rPr>
        <w:t xml:space="preserve">possessed scale counts between </w:t>
      </w:r>
      <w:r w:rsidRPr="00E7423F">
        <w:rPr>
          <w:rFonts w:cs="Times New Roman"/>
          <w:i/>
        </w:rPr>
        <w:t>L. h. herrei</w:t>
      </w:r>
      <w:r w:rsidRPr="00E7423F">
        <w:rPr>
          <w:rFonts w:cs="Times New Roman"/>
        </w:rPr>
        <w:t xml:space="preserve"> and </w:t>
      </w:r>
      <w:r w:rsidRPr="00E7423F">
        <w:rPr>
          <w:rFonts w:cs="Times New Roman"/>
          <w:i/>
        </w:rPr>
        <w:t>L. aureolineatus</w:t>
      </w:r>
      <w:r>
        <w:rPr>
          <w:rFonts w:cs="Times New Roman"/>
          <w:i/>
        </w:rPr>
        <w:t xml:space="preserve"> </w:t>
      </w:r>
      <w:r>
        <w:rPr>
          <w:rFonts w:cs="Times New Roman"/>
        </w:rPr>
        <w:t>and occupied a geographic area between these two congeners.</w:t>
      </w:r>
    </w:p>
    <w:p w14:paraId="67C9A48A" w14:textId="77777777" w:rsidR="00F6339D" w:rsidRDefault="00F6339D" w:rsidP="00F6339D">
      <w:pPr>
        <w:widowControl w:val="0"/>
        <w:autoSpaceDE w:val="0"/>
        <w:autoSpaceDN w:val="0"/>
        <w:adjustRightInd w:val="0"/>
        <w:spacing w:line="480" w:lineRule="auto"/>
        <w:ind w:firstLine="360"/>
        <w:rPr>
          <w:rFonts w:cs="Times New Roman"/>
        </w:rPr>
      </w:pPr>
      <w:r w:rsidRPr="00E7423F">
        <w:rPr>
          <w:rFonts w:cs="Times New Roman"/>
        </w:rPr>
        <w:t xml:space="preserve">The late 1980s brought about the descriptions of the two </w:t>
      </w:r>
      <w:r>
        <w:rPr>
          <w:rFonts w:cs="Times New Roman"/>
        </w:rPr>
        <w:t xml:space="preserve">most recent northern Philippine (and southern Taiwan) </w:t>
      </w:r>
      <w:r>
        <w:rPr>
          <w:rFonts w:cs="Times New Roman"/>
          <w:i/>
        </w:rPr>
        <w:t xml:space="preserve">Lepidodactylus </w:t>
      </w:r>
      <w:r>
        <w:rPr>
          <w:rFonts w:cs="Times New Roman"/>
        </w:rPr>
        <w:t xml:space="preserve">additions: </w:t>
      </w:r>
      <w:r w:rsidRPr="00E7423F">
        <w:rPr>
          <w:rFonts w:cs="Times New Roman"/>
          <w:i/>
        </w:rPr>
        <w:t>L</w:t>
      </w:r>
      <w:r w:rsidRPr="00E7423F">
        <w:rPr>
          <w:rFonts w:cs="Times New Roman"/>
        </w:rPr>
        <w:t xml:space="preserve">. </w:t>
      </w:r>
      <w:r w:rsidRPr="003F5ACB">
        <w:rPr>
          <w:rFonts w:cs="Times New Roman"/>
          <w:i/>
        </w:rPr>
        <w:t>yami</w:t>
      </w:r>
      <w:r w:rsidRPr="00E7423F">
        <w:rPr>
          <w:rFonts w:cs="Times New Roman"/>
        </w:rPr>
        <w:t xml:space="preserve"> Ota, 1987 from Lanyu Island, </w:t>
      </w:r>
      <w:r w:rsidRPr="009B4F7B">
        <w:rPr>
          <w:rFonts w:cs="Times New Roman"/>
        </w:rPr>
        <w:t>Taiwan</w:t>
      </w:r>
      <w:r>
        <w:rPr>
          <w:rFonts w:cs="Times New Roman"/>
        </w:rPr>
        <w:t>,</w:t>
      </w:r>
      <w:r w:rsidRPr="00E7423F">
        <w:rPr>
          <w:rFonts w:cs="Times New Roman"/>
        </w:rPr>
        <w:t xml:space="preserve"> and </w:t>
      </w:r>
      <w:r w:rsidRPr="00E7423F">
        <w:rPr>
          <w:rFonts w:cs="Times New Roman"/>
          <w:i/>
        </w:rPr>
        <w:t>L</w:t>
      </w:r>
      <w:r w:rsidRPr="00E7423F">
        <w:rPr>
          <w:rFonts w:cs="Times New Roman"/>
        </w:rPr>
        <w:t xml:space="preserve">. </w:t>
      </w:r>
      <w:r w:rsidRPr="00E7423F">
        <w:rPr>
          <w:rFonts w:cs="Times New Roman"/>
          <w:i/>
        </w:rPr>
        <w:t>balioburius</w:t>
      </w:r>
      <w:r w:rsidRPr="00E7423F">
        <w:rPr>
          <w:rFonts w:cs="Times New Roman"/>
        </w:rPr>
        <w:t xml:space="preserve"> from the Batanes </w:t>
      </w:r>
      <w:r>
        <w:rPr>
          <w:rFonts w:cs="Times New Roman"/>
        </w:rPr>
        <w:t>Island Group</w:t>
      </w:r>
      <w:r w:rsidRPr="00E7423F">
        <w:rPr>
          <w:rFonts w:cs="Times New Roman"/>
        </w:rPr>
        <w:t>.</w:t>
      </w:r>
      <w:r>
        <w:rPr>
          <w:rFonts w:cs="Times New Roman"/>
        </w:rPr>
        <w:t xml:space="preserve"> Though not from the Philippines, Ota (1987) considered </w:t>
      </w:r>
      <w:r>
        <w:rPr>
          <w:rFonts w:cs="Times New Roman"/>
          <w:i/>
        </w:rPr>
        <w:t>L</w:t>
      </w:r>
      <w:r>
        <w:rPr>
          <w:rFonts w:cs="Times New Roman"/>
        </w:rPr>
        <w:t xml:space="preserve">. </w:t>
      </w:r>
      <w:r>
        <w:rPr>
          <w:rFonts w:cs="Times New Roman"/>
          <w:i/>
        </w:rPr>
        <w:t xml:space="preserve">yami </w:t>
      </w:r>
      <w:r>
        <w:rPr>
          <w:rFonts w:cs="Times New Roman"/>
        </w:rPr>
        <w:t xml:space="preserve">a potential ancestral form that entered Lanyu Island from the Batanes and upon the description of </w:t>
      </w:r>
      <w:r>
        <w:rPr>
          <w:rFonts w:cs="Times New Roman"/>
          <w:i/>
        </w:rPr>
        <w:t xml:space="preserve">L. balioburius </w:t>
      </w:r>
      <w:r>
        <w:rPr>
          <w:rFonts w:cs="Times New Roman"/>
        </w:rPr>
        <w:t>the authors concluded that these two species may be closely related, based on shared morphological character states.</w:t>
      </w:r>
    </w:p>
    <w:p w14:paraId="3DBA3E97" w14:textId="77777777" w:rsidR="00F6339D" w:rsidRPr="0065284E" w:rsidRDefault="00F6339D" w:rsidP="00F6339D">
      <w:pPr>
        <w:widowControl w:val="0"/>
        <w:autoSpaceDE w:val="0"/>
        <w:autoSpaceDN w:val="0"/>
        <w:adjustRightInd w:val="0"/>
        <w:spacing w:line="480" w:lineRule="auto"/>
        <w:ind w:firstLine="360"/>
        <w:rPr>
          <w:rFonts w:cs="Times New Roman"/>
        </w:rPr>
      </w:pPr>
      <w:r>
        <w:rPr>
          <w:rFonts w:cs="Times New Roman"/>
        </w:rPr>
        <w:t xml:space="preserve">The most recent taxonomic revision to </w:t>
      </w:r>
      <w:r>
        <w:rPr>
          <w:rFonts w:cs="Times New Roman"/>
          <w:i/>
        </w:rPr>
        <w:t xml:space="preserve">Lepidodactylus </w:t>
      </w:r>
      <w:r>
        <w:rPr>
          <w:rFonts w:cs="Times New Roman"/>
        </w:rPr>
        <w:t xml:space="preserve">in the Philippines </w:t>
      </w:r>
      <w:r w:rsidRPr="00E7423F">
        <w:rPr>
          <w:rFonts w:cs="Times New Roman"/>
        </w:rPr>
        <w:t>corroborate</w:t>
      </w:r>
      <w:r>
        <w:rPr>
          <w:rFonts w:cs="Times New Roman"/>
        </w:rPr>
        <w:t>d</w:t>
      </w:r>
      <w:r w:rsidRPr="00E7423F">
        <w:rPr>
          <w:rFonts w:cs="Times New Roman"/>
        </w:rPr>
        <w:t xml:space="preserve"> </w:t>
      </w:r>
      <w:r>
        <w:rPr>
          <w:rFonts w:cs="Times New Roman"/>
        </w:rPr>
        <w:t xml:space="preserve">previously mentioned </w:t>
      </w:r>
      <w:r w:rsidRPr="00E7423F">
        <w:rPr>
          <w:rFonts w:cs="Times New Roman"/>
        </w:rPr>
        <w:t xml:space="preserve">similarities between </w:t>
      </w:r>
      <w:r w:rsidRPr="00E7423F">
        <w:rPr>
          <w:rFonts w:cs="Times New Roman"/>
          <w:i/>
        </w:rPr>
        <w:t xml:space="preserve">Pseudogekko </w:t>
      </w:r>
      <w:r w:rsidRPr="00E7423F">
        <w:rPr>
          <w:rFonts w:cs="Times New Roman"/>
        </w:rPr>
        <w:t xml:space="preserve">and </w:t>
      </w:r>
      <w:r w:rsidRPr="00E7423F">
        <w:rPr>
          <w:rFonts w:cs="Times New Roman"/>
          <w:i/>
        </w:rPr>
        <w:t>Lepidodactylus</w:t>
      </w:r>
      <w:r w:rsidRPr="00E7423F">
        <w:rPr>
          <w:rFonts w:cs="Times New Roman"/>
        </w:rPr>
        <w:t xml:space="preserve"> as Siler et al. (2014a) revert</w:t>
      </w:r>
      <w:r>
        <w:rPr>
          <w:rFonts w:cs="Times New Roman"/>
        </w:rPr>
        <w:t>ed</w:t>
      </w:r>
      <w:r w:rsidRPr="00E7423F">
        <w:rPr>
          <w:rFonts w:cs="Times New Roman"/>
        </w:rPr>
        <w:t xml:space="preserve"> the classification of </w:t>
      </w:r>
      <w:r w:rsidRPr="00E7423F">
        <w:rPr>
          <w:rFonts w:cs="Times New Roman"/>
          <w:i/>
        </w:rPr>
        <w:t>P</w:t>
      </w:r>
      <w:r w:rsidRPr="00E7423F">
        <w:rPr>
          <w:rFonts w:cs="Times New Roman"/>
        </w:rPr>
        <w:t xml:space="preserve">. </w:t>
      </w:r>
      <w:r w:rsidRPr="00E7423F">
        <w:rPr>
          <w:rFonts w:cs="Times New Roman"/>
          <w:i/>
        </w:rPr>
        <w:t>labialis</w:t>
      </w:r>
      <w:r w:rsidRPr="00E7423F">
        <w:rPr>
          <w:rFonts w:cs="Times New Roman"/>
        </w:rPr>
        <w:t xml:space="preserve"> Brown and Alcala (1978)</w:t>
      </w:r>
      <w:r>
        <w:rPr>
          <w:rFonts w:cs="Times New Roman"/>
        </w:rPr>
        <w:t>,</w:t>
      </w:r>
      <w:r w:rsidRPr="00E7423F">
        <w:rPr>
          <w:rFonts w:cs="Times New Roman"/>
        </w:rPr>
        <w:t xml:space="preserve"> and</w:t>
      </w:r>
      <w:r w:rsidRPr="00E7423F">
        <w:rPr>
          <w:rFonts w:cs="Times New Roman"/>
          <w:i/>
        </w:rPr>
        <w:t xml:space="preserve"> </w:t>
      </w:r>
      <w:r w:rsidRPr="00E7423F">
        <w:rPr>
          <w:rFonts w:cs="Times New Roman"/>
        </w:rPr>
        <w:t>place</w:t>
      </w:r>
      <w:r>
        <w:rPr>
          <w:rFonts w:cs="Times New Roman"/>
        </w:rPr>
        <w:t>d</w:t>
      </w:r>
      <w:r w:rsidRPr="00E7423F">
        <w:rPr>
          <w:rFonts w:cs="Times New Roman"/>
        </w:rPr>
        <w:t xml:space="preserve"> </w:t>
      </w:r>
      <w:r>
        <w:rPr>
          <w:rFonts w:cs="Times New Roman"/>
        </w:rPr>
        <w:t>the</w:t>
      </w:r>
      <w:r w:rsidRPr="00E7423F">
        <w:rPr>
          <w:rFonts w:cs="Times New Roman"/>
        </w:rPr>
        <w:t xml:space="preserve"> species back into the genus </w:t>
      </w:r>
      <w:r w:rsidRPr="00E7423F">
        <w:rPr>
          <w:rFonts w:cs="Times New Roman"/>
          <w:i/>
        </w:rPr>
        <w:t>Lepidodactylus</w:t>
      </w:r>
      <w:r>
        <w:rPr>
          <w:rFonts w:cs="Times New Roman"/>
          <w:iCs/>
        </w:rPr>
        <w:t>,</w:t>
      </w:r>
      <w:r w:rsidRPr="00E7423F">
        <w:rPr>
          <w:rFonts w:cs="Times New Roman"/>
          <w:i/>
        </w:rPr>
        <w:t xml:space="preserve"> </w:t>
      </w:r>
      <w:r>
        <w:rPr>
          <w:rFonts w:cs="Times New Roman"/>
        </w:rPr>
        <w:t xml:space="preserve">as described originally by </w:t>
      </w:r>
      <w:r w:rsidRPr="00E7423F">
        <w:rPr>
          <w:rFonts w:cs="Times New Roman"/>
        </w:rPr>
        <w:t>Boulenger (1885).</w:t>
      </w:r>
    </w:p>
    <w:p w14:paraId="2CFFF562" w14:textId="77777777" w:rsidR="00F6339D" w:rsidRDefault="00F6339D" w:rsidP="00F6339D">
      <w:pPr>
        <w:widowControl w:val="0"/>
        <w:autoSpaceDE w:val="0"/>
        <w:autoSpaceDN w:val="0"/>
        <w:adjustRightInd w:val="0"/>
        <w:spacing w:line="480" w:lineRule="auto"/>
        <w:rPr>
          <w:rFonts w:cs="Times New Roman"/>
          <w:b/>
          <w:color w:val="000000"/>
        </w:rPr>
      </w:pPr>
    </w:p>
    <w:p w14:paraId="727571DD" w14:textId="77777777" w:rsidR="00F6339D" w:rsidRPr="00B731F6" w:rsidRDefault="00F6339D" w:rsidP="00F6339D">
      <w:pPr>
        <w:widowControl w:val="0"/>
        <w:autoSpaceDE w:val="0"/>
        <w:autoSpaceDN w:val="0"/>
        <w:adjustRightInd w:val="0"/>
        <w:spacing w:line="480" w:lineRule="auto"/>
        <w:jc w:val="center"/>
        <w:rPr>
          <w:rFonts w:cs="Times New Roman"/>
          <w:iCs/>
          <w:color w:val="000000"/>
        </w:rPr>
      </w:pPr>
      <w:r w:rsidRPr="00196B30">
        <w:rPr>
          <w:rFonts w:cs="Times New Roman"/>
          <w:iCs/>
          <w:color w:val="000000"/>
        </w:rPr>
        <w:t>Morphological Groupings</w:t>
      </w:r>
    </w:p>
    <w:p w14:paraId="1E9E0D25" w14:textId="77777777" w:rsidR="00F6339D" w:rsidRPr="008B678D" w:rsidRDefault="00F6339D" w:rsidP="00F6339D">
      <w:pPr>
        <w:widowControl w:val="0"/>
        <w:autoSpaceDE w:val="0"/>
        <w:autoSpaceDN w:val="0"/>
        <w:adjustRightInd w:val="0"/>
        <w:spacing w:line="480" w:lineRule="auto"/>
        <w:ind w:firstLine="360"/>
      </w:pPr>
      <w:r>
        <w:rPr>
          <w:rFonts w:cs="Times New Roman"/>
          <w:color w:val="000000" w:themeColor="text1"/>
        </w:rPr>
        <w:lastRenderedPageBreak/>
        <w:t xml:space="preserve">Morphological differentiation has been the primary tool for distinguishing </w:t>
      </w:r>
      <w:r>
        <w:rPr>
          <w:rFonts w:cs="Times New Roman"/>
          <w:i/>
          <w:color w:val="000000" w:themeColor="text1"/>
        </w:rPr>
        <w:t>Lepidodactylus</w:t>
      </w:r>
      <w:r>
        <w:t xml:space="preserve"> species in the Philippines for more than 150 years. Since the first account of </w:t>
      </w:r>
      <w:r>
        <w:rPr>
          <w:i/>
        </w:rPr>
        <w:t>L</w:t>
      </w:r>
      <w:r>
        <w:t xml:space="preserve">. </w:t>
      </w:r>
      <w:r>
        <w:rPr>
          <w:i/>
        </w:rPr>
        <w:t>labialis</w:t>
      </w:r>
      <w:r w:rsidRPr="00F57940">
        <w:t xml:space="preserve"> </w:t>
      </w:r>
      <w:r>
        <w:t xml:space="preserve">by Peters (1867), characters such as overall body size, digit size, head size, head shape, tail size, tail shape, scansor counts, supralabial and infralabial counts, and body coloration have all been used to separate species (Peters 1867; </w:t>
      </w:r>
      <w:r w:rsidRPr="00E7423F">
        <w:rPr>
          <w:rFonts w:cs="Times New Roman"/>
          <w:color w:val="000000" w:themeColor="text1"/>
        </w:rPr>
        <w:t>Stejneger 1905</w:t>
      </w:r>
      <w:r>
        <w:rPr>
          <w:rFonts w:cs="Times New Roman"/>
          <w:color w:val="000000" w:themeColor="text1"/>
        </w:rPr>
        <w:t>; Taylor 1922,23; Brown and Parker 1977; Brown and Alcala 1978</w:t>
      </w:r>
      <w:r w:rsidRPr="00E7423F">
        <w:rPr>
          <w:rFonts w:cs="Times New Roman"/>
          <w:color w:val="000000" w:themeColor="text1"/>
        </w:rPr>
        <w:t>)</w:t>
      </w:r>
      <w:r>
        <w:rPr>
          <w:rFonts w:cs="Times New Roman"/>
          <w:color w:val="000000" w:themeColor="text1"/>
        </w:rPr>
        <w:t>.</w:t>
      </w:r>
    </w:p>
    <w:p w14:paraId="306B009C" w14:textId="77777777" w:rsidR="00F6339D" w:rsidRPr="00E7423F" w:rsidRDefault="00F6339D" w:rsidP="00F6339D">
      <w:pPr>
        <w:widowControl w:val="0"/>
        <w:autoSpaceDE w:val="0"/>
        <w:autoSpaceDN w:val="0"/>
        <w:adjustRightInd w:val="0"/>
        <w:spacing w:line="480" w:lineRule="auto"/>
        <w:ind w:firstLine="360"/>
        <w:rPr>
          <w:rFonts w:cs="Times New Roman"/>
        </w:rPr>
      </w:pPr>
      <w:r w:rsidRPr="00E7423F">
        <w:rPr>
          <w:rFonts w:cs="Times New Roman"/>
        </w:rPr>
        <w:t xml:space="preserve">Brown and Parker (1977) </w:t>
      </w:r>
      <w:r>
        <w:rPr>
          <w:rFonts w:cs="Times New Roman"/>
        </w:rPr>
        <w:t>reviewed</w:t>
      </w:r>
      <w:r w:rsidRPr="00E7423F">
        <w:rPr>
          <w:rFonts w:cs="Times New Roman"/>
        </w:rPr>
        <w:t xml:space="preserve"> the entire genus </w:t>
      </w:r>
      <w:r>
        <w:rPr>
          <w:rFonts w:cs="Times New Roman"/>
          <w:i/>
        </w:rPr>
        <w:t xml:space="preserve">Lepidodactylus </w:t>
      </w:r>
      <w:r w:rsidRPr="00E7423F">
        <w:rPr>
          <w:rFonts w:cs="Times New Roman"/>
        </w:rPr>
        <w:t xml:space="preserve">where they </w:t>
      </w:r>
      <w:r>
        <w:rPr>
          <w:rFonts w:cs="Times New Roman"/>
        </w:rPr>
        <w:t xml:space="preserve">recognized </w:t>
      </w:r>
      <w:r w:rsidRPr="00E7423F">
        <w:rPr>
          <w:rFonts w:cs="Times New Roman"/>
        </w:rPr>
        <w:t>three species groups based primarily on morphological characters (namely scansor morphology). Group I (</w:t>
      </w:r>
      <w:r w:rsidRPr="00E7423F">
        <w:rPr>
          <w:rFonts w:cs="Times New Roman"/>
          <w:i/>
        </w:rPr>
        <w:t>L. pulmilis</w:t>
      </w:r>
      <w:r>
        <w:rPr>
          <w:rFonts w:cs="Times New Roman"/>
        </w:rPr>
        <w:t>-</w:t>
      </w:r>
      <w:r w:rsidRPr="00E7423F">
        <w:rPr>
          <w:rFonts w:cs="Times New Roman"/>
          <w:i/>
        </w:rPr>
        <w:t>oorti</w:t>
      </w:r>
      <w:r w:rsidRPr="00E7423F">
        <w:rPr>
          <w:rFonts w:cs="Times New Roman"/>
        </w:rPr>
        <w:t xml:space="preserve"> </w:t>
      </w:r>
      <w:r>
        <w:rPr>
          <w:rFonts w:cs="Times New Roman"/>
        </w:rPr>
        <w:t>g</w:t>
      </w:r>
      <w:r w:rsidRPr="00E7423F">
        <w:rPr>
          <w:rFonts w:cs="Times New Roman"/>
        </w:rPr>
        <w:t>roup)</w:t>
      </w:r>
      <w:r>
        <w:rPr>
          <w:rFonts w:cs="Times New Roman"/>
        </w:rPr>
        <w:t>,</w:t>
      </w:r>
      <w:r w:rsidRPr="00E7423F">
        <w:rPr>
          <w:rFonts w:cs="Times New Roman"/>
        </w:rPr>
        <w:t xml:space="preserve"> from western Indonesia, New Guinea, islands in the Torres Straits, the Solomon</w:t>
      </w:r>
      <w:r>
        <w:rPr>
          <w:rFonts w:cs="Times New Roman"/>
        </w:rPr>
        <w:t xml:space="preserve"> and Fijian islands</w:t>
      </w:r>
      <w:r w:rsidRPr="00E7423F">
        <w:rPr>
          <w:rFonts w:cs="Times New Roman"/>
        </w:rPr>
        <w:t xml:space="preserve"> in the Pacific, and Christmas Island in the Indian Ocean</w:t>
      </w:r>
      <w:r>
        <w:rPr>
          <w:rFonts w:cs="Times New Roman"/>
        </w:rPr>
        <w:t>,</w:t>
      </w:r>
      <w:r w:rsidRPr="00E7423F">
        <w:rPr>
          <w:rFonts w:cs="Times New Roman"/>
        </w:rPr>
        <w:t xml:space="preserve"> was considered the most </w:t>
      </w:r>
      <w:r>
        <w:rPr>
          <w:rFonts w:cs="Times New Roman"/>
        </w:rPr>
        <w:t>primitive</w:t>
      </w:r>
      <w:r w:rsidRPr="00E7423F">
        <w:rPr>
          <w:rFonts w:cs="Times New Roman"/>
        </w:rPr>
        <w:t xml:space="preserve"> or “</w:t>
      </w:r>
      <w:r w:rsidRPr="000C7538">
        <w:rPr>
          <w:rFonts w:cs="Times New Roman"/>
          <w:i/>
        </w:rPr>
        <w:t>Gekko</w:t>
      </w:r>
      <w:r>
        <w:rPr>
          <w:rFonts w:cs="Times New Roman"/>
        </w:rPr>
        <w:t>-</w:t>
      </w:r>
      <w:r w:rsidRPr="00E7423F">
        <w:rPr>
          <w:rFonts w:cs="Times New Roman"/>
        </w:rPr>
        <w:t>like</w:t>
      </w:r>
      <w:r>
        <w:rPr>
          <w:rFonts w:cs="Times New Roman"/>
        </w:rPr>
        <w:t>,</w:t>
      </w:r>
      <w:r w:rsidRPr="00E7423F">
        <w:rPr>
          <w:rFonts w:cs="Times New Roman"/>
        </w:rPr>
        <w:t>” and defined as containing only species with undivided toe scansors</w:t>
      </w:r>
      <w:r>
        <w:rPr>
          <w:rFonts w:cs="Times New Roman"/>
        </w:rPr>
        <w:t xml:space="preserve"> across the entirety of the toe</w:t>
      </w:r>
      <w:r w:rsidRPr="00E7423F">
        <w:rPr>
          <w:rFonts w:cs="Times New Roman"/>
        </w:rPr>
        <w:t>. Group II (</w:t>
      </w:r>
      <w:r w:rsidRPr="00E7423F">
        <w:rPr>
          <w:rFonts w:cs="Times New Roman"/>
          <w:i/>
        </w:rPr>
        <w:t>L. guppyi</w:t>
      </w:r>
      <w:r>
        <w:rPr>
          <w:rFonts w:cs="Times New Roman"/>
        </w:rPr>
        <w:t>-</w:t>
      </w:r>
      <w:r w:rsidRPr="00E7423F">
        <w:rPr>
          <w:rFonts w:cs="Times New Roman"/>
          <w:i/>
        </w:rPr>
        <w:t>pulcher</w:t>
      </w:r>
      <w:r w:rsidRPr="00E7423F">
        <w:rPr>
          <w:rFonts w:cs="Times New Roman"/>
        </w:rPr>
        <w:t xml:space="preserve"> </w:t>
      </w:r>
      <w:r>
        <w:rPr>
          <w:rFonts w:cs="Times New Roman"/>
        </w:rPr>
        <w:t>g</w:t>
      </w:r>
      <w:r w:rsidRPr="00E7423F">
        <w:rPr>
          <w:rFonts w:cs="Times New Roman"/>
        </w:rPr>
        <w:t>roup)</w:t>
      </w:r>
      <w:r>
        <w:rPr>
          <w:rFonts w:cs="Times New Roman"/>
        </w:rPr>
        <w:t>,</w:t>
      </w:r>
      <w:r w:rsidRPr="00E7423F">
        <w:rPr>
          <w:rFonts w:cs="Times New Roman"/>
        </w:rPr>
        <w:t xml:space="preserve"> </w:t>
      </w:r>
      <w:r w:rsidRPr="00AF7524">
        <w:rPr>
          <w:rFonts w:cs="Times New Roman"/>
        </w:rPr>
        <w:t>from New Guinea, the Solomon, Admiralt</w:t>
      </w:r>
      <w:r>
        <w:rPr>
          <w:rFonts w:cs="Times New Roman"/>
        </w:rPr>
        <w:t>y</w:t>
      </w:r>
      <w:r w:rsidRPr="00AF7524">
        <w:rPr>
          <w:rFonts w:cs="Times New Roman"/>
        </w:rPr>
        <w:t xml:space="preserve">, </w:t>
      </w:r>
      <w:r>
        <w:rPr>
          <w:rFonts w:cs="Times New Roman"/>
        </w:rPr>
        <w:t xml:space="preserve">and </w:t>
      </w:r>
      <w:r w:rsidRPr="00AF7524">
        <w:rPr>
          <w:rFonts w:cs="Times New Roman"/>
        </w:rPr>
        <w:t>Bismar</w:t>
      </w:r>
      <w:r>
        <w:rPr>
          <w:rFonts w:cs="Times New Roman"/>
        </w:rPr>
        <w:t>c</w:t>
      </w:r>
      <w:r w:rsidRPr="00AF7524">
        <w:rPr>
          <w:rFonts w:cs="Times New Roman"/>
        </w:rPr>
        <w:t>k</w:t>
      </w:r>
      <w:r>
        <w:rPr>
          <w:rFonts w:cs="Times New Roman"/>
        </w:rPr>
        <w:t xml:space="preserve"> archipelagos</w:t>
      </w:r>
      <w:r w:rsidRPr="00AF7524">
        <w:rPr>
          <w:rFonts w:cs="Times New Roman"/>
        </w:rPr>
        <w:t>, and Rotuma</w:t>
      </w:r>
      <w:r>
        <w:rPr>
          <w:rFonts w:cs="Times New Roman"/>
        </w:rPr>
        <w:t xml:space="preserve"> Island north of Fiji,</w:t>
      </w:r>
      <w:r w:rsidRPr="00AF7524">
        <w:rPr>
          <w:rFonts w:cs="Times New Roman"/>
        </w:rPr>
        <w:t xml:space="preserve"> </w:t>
      </w:r>
      <w:r w:rsidRPr="00E7423F">
        <w:rPr>
          <w:rFonts w:cs="Times New Roman"/>
        </w:rPr>
        <w:t xml:space="preserve">was </w:t>
      </w:r>
      <w:r>
        <w:rPr>
          <w:rFonts w:cs="Times New Roman"/>
        </w:rPr>
        <w:t xml:space="preserve">defined as species </w:t>
      </w:r>
      <w:r w:rsidRPr="00E7423F">
        <w:rPr>
          <w:rFonts w:cs="Times New Roman"/>
        </w:rPr>
        <w:t>with undivided terminal toe scansors on all digits</w:t>
      </w:r>
      <w:r>
        <w:rPr>
          <w:rFonts w:cs="Times New Roman"/>
        </w:rPr>
        <w:t>,</w:t>
      </w:r>
      <w:r w:rsidRPr="00E7423F">
        <w:rPr>
          <w:rFonts w:cs="Times New Roman"/>
        </w:rPr>
        <w:t xml:space="preserve"> but a varying number of divided subterminal </w:t>
      </w:r>
      <w:r>
        <w:rPr>
          <w:rFonts w:cs="Times New Roman"/>
        </w:rPr>
        <w:t>scansors</w:t>
      </w:r>
      <w:r w:rsidRPr="00E7423F">
        <w:rPr>
          <w:rFonts w:cs="Times New Roman"/>
        </w:rPr>
        <w:t xml:space="preserve">. </w:t>
      </w:r>
      <w:r>
        <w:rPr>
          <w:rFonts w:cs="Times New Roman"/>
        </w:rPr>
        <w:t xml:space="preserve">Finally, </w:t>
      </w:r>
      <w:r w:rsidRPr="00E7423F">
        <w:rPr>
          <w:rFonts w:cs="Times New Roman"/>
        </w:rPr>
        <w:t>Group III (</w:t>
      </w:r>
      <w:r w:rsidRPr="00E7423F">
        <w:rPr>
          <w:rFonts w:cs="Times New Roman"/>
          <w:i/>
        </w:rPr>
        <w:t>L. lugubris</w:t>
      </w:r>
      <w:r w:rsidRPr="00E7423F">
        <w:rPr>
          <w:rFonts w:cs="Times New Roman"/>
        </w:rPr>
        <w:t xml:space="preserve"> </w:t>
      </w:r>
      <w:r>
        <w:rPr>
          <w:rFonts w:cs="Times New Roman"/>
        </w:rPr>
        <w:t>g</w:t>
      </w:r>
      <w:r w:rsidRPr="00E7423F">
        <w:rPr>
          <w:rFonts w:cs="Times New Roman"/>
        </w:rPr>
        <w:t xml:space="preserve">roup) contained </w:t>
      </w:r>
      <w:r w:rsidRPr="00E7423F">
        <w:rPr>
          <w:rFonts w:cs="Times New Roman"/>
          <w:i/>
        </w:rPr>
        <w:t>L</w:t>
      </w:r>
      <w:r w:rsidRPr="00E7423F">
        <w:rPr>
          <w:rFonts w:cs="Times New Roman"/>
        </w:rPr>
        <w:t>.</w:t>
      </w:r>
      <w:r w:rsidRPr="00E7423F">
        <w:rPr>
          <w:rFonts w:cs="Times New Roman"/>
          <w:i/>
        </w:rPr>
        <w:t xml:space="preserve"> lugubris</w:t>
      </w:r>
      <w:r w:rsidRPr="00E7423F">
        <w:rPr>
          <w:rFonts w:cs="Times New Roman"/>
        </w:rPr>
        <w:t xml:space="preserve"> and all members of the genus endemic to the Philippines. </w:t>
      </w:r>
      <w:r>
        <w:rPr>
          <w:rFonts w:cs="Times New Roman"/>
        </w:rPr>
        <w:t xml:space="preserve">The authors recognized this group as the most </w:t>
      </w:r>
      <w:r w:rsidRPr="00E7423F">
        <w:rPr>
          <w:rFonts w:cs="Times New Roman"/>
        </w:rPr>
        <w:t>derived</w:t>
      </w:r>
      <w:r>
        <w:rPr>
          <w:rFonts w:cs="Times New Roman"/>
        </w:rPr>
        <w:t xml:space="preserve">, </w:t>
      </w:r>
      <w:r w:rsidRPr="00E7423F">
        <w:rPr>
          <w:rFonts w:cs="Times New Roman"/>
        </w:rPr>
        <w:t xml:space="preserve">with divided terminal and subterminal toe scansors. </w:t>
      </w:r>
      <w:r>
        <w:rPr>
          <w:rFonts w:cs="Times New Roman"/>
        </w:rPr>
        <w:t>In addition to scansor morphology, t</w:t>
      </w:r>
      <w:r w:rsidRPr="00E7423F">
        <w:rPr>
          <w:rFonts w:cs="Times New Roman"/>
        </w:rPr>
        <w:t xml:space="preserve">ail </w:t>
      </w:r>
      <w:r>
        <w:rPr>
          <w:rFonts w:cs="Times New Roman"/>
        </w:rPr>
        <w:t xml:space="preserve">shape and the presence or absence of lateral flanges or spines were also described as diagnostic for group identification, with the </w:t>
      </w:r>
      <w:r w:rsidRPr="00E7423F">
        <w:rPr>
          <w:rFonts w:cs="Times New Roman"/>
        </w:rPr>
        <w:t xml:space="preserve">tails </w:t>
      </w:r>
      <w:r>
        <w:rPr>
          <w:rFonts w:cs="Times New Roman"/>
        </w:rPr>
        <w:t>on members of</w:t>
      </w:r>
      <w:r w:rsidRPr="00E7423F">
        <w:rPr>
          <w:rFonts w:cs="Times New Roman"/>
        </w:rPr>
        <w:t xml:space="preserve"> Group</w:t>
      </w:r>
      <w:r>
        <w:rPr>
          <w:rFonts w:cs="Times New Roman"/>
        </w:rPr>
        <w:t>s</w:t>
      </w:r>
      <w:r w:rsidRPr="00E7423F">
        <w:rPr>
          <w:rFonts w:cs="Times New Roman"/>
        </w:rPr>
        <w:t xml:space="preserve"> I and II </w:t>
      </w:r>
      <w:r>
        <w:rPr>
          <w:rFonts w:cs="Times New Roman"/>
        </w:rPr>
        <w:t>described as</w:t>
      </w:r>
      <w:r w:rsidRPr="00E7423F">
        <w:rPr>
          <w:rFonts w:cs="Times New Roman"/>
        </w:rPr>
        <w:t xml:space="preserve"> subcylindrical with no lateral flanges or spines</w:t>
      </w:r>
      <w:r>
        <w:rPr>
          <w:rFonts w:cs="Times New Roman"/>
        </w:rPr>
        <w:t>,</w:t>
      </w:r>
      <w:r w:rsidRPr="00E7423F">
        <w:rPr>
          <w:rFonts w:cs="Times New Roman"/>
        </w:rPr>
        <w:t xml:space="preserve"> </w:t>
      </w:r>
      <w:r>
        <w:rPr>
          <w:rFonts w:cs="Times New Roman"/>
        </w:rPr>
        <w:t>compared to flatter and broader tails with lateral flanges observed on members in</w:t>
      </w:r>
      <w:r w:rsidRPr="00E7423F">
        <w:rPr>
          <w:rFonts w:cs="Times New Roman"/>
        </w:rPr>
        <w:t xml:space="preserve"> Group III.</w:t>
      </w:r>
    </w:p>
    <w:p w14:paraId="1403350B" w14:textId="77777777" w:rsidR="00F6339D" w:rsidRPr="00E7423F" w:rsidRDefault="00F6339D" w:rsidP="00F6339D">
      <w:pPr>
        <w:widowControl w:val="0"/>
        <w:autoSpaceDE w:val="0"/>
        <w:autoSpaceDN w:val="0"/>
        <w:adjustRightInd w:val="0"/>
        <w:spacing w:line="480" w:lineRule="auto"/>
        <w:ind w:firstLine="360"/>
        <w:rPr>
          <w:rFonts w:cs="Times New Roman"/>
        </w:rPr>
      </w:pPr>
      <w:r w:rsidRPr="00E7423F">
        <w:rPr>
          <w:rFonts w:cs="Times New Roman"/>
        </w:rPr>
        <w:t>Brown and Alcala (1978) dove further into Group III from Brown and Parker (1977)</w:t>
      </w:r>
      <w:r>
        <w:rPr>
          <w:rFonts w:cs="Times New Roman"/>
        </w:rPr>
        <w:t xml:space="preserve"> in the </w:t>
      </w:r>
      <w:r w:rsidRPr="00E7423F">
        <w:rPr>
          <w:rFonts w:cs="Times New Roman"/>
        </w:rPr>
        <w:t>second exhaustive systematic review of Philippine gekkonids following Taylor (1922)</w:t>
      </w:r>
      <w:r>
        <w:rPr>
          <w:rFonts w:cs="Times New Roman"/>
        </w:rPr>
        <w:t xml:space="preserve"> and</w:t>
      </w:r>
      <w:r w:rsidRPr="00E7423F">
        <w:rPr>
          <w:rFonts w:cs="Times New Roman"/>
        </w:rPr>
        <w:t xml:space="preserve"> split </w:t>
      </w:r>
      <w:r>
        <w:rPr>
          <w:rFonts w:cs="Times New Roman"/>
        </w:rPr>
        <w:lastRenderedPageBreak/>
        <w:t>Group III</w:t>
      </w:r>
      <w:r w:rsidRPr="00E7423F">
        <w:rPr>
          <w:rFonts w:cs="Times New Roman"/>
        </w:rPr>
        <w:t xml:space="preserve"> into two Sections: A and B. These sections are based primarily on scansor morphology again where Section A species exhibit</w:t>
      </w:r>
      <w:r>
        <w:rPr>
          <w:rFonts w:cs="Times New Roman"/>
        </w:rPr>
        <w:t xml:space="preserve">ed high scansor counts (usually </w:t>
      </w:r>
      <w:r w:rsidRPr="005B516D">
        <w:rPr>
          <w:rFonts w:cs="Times New Roman"/>
        </w:rPr>
        <w:t>≥</w:t>
      </w:r>
      <w:r>
        <w:rPr>
          <w:rFonts w:cs="Times New Roman"/>
        </w:rPr>
        <w:t xml:space="preserve"> 12 scansors) across all digits, scansors covering most of each digit or at least the distal three-fourths of the digit, moderately to broadly dilated digits, webbing only at the base or basal one-fifth to one-fourth between Toes III and IV, and a tail that is slightly to moderately flattened without a broad flange of skin but often with modified, pointed scales on the lateral margin. In contrast, Section B contained species with a lower scansor count (usually &lt; 10) across all digits, scansors usually covering the distal half of each digit only, broadly dilated digits, and strongly webbed about one-fourth to one-half between Toes III and IV, and a tail that was usually broad and strongly flattened with a marginal flange of skin. Based on their grouping system, </w:t>
      </w:r>
      <w:r w:rsidRPr="00E7423F">
        <w:rPr>
          <w:rFonts w:cs="Times New Roman"/>
        </w:rPr>
        <w:t xml:space="preserve">Section A </w:t>
      </w:r>
      <w:r>
        <w:rPr>
          <w:rFonts w:cs="Times New Roman"/>
        </w:rPr>
        <w:t xml:space="preserve">of Group III </w:t>
      </w:r>
      <w:r w:rsidRPr="00E7423F">
        <w:rPr>
          <w:rFonts w:cs="Times New Roman"/>
        </w:rPr>
        <w:t>was comprised</w:t>
      </w:r>
      <w:r w:rsidRPr="00324196">
        <w:rPr>
          <w:rFonts w:cs="Times New Roman"/>
        </w:rPr>
        <w:t xml:space="preserve"> </w:t>
      </w:r>
      <w:r w:rsidRPr="00E7423F">
        <w:rPr>
          <w:rFonts w:cs="Times New Roman"/>
        </w:rPr>
        <w:t xml:space="preserve">originally of </w:t>
      </w:r>
      <w:r w:rsidRPr="00E7423F">
        <w:rPr>
          <w:rFonts w:cs="Times New Roman"/>
          <w:i/>
        </w:rPr>
        <w:t>L</w:t>
      </w:r>
      <w:r w:rsidRPr="00E7423F">
        <w:rPr>
          <w:rFonts w:cs="Times New Roman"/>
        </w:rPr>
        <w:t>.</w:t>
      </w:r>
      <w:r w:rsidRPr="00E7423F">
        <w:rPr>
          <w:rFonts w:cs="Times New Roman"/>
          <w:i/>
        </w:rPr>
        <w:t xml:space="preserve"> aureolineatus</w:t>
      </w:r>
      <w:r w:rsidRPr="00E7423F">
        <w:rPr>
          <w:rFonts w:cs="Times New Roman"/>
        </w:rPr>
        <w:t xml:space="preserve">, </w:t>
      </w:r>
      <w:r w:rsidRPr="00E7423F">
        <w:rPr>
          <w:rFonts w:cs="Times New Roman"/>
          <w:i/>
        </w:rPr>
        <w:t>L</w:t>
      </w:r>
      <w:r w:rsidRPr="00E7423F">
        <w:rPr>
          <w:rFonts w:cs="Times New Roman"/>
        </w:rPr>
        <w:t xml:space="preserve">. </w:t>
      </w:r>
      <w:r w:rsidRPr="00E7423F">
        <w:rPr>
          <w:rFonts w:cs="Times New Roman"/>
          <w:i/>
        </w:rPr>
        <w:t>herrei</w:t>
      </w:r>
      <w:r w:rsidRPr="00E7423F">
        <w:rPr>
          <w:rFonts w:cs="Times New Roman"/>
        </w:rPr>
        <w:t xml:space="preserve">, and </w:t>
      </w:r>
      <w:r w:rsidRPr="00E7423F">
        <w:rPr>
          <w:rFonts w:cs="Times New Roman"/>
          <w:i/>
        </w:rPr>
        <w:t>L</w:t>
      </w:r>
      <w:r w:rsidRPr="00E7423F">
        <w:rPr>
          <w:rFonts w:cs="Times New Roman"/>
        </w:rPr>
        <w:t xml:space="preserve">. </w:t>
      </w:r>
      <w:r w:rsidRPr="00E7423F">
        <w:rPr>
          <w:rFonts w:cs="Times New Roman"/>
          <w:i/>
        </w:rPr>
        <w:t>lugubris</w:t>
      </w:r>
      <w:r>
        <w:rPr>
          <w:rFonts w:cs="Times New Roman"/>
        </w:rPr>
        <w:t xml:space="preserve"> while</w:t>
      </w:r>
      <w:r w:rsidRPr="00E7423F">
        <w:rPr>
          <w:rFonts w:cs="Times New Roman"/>
        </w:rPr>
        <w:t xml:space="preserve"> Section B consisted of </w:t>
      </w:r>
      <w:r w:rsidRPr="00E7423F">
        <w:rPr>
          <w:rFonts w:cs="Times New Roman"/>
          <w:i/>
        </w:rPr>
        <w:t>L</w:t>
      </w:r>
      <w:r w:rsidRPr="00E7423F">
        <w:rPr>
          <w:rFonts w:cs="Times New Roman"/>
        </w:rPr>
        <w:t xml:space="preserve">. </w:t>
      </w:r>
      <w:r w:rsidRPr="00E7423F">
        <w:rPr>
          <w:rFonts w:cs="Times New Roman"/>
          <w:i/>
        </w:rPr>
        <w:t>planicaudus</w:t>
      </w:r>
      <w:r w:rsidRPr="00E7423F">
        <w:rPr>
          <w:rFonts w:cs="Times New Roman"/>
        </w:rPr>
        <w:t xml:space="preserve"> and </w:t>
      </w:r>
      <w:r w:rsidRPr="00E7423F">
        <w:rPr>
          <w:rFonts w:cs="Times New Roman"/>
          <w:i/>
        </w:rPr>
        <w:t>L</w:t>
      </w:r>
      <w:r w:rsidRPr="00E7423F">
        <w:rPr>
          <w:rFonts w:cs="Times New Roman"/>
        </w:rPr>
        <w:t xml:space="preserve">. </w:t>
      </w:r>
      <w:r w:rsidRPr="00E7423F">
        <w:rPr>
          <w:rFonts w:cs="Times New Roman"/>
          <w:i/>
        </w:rPr>
        <w:t>christiani</w:t>
      </w:r>
      <w:r w:rsidRPr="00E7423F">
        <w:rPr>
          <w:rFonts w:cs="Times New Roman"/>
        </w:rPr>
        <w:t>.</w:t>
      </w:r>
    </w:p>
    <w:p w14:paraId="5A16AEB4" w14:textId="77777777" w:rsidR="00F6339D" w:rsidRPr="00E7423F" w:rsidRDefault="00F6339D" w:rsidP="00F6339D">
      <w:pPr>
        <w:widowControl w:val="0"/>
        <w:autoSpaceDE w:val="0"/>
        <w:autoSpaceDN w:val="0"/>
        <w:adjustRightInd w:val="0"/>
        <w:spacing w:line="480" w:lineRule="auto"/>
        <w:ind w:firstLine="360"/>
        <w:rPr>
          <w:rFonts w:cs="Times New Roman"/>
        </w:rPr>
      </w:pPr>
      <w:r w:rsidRPr="00E7423F">
        <w:rPr>
          <w:rFonts w:cs="Times New Roman"/>
        </w:rPr>
        <w:t xml:space="preserve">The late 1980s brought about the descriptions of the two newest species in Group III, </w:t>
      </w:r>
      <w:r w:rsidRPr="00E7423F">
        <w:rPr>
          <w:rFonts w:cs="Times New Roman"/>
          <w:i/>
        </w:rPr>
        <w:t>L</w:t>
      </w:r>
      <w:r w:rsidRPr="00E7423F">
        <w:rPr>
          <w:rFonts w:cs="Times New Roman"/>
        </w:rPr>
        <w:t xml:space="preserve">. yami from Lanyu Island, </w:t>
      </w:r>
      <w:r w:rsidRPr="009B4F7B">
        <w:rPr>
          <w:rFonts w:cs="Times New Roman"/>
        </w:rPr>
        <w:t>Taiwan</w:t>
      </w:r>
      <w:r w:rsidRPr="00E7423F">
        <w:rPr>
          <w:rFonts w:cs="Times New Roman"/>
        </w:rPr>
        <w:t xml:space="preserve"> and </w:t>
      </w:r>
      <w:r w:rsidRPr="00E7423F">
        <w:rPr>
          <w:rFonts w:cs="Times New Roman"/>
          <w:i/>
        </w:rPr>
        <w:t>L</w:t>
      </w:r>
      <w:r w:rsidRPr="00E7423F">
        <w:rPr>
          <w:rFonts w:cs="Times New Roman"/>
        </w:rPr>
        <w:t xml:space="preserve">. </w:t>
      </w:r>
      <w:r w:rsidRPr="00E7423F">
        <w:rPr>
          <w:rFonts w:cs="Times New Roman"/>
          <w:i/>
        </w:rPr>
        <w:t>balioburius</w:t>
      </w:r>
      <w:r w:rsidRPr="00E7423F">
        <w:rPr>
          <w:rFonts w:cs="Times New Roman"/>
        </w:rPr>
        <w:t xml:space="preserve"> from the Batanes </w:t>
      </w:r>
      <w:r>
        <w:rPr>
          <w:rFonts w:cs="Times New Roman"/>
        </w:rPr>
        <w:t xml:space="preserve">Island Group. </w:t>
      </w:r>
      <w:r w:rsidRPr="00E7423F">
        <w:rPr>
          <w:rFonts w:cs="Times New Roman"/>
        </w:rPr>
        <w:t xml:space="preserve">Both species were assigned to </w:t>
      </w:r>
      <w:r>
        <w:rPr>
          <w:rFonts w:cs="Times New Roman"/>
        </w:rPr>
        <w:t xml:space="preserve">Group III, </w:t>
      </w:r>
      <w:r w:rsidRPr="00E7423F">
        <w:rPr>
          <w:rFonts w:cs="Times New Roman"/>
        </w:rPr>
        <w:t>Section A</w:t>
      </w:r>
      <w:r>
        <w:rPr>
          <w:rFonts w:cs="Times New Roman"/>
        </w:rPr>
        <w:t xml:space="preserve"> </w:t>
      </w:r>
      <w:r w:rsidRPr="00E7423F">
        <w:rPr>
          <w:rFonts w:cs="Times New Roman"/>
        </w:rPr>
        <w:t xml:space="preserve">based on </w:t>
      </w:r>
      <w:r>
        <w:rPr>
          <w:rFonts w:cs="Times New Roman"/>
        </w:rPr>
        <w:t>morphology though with some reservations in both descriptions (Ota 1987; Ota and Crombie 1989).</w:t>
      </w:r>
      <w:r w:rsidRPr="00822DEC">
        <w:rPr>
          <w:rFonts w:cs="Times New Roman"/>
        </w:rPr>
        <w:t xml:space="preserve"> </w:t>
      </w:r>
      <w:r>
        <w:rPr>
          <w:rFonts w:cs="Times New Roman"/>
        </w:rPr>
        <w:t>T</w:t>
      </w:r>
      <w:r w:rsidRPr="00E7423F">
        <w:rPr>
          <w:rFonts w:cs="Times New Roman"/>
        </w:rPr>
        <w:t xml:space="preserve">hese two species are most like each other </w:t>
      </w:r>
      <w:r>
        <w:rPr>
          <w:rFonts w:cs="Times New Roman"/>
        </w:rPr>
        <w:t xml:space="preserve">morphologically </w:t>
      </w:r>
      <w:r w:rsidRPr="00E7423F">
        <w:rPr>
          <w:rFonts w:cs="Times New Roman"/>
        </w:rPr>
        <w:t xml:space="preserve">compared to all other members of </w:t>
      </w:r>
      <w:r>
        <w:rPr>
          <w:rFonts w:cs="Times New Roman"/>
        </w:rPr>
        <w:t>Grou</w:t>
      </w:r>
      <w:r w:rsidRPr="00E7423F">
        <w:rPr>
          <w:rFonts w:cs="Times New Roman"/>
        </w:rPr>
        <w:t>p</w:t>
      </w:r>
      <w:r>
        <w:rPr>
          <w:rFonts w:cs="Times New Roman"/>
        </w:rPr>
        <w:t xml:space="preserve"> III</w:t>
      </w:r>
      <w:r w:rsidRPr="00E7423F">
        <w:rPr>
          <w:rFonts w:cs="Times New Roman"/>
        </w:rPr>
        <w:t xml:space="preserve"> and </w:t>
      </w:r>
      <w:r>
        <w:rPr>
          <w:rFonts w:cs="Times New Roman"/>
        </w:rPr>
        <w:t xml:space="preserve">are so similar that, when describing </w:t>
      </w:r>
      <w:r>
        <w:rPr>
          <w:rFonts w:cs="Times New Roman"/>
          <w:i/>
        </w:rPr>
        <w:t>L. balioburius</w:t>
      </w:r>
      <w:r>
        <w:rPr>
          <w:rFonts w:cs="Times New Roman"/>
        </w:rPr>
        <w:t>,</w:t>
      </w:r>
      <w:r>
        <w:rPr>
          <w:rFonts w:cs="Times New Roman"/>
          <w:i/>
        </w:rPr>
        <w:t xml:space="preserve"> </w:t>
      </w:r>
      <w:r>
        <w:rPr>
          <w:rFonts w:cs="Times New Roman"/>
        </w:rPr>
        <w:t xml:space="preserve">the authors </w:t>
      </w:r>
      <w:r w:rsidRPr="00E7423F">
        <w:rPr>
          <w:rFonts w:cs="Times New Roman"/>
        </w:rPr>
        <w:t>use</w:t>
      </w:r>
      <w:r>
        <w:rPr>
          <w:rFonts w:cs="Times New Roman"/>
        </w:rPr>
        <w:t>d</w:t>
      </w:r>
      <w:r w:rsidRPr="00E7423F">
        <w:rPr>
          <w:rFonts w:cs="Times New Roman"/>
        </w:rPr>
        <w:t xml:space="preserve"> </w:t>
      </w:r>
      <w:r>
        <w:rPr>
          <w:rFonts w:cs="Times New Roman"/>
        </w:rPr>
        <w:t xml:space="preserve">a suite of characters in </w:t>
      </w:r>
      <w:r w:rsidRPr="00E7423F">
        <w:rPr>
          <w:rFonts w:cs="Times New Roman"/>
        </w:rPr>
        <w:t xml:space="preserve">principal component analyses to differentiate </w:t>
      </w:r>
      <w:r>
        <w:rPr>
          <w:rFonts w:cs="Times New Roman"/>
        </w:rPr>
        <w:t xml:space="preserve">it from </w:t>
      </w:r>
      <w:r>
        <w:rPr>
          <w:rFonts w:cs="Times New Roman"/>
          <w:i/>
        </w:rPr>
        <w:t xml:space="preserve">L. yami </w:t>
      </w:r>
      <w:r>
        <w:rPr>
          <w:rFonts w:cs="Times New Roman"/>
        </w:rPr>
        <w:t>(Ota 1987; Ota and Crombie 1989).</w:t>
      </w:r>
    </w:p>
    <w:p w14:paraId="333902B6" w14:textId="77777777" w:rsidR="00F6339D" w:rsidRDefault="00F6339D" w:rsidP="00F6339D">
      <w:pPr>
        <w:widowControl w:val="0"/>
        <w:autoSpaceDE w:val="0"/>
        <w:autoSpaceDN w:val="0"/>
        <w:adjustRightInd w:val="0"/>
        <w:spacing w:line="480" w:lineRule="auto"/>
        <w:rPr>
          <w:rFonts w:cs="Times New Roman"/>
          <w:b/>
          <w:color w:val="000000"/>
        </w:rPr>
      </w:pPr>
    </w:p>
    <w:p w14:paraId="2D29D95C" w14:textId="77777777" w:rsidR="00F6339D" w:rsidRPr="00B731F6" w:rsidRDefault="00F6339D" w:rsidP="00F6339D">
      <w:pPr>
        <w:widowControl w:val="0"/>
        <w:autoSpaceDE w:val="0"/>
        <w:autoSpaceDN w:val="0"/>
        <w:adjustRightInd w:val="0"/>
        <w:spacing w:line="480" w:lineRule="auto"/>
        <w:jc w:val="center"/>
        <w:rPr>
          <w:rFonts w:cs="Times New Roman"/>
          <w:iCs/>
        </w:rPr>
      </w:pPr>
      <w:r w:rsidRPr="00C52862">
        <w:rPr>
          <w:rFonts w:cs="Times New Roman"/>
          <w:iCs/>
          <w:color w:val="000000"/>
        </w:rPr>
        <w:t xml:space="preserve">Phylogenetic </w:t>
      </w:r>
      <w:r>
        <w:rPr>
          <w:rFonts w:cs="Times New Roman"/>
          <w:iCs/>
          <w:color w:val="000000"/>
        </w:rPr>
        <w:t>Analyses</w:t>
      </w:r>
    </w:p>
    <w:p w14:paraId="39845EB6" w14:textId="77777777" w:rsidR="00F6339D" w:rsidRDefault="00F6339D" w:rsidP="00F6339D">
      <w:pPr>
        <w:widowControl w:val="0"/>
        <w:autoSpaceDE w:val="0"/>
        <w:autoSpaceDN w:val="0"/>
        <w:adjustRightInd w:val="0"/>
        <w:spacing w:line="480" w:lineRule="auto"/>
        <w:ind w:firstLine="360"/>
        <w:rPr>
          <w:rFonts w:cs="Times New Roman"/>
        </w:rPr>
      </w:pPr>
      <w:r>
        <w:rPr>
          <w:rFonts w:cs="Times New Roman"/>
        </w:rPr>
        <w:t>T</w:t>
      </w:r>
      <w:r w:rsidRPr="002A34DE">
        <w:rPr>
          <w:rFonts w:cs="Times New Roman"/>
        </w:rPr>
        <w:t xml:space="preserve">he first phylogenetic analysis inclusive of Philippine </w:t>
      </w:r>
      <w:r>
        <w:rPr>
          <w:rFonts w:cs="Times New Roman"/>
        </w:rPr>
        <w:t>S</w:t>
      </w:r>
      <w:r w:rsidRPr="002A34DE">
        <w:rPr>
          <w:rFonts w:cs="Times New Roman"/>
        </w:rPr>
        <w:t>caly</w:t>
      </w:r>
      <w:r>
        <w:rPr>
          <w:rFonts w:cs="Times New Roman"/>
        </w:rPr>
        <w:t>-t</w:t>
      </w:r>
      <w:r w:rsidRPr="002A34DE">
        <w:rPr>
          <w:rFonts w:cs="Times New Roman"/>
        </w:rPr>
        <w:t xml:space="preserve">oed </w:t>
      </w:r>
      <w:r>
        <w:rPr>
          <w:rFonts w:cs="Times New Roman"/>
        </w:rPr>
        <w:t>G</w:t>
      </w:r>
      <w:r w:rsidRPr="002A34DE">
        <w:rPr>
          <w:rFonts w:cs="Times New Roman"/>
        </w:rPr>
        <w:t>ecko</w:t>
      </w:r>
      <w:r>
        <w:rPr>
          <w:rFonts w:cs="Times New Roman"/>
        </w:rPr>
        <w:t>s</w:t>
      </w:r>
      <w:r w:rsidRPr="002A34DE">
        <w:rPr>
          <w:rFonts w:cs="Times New Roman"/>
        </w:rPr>
        <w:t xml:space="preserve"> </w:t>
      </w:r>
      <w:r>
        <w:rPr>
          <w:rFonts w:cs="Times New Roman"/>
        </w:rPr>
        <w:t xml:space="preserve">supported </w:t>
      </w:r>
      <w:r w:rsidRPr="00AF7524">
        <w:rPr>
          <w:rFonts w:cs="Times New Roman"/>
          <w:i/>
        </w:rPr>
        <w:t>L</w:t>
      </w:r>
      <w:r>
        <w:rPr>
          <w:rFonts w:cs="Times New Roman"/>
          <w:i/>
        </w:rPr>
        <w:t>epidodactylus</w:t>
      </w:r>
      <w:r w:rsidRPr="00AF7524">
        <w:rPr>
          <w:rFonts w:cs="Times New Roman"/>
          <w:i/>
        </w:rPr>
        <w:t xml:space="preserve"> aureolineatus</w:t>
      </w:r>
      <w:r w:rsidRPr="00AF7524">
        <w:rPr>
          <w:rFonts w:cs="Times New Roman"/>
        </w:rPr>
        <w:t xml:space="preserve">, </w:t>
      </w:r>
      <w:r w:rsidRPr="00AF7524">
        <w:rPr>
          <w:rFonts w:cs="Times New Roman"/>
          <w:i/>
        </w:rPr>
        <w:t>L. christiani</w:t>
      </w:r>
      <w:r>
        <w:rPr>
          <w:rFonts w:cs="Times New Roman"/>
        </w:rPr>
        <w:t>, and</w:t>
      </w:r>
      <w:r w:rsidRPr="00AF7524">
        <w:rPr>
          <w:rFonts w:cs="Times New Roman"/>
        </w:rPr>
        <w:t xml:space="preserve"> </w:t>
      </w:r>
      <w:r w:rsidRPr="00AF7524">
        <w:rPr>
          <w:rFonts w:cs="Times New Roman"/>
          <w:i/>
        </w:rPr>
        <w:t>L. herrei</w:t>
      </w:r>
      <w:r w:rsidRPr="00AF7524">
        <w:rPr>
          <w:rFonts w:cs="Times New Roman"/>
        </w:rPr>
        <w:t xml:space="preserve"> </w:t>
      </w:r>
      <w:r w:rsidRPr="002A34DE">
        <w:rPr>
          <w:rFonts w:cs="Times New Roman"/>
        </w:rPr>
        <w:t xml:space="preserve">as </w:t>
      </w:r>
      <w:r>
        <w:rPr>
          <w:rFonts w:cs="Times New Roman"/>
        </w:rPr>
        <w:t xml:space="preserve">three valid, endemic species in the </w:t>
      </w:r>
      <w:r>
        <w:rPr>
          <w:rFonts w:cs="Times New Roman"/>
        </w:rPr>
        <w:lastRenderedPageBreak/>
        <w:t xml:space="preserve">archipelago </w:t>
      </w:r>
      <w:r w:rsidRPr="002A34DE">
        <w:rPr>
          <w:rFonts w:cs="Times New Roman"/>
        </w:rPr>
        <w:t xml:space="preserve">(Radtkey </w:t>
      </w:r>
      <w:r>
        <w:rPr>
          <w:rFonts w:cs="Times New Roman"/>
        </w:rPr>
        <w:t>et al.</w:t>
      </w:r>
      <w:r w:rsidRPr="002A34DE">
        <w:rPr>
          <w:rFonts w:cs="Times New Roman"/>
        </w:rPr>
        <w:t xml:space="preserve"> 1995).</w:t>
      </w:r>
      <w:r>
        <w:rPr>
          <w:rFonts w:cs="Times New Roman"/>
        </w:rPr>
        <w:t xml:space="preserve"> </w:t>
      </w:r>
      <w:r w:rsidRPr="002A34DE">
        <w:rPr>
          <w:rFonts w:cs="Times New Roman"/>
        </w:rPr>
        <w:t>Interestingly, despite inferences based on analyses of the mitochondrial Cytochrome b gene only and limited taxonomic sampling, Radtkey et al.’s (1995) early phylogenetic study also supported some of the same morphological grouping system set forth by Brown and Parker (1977)</w:t>
      </w:r>
      <w:r>
        <w:rPr>
          <w:rFonts w:cs="Times New Roman"/>
        </w:rPr>
        <w:t xml:space="preserve">, with </w:t>
      </w:r>
      <w:r>
        <w:rPr>
          <w:rFonts w:cs="Times New Roman"/>
          <w:i/>
        </w:rPr>
        <w:t>L</w:t>
      </w:r>
      <w:r>
        <w:rPr>
          <w:rFonts w:cs="Times New Roman"/>
        </w:rPr>
        <w:t xml:space="preserve">. </w:t>
      </w:r>
      <w:r>
        <w:rPr>
          <w:rFonts w:cs="Times New Roman"/>
          <w:i/>
        </w:rPr>
        <w:t xml:space="preserve">guppyi </w:t>
      </w:r>
      <w:r>
        <w:rPr>
          <w:rFonts w:cs="Times New Roman"/>
        </w:rPr>
        <w:t xml:space="preserve">(Group II species) recovered as the sister lineage to the clade containing </w:t>
      </w:r>
      <w:r>
        <w:rPr>
          <w:rFonts w:cs="Times New Roman"/>
          <w:i/>
        </w:rPr>
        <w:t>L</w:t>
      </w:r>
      <w:r>
        <w:rPr>
          <w:rFonts w:cs="Times New Roman"/>
        </w:rPr>
        <w:t xml:space="preserve">. </w:t>
      </w:r>
      <w:r>
        <w:rPr>
          <w:rFonts w:cs="Times New Roman"/>
          <w:i/>
        </w:rPr>
        <w:t xml:space="preserve">lugubris </w:t>
      </w:r>
      <w:r>
        <w:rPr>
          <w:rFonts w:cs="Times New Roman"/>
        </w:rPr>
        <w:t xml:space="preserve">and three included Philippine species (Group III). </w:t>
      </w:r>
      <w:r w:rsidRPr="004602D0">
        <w:rPr>
          <w:rFonts w:cs="Times New Roman"/>
        </w:rPr>
        <w:t xml:space="preserve">Ota et al. (1998) in </w:t>
      </w:r>
      <w:r>
        <w:rPr>
          <w:rFonts w:cs="Times New Roman"/>
        </w:rPr>
        <w:t xml:space="preserve">their </w:t>
      </w:r>
      <w:r w:rsidRPr="004602D0">
        <w:rPr>
          <w:rFonts w:cs="Times New Roman"/>
        </w:rPr>
        <w:t xml:space="preserve">description of </w:t>
      </w:r>
      <w:r w:rsidRPr="004602D0">
        <w:rPr>
          <w:rFonts w:cs="Times New Roman"/>
          <w:i/>
        </w:rPr>
        <w:t>L. vanuatuensis</w:t>
      </w:r>
      <w:r w:rsidRPr="004602D0">
        <w:rPr>
          <w:rFonts w:cs="Times New Roman"/>
        </w:rPr>
        <w:t xml:space="preserve"> used </w:t>
      </w:r>
      <w:r>
        <w:rPr>
          <w:rFonts w:cs="Times New Roman"/>
        </w:rPr>
        <w:t>the</w:t>
      </w:r>
      <w:r w:rsidRPr="004602D0">
        <w:rPr>
          <w:rFonts w:cs="Times New Roman"/>
        </w:rPr>
        <w:t xml:space="preserve"> same </w:t>
      </w:r>
      <w:r w:rsidRPr="004602D0">
        <w:rPr>
          <w:rFonts w:cs="Times New Roman"/>
          <w:i/>
        </w:rPr>
        <w:t>L</w:t>
      </w:r>
      <w:r w:rsidRPr="004602D0">
        <w:rPr>
          <w:rFonts w:cs="Times New Roman"/>
        </w:rPr>
        <w:t>.</w:t>
      </w:r>
      <w:r w:rsidRPr="004602D0">
        <w:rPr>
          <w:rFonts w:cs="Times New Roman"/>
          <w:i/>
        </w:rPr>
        <w:t xml:space="preserve"> aureolineatus</w:t>
      </w:r>
      <w:r w:rsidRPr="004602D0">
        <w:rPr>
          <w:rFonts w:cs="Times New Roman"/>
        </w:rPr>
        <w:t xml:space="preserve"> sequences from Radtkey et al. (1995) and </w:t>
      </w:r>
      <w:r>
        <w:rPr>
          <w:rFonts w:cs="Times New Roman"/>
        </w:rPr>
        <w:t>demonstrated</w:t>
      </w:r>
      <w:r w:rsidRPr="004602D0">
        <w:rPr>
          <w:rFonts w:cs="Times New Roman"/>
        </w:rPr>
        <w:t xml:space="preserve"> </w:t>
      </w:r>
      <w:r>
        <w:rPr>
          <w:rFonts w:cs="Times New Roman"/>
        </w:rPr>
        <w:t>marked genetic</w:t>
      </w:r>
      <w:r w:rsidRPr="004602D0">
        <w:rPr>
          <w:rFonts w:cs="Times New Roman"/>
        </w:rPr>
        <w:t xml:space="preserve"> divergence (</w:t>
      </w:r>
      <w:r>
        <w:rPr>
          <w:rFonts w:cs="Times New Roman"/>
        </w:rPr>
        <w:t xml:space="preserve">p-distance </w:t>
      </w:r>
      <w:r w:rsidRPr="004602D0">
        <w:rPr>
          <w:rFonts w:cs="Times New Roman"/>
        </w:rPr>
        <w:t>~</w:t>
      </w:r>
      <w:r>
        <w:rPr>
          <w:rFonts w:cs="Times New Roman"/>
        </w:rPr>
        <w:t xml:space="preserve"> </w:t>
      </w:r>
      <w:r w:rsidRPr="004602D0">
        <w:rPr>
          <w:rFonts w:cs="Times New Roman"/>
        </w:rPr>
        <w:t xml:space="preserve">25%) between </w:t>
      </w:r>
      <w:r w:rsidRPr="004602D0">
        <w:rPr>
          <w:rFonts w:cs="Times New Roman"/>
          <w:i/>
        </w:rPr>
        <w:t>L. guppyi</w:t>
      </w:r>
      <w:r w:rsidRPr="004602D0">
        <w:rPr>
          <w:rFonts w:cs="Times New Roman"/>
        </w:rPr>
        <w:t xml:space="preserve"> and </w:t>
      </w:r>
      <w:r w:rsidRPr="004602D0">
        <w:rPr>
          <w:rFonts w:cs="Times New Roman"/>
          <w:i/>
        </w:rPr>
        <w:t>L. aureolineatus</w:t>
      </w:r>
      <w:r w:rsidRPr="004602D0">
        <w:rPr>
          <w:rFonts w:cs="Times New Roman"/>
        </w:rPr>
        <w:t xml:space="preserve"> </w:t>
      </w:r>
      <w:r>
        <w:rPr>
          <w:rFonts w:cs="Times New Roman"/>
        </w:rPr>
        <w:t>for</w:t>
      </w:r>
      <w:r w:rsidRPr="002A34DE">
        <w:rPr>
          <w:rFonts w:cs="Times New Roman"/>
        </w:rPr>
        <w:t xml:space="preserve"> Cytochrome b</w:t>
      </w:r>
      <w:r w:rsidRPr="004602D0">
        <w:rPr>
          <w:rFonts w:cs="Times New Roman"/>
        </w:rPr>
        <w:t>,</w:t>
      </w:r>
      <w:r w:rsidRPr="002A34DE">
        <w:rPr>
          <w:rFonts w:cs="Times New Roman"/>
        </w:rPr>
        <w:t xml:space="preserve"> provid</w:t>
      </w:r>
      <w:r>
        <w:rPr>
          <w:rFonts w:cs="Times New Roman"/>
        </w:rPr>
        <w:t>ing</w:t>
      </w:r>
      <w:r w:rsidRPr="002A34DE">
        <w:rPr>
          <w:rFonts w:cs="Times New Roman"/>
        </w:rPr>
        <w:t xml:space="preserve"> </w:t>
      </w:r>
      <w:r>
        <w:rPr>
          <w:rFonts w:cs="Times New Roman"/>
        </w:rPr>
        <w:t>additional</w:t>
      </w:r>
      <w:r w:rsidRPr="002A34DE">
        <w:rPr>
          <w:rFonts w:cs="Times New Roman"/>
        </w:rPr>
        <w:t xml:space="preserve"> justification for the groups</w:t>
      </w:r>
      <w:r>
        <w:rPr>
          <w:rFonts w:cs="Times New Roman"/>
        </w:rPr>
        <w:t xml:space="preserve"> proposed by Brown and Parker (1977)</w:t>
      </w:r>
      <w:r w:rsidRPr="002A34DE">
        <w:rPr>
          <w:rFonts w:cs="Times New Roman"/>
        </w:rPr>
        <w:t>.</w:t>
      </w:r>
    </w:p>
    <w:p w14:paraId="2632401D" w14:textId="77777777" w:rsidR="00F6339D" w:rsidRPr="002F239F" w:rsidRDefault="00F6339D" w:rsidP="00F6339D">
      <w:pPr>
        <w:widowControl w:val="0"/>
        <w:autoSpaceDE w:val="0"/>
        <w:autoSpaceDN w:val="0"/>
        <w:adjustRightInd w:val="0"/>
        <w:spacing w:line="480" w:lineRule="auto"/>
        <w:ind w:firstLine="360"/>
        <w:rPr>
          <w:rFonts w:cs="Times New Roman"/>
        </w:rPr>
      </w:pPr>
      <w:r>
        <w:rPr>
          <w:rFonts w:cs="Times New Roman"/>
        </w:rPr>
        <w:t xml:space="preserve">More recent studies including a greater diversity of </w:t>
      </w:r>
      <w:r w:rsidRPr="00AF7524">
        <w:rPr>
          <w:rFonts w:cs="Times New Roman"/>
        </w:rPr>
        <w:t xml:space="preserve">Philippine </w:t>
      </w:r>
      <w:r>
        <w:rPr>
          <w:rFonts w:cs="Times New Roman"/>
          <w:iCs/>
        </w:rPr>
        <w:t>gecko species</w:t>
      </w:r>
      <w:r w:rsidRPr="00AF7524">
        <w:rPr>
          <w:rFonts w:cs="Times New Roman"/>
          <w:i/>
        </w:rPr>
        <w:t xml:space="preserve"> </w:t>
      </w:r>
      <w:r>
        <w:rPr>
          <w:rFonts w:cs="Times New Roman"/>
        </w:rPr>
        <w:t xml:space="preserve">have started to provide more resolution among relationships within </w:t>
      </w:r>
      <w:r w:rsidRPr="00AF7524">
        <w:rPr>
          <w:rFonts w:cs="Times New Roman"/>
          <w:i/>
        </w:rPr>
        <w:t>Lepidodactylus</w:t>
      </w:r>
      <w:r>
        <w:rPr>
          <w:rFonts w:cs="Times New Roman"/>
          <w:i/>
        </w:rPr>
        <w:t xml:space="preserve"> </w:t>
      </w:r>
      <w:r>
        <w:rPr>
          <w:rFonts w:cs="Times New Roman"/>
          <w:iCs/>
        </w:rPr>
        <w:t>as well as among other native genera (</w:t>
      </w:r>
      <w:r>
        <w:rPr>
          <w:rFonts w:cs="Times New Roman"/>
        </w:rPr>
        <w:t>Heinicke et al. 2012; Siler et al. 2014b; Oliver et al. 2018</w:t>
      </w:r>
      <w:r w:rsidRPr="005D4381">
        <w:rPr>
          <w:rFonts w:cs="Times New Roman"/>
        </w:rPr>
        <w:t>; Wood et al. 2020</w:t>
      </w:r>
      <w:r>
        <w:rPr>
          <w:rFonts w:cs="Times New Roman"/>
        </w:rPr>
        <w:t xml:space="preserve">). </w:t>
      </w:r>
      <w:r w:rsidRPr="00AF7524">
        <w:rPr>
          <w:rFonts w:cs="Times New Roman"/>
        </w:rPr>
        <w:t>Heinicke et al. (2012)</w:t>
      </w:r>
      <w:r>
        <w:rPr>
          <w:rFonts w:cs="Times New Roman"/>
        </w:rPr>
        <w:t xml:space="preserve"> first recovered </w:t>
      </w:r>
      <w:r>
        <w:rPr>
          <w:rFonts w:cs="Times New Roman"/>
          <w:i/>
        </w:rPr>
        <w:t xml:space="preserve">Lepidodactylus </w:t>
      </w:r>
      <w:r>
        <w:rPr>
          <w:rFonts w:cs="Times New Roman"/>
        </w:rPr>
        <w:t xml:space="preserve">as a paraphyletic group inclusive of the genera </w:t>
      </w:r>
      <w:r>
        <w:rPr>
          <w:rFonts w:cs="Times New Roman"/>
          <w:i/>
        </w:rPr>
        <w:t xml:space="preserve">Pseudogekko </w:t>
      </w:r>
      <w:r>
        <w:rPr>
          <w:rFonts w:cs="Times New Roman"/>
        </w:rPr>
        <w:t xml:space="preserve">and </w:t>
      </w:r>
      <w:r>
        <w:rPr>
          <w:rFonts w:cs="Times New Roman"/>
          <w:i/>
        </w:rPr>
        <w:t>Luperosaurus</w:t>
      </w:r>
      <w:r>
        <w:rPr>
          <w:rFonts w:cs="Times New Roman"/>
        </w:rPr>
        <w:t xml:space="preserve">. </w:t>
      </w:r>
      <w:bookmarkStart w:id="3" w:name="_Hlk50756172"/>
      <w:r>
        <w:rPr>
          <w:rFonts w:cs="Times New Roman"/>
        </w:rPr>
        <w:t xml:space="preserve">More recently, Oliver et al. (2018) presented similar evidence of paraphyly within </w:t>
      </w:r>
      <w:r>
        <w:rPr>
          <w:rFonts w:cs="Times New Roman"/>
          <w:i/>
          <w:iCs/>
        </w:rPr>
        <w:t>Lepidodactylus</w:t>
      </w:r>
      <w:r>
        <w:rPr>
          <w:rFonts w:cs="Times New Roman"/>
        </w:rPr>
        <w:t>,</w:t>
      </w:r>
      <w:r>
        <w:rPr>
          <w:rFonts w:cs="Times New Roman"/>
          <w:i/>
          <w:iCs/>
        </w:rPr>
        <w:t xml:space="preserve"> sensu lato</w:t>
      </w:r>
      <w:r>
        <w:rPr>
          <w:rFonts w:cs="Times New Roman"/>
        </w:rPr>
        <w:t xml:space="preserve">, through a robust phylogenetic analysis of six Philippine </w:t>
      </w:r>
      <w:r>
        <w:rPr>
          <w:rFonts w:cs="Times New Roman"/>
          <w:i/>
        </w:rPr>
        <w:t xml:space="preserve">Lepidodactylus </w:t>
      </w:r>
      <w:r>
        <w:rPr>
          <w:rFonts w:cs="Times New Roman"/>
        </w:rPr>
        <w:t>species and a host of other Southeast Asian gekkonids</w:t>
      </w:r>
      <w:bookmarkEnd w:id="3"/>
      <w:r>
        <w:rPr>
          <w:rFonts w:cs="Times New Roman"/>
        </w:rPr>
        <w:t xml:space="preserve">. Two clades are supported within Scaly-toed Geckos of the Philippines: 1) the </w:t>
      </w:r>
      <w:r>
        <w:rPr>
          <w:rFonts w:cs="Times New Roman"/>
          <w:i/>
        </w:rPr>
        <w:t>L</w:t>
      </w:r>
      <w:r>
        <w:rPr>
          <w:rFonts w:cs="Times New Roman"/>
        </w:rPr>
        <w:t xml:space="preserve">. </w:t>
      </w:r>
      <w:r>
        <w:rPr>
          <w:rFonts w:cs="Times New Roman"/>
          <w:i/>
        </w:rPr>
        <w:t xml:space="preserve">lugubris </w:t>
      </w:r>
      <w:r>
        <w:rPr>
          <w:rFonts w:cs="Times New Roman"/>
        </w:rPr>
        <w:t xml:space="preserve">clade, containing </w:t>
      </w:r>
      <w:r>
        <w:rPr>
          <w:rFonts w:cs="Times New Roman"/>
          <w:i/>
        </w:rPr>
        <w:t>L</w:t>
      </w:r>
      <w:r>
        <w:rPr>
          <w:rFonts w:cs="Times New Roman"/>
        </w:rPr>
        <w:t xml:space="preserve">. </w:t>
      </w:r>
      <w:r>
        <w:rPr>
          <w:rFonts w:cs="Times New Roman"/>
          <w:i/>
        </w:rPr>
        <w:t>lugubris</w:t>
      </w:r>
      <w:r>
        <w:rPr>
          <w:rFonts w:cs="Times New Roman"/>
        </w:rPr>
        <w:t xml:space="preserve">, </w:t>
      </w:r>
      <w:r w:rsidRPr="00AF7524">
        <w:rPr>
          <w:rFonts w:cs="Times New Roman"/>
          <w:i/>
        </w:rPr>
        <w:t>L. aureolineatus</w:t>
      </w:r>
      <w:r w:rsidRPr="00AF7524">
        <w:rPr>
          <w:rFonts w:cs="Times New Roman"/>
        </w:rPr>
        <w:t xml:space="preserve">, </w:t>
      </w:r>
      <w:r w:rsidRPr="00AF7524">
        <w:rPr>
          <w:rFonts w:cs="Times New Roman"/>
          <w:i/>
        </w:rPr>
        <w:t xml:space="preserve">L. herrei </w:t>
      </w:r>
      <w:r w:rsidRPr="00AF7524">
        <w:rPr>
          <w:rFonts w:cs="Times New Roman"/>
        </w:rPr>
        <w:t>(</w:t>
      </w:r>
      <w:r>
        <w:rPr>
          <w:rFonts w:cs="Times New Roman"/>
          <w:i/>
        </w:rPr>
        <w:t>L</w:t>
      </w:r>
      <w:r>
        <w:rPr>
          <w:rFonts w:cs="Times New Roman"/>
        </w:rPr>
        <w:t xml:space="preserve">. </w:t>
      </w:r>
      <w:r>
        <w:rPr>
          <w:rFonts w:cs="Times New Roman"/>
          <w:i/>
        </w:rPr>
        <w:t>h</w:t>
      </w:r>
      <w:r>
        <w:rPr>
          <w:rFonts w:cs="Times New Roman"/>
        </w:rPr>
        <w:t xml:space="preserve">. </w:t>
      </w:r>
      <w:r>
        <w:rPr>
          <w:rFonts w:cs="Times New Roman"/>
          <w:i/>
        </w:rPr>
        <w:t xml:space="preserve">herrei </w:t>
      </w:r>
      <w:r>
        <w:rPr>
          <w:rFonts w:cs="Times New Roman"/>
        </w:rPr>
        <w:t xml:space="preserve">and </w:t>
      </w:r>
      <w:r>
        <w:rPr>
          <w:rFonts w:cs="Times New Roman"/>
          <w:i/>
        </w:rPr>
        <w:t>L</w:t>
      </w:r>
      <w:r>
        <w:rPr>
          <w:rFonts w:cs="Times New Roman"/>
        </w:rPr>
        <w:t xml:space="preserve">. </w:t>
      </w:r>
      <w:r>
        <w:rPr>
          <w:rFonts w:cs="Times New Roman"/>
          <w:i/>
        </w:rPr>
        <w:t>h</w:t>
      </w:r>
      <w:r>
        <w:rPr>
          <w:rFonts w:cs="Times New Roman"/>
        </w:rPr>
        <w:t xml:space="preserve">. </w:t>
      </w:r>
      <w:r>
        <w:rPr>
          <w:rFonts w:cs="Times New Roman"/>
          <w:i/>
        </w:rPr>
        <w:t>medianus</w:t>
      </w:r>
      <w:r w:rsidRPr="00AF7524">
        <w:rPr>
          <w:rFonts w:cs="Times New Roman"/>
        </w:rPr>
        <w:t>)</w:t>
      </w:r>
      <w:r>
        <w:rPr>
          <w:rFonts w:cs="Times New Roman"/>
        </w:rPr>
        <w:t xml:space="preserve">, </w:t>
      </w:r>
      <w:r w:rsidRPr="00AF7524">
        <w:rPr>
          <w:rFonts w:cs="Times New Roman"/>
          <w:i/>
        </w:rPr>
        <w:t>L. planicaudus</w:t>
      </w:r>
      <w:r>
        <w:rPr>
          <w:rFonts w:cs="Times New Roman"/>
        </w:rPr>
        <w:t xml:space="preserve">, and an undescribed lineage referred to as </w:t>
      </w:r>
      <w:r>
        <w:rPr>
          <w:rFonts w:cs="Times New Roman"/>
          <w:i/>
        </w:rPr>
        <w:t>L</w:t>
      </w:r>
      <w:r>
        <w:rPr>
          <w:rFonts w:cs="Times New Roman"/>
        </w:rPr>
        <w:t xml:space="preserve">. sp. 5 from Zamboanga; and 2) the </w:t>
      </w:r>
      <w:r>
        <w:rPr>
          <w:rFonts w:cs="Times New Roman"/>
          <w:i/>
        </w:rPr>
        <w:t>L</w:t>
      </w:r>
      <w:r>
        <w:rPr>
          <w:rFonts w:cs="Times New Roman"/>
        </w:rPr>
        <w:t xml:space="preserve">. </w:t>
      </w:r>
      <w:r>
        <w:rPr>
          <w:rFonts w:cs="Times New Roman"/>
          <w:i/>
        </w:rPr>
        <w:t>balioburius-yami</w:t>
      </w:r>
      <w:r>
        <w:t xml:space="preserve"> clade, containing </w:t>
      </w:r>
      <w:r w:rsidRPr="00AF7524">
        <w:rPr>
          <w:rFonts w:cs="Times New Roman"/>
          <w:i/>
        </w:rPr>
        <w:t>L. balioburius</w:t>
      </w:r>
      <w:r w:rsidRPr="00AF7524">
        <w:rPr>
          <w:rFonts w:cs="Times New Roman"/>
        </w:rPr>
        <w:t>,</w:t>
      </w:r>
      <w:r>
        <w:rPr>
          <w:rFonts w:cs="Times New Roman"/>
        </w:rPr>
        <w:t xml:space="preserve"> </w:t>
      </w:r>
      <w:r>
        <w:rPr>
          <w:rFonts w:cs="Times New Roman"/>
          <w:i/>
        </w:rPr>
        <w:t>L</w:t>
      </w:r>
      <w:r>
        <w:rPr>
          <w:rFonts w:cs="Times New Roman"/>
        </w:rPr>
        <w:t xml:space="preserve">. </w:t>
      </w:r>
      <w:r w:rsidRPr="008B00F1">
        <w:rPr>
          <w:rFonts w:cs="Times New Roman"/>
          <w:i/>
        </w:rPr>
        <w:t>yami</w:t>
      </w:r>
      <w:r>
        <w:rPr>
          <w:rFonts w:cs="Times New Roman"/>
          <w:iCs/>
        </w:rPr>
        <w:t xml:space="preserve">, </w:t>
      </w:r>
      <w:r w:rsidRPr="008B00F1">
        <w:rPr>
          <w:rFonts w:cs="Times New Roman"/>
          <w:iCs/>
        </w:rPr>
        <w:t>L</w:t>
      </w:r>
      <w:r w:rsidRPr="00AF7524">
        <w:rPr>
          <w:rFonts w:cs="Times New Roman"/>
          <w:i/>
        </w:rPr>
        <w:t>. christiani</w:t>
      </w:r>
      <w:r>
        <w:rPr>
          <w:rFonts w:cs="Times New Roman"/>
        </w:rPr>
        <w:t xml:space="preserve">, and five putative new lineages from the central and northern Philippines (Oliver et al. 2018). With the exception of the inferred phylogenetic placement of </w:t>
      </w:r>
      <w:r w:rsidRPr="00E7423F">
        <w:rPr>
          <w:rFonts w:cs="Times New Roman"/>
          <w:i/>
        </w:rPr>
        <w:t>L</w:t>
      </w:r>
      <w:r w:rsidRPr="00E7423F">
        <w:rPr>
          <w:rFonts w:cs="Times New Roman"/>
        </w:rPr>
        <w:t xml:space="preserve">. </w:t>
      </w:r>
      <w:r w:rsidRPr="00B54B49">
        <w:rPr>
          <w:rFonts w:cs="Times New Roman"/>
          <w:i/>
        </w:rPr>
        <w:t>planicaudus</w:t>
      </w:r>
      <w:r>
        <w:rPr>
          <w:rFonts w:cs="Times New Roman"/>
          <w:iCs/>
        </w:rPr>
        <w:t>, species groups defined</w:t>
      </w:r>
      <w:r>
        <w:rPr>
          <w:rFonts w:cs="Times New Roman"/>
        </w:rPr>
        <w:t xml:space="preserve"> by Brown and Alcala (1978).</w:t>
      </w:r>
    </w:p>
    <w:p w14:paraId="70D263C3" w14:textId="77777777" w:rsidR="00F6339D" w:rsidRDefault="00F6339D" w:rsidP="00F6339D">
      <w:pPr>
        <w:spacing w:line="480" w:lineRule="auto"/>
        <w:jc w:val="center"/>
        <w:rPr>
          <w:rFonts w:cs="Times New Roman"/>
          <w:b/>
        </w:rPr>
      </w:pPr>
    </w:p>
    <w:p w14:paraId="524A17C4" w14:textId="77777777" w:rsidR="00F6339D" w:rsidRPr="00E70A15" w:rsidRDefault="00F6339D" w:rsidP="00F6339D">
      <w:pPr>
        <w:spacing w:line="480" w:lineRule="auto"/>
        <w:jc w:val="center"/>
        <w:rPr>
          <w:rFonts w:cs="Times New Roman"/>
          <w:bCs/>
          <w:smallCaps/>
        </w:rPr>
      </w:pPr>
      <w:r w:rsidRPr="00E70A15">
        <w:rPr>
          <w:rFonts w:cs="Times New Roman"/>
          <w:bCs/>
          <w:smallCaps/>
        </w:rPr>
        <w:t>Materials and Methods</w:t>
      </w:r>
    </w:p>
    <w:p w14:paraId="7F7E91A4" w14:textId="77777777" w:rsidR="00F6339D" w:rsidRPr="00B731F6" w:rsidRDefault="00F6339D" w:rsidP="00F6339D">
      <w:pPr>
        <w:spacing w:line="480" w:lineRule="auto"/>
        <w:jc w:val="center"/>
        <w:rPr>
          <w:rFonts w:cs="Times New Roman"/>
          <w:iCs/>
        </w:rPr>
      </w:pPr>
      <w:r w:rsidRPr="00E70A15">
        <w:rPr>
          <w:rFonts w:cs="Times New Roman"/>
          <w:iCs/>
        </w:rPr>
        <w:t>Field Work, Sample Collection, and Specimen Preservation</w:t>
      </w:r>
    </w:p>
    <w:p w14:paraId="35A63FCF" w14:textId="77777777" w:rsidR="00F6339D" w:rsidRDefault="00F6339D" w:rsidP="00F6339D">
      <w:pPr>
        <w:spacing w:line="480" w:lineRule="auto"/>
        <w:ind w:firstLine="360"/>
        <w:rPr>
          <w:rFonts w:cs="Times New Roman"/>
        </w:rPr>
      </w:pPr>
      <w:r w:rsidRPr="00E7423F">
        <w:rPr>
          <w:rFonts w:cs="Times New Roman"/>
        </w:rPr>
        <w:t xml:space="preserve">We conducted fieldwork on </w:t>
      </w:r>
      <w:r>
        <w:rPr>
          <w:rFonts w:cs="Times New Roman"/>
        </w:rPr>
        <w:t xml:space="preserve">Babuyan Claro, Batan, </w:t>
      </w:r>
      <w:r w:rsidRPr="00E7423F">
        <w:rPr>
          <w:rFonts w:cs="Times New Roman"/>
        </w:rPr>
        <w:t xml:space="preserve">Bohol, </w:t>
      </w:r>
      <w:r>
        <w:rPr>
          <w:rFonts w:cs="Times New Roman"/>
        </w:rPr>
        <w:t xml:space="preserve">Calayan, Dalupiri, </w:t>
      </w:r>
      <w:r w:rsidRPr="00E7423F">
        <w:rPr>
          <w:rFonts w:cs="Times New Roman"/>
        </w:rPr>
        <w:t xml:space="preserve">Leyte, Luzon, Mindanao, </w:t>
      </w:r>
      <w:r>
        <w:rPr>
          <w:rFonts w:cs="Times New Roman"/>
        </w:rPr>
        <w:t xml:space="preserve">Negros, Polillo, </w:t>
      </w:r>
      <w:r w:rsidRPr="00E7423F">
        <w:rPr>
          <w:rFonts w:cs="Times New Roman"/>
        </w:rPr>
        <w:t xml:space="preserve">and </w:t>
      </w:r>
      <w:r>
        <w:rPr>
          <w:rFonts w:cs="Times New Roman"/>
        </w:rPr>
        <w:t>Sabtang</w:t>
      </w:r>
      <w:r w:rsidRPr="00E7423F">
        <w:rPr>
          <w:rFonts w:cs="Times New Roman"/>
        </w:rPr>
        <w:t xml:space="preserve"> islands in the Philippines. We collected specimens between 1600 </w:t>
      </w:r>
      <w:r>
        <w:rPr>
          <w:rFonts w:cs="Times New Roman"/>
        </w:rPr>
        <w:t xml:space="preserve">and 0200 </w:t>
      </w:r>
      <w:r w:rsidRPr="00E7423F">
        <w:rPr>
          <w:rFonts w:cs="Times New Roman"/>
        </w:rPr>
        <w:t>h</w:t>
      </w:r>
      <w:r>
        <w:rPr>
          <w:rFonts w:cs="Times New Roman"/>
        </w:rPr>
        <w:t xml:space="preserve"> and </w:t>
      </w:r>
      <w:r w:rsidRPr="00E7423F">
        <w:rPr>
          <w:rFonts w:cs="Times New Roman"/>
        </w:rPr>
        <w:t xml:space="preserve">euthanized </w:t>
      </w:r>
      <w:r>
        <w:rPr>
          <w:rFonts w:cs="Times New Roman"/>
        </w:rPr>
        <w:t xml:space="preserve">them </w:t>
      </w:r>
      <w:r w:rsidRPr="00E7423F">
        <w:rPr>
          <w:rFonts w:cs="Times New Roman"/>
        </w:rPr>
        <w:t>via cardiac injection of nembutal or immersion in aqueous chloretone</w:t>
      </w:r>
      <w:r>
        <w:rPr>
          <w:rFonts w:cs="Times New Roman"/>
        </w:rPr>
        <w:t xml:space="preserve">. We </w:t>
      </w:r>
      <w:r w:rsidRPr="00E7423F">
        <w:rPr>
          <w:rFonts w:cs="Times New Roman"/>
        </w:rPr>
        <w:t xml:space="preserve">dissected </w:t>
      </w:r>
      <w:r>
        <w:rPr>
          <w:rFonts w:cs="Times New Roman"/>
        </w:rPr>
        <w:t xml:space="preserve">specimens </w:t>
      </w:r>
      <w:r w:rsidRPr="00E7423F">
        <w:rPr>
          <w:rFonts w:cs="Times New Roman"/>
        </w:rPr>
        <w:t xml:space="preserve">for genetic samples (liver or muscle preserved in 95% ethanol or flash frozen in liquid nitrogen), fixed </w:t>
      </w:r>
      <w:r>
        <w:rPr>
          <w:rFonts w:cs="Times New Roman"/>
        </w:rPr>
        <w:t xml:space="preserve">them </w:t>
      </w:r>
      <w:r w:rsidRPr="00E7423F">
        <w:rPr>
          <w:rFonts w:cs="Times New Roman"/>
        </w:rPr>
        <w:t>in 10% buffered formalin, and eventually transferred</w:t>
      </w:r>
      <w:r>
        <w:rPr>
          <w:rFonts w:cs="Times New Roman"/>
        </w:rPr>
        <w:t xml:space="preserve"> them</w:t>
      </w:r>
      <w:r w:rsidRPr="00E7423F">
        <w:rPr>
          <w:rFonts w:cs="Times New Roman"/>
        </w:rPr>
        <w:t xml:space="preserve"> to 70% ethanol</w:t>
      </w:r>
      <w:r>
        <w:rPr>
          <w:rFonts w:cs="Times New Roman"/>
        </w:rPr>
        <w:t>. F</w:t>
      </w:r>
      <w:r w:rsidRPr="00380DD8">
        <w:rPr>
          <w:rFonts w:cs="Times New Roman"/>
        </w:rPr>
        <w:t xml:space="preserve">or all </w:t>
      </w:r>
      <w:r>
        <w:rPr>
          <w:rFonts w:cs="Times New Roman"/>
        </w:rPr>
        <w:t>locality records</w:t>
      </w:r>
      <w:r w:rsidRPr="00380DD8">
        <w:rPr>
          <w:rFonts w:cs="Times New Roman"/>
        </w:rPr>
        <w:t>, we used the WGS</w:t>
      </w:r>
      <w:r>
        <w:rPr>
          <w:rFonts w:cs="Times New Roman"/>
        </w:rPr>
        <w:t>-</w:t>
      </w:r>
      <w:r w:rsidRPr="00380DD8">
        <w:rPr>
          <w:rFonts w:cs="Times New Roman"/>
        </w:rPr>
        <w:t>84 datum</w:t>
      </w:r>
      <w:r>
        <w:rPr>
          <w:rFonts w:cs="Times New Roman"/>
        </w:rPr>
        <w:t>.</w:t>
      </w:r>
      <w:r w:rsidRPr="00380DD8">
        <w:rPr>
          <w:rFonts w:cs="Times New Roman"/>
        </w:rPr>
        <w:t xml:space="preserve"> </w:t>
      </w:r>
      <w:r>
        <w:rPr>
          <w:rFonts w:cs="Times New Roman"/>
        </w:rPr>
        <w:t>We used the museum acronyms of Sabaj (2016).</w:t>
      </w:r>
    </w:p>
    <w:p w14:paraId="45EAAC29" w14:textId="77777777" w:rsidR="00F6339D" w:rsidRPr="00E7423F" w:rsidRDefault="00F6339D" w:rsidP="00F6339D">
      <w:pPr>
        <w:spacing w:line="480" w:lineRule="auto"/>
        <w:ind w:firstLine="360"/>
        <w:rPr>
          <w:rFonts w:cs="Times New Roman"/>
        </w:rPr>
      </w:pPr>
    </w:p>
    <w:p w14:paraId="56DB7111" w14:textId="77777777" w:rsidR="00F6339D" w:rsidRPr="00E70A15" w:rsidRDefault="00F6339D" w:rsidP="00F6339D">
      <w:pPr>
        <w:spacing w:line="480" w:lineRule="auto"/>
        <w:jc w:val="center"/>
        <w:rPr>
          <w:rFonts w:cs="Times New Roman"/>
          <w:iCs/>
        </w:rPr>
      </w:pPr>
      <w:r w:rsidRPr="00E70A15">
        <w:rPr>
          <w:rFonts w:cs="Times New Roman"/>
          <w:iCs/>
        </w:rPr>
        <w:t>Morphological Data</w:t>
      </w:r>
    </w:p>
    <w:p w14:paraId="3B8D80A7" w14:textId="77777777" w:rsidR="00F6339D" w:rsidRPr="00E7423F" w:rsidRDefault="00F6339D" w:rsidP="00F6339D">
      <w:pPr>
        <w:spacing w:line="480" w:lineRule="auto"/>
        <w:ind w:firstLine="360"/>
        <w:rPr>
          <w:rFonts w:cs="Times New Roman"/>
        </w:rPr>
      </w:pPr>
      <w:r w:rsidRPr="00E7423F">
        <w:rPr>
          <w:rFonts w:cs="Times New Roman"/>
        </w:rPr>
        <w:t>We examined</w:t>
      </w:r>
      <w:r>
        <w:rPr>
          <w:rFonts w:cs="Times New Roman"/>
        </w:rPr>
        <w:t xml:space="preserve"> 196</w:t>
      </w:r>
      <w:r w:rsidRPr="00E7423F">
        <w:rPr>
          <w:rFonts w:cs="Times New Roman"/>
        </w:rPr>
        <w:t xml:space="preserve"> fluid</w:t>
      </w:r>
      <w:r>
        <w:rPr>
          <w:rFonts w:cs="Times New Roman"/>
        </w:rPr>
        <w:t>-</w:t>
      </w:r>
      <w:r w:rsidRPr="00E7423F">
        <w:rPr>
          <w:rFonts w:cs="Times New Roman"/>
        </w:rPr>
        <w:t xml:space="preserve">preserved specimens for meristic, mensural, and qualitative characters using previous taxonomic revisions by Taylor (1922) and Brown and Alcala (1978) as well as phylogenetic results from Oliver et al. (2018) to guide our identification of </w:t>
      </w:r>
      <w:r>
        <w:rPr>
          <w:rFonts w:cs="Times New Roman"/>
        </w:rPr>
        <w:t>recognized species versus</w:t>
      </w:r>
      <w:r w:rsidRPr="00E7423F">
        <w:rPr>
          <w:rFonts w:cs="Times New Roman"/>
        </w:rPr>
        <w:t xml:space="preserve"> novel lineages of </w:t>
      </w:r>
      <w:r w:rsidRPr="00E7423F">
        <w:rPr>
          <w:rFonts w:cs="Times New Roman"/>
          <w:i/>
        </w:rPr>
        <w:t>Lepidodactylus</w:t>
      </w:r>
      <w:r>
        <w:rPr>
          <w:rFonts w:cs="Times New Roman"/>
          <w:i/>
        </w:rPr>
        <w:t xml:space="preserve"> </w:t>
      </w:r>
      <w:r w:rsidRPr="00E7423F">
        <w:rPr>
          <w:rFonts w:cs="Times New Roman"/>
        </w:rPr>
        <w:t xml:space="preserve">(see Appendix). Sex was determined via the presence of precloacal/precloacofemoral pores and/or by gonadal inspection. For the purposes of mensural comparisons, </w:t>
      </w:r>
      <w:r>
        <w:rPr>
          <w:rFonts w:cs="Times New Roman"/>
        </w:rPr>
        <w:t>we used sexually mature adults only. A</w:t>
      </w:r>
      <w:r w:rsidRPr="00E7423F">
        <w:rPr>
          <w:rFonts w:cs="Times New Roman"/>
        </w:rPr>
        <w:t xml:space="preserve"> 20% cutoff </w:t>
      </w:r>
      <w:r>
        <w:rPr>
          <w:rFonts w:cs="Times New Roman"/>
        </w:rPr>
        <w:t>below</w:t>
      </w:r>
      <w:r w:rsidRPr="00E7423F">
        <w:rPr>
          <w:rFonts w:cs="Times New Roman"/>
        </w:rPr>
        <w:t xml:space="preserve"> max snout–vent length (SVL</w:t>
      </w:r>
      <w:r>
        <w:rPr>
          <w:rFonts w:cs="Times New Roman"/>
        </w:rPr>
        <w:t>)</w:t>
      </w:r>
      <w:r w:rsidRPr="00E7423F">
        <w:rPr>
          <w:rFonts w:cs="Times New Roman"/>
        </w:rPr>
        <w:t xml:space="preserve"> </w:t>
      </w:r>
      <w:r>
        <w:rPr>
          <w:rFonts w:cs="Times New Roman"/>
        </w:rPr>
        <w:t xml:space="preserve">was used </w:t>
      </w:r>
      <w:r w:rsidRPr="00E7423F">
        <w:rPr>
          <w:rFonts w:cs="Times New Roman"/>
        </w:rPr>
        <w:t xml:space="preserve">to determine </w:t>
      </w:r>
      <w:r>
        <w:rPr>
          <w:rFonts w:cs="Times New Roman"/>
        </w:rPr>
        <w:t xml:space="preserve">sexually </w:t>
      </w:r>
      <w:r w:rsidRPr="00E7423F">
        <w:rPr>
          <w:rFonts w:cs="Times New Roman"/>
        </w:rPr>
        <w:t>matur</w:t>
      </w:r>
      <w:r>
        <w:rPr>
          <w:rFonts w:cs="Times New Roman"/>
        </w:rPr>
        <w:t xml:space="preserve">ity in each lineage. </w:t>
      </w:r>
      <w:r w:rsidRPr="00E7423F">
        <w:rPr>
          <w:rFonts w:cs="Times New Roman"/>
        </w:rPr>
        <w:t>SJE took all measurements to the nearest 0.1 mm with Fow</w:t>
      </w:r>
      <w:r>
        <w:rPr>
          <w:rFonts w:cs="Times New Roman"/>
        </w:rPr>
        <w:t>l</w:t>
      </w:r>
      <w:r w:rsidRPr="00E7423F">
        <w:rPr>
          <w:rFonts w:cs="Times New Roman"/>
        </w:rPr>
        <w:t>er Sylvac S 235 digital calipers.</w:t>
      </w:r>
    </w:p>
    <w:p w14:paraId="3E8D5A97" w14:textId="77777777" w:rsidR="00F6339D" w:rsidRDefault="00F6339D" w:rsidP="00F6339D">
      <w:pPr>
        <w:spacing w:line="480" w:lineRule="auto"/>
        <w:ind w:firstLine="360"/>
        <w:rPr>
          <w:rFonts w:cs="Times New Roman"/>
        </w:rPr>
      </w:pPr>
      <w:r>
        <w:rPr>
          <w:rFonts w:cs="Times New Roman"/>
        </w:rPr>
        <w:t>We scored a</w:t>
      </w:r>
      <w:r w:rsidRPr="00DB3791">
        <w:rPr>
          <w:rFonts w:cs="Times New Roman"/>
        </w:rPr>
        <w:t>ll characters on the left side of the body unless otherwise noted. Characters</w:t>
      </w:r>
      <w:r w:rsidRPr="00E7423F">
        <w:rPr>
          <w:rFonts w:cs="Times New Roman"/>
        </w:rPr>
        <w:t xml:space="preserve"> examined were based on features </w:t>
      </w:r>
      <w:r>
        <w:rPr>
          <w:rFonts w:cs="Times New Roman"/>
        </w:rPr>
        <w:t>used</w:t>
      </w:r>
      <w:r w:rsidRPr="00E7423F">
        <w:rPr>
          <w:rFonts w:cs="Times New Roman"/>
        </w:rPr>
        <w:t xml:space="preserve"> in previous </w:t>
      </w:r>
      <w:r w:rsidRPr="00E7423F">
        <w:rPr>
          <w:rFonts w:cs="Times New Roman"/>
          <w:i/>
        </w:rPr>
        <w:t>Lepidodactylus</w:t>
      </w:r>
      <w:r w:rsidRPr="00E7423F">
        <w:rPr>
          <w:rFonts w:cs="Times New Roman"/>
        </w:rPr>
        <w:t xml:space="preserve"> and Southeast Asian gekkonid literature (Taylor 1922; Brown and Alcala 1978; Ota 1987; Ota and Crombi</w:t>
      </w:r>
      <w:r>
        <w:rPr>
          <w:rFonts w:cs="Times New Roman"/>
        </w:rPr>
        <w:t>e</w:t>
      </w:r>
      <w:r w:rsidRPr="00E7423F">
        <w:rPr>
          <w:rFonts w:cs="Times New Roman"/>
        </w:rPr>
        <w:t xml:space="preserve"> 1989; </w:t>
      </w:r>
      <w:r>
        <w:rPr>
          <w:rFonts w:cs="Times New Roman"/>
        </w:rPr>
        <w:t xml:space="preserve">Grismer et al. 2013; </w:t>
      </w:r>
      <w:r w:rsidRPr="00E7423F">
        <w:rPr>
          <w:rFonts w:cs="Times New Roman"/>
        </w:rPr>
        <w:t xml:space="preserve">Siler </w:t>
      </w:r>
      <w:r>
        <w:rPr>
          <w:rFonts w:cs="Times New Roman"/>
        </w:rPr>
        <w:t>et al.</w:t>
      </w:r>
      <w:r w:rsidRPr="00E7423F">
        <w:rPr>
          <w:rFonts w:cs="Times New Roman"/>
        </w:rPr>
        <w:t xml:space="preserve"> 2014</w:t>
      </w:r>
      <w:r>
        <w:rPr>
          <w:rFonts w:cs="Times New Roman"/>
        </w:rPr>
        <w:t>a</w:t>
      </w:r>
      <w:r w:rsidRPr="00E7423F">
        <w:rPr>
          <w:rFonts w:cs="Times New Roman"/>
        </w:rPr>
        <w:t xml:space="preserve">; </w:t>
      </w:r>
      <w:r w:rsidRPr="00D10255">
        <w:rPr>
          <w:rFonts w:cs="Times New Roman"/>
        </w:rPr>
        <w:t xml:space="preserve">Eliades </w:t>
      </w:r>
      <w:r>
        <w:rPr>
          <w:rFonts w:cs="Times New Roman"/>
        </w:rPr>
        <w:t>et al.</w:t>
      </w:r>
      <w:r w:rsidRPr="00D10255">
        <w:rPr>
          <w:rFonts w:cs="Times New Roman"/>
        </w:rPr>
        <w:t xml:space="preserve"> 2019</w:t>
      </w:r>
      <w:r w:rsidRPr="00E7423F">
        <w:rPr>
          <w:rFonts w:cs="Times New Roman"/>
        </w:rPr>
        <w:t xml:space="preserve">). </w:t>
      </w:r>
      <w:bookmarkStart w:id="4" w:name="_Hlk50489889"/>
      <w:r>
        <w:rPr>
          <w:rFonts w:cs="Times New Roman"/>
        </w:rPr>
        <w:t>W</w:t>
      </w:r>
      <w:r>
        <w:t xml:space="preserve">e used a slash (/) to separate counts on the left from those on the right side of the same specimen. We used a dash for ranges of counts among specimens. </w:t>
      </w:r>
      <w:bookmarkEnd w:id="4"/>
      <w:r w:rsidRPr="00E7423F">
        <w:rPr>
          <w:rFonts w:cs="Times New Roman"/>
        </w:rPr>
        <w:t xml:space="preserve">Mensural characters measured include: snout–vent length (SVL, distance from tip of snout to vent); axilla–groin distance (distance between posterior edge of arm insertion and anterior edge of leg insertion); tail length (distance from posterior margin of vent to tip of tail); tail width (measured at widest section of tail posterior to hemipene bulge if present); tail depth (measured from ventral to dorsal surface of tail at the same point as </w:t>
      </w:r>
      <w:r>
        <w:rPr>
          <w:rFonts w:cs="Times New Roman"/>
        </w:rPr>
        <w:t>tail width</w:t>
      </w:r>
      <w:r w:rsidRPr="00E7423F">
        <w:rPr>
          <w:rFonts w:cs="Times New Roman"/>
        </w:rPr>
        <w:t>); snout–forearm length (</w:t>
      </w:r>
      <w:bookmarkStart w:id="5" w:name="_Hlk50407616"/>
      <w:r w:rsidRPr="00E7423F">
        <w:rPr>
          <w:rFonts w:cs="Times New Roman"/>
        </w:rPr>
        <w:t>distance from posterior edge of arm to a point in line with the snout</w:t>
      </w:r>
      <w:r>
        <w:rPr>
          <w:rFonts w:cs="Times New Roman"/>
        </w:rPr>
        <w:t xml:space="preserve"> tip</w:t>
      </w:r>
      <w:bookmarkEnd w:id="5"/>
      <w:r w:rsidRPr="00E7423F">
        <w:rPr>
          <w:rFonts w:cs="Times New Roman"/>
        </w:rPr>
        <w:t xml:space="preserve">); upper arm length (measured from arm insertion point to the elbow); forearm length (measured from elbow to base of palmar surface); arm length (sum of upper arm length and forearm length); </w:t>
      </w:r>
      <w:r>
        <w:rPr>
          <w:rFonts w:cs="Times New Roman"/>
        </w:rPr>
        <w:t>thigh</w:t>
      </w:r>
      <w:r w:rsidRPr="00E7423F">
        <w:rPr>
          <w:rFonts w:cs="Times New Roman"/>
        </w:rPr>
        <w:t xml:space="preserve"> length; crus length </w:t>
      </w:r>
      <w:r>
        <w:rPr>
          <w:rFonts w:cs="Times New Roman"/>
        </w:rPr>
        <w:t>(</w:t>
      </w:r>
      <w:r w:rsidRPr="00E7423F">
        <w:rPr>
          <w:rFonts w:cs="Times New Roman"/>
        </w:rPr>
        <w:t xml:space="preserve">tibia length); leg length (sum of </w:t>
      </w:r>
      <w:r>
        <w:rPr>
          <w:rFonts w:cs="Times New Roman"/>
        </w:rPr>
        <w:t>thigh</w:t>
      </w:r>
      <w:r w:rsidRPr="00E7423F">
        <w:rPr>
          <w:rFonts w:cs="Times New Roman"/>
        </w:rPr>
        <w:t xml:space="preserve"> length and crus length); Finger III length (measured from base of digit to end of digit exclusive of claw); Toe IV length (measured from base of digit to end of digit exclusive of claw); head length (from tip of snout to posterior tip of mandible); head width (</w:t>
      </w:r>
      <w:bookmarkStart w:id="6" w:name="_Hlk50407902"/>
      <w:r w:rsidRPr="00E7423F">
        <w:rPr>
          <w:rFonts w:cs="Times New Roman"/>
        </w:rPr>
        <w:t>widest measure of head width at</w:t>
      </w:r>
      <w:r>
        <w:rPr>
          <w:rFonts w:cs="Times New Roman"/>
        </w:rPr>
        <w:t xml:space="preserve"> middle of</w:t>
      </w:r>
      <w:r w:rsidRPr="00E7423F">
        <w:rPr>
          <w:rFonts w:cs="Times New Roman"/>
        </w:rPr>
        <w:t xml:space="preserve"> jaw articulations</w:t>
      </w:r>
      <w:bookmarkEnd w:id="6"/>
      <w:r w:rsidRPr="00E7423F">
        <w:rPr>
          <w:rFonts w:cs="Times New Roman"/>
        </w:rPr>
        <w:t>); head height (measured from ventral to dorsal surface of head at jaw articulations); eye–ear distance (</w:t>
      </w:r>
      <w:bookmarkStart w:id="7" w:name="_Hlk50407986"/>
      <w:r w:rsidRPr="00E7423F">
        <w:rPr>
          <w:rFonts w:cs="Times New Roman"/>
        </w:rPr>
        <w:t>from the anterior edge of auricular opening</w:t>
      </w:r>
      <w:r>
        <w:rPr>
          <w:rFonts w:cs="Times New Roman"/>
        </w:rPr>
        <w:t xml:space="preserve"> [external auditory meatus]</w:t>
      </w:r>
      <w:r w:rsidRPr="00E7423F">
        <w:rPr>
          <w:rFonts w:cs="Times New Roman"/>
        </w:rPr>
        <w:t xml:space="preserve"> </w:t>
      </w:r>
      <w:bookmarkEnd w:id="7"/>
      <w:r w:rsidRPr="00E7423F">
        <w:rPr>
          <w:rFonts w:cs="Times New Roman"/>
        </w:rPr>
        <w:t xml:space="preserve">to posterior edge of  </w:t>
      </w:r>
      <w:r>
        <w:rPr>
          <w:rFonts w:cs="Times New Roman"/>
        </w:rPr>
        <w:t>orbit</w:t>
      </w:r>
      <w:r w:rsidRPr="00E7423F">
        <w:rPr>
          <w:rFonts w:cs="Times New Roman"/>
        </w:rPr>
        <w:t xml:space="preserve">); </w:t>
      </w:r>
      <w:r>
        <w:rPr>
          <w:rFonts w:cs="Times New Roman"/>
        </w:rPr>
        <w:t>eye–nostril</w:t>
      </w:r>
      <w:r w:rsidRPr="00E7423F">
        <w:rPr>
          <w:rFonts w:cs="Times New Roman"/>
        </w:rPr>
        <w:t xml:space="preserve"> distance (distance from anterior margin of eye to posterior margin of </w:t>
      </w:r>
      <w:r>
        <w:rPr>
          <w:rFonts w:cs="Times New Roman"/>
        </w:rPr>
        <w:t>nostril</w:t>
      </w:r>
      <w:r w:rsidRPr="00E7423F">
        <w:rPr>
          <w:rFonts w:cs="Times New Roman"/>
        </w:rPr>
        <w:t>); snout length (distance from anterior border of orbit to tip of snout); interorbital distance (distance between midline of orbits from dorsal aspect); internarial distance (from dorsal aspect between most</w:t>
      </w:r>
      <w:r>
        <w:rPr>
          <w:rFonts w:cs="Times New Roman"/>
        </w:rPr>
        <w:t xml:space="preserve"> </w:t>
      </w:r>
      <w:r w:rsidRPr="00E7423F">
        <w:rPr>
          <w:rFonts w:cs="Times New Roman"/>
        </w:rPr>
        <w:t xml:space="preserve">lateral edges of nares); ear diameter (measured at the widest diameter of the </w:t>
      </w:r>
      <w:r w:rsidRPr="008A58BB">
        <w:rPr>
          <w:rFonts w:cs="Times New Roman"/>
        </w:rPr>
        <w:t>auricular opening</w:t>
      </w:r>
      <w:r w:rsidRPr="00E7423F">
        <w:rPr>
          <w:rFonts w:cs="Times New Roman"/>
        </w:rPr>
        <w:t>); and eye diameter (at widest point).</w:t>
      </w:r>
    </w:p>
    <w:p w14:paraId="4FD9171D" w14:textId="77777777" w:rsidR="00F6339D" w:rsidRPr="00E7423F" w:rsidRDefault="00F6339D" w:rsidP="00F6339D">
      <w:pPr>
        <w:tabs>
          <w:tab w:val="left" w:pos="1872"/>
        </w:tabs>
        <w:spacing w:line="480" w:lineRule="auto"/>
        <w:ind w:firstLine="360"/>
        <w:rPr>
          <w:rFonts w:cs="Times New Roman"/>
        </w:rPr>
      </w:pPr>
      <w:r w:rsidRPr="00E7423F">
        <w:rPr>
          <w:rFonts w:cs="Times New Roman"/>
        </w:rPr>
        <w:t>Me</w:t>
      </w:r>
      <w:r>
        <w:rPr>
          <w:rFonts w:cs="Times New Roman"/>
        </w:rPr>
        <w:t>ristic</w:t>
      </w:r>
      <w:r w:rsidRPr="00E7423F">
        <w:rPr>
          <w:rFonts w:cs="Times New Roman"/>
        </w:rPr>
        <w:t xml:space="preserve"> characters counted include: midbody dorsal scale</w:t>
      </w:r>
      <w:r>
        <w:rPr>
          <w:rFonts w:cs="Times New Roman"/>
        </w:rPr>
        <w:t>s</w:t>
      </w:r>
      <w:r w:rsidRPr="00E7423F">
        <w:rPr>
          <w:rFonts w:cs="Times New Roman"/>
        </w:rPr>
        <w:t xml:space="preserve"> (number of scales running </w:t>
      </w:r>
      <w:r>
        <w:rPr>
          <w:rFonts w:cs="Times New Roman"/>
        </w:rPr>
        <w:t>transversely</w:t>
      </w:r>
      <w:r w:rsidRPr="00E7423F">
        <w:rPr>
          <w:rFonts w:cs="Times New Roman"/>
        </w:rPr>
        <w:t xml:space="preserve"> across the midbody on the dorsal surface within one eye diameter),</w:t>
      </w:r>
      <w:r w:rsidRPr="008A58BB">
        <w:rPr>
          <w:rFonts w:cs="Times New Roman"/>
        </w:rPr>
        <w:t xml:space="preserve"> </w:t>
      </w:r>
      <w:r w:rsidRPr="00E7423F">
        <w:rPr>
          <w:rFonts w:cs="Times New Roman"/>
        </w:rPr>
        <w:t xml:space="preserve">midbody ventral </w:t>
      </w:r>
      <w:r>
        <w:rPr>
          <w:rFonts w:cs="Times New Roman"/>
        </w:rPr>
        <w:t xml:space="preserve">scales </w:t>
      </w:r>
      <w:r w:rsidRPr="00E7423F">
        <w:rPr>
          <w:rFonts w:cs="Times New Roman"/>
        </w:rPr>
        <w:t xml:space="preserve">(scales running </w:t>
      </w:r>
      <w:r>
        <w:rPr>
          <w:rFonts w:cs="Times New Roman"/>
        </w:rPr>
        <w:t>transversely</w:t>
      </w:r>
      <w:r w:rsidRPr="00E7423F">
        <w:rPr>
          <w:rFonts w:cs="Times New Roman"/>
        </w:rPr>
        <w:t xml:space="preserve"> across the midbody on the ventral surface within one eye diameter)</w:t>
      </w:r>
      <w:r>
        <w:rPr>
          <w:rFonts w:cs="Times New Roman"/>
        </w:rPr>
        <w:t>,</w:t>
      </w:r>
      <w:r w:rsidRPr="00E7423F">
        <w:rPr>
          <w:rFonts w:cs="Times New Roman"/>
        </w:rPr>
        <w:t xml:space="preserve"> paravertebral </w:t>
      </w:r>
      <w:r>
        <w:rPr>
          <w:rFonts w:cs="Times New Roman"/>
        </w:rPr>
        <w:t xml:space="preserve">scales </w:t>
      </w:r>
      <w:r w:rsidRPr="00E7423F">
        <w:rPr>
          <w:rFonts w:cs="Times New Roman"/>
        </w:rPr>
        <w:t>(scales running</w:t>
      </w:r>
      <w:r>
        <w:rPr>
          <w:rFonts w:cs="Times New Roman"/>
        </w:rPr>
        <w:t xml:space="preserve"> longitudinally</w:t>
      </w:r>
      <w:r w:rsidRPr="00E7423F">
        <w:rPr>
          <w:rFonts w:cs="Times New Roman"/>
        </w:rPr>
        <w:t xml:space="preserve"> along the midbody on the dorsal surface within one eye diameter), and ventral</w:t>
      </w:r>
      <w:r>
        <w:rPr>
          <w:rFonts w:cs="Times New Roman"/>
        </w:rPr>
        <w:t xml:space="preserve"> scales</w:t>
      </w:r>
      <w:r w:rsidRPr="00E7423F">
        <w:rPr>
          <w:rFonts w:cs="Times New Roman"/>
        </w:rPr>
        <w:t xml:space="preserve"> (scales running </w:t>
      </w:r>
      <w:r>
        <w:rPr>
          <w:rFonts w:cs="Times New Roman"/>
        </w:rPr>
        <w:t>longitudinally</w:t>
      </w:r>
      <w:r w:rsidRPr="00E7423F">
        <w:rPr>
          <w:rFonts w:cs="Times New Roman"/>
        </w:rPr>
        <w:t xml:space="preserve"> along the midbody on the ventral surface within one eye diameter);</w:t>
      </w:r>
      <w:r>
        <w:rPr>
          <w:rFonts w:cs="Times New Roman"/>
        </w:rPr>
        <w:t xml:space="preserve"> </w:t>
      </w:r>
      <w:r w:rsidRPr="00E7423F">
        <w:rPr>
          <w:rFonts w:cs="Times New Roman"/>
        </w:rPr>
        <w:t>supralabials (number of enlarged supralabials, from first supralabial in contact with rostral to posterior most enlarged supralabial retaining distinct, square to rectangular shape); infralabials (number of infralabials</w:t>
      </w:r>
      <w:r>
        <w:rPr>
          <w:rFonts w:cs="Times New Roman"/>
        </w:rPr>
        <w:t xml:space="preserve"> posteriorly to the terminus of differentiation </w:t>
      </w:r>
      <w:r w:rsidRPr="00E7423F">
        <w:rPr>
          <w:rFonts w:cs="Times New Roman"/>
        </w:rPr>
        <w:t>); circumorbitals (number of visible, small circumorbital scales encircling the eye); circumnasals (number of distinct scales surrounding the n</w:t>
      </w:r>
      <w:r>
        <w:rPr>
          <w:rFonts w:cs="Times New Roman"/>
        </w:rPr>
        <w:t>ostril</w:t>
      </w:r>
      <w:r w:rsidRPr="00E7423F">
        <w:rPr>
          <w:rFonts w:cs="Times New Roman"/>
        </w:rPr>
        <w:t xml:space="preserve"> exclusive of the rostral or supralabials); </w:t>
      </w:r>
      <w:r w:rsidRPr="00202E42">
        <w:rPr>
          <w:rFonts w:cs="Times New Roman"/>
        </w:rPr>
        <w:t>snout scales (number of scales bordering rostral excluding supralabials and including circumnasals);</w:t>
      </w:r>
      <w:r w:rsidRPr="00E7423F">
        <w:rPr>
          <w:rFonts w:cs="Times New Roman"/>
        </w:rPr>
        <w:t xml:space="preserve"> Finger III total scansors (number of enlarged, total scansor rows [divided and undivided] beneath Finger III, starting just distal to point where skin between digits ends</w:t>
      </w:r>
      <w:r>
        <w:rPr>
          <w:rFonts w:cs="Times New Roman"/>
        </w:rPr>
        <w:t xml:space="preserve"> exclusive of ungual scale</w:t>
      </w:r>
      <w:r w:rsidRPr="00E7423F">
        <w:rPr>
          <w:rFonts w:cs="Times New Roman"/>
        </w:rPr>
        <w:t>); Finger III first divided scansor (first row of clearly divided scansors counted from basal end of digit to distal); Finger III last divided scansor (last row of clearly divided scansors along the digit); Finger III total divided scansors (total number of clearly divided scansors on the digit); Toe IV total scansors (number of enlarged, total scansor rows [divided and undivided] beneath Toe IV, starting just distal to point where skin between digits ends</w:t>
      </w:r>
      <w:r>
        <w:rPr>
          <w:rFonts w:cs="Times New Roman"/>
        </w:rPr>
        <w:t xml:space="preserve"> exclusive of ungual scale</w:t>
      </w:r>
      <w:r w:rsidRPr="00E7423F">
        <w:rPr>
          <w:rFonts w:cs="Times New Roman"/>
        </w:rPr>
        <w:t>); Toe IV first divided scansor (first row of clearly divided scansors counted from basal end of digit to distal); Toe IV last divided scansor (last row of clearly divided scansors along the digit); Toe IV total divided scansors (total number of clearly divided scansors on the digit); precloacofemoral scales bearing pores (number of differentiated, enlarged, pore</w:t>
      </w:r>
      <w:r>
        <w:rPr>
          <w:rFonts w:cs="Times New Roman"/>
        </w:rPr>
        <w:t>-</w:t>
      </w:r>
      <w:r w:rsidRPr="00E7423F">
        <w:rPr>
          <w:rFonts w:cs="Times New Roman"/>
        </w:rPr>
        <w:t>bearing scales in series anterior to the cloaca and, in some specimens, extending onto femoral regions); enlarged precloacofemoral scales without pores (</w:t>
      </w:r>
      <w:r>
        <w:rPr>
          <w:rFonts w:cs="Times New Roman"/>
        </w:rPr>
        <w:t xml:space="preserve">total </w:t>
      </w:r>
      <w:r w:rsidRPr="00E7423F">
        <w:rPr>
          <w:rFonts w:cs="Times New Roman"/>
        </w:rPr>
        <w:t>number of differentiated, enlarged, scales in series anterior to the cloaca and, in some specimens, extending into the femoral region onto femoral regions); and cloacal spurs (</w:t>
      </w:r>
      <w:r>
        <w:rPr>
          <w:rFonts w:cs="Times New Roman"/>
        </w:rPr>
        <w:t xml:space="preserve">total </w:t>
      </w:r>
      <w:r w:rsidRPr="00E7423F">
        <w:rPr>
          <w:rFonts w:cs="Times New Roman"/>
        </w:rPr>
        <w:t>number of enlarged scales on lateral sides of the base of tail).</w:t>
      </w:r>
    </w:p>
    <w:p w14:paraId="56589F95" w14:textId="77777777" w:rsidR="00F6339D" w:rsidRDefault="00F6339D" w:rsidP="00F6339D">
      <w:pPr>
        <w:spacing w:line="480" w:lineRule="auto"/>
        <w:ind w:firstLine="360"/>
        <w:rPr>
          <w:rFonts w:cs="Times New Roman"/>
        </w:rPr>
      </w:pPr>
      <w:r w:rsidRPr="00E7423F">
        <w:rPr>
          <w:rFonts w:cs="Times New Roman"/>
        </w:rPr>
        <w:t>Qualitative features examined include: pore series continuity (continuous vs. not); pore series shape (linear, v</w:t>
      </w:r>
      <w:r>
        <w:rPr>
          <w:rFonts w:cs="Times New Roman"/>
        </w:rPr>
        <w:t>-</w:t>
      </w:r>
      <w:r w:rsidRPr="00E7423F">
        <w:rPr>
          <w:rFonts w:cs="Times New Roman"/>
        </w:rPr>
        <w:t>shaped, etc.); position of the n</w:t>
      </w:r>
      <w:r>
        <w:rPr>
          <w:rFonts w:cs="Times New Roman"/>
        </w:rPr>
        <w:t>ostril</w:t>
      </w:r>
      <w:r w:rsidRPr="00E7423F">
        <w:rPr>
          <w:rFonts w:cs="Times New Roman"/>
        </w:rPr>
        <w:t xml:space="preserve"> (</w:t>
      </w:r>
      <w:r>
        <w:rPr>
          <w:rFonts w:cs="Times New Roman"/>
        </w:rPr>
        <w:t>contacting</w:t>
      </w:r>
      <w:r w:rsidRPr="00E7423F">
        <w:rPr>
          <w:rFonts w:cs="Times New Roman"/>
        </w:rPr>
        <w:t xml:space="preserve"> the first supralabial, rostral); cleft of the rostral (cleft vs. not); ventral scale shape; </w:t>
      </w:r>
      <w:r>
        <w:rPr>
          <w:rFonts w:cs="Times New Roman"/>
        </w:rPr>
        <w:t xml:space="preserve">degree of webbing between </w:t>
      </w:r>
      <w:r w:rsidRPr="008C05B9">
        <w:rPr>
          <w:rFonts w:cs="Times New Roman"/>
        </w:rPr>
        <w:t>Toes II and II</w:t>
      </w:r>
      <w:r>
        <w:rPr>
          <w:rFonts w:cs="Times New Roman"/>
        </w:rPr>
        <w:t xml:space="preserve">I and Toes III and IV (coded from zero to </w:t>
      </w:r>
      <w:r w:rsidRPr="002D324E">
        <w:rPr>
          <w:rFonts w:cs="Times New Roman"/>
        </w:rPr>
        <w:t>five</w:t>
      </w:r>
      <w:r>
        <w:rPr>
          <w:rFonts w:cs="Times New Roman"/>
        </w:rPr>
        <w:t xml:space="preserve"> with zero being no webbing and five being webbing between entirety of digits); </w:t>
      </w:r>
      <w:r w:rsidRPr="00E7423F">
        <w:rPr>
          <w:rFonts w:cs="Times New Roman"/>
        </w:rPr>
        <w:t xml:space="preserve">and body coloration in preservative and life when photos </w:t>
      </w:r>
      <w:r>
        <w:rPr>
          <w:rFonts w:cs="Times New Roman"/>
        </w:rPr>
        <w:t>we</w:t>
      </w:r>
      <w:r w:rsidRPr="00E7423F">
        <w:rPr>
          <w:rFonts w:cs="Times New Roman"/>
        </w:rPr>
        <w:t>re available. To maximize utility and comparability of color descriptions, we use color terminology and referenced codes from Köhler (2012).</w:t>
      </w:r>
    </w:p>
    <w:p w14:paraId="20EEEE1F" w14:textId="77777777" w:rsidR="00F6339D" w:rsidRDefault="00F6339D" w:rsidP="00F6339D">
      <w:pPr>
        <w:spacing w:line="480" w:lineRule="auto"/>
        <w:ind w:firstLine="360"/>
        <w:jc w:val="center"/>
        <w:rPr>
          <w:rFonts w:cs="Times New Roman"/>
        </w:rPr>
      </w:pPr>
    </w:p>
    <w:p w14:paraId="0931F0AF" w14:textId="77777777" w:rsidR="00F6339D" w:rsidRDefault="00F6339D" w:rsidP="00F6339D">
      <w:pPr>
        <w:spacing w:line="480" w:lineRule="auto"/>
        <w:ind w:firstLine="360"/>
        <w:jc w:val="center"/>
        <w:rPr>
          <w:rFonts w:cs="Times New Roman"/>
        </w:rPr>
      </w:pPr>
      <w:r>
        <w:rPr>
          <w:rFonts w:cs="Times New Roman"/>
        </w:rPr>
        <w:t>Morphological Analyses</w:t>
      </w:r>
    </w:p>
    <w:p w14:paraId="5BEB1FBF" w14:textId="77777777" w:rsidR="00F6339D" w:rsidRDefault="00F6339D" w:rsidP="00F6339D">
      <w:pPr>
        <w:spacing w:line="480" w:lineRule="auto"/>
        <w:ind w:firstLine="360"/>
        <w:jc w:val="both"/>
        <w:rPr>
          <w:rFonts w:cs="Times New Roman"/>
        </w:rPr>
      </w:pPr>
      <w:r>
        <w:rPr>
          <w:rFonts w:cs="Times New Roman"/>
        </w:rPr>
        <w:t>We tested for sexual dimorphism within each species using Mann-Whitney U tests in R v. 3.6.2 (R Core Team 2019). For a single species comparison where no non-overlapping characters were identified, we used a</w:t>
      </w:r>
      <w:r w:rsidRPr="00E7423F">
        <w:rPr>
          <w:rFonts w:cs="Times New Roman"/>
        </w:rPr>
        <w:t xml:space="preserve"> principal component analysis </w:t>
      </w:r>
      <w:r>
        <w:rPr>
          <w:rFonts w:cs="Times New Roman"/>
        </w:rPr>
        <w:t>in R to differentiate species in morphospace. We followed this analysis with a series of Mann-Whitney U tests in R examining particular morphological measures to provide statistical backing for noted differences between lineages.</w:t>
      </w:r>
    </w:p>
    <w:p w14:paraId="662DC8BD" w14:textId="77777777" w:rsidR="00F6339D" w:rsidRDefault="00F6339D" w:rsidP="00F6339D">
      <w:pPr>
        <w:spacing w:line="480" w:lineRule="auto"/>
        <w:ind w:firstLine="360"/>
        <w:jc w:val="both"/>
        <w:rPr>
          <w:rFonts w:cs="Times New Roman"/>
        </w:rPr>
      </w:pPr>
    </w:p>
    <w:p w14:paraId="057AD926" w14:textId="77777777" w:rsidR="00F6339D" w:rsidRPr="00E70A15" w:rsidRDefault="00F6339D" w:rsidP="00F6339D">
      <w:pPr>
        <w:spacing w:line="480" w:lineRule="auto"/>
        <w:jc w:val="center"/>
        <w:rPr>
          <w:rFonts w:cs="Times New Roman"/>
          <w:iCs/>
        </w:rPr>
      </w:pPr>
      <w:r w:rsidRPr="00E70A15">
        <w:rPr>
          <w:rFonts w:cs="Times New Roman"/>
          <w:iCs/>
        </w:rPr>
        <w:t>Molecular Data</w:t>
      </w:r>
    </w:p>
    <w:p w14:paraId="54E93C27" w14:textId="77777777" w:rsidR="00F6339D" w:rsidRDefault="00F6339D" w:rsidP="00F6339D">
      <w:pPr>
        <w:spacing w:line="480" w:lineRule="auto"/>
        <w:ind w:firstLine="360"/>
        <w:rPr>
          <w:rFonts w:cs="Times New Roman"/>
        </w:rPr>
      </w:pPr>
      <w:r w:rsidRPr="00202E42">
        <w:rPr>
          <w:rFonts w:cs="Times New Roman"/>
        </w:rPr>
        <w:t>We extracted genomic DNA from liver sample</w:t>
      </w:r>
      <w:r>
        <w:rPr>
          <w:rFonts w:cs="Times New Roman"/>
        </w:rPr>
        <w:t>s</w:t>
      </w:r>
      <w:r w:rsidRPr="00202E42">
        <w:rPr>
          <w:rFonts w:cs="Times New Roman"/>
        </w:rPr>
        <w:t xml:space="preserve"> of </w:t>
      </w:r>
      <w:r>
        <w:rPr>
          <w:rFonts w:cs="Times New Roman"/>
        </w:rPr>
        <w:t xml:space="preserve">five </w:t>
      </w:r>
      <w:r>
        <w:rPr>
          <w:rFonts w:cs="Times New Roman"/>
          <w:i/>
        </w:rPr>
        <w:t>Lepidodactylus</w:t>
      </w:r>
      <w:r>
        <w:rPr>
          <w:rFonts w:cs="Times New Roman"/>
        </w:rPr>
        <w:t xml:space="preserve"> specimens via high salt extraction (</w:t>
      </w:r>
      <w:r w:rsidRPr="00217E95">
        <w:rPr>
          <w:rFonts w:cs="Times New Roman"/>
        </w:rPr>
        <w:t>KU</w:t>
      </w:r>
      <w:r>
        <w:rPr>
          <w:rFonts w:cs="Times New Roman"/>
        </w:rPr>
        <w:t xml:space="preserve"> </w:t>
      </w:r>
      <w:r w:rsidRPr="00217E95">
        <w:rPr>
          <w:rFonts w:cs="Times New Roman"/>
        </w:rPr>
        <w:t>331651</w:t>
      </w:r>
      <w:r>
        <w:rPr>
          <w:rFonts w:cs="Times New Roman"/>
        </w:rPr>
        <w:t xml:space="preserve">, </w:t>
      </w:r>
      <w:r w:rsidRPr="00E516E2">
        <w:rPr>
          <w:rFonts w:cs="Times New Roman"/>
        </w:rPr>
        <w:t>OMNH 46003, OMNH 44645</w:t>
      </w:r>
      <w:r>
        <w:rPr>
          <w:rFonts w:cs="Times New Roman"/>
        </w:rPr>
        <w:t>,</w:t>
      </w:r>
      <w:r w:rsidRPr="00217E95">
        <w:t xml:space="preserve"> </w:t>
      </w:r>
      <w:r w:rsidRPr="00041C92">
        <w:t xml:space="preserve">PNM </w:t>
      </w:r>
      <w:r w:rsidRPr="00E516E2">
        <w:t>9874</w:t>
      </w:r>
      <w:r w:rsidRPr="00E516E2">
        <w:rPr>
          <w:rFonts w:cs="Times New Roman"/>
        </w:rPr>
        <w:t xml:space="preserve">, </w:t>
      </w:r>
      <w:r w:rsidRPr="00E516E2">
        <w:t>PNM 9875</w:t>
      </w:r>
      <w:r w:rsidRPr="00E516E2">
        <w:rPr>
          <w:rFonts w:cs="Times New Roman"/>
        </w:rPr>
        <w:t>).</w:t>
      </w:r>
      <w:r>
        <w:rPr>
          <w:rFonts w:cs="Times New Roman"/>
        </w:rPr>
        <w:t xml:space="preserve"> We amplified and</w:t>
      </w:r>
      <w:r w:rsidRPr="00202E42">
        <w:rPr>
          <w:rFonts w:cs="Times New Roman"/>
        </w:rPr>
        <w:t xml:space="preserve"> sequenced</w:t>
      </w:r>
      <w:r>
        <w:rPr>
          <w:rFonts w:cs="Times New Roman"/>
        </w:rPr>
        <w:t xml:space="preserve"> a</w:t>
      </w:r>
      <w:r w:rsidRPr="00202E42">
        <w:rPr>
          <w:rFonts w:cs="Times New Roman"/>
        </w:rPr>
        <w:t xml:space="preserve"> fragment of mitochondrial (mt) DNA </w:t>
      </w:r>
      <w:r>
        <w:rPr>
          <w:rFonts w:cs="Times New Roman"/>
        </w:rPr>
        <w:t>using the Metf6 and CO1H primers from</w:t>
      </w:r>
      <w:r w:rsidRPr="00202E42">
        <w:rPr>
          <w:rFonts w:cs="Times New Roman"/>
        </w:rPr>
        <w:t xml:space="preserve"> </w:t>
      </w:r>
      <w:r w:rsidRPr="00BB5073">
        <w:rPr>
          <w:rFonts w:cs="Times New Roman"/>
        </w:rPr>
        <w:t>Macey et al. (</w:t>
      </w:r>
      <w:r>
        <w:rPr>
          <w:rFonts w:cs="Times New Roman"/>
        </w:rPr>
        <w:t>1999</w:t>
      </w:r>
      <w:r w:rsidRPr="00BB5073">
        <w:rPr>
          <w:rFonts w:cs="Times New Roman"/>
        </w:rPr>
        <w:t>)</w:t>
      </w:r>
      <w:r>
        <w:rPr>
          <w:rFonts w:cs="Times New Roman"/>
        </w:rPr>
        <w:t xml:space="preserve"> and PCR protocol from Welton et al. (2010a)</w:t>
      </w:r>
      <w:r w:rsidRPr="00BB5073">
        <w:rPr>
          <w:rFonts w:cs="Times New Roman"/>
        </w:rPr>
        <w:t xml:space="preserve">. </w:t>
      </w:r>
      <w:r>
        <w:rPr>
          <w:rFonts w:cs="Times New Roman"/>
        </w:rPr>
        <w:t>Once sequenced, we trimmed the a</w:t>
      </w:r>
      <w:r w:rsidRPr="00202E42">
        <w:rPr>
          <w:rFonts w:cs="Times New Roman"/>
        </w:rPr>
        <w:t xml:space="preserve">mplified region </w:t>
      </w:r>
      <w:r>
        <w:rPr>
          <w:rFonts w:cs="Times New Roman"/>
        </w:rPr>
        <w:t xml:space="preserve">to 1,038 bp to encompass the </w:t>
      </w:r>
      <w:r w:rsidRPr="00202E42">
        <w:rPr>
          <w:rFonts w:cs="Times New Roman"/>
        </w:rPr>
        <w:t>NADH dehydrogenase subunit 2 (ND2) gene</w:t>
      </w:r>
      <w:r>
        <w:rPr>
          <w:rFonts w:cs="Times New Roman"/>
        </w:rPr>
        <w:t xml:space="preserve"> coding region only</w:t>
      </w:r>
      <w:r w:rsidRPr="00202E42">
        <w:rPr>
          <w:rFonts w:cs="Times New Roman"/>
        </w:rPr>
        <w:t xml:space="preserve">. </w:t>
      </w:r>
      <w:r>
        <w:rPr>
          <w:rFonts w:cs="Times New Roman"/>
        </w:rPr>
        <w:t>R</w:t>
      </w:r>
      <w:r w:rsidRPr="00202E42">
        <w:rPr>
          <w:rFonts w:cs="Times New Roman"/>
        </w:rPr>
        <w:t>esulting sequence</w:t>
      </w:r>
      <w:r>
        <w:rPr>
          <w:rFonts w:cs="Times New Roman"/>
        </w:rPr>
        <w:t>s</w:t>
      </w:r>
      <w:r w:rsidRPr="00202E42">
        <w:rPr>
          <w:rFonts w:cs="Times New Roman"/>
        </w:rPr>
        <w:t xml:space="preserve"> w</w:t>
      </w:r>
      <w:r>
        <w:rPr>
          <w:rFonts w:cs="Times New Roman"/>
        </w:rPr>
        <w:t>ere</w:t>
      </w:r>
      <w:r w:rsidRPr="00202E42">
        <w:rPr>
          <w:rFonts w:cs="Times New Roman"/>
        </w:rPr>
        <w:t xml:space="preserve"> deposited in GenBank </w:t>
      </w:r>
      <w:r w:rsidRPr="006E4887">
        <w:rPr>
          <w:rFonts w:cs="Times New Roman"/>
        </w:rPr>
        <w:t>(</w:t>
      </w:r>
      <w:r w:rsidRPr="008F309B">
        <w:rPr>
          <w:rFonts w:cs="Times New Roman"/>
        </w:rPr>
        <w:t xml:space="preserve">Accession Numbers: </w:t>
      </w:r>
      <w:r w:rsidRPr="001831CE">
        <w:rPr>
          <w:rFonts w:cs="Times New Roman"/>
        </w:rPr>
        <w:t>MW234407</w:t>
      </w:r>
      <w:r>
        <w:rPr>
          <w:rFonts w:cs="Times New Roman"/>
        </w:rPr>
        <w:t>–11</w:t>
      </w:r>
      <w:r w:rsidRPr="001F295A">
        <w:rPr>
          <w:rFonts w:cs="Times New Roman"/>
        </w:rPr>
        <w:t>).</w:t>
      </w:r>
    </w:p>
    <w:p w14:paraId="12B58A99" w14:textId="77777777" w:rsidR="00F6339D" w:rsidRDefault="00F6339D" w:rsidP="00F6339D">
      <w:pPr>
        <w:spacing w:line="480" w:lineRule="auto"/>
        <w:ind w:firstLine="360"/>
        <w:rPr>
          <w:rFonts w:cs="Times New Roman"/>
        </w:rPr>
      </w:pPr>
    </w:p>
    <w:p w14:paraId="5992CEAC" w14:textId="77777777" w:rsidR="00F6339D" w:rsidRDefault="00F6339D" w:rsidP="00F6339D">
      <w:pPr>
        <w:spacing w:line="480" w:lineRule="auto"/>
        <w:ind w:firstLine="360"/>
        <w:jc w:val="center"/>
        <w:rPr>
          <w:rFonts w:cs="Times New Roman"/>
        </w:rPr>
      </w:pPr>
      <w:r>
        <w:rPr>
          <w:rFonts w:cs="Times New Roman"/>
        </w:rPr>
        <w:t>Phylogenetic Analyses</w:t>
      </w:r>
    </w:p>
    <w:p w14:paraId="700F7413" w14:textId="77777777" w:rsidR="00F6339D" w:rsidRDefault="00F6339D" w:rsidP="00F6339D">
      <w:pPr>
        <w:spacing w:line="480" w:lineRule="auto"/>
        <w:ind w:firstLine="360"/>
        <w:rPr>
          <w:rFonts w:cs="Times New Roman"/>
        </w:rPr>
      </w:pPr>
      <w:r w:rsidRPr="00202E42">
        <w:rPr>
          <w:rFonts w:cs="Times New Roman"/>
        </w:rPr>
        <w:t xml:space="preserve">We </w:t>
      </w:r>
      <w:r>
        <w:rPr>
          <w:rFonts w:cs="Times New Roman"/>
        </w:rPr>
        <w:t xml:space="preserve">used 61 additional gekkonid ND2 sequences from Oliver et al. (2018) representing six described Philippine </w:t>
      </w:r>
      <w:r>
        <w:rPr>
          <w:rFonts w:cs="Times New Roman"/>
          <w:i/>
        </w:rPr>
        <w:t>Lepidodactylus</w:t>
      </w:r>
      <w:r>
        <w:t xml:space="preserve"> species, all putative lineages suggested in Oliver et al. (2018), and sequences from </w:t>
      </w:r>
      <w:r>
        <w:rPr>
          <w:i/>
        </w:rPr>
        <w:t>Pseudogekko brevipes</w:t>
      </w:r>
      <w:r>
        <w:t xml:space="preserve">, </w:t>
      </w:r>
      <w:r>
        <w:rPr>
          <w:i/>
        </w:rPr>
        <w:t>Lepidodactylus guppyi</w:t>
      </w:r>
      <w:r>
        <w:t xml:space="preserve">, and </w:t>
      </w:r>
      <w:r>
        <w:rPr>
          <w:i/>
        </w:rPr>
        <w:t>Gekko mindorensis</w:t>
      </w:r>
      <w:r>
        <w:rPr>
          <w:rFonts w:cs="Times New Roman"/>
        </w:rPr>
        <w:t xml:space="preserve"> </w:t>
      </w:r>
      <w:r w:rsidRPr="00202E42">
        <w:rPr>
          <w:rFonts w:cs="Times New Roman"/>
        </w:rPr>
        <w:t>as outgroup</w:t>
      </w:r>
      <w:r>
        <w:rPr>
          <w:rFonts w:cs="Times New Roman"/>
        </w:rPr>
        <w:t>s</w:t>
      </w:r>
      <w:r w:rsidRPr="00202E42">
        <w:rPr>
          <w:rFonts w:cs="Times New Roman"/>
        </w:rPr>
        <w:t xml:space="preserve"> following higher</w:t>
      </w:r>
      <w:r>
        <w:rPr>
          <w:rFonts w:cs="Times New Roman"/>
        </w:rPr>
        <w:t>-</w:t>
      </w:r>
      <w:r w:rsidRPr="00202E42">
        <w:rPr>
          <w:rFonts w:cs="Times New Roman"/>
        </w:rPr>
        <w:t>level phylogenetic studies of gekkonid diversity (Heinicke et al. 201</w:t>
      </w:r>
      <w:r>
        <w:rPr>
          <w:rFonts w:cs="Times New Roman"/>
        </w:rPr>
        <w:t>2</w:t>
      </w:r>
      <w:r w:rsidRPr="00202E42">
        <w:rPr>
          <w:rFonts w:cs="Times New Roman"/>
        </w:rPr>
        <w:t xml:space="preserve">; </w:t>
      </w:r>
      <w:r>
        <w:rPr>
          <w:rFonts w:cs="Times New Roman"/>
        </w:rPr>
        <w:t>Siler et al. 2014b; Oliver et al. 2018</w:t>
      </w:r>
      <w:r w:rsidRPr="00202E42">
        <w:rPr>
          <w:rFonts w:cs="Times New Roman"/>
        </w:rPr>
        <w:t>).</w:t>
      </w:r>
      <w:r>
        <w:rPr>
          <w:rFonts w:cs="Times New Roman"/>
        </w:rPr>
        <w:t xml:space="preserve"> We trimmed all 65 total sequences to the same 1,038 bp sequence length and aligned all sequences using default parameters in MUSCLE (Edgar 20</w:t>
      </w:r>
      <w:r>
        <w:t xml:space="preserve">04). To identify the best-fitting model of sequence evolution for each codon position of the ND2 gene we used </w:t>
      </w:r>
      <w:r w:rsidRPr="00E35CF7">
        <w:rPr>
          <w:rFonts w:cs="Times New Roman"/>
          <w:bCs/>
        </w:rPr>
        <w:t>Akaike information criterion</w:t>
      </w:r>
      <w:r>
        <w:rPr>
          <w:rFonts w:cs="Times New Roman"/>
          <w:bCs/>
        </w:rPr>
        <w:t xml:space="preserve"> (AIC) in jModelTest v. 2.1.10 (Posada 2008). </w:t>
      </w:r>
      <w:r w:rsidRPr="00202E42">
        <w:rPr>
          <w:rFonts w:cs="Times New Roman"/>
        </w:rPr>
        <w:t xml:space="preserve">The </w:t>
      </w:r>
      <w:r>
        <w:rPr>
          <w:rFonts w:cs="Times New Roman"/>
        </w:rPr>
        <w:t>model GTR +</w:t>
      </w:r>
      <w:r w:rsidRPr="00E35CF7">
        <w:rPr>
          <w:rFonts w:cs="Times New Roman"/>
        </w:rPr>
        <w:t xml:space="preserve"> </w:t>
      </w:r>
      <w:r w:rsidRPr="00202E42">
        <w:rPr>
          <w:rFonts w:cs="Times New Roman"/>
        </w:rPr>
        <w:t>Γ</w:t>
      </w:r>
      <w:r>
        <w:rPr>
          <w:rFonts w:cs="Times New Roman"/>
        </w:rPr>
        <w:t xml:space="preserve"> was selected for each codon position.</w:t>
      </w:r>
      <w:r>
        <w:rPr>
          <w:rFonts w:cs="Times New Roman"/>
          <w:bCs/>
        </w:rPr>
        <w:t xml:space="preserve"> We used </w:t>
      </w:r>
      <w:r w:rsidRPr="00202E42">
        <w:rPr>
          <w:rFonts w:cs="Times New Roman"/>
        </w:rPr>
        <w:t>MrBayes v. 3.2.6 (Ronquist et al. 2012) on the Cyberinfrastructure for Phylogenetic Research (CIPRES) Science Gateway v. 3.3 (Miller et al. 2010)</w:t>
      </w:r>
      <w:r>
        <w:rPr>
          <w:rFonts w:cs="Times New Roman"/>
        </w:rPr>
        <w:t xml:space="preserve"> to perform p</w:t>
      </w:r>
      <w:r w:rsidRPr="00202E42">
        <w:rPr>
          <w:rFonts w:cs="Times New Roman"/>
        </w:rPr>
        <w:t xml:space="preserve">artitioned Bayesian phylogenetic analyses. </w:t>
      </w:r>
      <w:r>
        <w:rPr>
          <w:rFonts w:cs="Times New Roman"/>
        </w:rPr>
        <w:t>Two</w:t>
      </w:r>
      <w:r w:rsidRPr="00202E42">
        <w:rPr>
          <w:rFonts w:cs="Times New Roman"/>
        </w:rPr>
        <w:t xml:space="preserve"> independent </w:t>
      </w:r>
      <w:r>
        <w:rPr>
          <w:rFonts w:cs="Times New Roman"/>
        </w:rPr>
        <w:t>runs</w:t>
      </w:r>
      <w:r w:rsidRPr="00202E42">
        <w:rPr>
          <w:rFonts w:cs="Times New Roman"/>
        </w:rPr>
        <w:t xml:space="preserve"> were performed</w:t>
      </w:r>
      <w:r>
        <w:rPr>
          <w:rFonts w:cs="Times New Roman"/>
        </w:rPr>
        <w:t xml:space="preserve"> </w:t>
      </w:r>
      <w:r w:rsidRPr="00202E42">
        <w:rPr>
          <w:rFonts w:cs="Times New Roman"/>
        </w:rPr>
        <w:t xml:space="preserve">for </w:t>
      </w:r>
      <w:r>
        <w:rPr>
          <w:rFonts w:cs="Times New Roman"/>
        </w:rPr>
        <w:t>3</w:t>
      </w:r>
      <w:r w:rsidRPr="00202E42">
        <w:rPr>
          <w:rFonts w:cs="Times New Roman"/>
        </w:rPr>
        <w:t xml:space="preserve">0 million generations, </w:t>
      </w:r>
      <w:r>
        <w:rPr>
          <w:rFonts w:cs="Times New Roman"/>
        </w:rPr>
        <w:t>both</w:t>
      </w:r>
      <w:r w:rsidRPr="00202E42">
        <w:rPr>
          <w:rFonts w:cs="Times New Roman"/>
        </w:rPr>
        <w:t xml:space="preserve"> with four chains </w:t>
      </w:r>
      <w:r>
        <w:rPr>
          <w:rFonts w:cs="Times New Roman"/>
        </w:rPr>
        <w:t xml:space="preserve">and </w:t>
      </w:r>
      <w:r w:rsidRPr="00202E42">
        <w:rPr>
          <w:rFonts w:cs="Times New Roman"/>
        </w:rPr>
        <w:t>default priors</w:t>
      </w:r>
      <w:r>
        <w:rPr>
          <w:rFonts w:cs="Times New Roman"/>
        </w:rPr>
        <w:t xml:space="preserve"> and a</w:t>
      </w:r>
      <w:r w:rsidRPr="00202E42">
        <w:rPr>
          <w:rFonts w:cs="Times New Roman"/>
        </w:rPr>
        <w:t xml:space="preserve"> chain temperature set to 0.</w:t>
      </w:r>
      <w:r>
        <w:rPr>
          <w:rFonts w:cs="Times New Roman"/>
        </w:rPr>
        <w:t>2. T</w:t>
      </w:r>
      <w:r w:rsidRPr="00202E42">
        <w:rPr>
          <w:rFonts w:cs="Times New Roman"/>
        </w:rPr>
        <w:t xml:space="preserve">rees </w:t>
      </w:r>
      <w:r>
        <w:rPr>
          <w:rFonts w:cs="Times New Roman"/>
        </w:rPr>
        <w:t>were sampled</w:t>
      </w:r>
      <w:r w:rsidRPr="00202E42">
        <w:rPr>
          <w:rFonts w:cs="Times New Roman"/>
        </w:rPr>
        <w:t xml:space="preserve"> every </w:t>
      </w:r>
      <w:r>
        <w:rPr>
          <w:rFonts w:cs="Times New Roman"/>
        </w:rPr>
        <w:t>3</w:t>
      </w:r>
      <w:r w:rsidRPr="00202E42">
        <w:rPr>
          <w:rFonts w:cs="Times New Roman"/>
        </w:rPr>
        <w:t>,000 generations and the first 25% of trees discarded as ‘burn</w:t>
      </w:r>
      <w:r>
        <w:rPr>
          <w:rFonts w:cs="Times New Roman"/>
        </w:rPr>
        <w:t>-</w:t>
      </w:r>
      <w:r w:rsidRPr="00202E42">
        <w:rPr>
          <w:rFonts w:cs="Times New Roman"/>
        </w:rPr>
        <w:t>in</w:t>
      </w:r>
      <w:r>
        <w:rPr>
          <w:rFonts w:cs="Times New Roman"/>
        </w:rPr>
        <w:t>.</w:t>
      </w:r>
      <w:r w:rsidRPr="00202E42">
        <w:rPr>
          <w:rFonts w:cs="Times New Roman"/>
        </w:rPr>
        <w:t xml:space="preserve">’ </w:t>
      </w:r>
      <w:r>
        <w:rPr>
          <w:rFonts w:cs="Times New Roman"/>
        </w:rPr>
        <w:t xml:space="preserve">We viewed the </w:t>
      </w:r>
      <w:r w:rsidRPr="00202E42">
        <w:rPr>
          <w:rFonts w:cs="Times New Roman"/>
        </w:rPr>
        <w:t>resulting trace plots using Tracer v. 1.6 (Rambaut et al. 2014</w:t>
      </w:r>
      <w:r>
        <w:rPr>
          <w:rFonts w:cs="Times New Roman"/>
        </w:rPr>
        <w:t>) to confirm stationarity</w:t>
      </w:r>
      <w:r w:rsidRPr="00202E42">
        <w:rPr>
          <w:rFonts w:cs="Times New Roman"/>
        </w:rPr>
        <w:t xml:space="preserve">. </w:t>
      </w:r>
      <w:r>
        <w:rPr>
          <w:rFonts w:cs="Times New Roman"/>
        </w:rPr>
        <w:t>N</w:t>
      </w:r>
      <w:r w:rsidRPr="00202E42">
        <w:rPr>
          <w:rFonts w:cs="Times New Roman"/>
        </w:rPr>
        <w:t xml:space="preserve">odes with posterior probabilities ≥0.95 we considered to have strong statistical support (Erixon et al. 2003). </w:t>
      </w:r>
      <w:bookmarkStart w:id="8" w:name="_Hlk50728539"/>
      <w:bookmarkStart w:id="9" w:name="_Hlk50725671"/>
      <w:r>
        <w:rPr>
          <w:rFonts w:cs="Times New Roman"/>
        </w:rPr>
        <w:t xml:space="preserve">To support the Bayesian phylogenetic approach, we also used the </w:t>
      </w:r>
      <w:r w:rsidRPr="008E3934">
        <w:rPr>
          <w:rFonts w:cs="Times New Roman"/>
        </w:rPr>
        <w:t>Poisson Tree Processes (PTP) model</w:t>
      </w:r>
      <w:r>
        <w:rPr>
          <w:rFonts w:cs="Times New Roman"/>
        </w:rPr>
        <w:t xml:space="preserve"> to generate an additional tree modeling potential species delimitations (Zhang et al. 2013). </w:t>
      </w:r>
      <w:bookmarkStart w:id="10" w:name="_Hlk50729070"/>
      <w:bookmarkEnd w:id="8"/>
      <w:r>
        <w:rPr>
          <w:rFonts w:cs="Times New Roman"/>
        </w:rPr>
        <w:t xml:space="preserve">This tree was generated using default parameters with outgroups removed. </w:t>
      </w:r>
      <w:bookmarkEnd w:id="10"/>
      <w:r>
        <w:rPr>
          <w:rFonts w:cs="Times New Roman"/>
        </w:rPr>
        <w:t xml:space="preserve">We </w:t>
      </w:r>
      <w:bookmarkEnd w:id="9"/>
      <w:r>
        <w:rPr>
          <w:rFonts w:cs="Times New Roman"/>
        </w:rPr>
        <w:t>calculated</w:t>
      </w:r>
      <w:r w:rsidRPr="00202E42">
        <w:rPr>
          <w:rFonts w:cs="Times New Roman"/>
        </w:rPr>
        <w:t xml:space="preserve"> </w:t>
      </w:r>
      <w:r>
        <w:rPr>
          <w:rFonts w:cs="Times New Roman"/>
        </w:rPr>
        <w:t>u</w:t>
      </w:r>
      <w:r w:rsidRPr="00202E42">
        <w:rPr>
          <w:rFonts w:cs="Times New Roman"/>
        </w:rPr>
        <w:t>ncorrected pairwise distances (p</w:t>
      </w:r>
      <w:r>
        <w:rPr>
          <w:rFonts w:cs="Times New Roman"/>
        </w:rPr>
        <w:t>-</w:t>
      </w:r>
      <w:r w:rsidRPr="00202E42">
        <w:rPr>
          <w:rFonts w:cs="Times New Roman"/>
        </w:rPr>
        <w:t>distance) using PAUP* v. 4.0</w:t>
      </w:r>
      <w:r>
        <w:rPr>
          <w:rFonts w:cs="Times New Roman"/>
        </w:rPr>
        <w:t>a</w:t>
      </w:r>
      <w:r w:rsidRPr="00202E42">
        <w:rPr>
          <w:rFonts w:cs="Times New Roman"/>
        </w:rPr>
        <w:t xml:space="preserve"> (Swofford 2002).</w:t>
      </w:r>
      <w:r>
        <w:rPr>
          <w:rFonts w:cs="Times New Roman"/>
        </w:rPr>
        <w:t xml:space="preserve"> </w:t>
      </w:r>
    </w:p>
    <w:p w14:paraId="1BE4E3B5" w14:textId="77777777" w:rsidR="00F6339D" w:rsidRPr="00E7423F" w:rsidRDefault="00F6339D" w:rsidP="00F6339D">
      <w:pPr>
        <w:spacing w:line="480" w:lineRule="auto"/>
        <w:rPr>
          <w:rFonts w:cs="Times New Roman"/>
        </w:rPr>
      </w:pPr>
    </w:p>
    <w:p w14:paraId="37005253" w14:textId="77777777" w:rsidR="00F6339D" w:rsidRPr="001269AA" w:rsidRDefault="00F6339D" w:rsidP="00F6339D">
      <w:pPr>
        <w:spacing w:line="480" w:lineRule="auto"/>
        <w:jc w:val="center"/>
        <w:rPr>
          <w:rFonts w:cs="Times New Roman"/>
          <w:iCs/>
        </w:rPr>
      </w:pPr>
      <w:r w:rsidRPr="001269AA">
        <w:rPr>
          <w:rFonts w:cs="Times New Roman"/>
          <w:iCs/>
        </w:rPr>
        <w:t>Species Concept</w:t>
      </w:r>
    </w:p>
    <w:p w14:paraId="2262FD24" w14:textId="77777777" w:rsidR="00F6339D" w:rsidRPr="00796F5E" w:rsidRDefault="00F6339D" w:rsidP="00F6339D">
      <w:pPr>
        <w:spacing w:line="480" w:lineRule="auto"/>
        <w:ind w:firstLine="360"/>
        <w:rPr>
          <w:rFonts w:cs="Times New Roman"/>
        </w:rPr>
      </w:pPr>
      <w:r>
        <w:rPr>
          <w:rFonts w:cs="Times New Roman"/>
        </w:rPr>
        <w:t>Like</w:t>
      </w:r>
      <w:r w:rsidRPr="00E7423F">
        <w:rPr>
          <w:rFonts w:cs="Times New Roman"/>
        </w:rPr>
        <w:t xml:space="preserve"> </w:t>
      </w:r>
      <w:r>
        <w:rPr>
          <w:rFonts w:cs="Times New Roman"/>
        </w:rPr>
        <w:t>many recent</w:t>
      </w:r>
      <w:r w:rsidRPr="00E7423F">
        <w:rPr>
          <w:rFonts w:cs="Times New Roman"/>
        </w:rPr>
        <w:t xml:space="preserve"> taxonomic revisions of gekkonids in the Philippines (see Siler </w:t>
      </w:r>
      <w:r>
        <w:rPr>
          <w:rFonts w:cs="Times New Roman"/>
        </w:rPr>
        <w:t>et al.</w:t>
      </w:r>
      <w:r w:rsidRPr="00E7423F">
        <w:rPr>
          <w:rFonts w:cs="Times New Roman"/>
        </w:rPr>
        <w:t xml:space="preserve"> 2014a), we recognize the General Lineage Concept (de Queiroz 1998) as a continuation of the Evolutionary Species Concept (Simpson 1951; Simpson 1961; Wiley 1978). We consider lineages as distinct species based on a combination of diagnostic morphological characters, genetic distances, and </w:t>
      </w:r>
      <w:r>
        <w:rPr>
          <w:rFonts w:cs="Times New Roman"/>
        </w:rPr>
        <w:t>in some cases, insular allopatry</w:t>
      </w:r>
      <w:r w:rsidRPr="00E7423F">
        <w:rPr>
          <w:rFonts w:cs="Times New Roman"/>
        </w:rPr>
        <w:t xml:space="preserve">. Here, we have collected an extensive morphological dataset that includes representatives from all described Philippine </w:t>
      </w:r>
      <w:r w:rsidRPr="00E7423F">
        <w:rPr>
          <w:rFonts w:cs="Times New Roman"/>
          <w:i/>
        </w:rPr>
        <w:t>Lepidodactylus</w:t>
      </w:r>
      <w:r w:rsidRPr="00E7423F">
        <w:rPr>
          <w:rFonts w:cs="Times New Roman"/>
        </w:rPr>
        <w:t xml:space="preserve"> and use </w:t>
      </w:r>
      <w:r>
        <w:rPr>
          <w:rFonts w:cs="Times New Roman"/>
        </w:rPr>
        <w:t xml:space="preserve">these </w:t>
      </w:r>
      <w:r w:rsidRPr="00E7423F">
        <w:rPr>
          <w:rFonts w:cs="Times New Roman"/>
        </w:rPr>
        <w:t xml:space="preserve">data in combination with phylogenetic </w:t>
      </w:r>
      <w:r>
        <w:rPr>
          <w:rFonts w:cs="Times New Roman"/>
        </w:rPr>
        <w:t>estimates</w:t>
      </w:r>
      <w:r w:rsidRPr="00E7423F">
        <w:rPr>
          <w:rFonts w:cs="Times New Roman"/>
        </w:rPr>
        <w:t xml:space="preserve"> (Oliver </w:t>
      </w:r>
      <w:r>
        <w:rPr>
          <w:rFonts w:cs="Times New Roman"/>
        </w:rPr>
        <w:t>et al.</w:t>
      </w:r>
      <w:r w:rsidRPr="00E7423F">
        <w:rPr>
          <w:rFonts w:cs="Times New Roman"/>
        </w:rPr>
        <w:t xml:space="preserve"> 2018) to recognize </w:t>
      </w:r>
      <w:r>
        <w:rPr>
          <w:rFonts w:cs="Times New Roman"/>
        </w:rPr>
        <w:t>only diagnosable</w:t>
      </w:r>
      <w:r w:rsidRPr="00E7423F">
        <w:rPr>
          <w:rFonts w:cs="Times New Roman"/>
        </w:rPr>
        <w:t xml:space="preserve"> species of </w:t>
      </w:r>
      <w:r>
        <w:rPr>
          <w:rFonts w:cs="Times New Roman"/>
        </w:rPr>
        <w:t>S</w:t>
      </w:r>
      <w:r w:rsidRPr="00E7423F">
        <w:rPr>
          <w:rFonts w:cs="Times New Roman"/>
        </w:rPr>
        <w:t>caly</w:t>
      </w:r>
      <w:r>
        <w:rPr>
          <w:rFonts w:cs="Times New Roman"/>
        </w:rPr>
        <w:t>-t</w:t>
      </w:r>
      <w:r w:rsidRPr="00E7423F">
        <w:rPr>
          <w:rFonts w:cs="Times New Roman"/>
        </w:rPr>
        <w:t xml:space="preserve">oed </w:t>
      </w:r>
      <w:r>
        <w:rPr>
          <w:rFonts w:cs="Times New Roman"/>
        </w:rPr>
        <w:t>G</w:t>
      </w:r>
      <w:r w:rsidRPr="00E7423F">
        <w:rPr>
          <w:rFonts w:cs="Times New Roman"/>
        </w:rPr>
        <w:t xml:space="preserve">eckos </w:t>
      </w:r>
      <w:r>
        <w:rPr>
          <w:rFonts w:cs="Times New Roman"/>
        </w:rPr>
        <w:t>of</w:t>
      </w:r>
      <w:r w:rsidRPr="00E7423F">
        <w:rPr>
          <w:rFonts w:cs="Times New Roman"/>
        </w:rPr>
        <w:t xml:space="preserve"> the </w:t>
      </w:r>
      <w:r>
        <w:rPr>
          <w:rFonts w:cs="Times New Roman"/>
          <w:i/>
        </w:rPr>
        <w:t>L</w:t>
      </w:r>
      <w:r>
        <w:rPr>
          <w:rFonts w:cs="Times New Roman"/>
        </w:rPr>
        <w:t xml:space="preserve">. </w:t>
      </w:r>
      <w:r>
        <w:rPr>
          <w:rFonts w:cs="Times New Roman"/>
          <w:i/>
        </w:rPr>
        <w:t>balioburius-</w:t>
      </w:r>
      <w:r w:rsidRPr="00E7423F">
        <w:rPr>
          <w:rFonts w:cs="Times New Roman"/>
          <w:i/>
        </w:rPr>
        <w:t>L</w:t>
      </w:r>
      <w:r w:rsidRPr="00E7423F">
        <w:rPr>
          <w:rFonts w:cs="Times New Roman"/>
        </w:rPr>
        <w:t xml:space="preserve">. </w:t>
      </w:r>
      <w:r w:rsidRPr="00E7423F">
        <w:rPr>
          <w:rFonts w:cs="Times New Roman"/>
          <w:i/>
        </w:rPr>
        <w:t>yami</w:t>
      </w:r>
      <w:r w:rsidRPr="00E7423F">
        <w:rPr>
          <w:rFonts w:cs="Times New Roman"/>
        </w:rPr>
        <w:t xml:space="preserve"> </w:t>
      </w:r>
      <w:r>
        <w:rPr>
          <w:rFonts w:cs="Times New Roman"/>
        </w:rPr>
        <w:t>clade</w:t>
      </w:r>
      <w:r w:rsidRPr="00E7423F">
        <w:rPr>
          <w:rFonts w:cs="Times New Roman"/>
        </w:rPr>
        <w:t>.</w:t>
      </w:r>
      <w:r>
        <w:rPr>
          <w:rFonts w:cs="Times New Roman"/>
        </w:rPr>
        <w:t xml:space="preserve"> Although additional phenotypic and genetic variation is apparent, we refrain from describing </w:t>
      </w:r>
      <w:r w:rsidRPr="00C530AA">
        <w:rPr>
          <w:rFonts w:cs="Times New Roman"/>
        </w:rPr>
        <w:t>new species wit</w:t>
      </w:r>
      <w:r>
        <w:rPr>
          <w:rFonts w:cs="Times New Roman"/>
        </w:rPr>
        <w:t>hout</w:t>
      </w:r>
      <w:r w:rsidRPr="00C530AA">
        <w:rPr>
          <w:rFonts w:cs="Times New Roman"/>
        </w:rPr>
        <w:t xml:space="preserve"> </w:t>
      </w:r>
      <w:r>
        <w:rPr>
          <w:rFonts w:cs="Times New Roman"/>
        </w:rPr>
        <w:t xml:space="preserve">agreement between </w:t>
      </w:r>
      <w:r w:rsidRPr="00C530AA">
        <w:rPr>
          <w:rFonts w:cs="Times New Roman"/>
        </w:rPr>
        <w:t xml:space="preserve">both morphological and molecular </w:t>
      </w:r>
      <w:r>
        <w:rPr>
          <w:rFonts w:cs="Times New Roman"/>
        </w:rPr>
        <w:t>data streams.</w:t>
      </w:r>
    </w:p>
    <w:p w14:paraId="4A961064" w14:textId="77777777" w:rsidR="00F6339D" w:rsidRPr="00E7423F" w:rsidRDefault="00F6339D" w:rsidP="00F6339D">
      <w:pPr>
        <w:spacing w:line="480" w:lineRule="auto"/>
        <w:rPr>
          <w:rFonts w:cs="Times New Roman"/>
        </w:rPr>
      </w:pPr>
    </w:p>
    <w:p w14:paraId="79FF9CA6" w14:textId="77777777" w:rsidR="00F6339D" w:rsidRPr="001269AA" w:rsidRDefault="00F6339D" w:rsidP="00F6339D">
      <w:pPr>
        <w:spacing w:line="480" w:lineRule="auto"/>
        <w:jc w:val="center"/>
        <w:rPr>
          <w:rFonts w:cs="Times New Roman"/>
          <w:bCs/>
          <w:smallCaps/>
        </w:rPr>
      </w:pPr>
      <w:r w:rsidRPr="001269AA">
        <w:rPr>
          <w:rFonts w:cs="Times New Roman"/>
          <w:bCs/>
          <w:smallCaps/>
        </w:rPr>
        <w:t>Results</w:t>
      </w:r>
    </w:p>
    <w:p w14:paraId="5E2981B7" w14:textId="77777777" w:rsidR="00F6339D" w:rsidRPr="00B731F6" w:rsidRDefault="00F6339D" w:rsidP="00F6339D">
      <w:pPr>
        <w:spacing w:line="480" w:lineRule="auto"/>
        <w:jc w:val="center"/>
        <w:rPr>
          <w:rFonts w:cs="Times New Roman"/>
          <w:iCs/>
        </w:rPr>
      </w:pPr>
      <w:r w:rsidRPr="001269AA">
        <w:rPr>
          <w:rFonts w:cs="Times New Roman"/>
          <w:iCs/>
        </w:rPr>
        <w:t>Morphology</w:t>
      </w:r>
    </w:p>
    <w:p w14:paraId="4895288F" w14:textId="2D426DBE" w:rsidR="00F6339D" w:rsidRDefault="00F6339D" w:rsidP="003E4841">
      <w:pPr>
        <w:spacing w:line="480" w:lineRule="auto"/>
        <w:ind w:firstLine="360"/>
        <w:rPr>
          <w:rFonts w:cs="Times New Roman"/>
        </w:rPr>
      </w:pPr>
      <w:r>
        <w:rPr>
          <w:rFonts w:cs="Times New Roman"/>
        </w:rPr>
        <w:t>Although</w:t>
      </w:r>
      <w:r w:rsidRPr="00E7423F">
        <w:rPr>
          <w:rFonts w:cs="Times New Roman"/>
        </w:rPr>
        <w:t xml:space="preserve"> we </w:t>
      </w:r>
      <w:r>
        <w:rPr>
          <w:rFonts w:cs="Times New Roman"/>
        </w:rPr>
        <w:t>acknowledge</w:t>
      </w:r>
      <w:r w:rsidRPr="00E7423F">
        <w:rPr>
          <w:rFonts w:cs="Times New Roman"/>
        </w:rPr>
        <w:t xml:space="preserve"> that sample sizes are low for three of the four species described in this study, we have examined large series (≥ </w:t>
      </w:r>
      <w:r>
        <w:rPr>
          <w:rFonts w:cs="Times New Roman"/>
        </w:rPr>
        <w:t>nine individuals</w:t>
      </w:r>
      <w:r w:rsidRPr="00E7423F">
        <w:rPr>
          <w:rFonts w:cs="Times New Roman"/>
        </w:rPr>
        <w:t xml:space="preserve">) of all described Philippine </w:t>
      </w:r>
      <w:r w:rsidRPr="00E7423F">
        <w:rPr>
          <w:rFonts w:cs="Times New Roman"/>
          <w:i/>
        </w:rPr>
        <w:t xml:space="preserve">Lepidodactylus </w:t>
      </w:r>
      <w:r w:rsidRPr="00E7423F">
        <w:rPr>
          <w:rFonts w:cs="Times New Roman"/>
        </w:rPr>
        <w:t xml:space="preserve">for comparative purposes. Each of the three lineages with </w:t>
      </w:r>
      <w:r>
        <w:rPr>
          <w:rFonts w:cs="Times New Roman"/>
        </w:rPr>
        <w:t xml:space="preserve">small </w:t>
      </w:r>
      <w:r w:rsidRPr="00E7423F">
        <w:rPr>
          <w:rFonts w:cs="Times New Roman"/>
        </w:rPr>
        <w:t>sample sizes are identified readily based on suite</w:t>
      </w:r>
      <w:r>
        <w:rPr>
          <w:rFonts w:cs="Times New Roman"/>
        </w:rPr>
        <w:t>s</w:t>
      </w:r>
      <w:r w:rsidRPr="00E7423F">
        <w:rPr>
          <w:rFonts w:cs="Times New Roman"/>
        </w:rPr>
        <w:t xml:space="preserve"> of multiple, nonoverlapping differences in meristic</w:t>
      </w:r>
      <w:r>
        <w:rPr>
          <w:rFonts w:cs="Times New Roman"/>
        </w:rPr>
        <w:t xml:space="preserve"> and</w:t>
      </w:r>
      <w:r w:rsidRPr="00E7423F">
        <w:rPr>
          <w:rFonts w:cs="Times New Roman"/>
        </w:rPr>
        <w:t xml:space="preserve"> mensura</w:t>
      </w:r>
      <w:r>
        <w:rPr>
          <w:rFonts w:cs="Times New Roman"/>
        </w:rPr>
        <w:t xml:space="preserve">l characters </w:t>
      </w:r>
      <w:r w:rsidRPr="00E7423F">
        <w:rPr>
          <w:rFonts w:cs="Times New Roman"/>
        </w:rPr>
        <w:t xml:space="preserve">from each other and all other known </w:t>
      </w:r>
      <w:r>
        <w:rPr>
          <w:rFonts w:cs="Times New Roman"/>
        </w:rPr>
        <w:t xml:space="preserve">Philippine </w:t>
      </w:r>
      <w:r w:rsidRPr="00E7423F">
        <w:rPr>
          <w:rFonts w:cs="Times New Roman"/>
        </w:rPr>
        <w:t>species (</w:t>
      </w:r>
      <w:r w:rsidRPr="004537CC">
        <w:rPr>
          <w:rFonts w:cs="Times New Roman"/>
        </w:rPr>
        <w:t>Tabl</w:t>
      </w:r>
      <w:r>
        <w:rPr>
          <w:rFonts w:cs="Times New Roman"/>
        </w:rPr>
        <w:t>e 1</w:t>
      </w:r>
      <w:r w:rsidRPr="00E7423F">
        <w:rPr>
          <w:rFonts w:cs="Times New Roman"/>
        </w:rPr>
        <w:t xml:space="preserve">). </w:t>
      </w:r>
      <w:r>
        <w:rPr>
          <w:rFonts w:cs="Times New Roman"/>
        </w:rPr>
        <w:t xml:space="preserve">No species examined in this study exhibited sexual dimorphism based on SVL. </w:t>
      </w:r>
      <w:r w:rsidRPr="00E7423F">
        <w:rPr>
          <w:rFonts w:cs="Times New Roman"/>
        </w:rPr>
        <w:t xml:space="preserve">One lineage </w:t>
      </w:r>
      <w:r>
        <w:rPr>
          <w:rFonts w:cs="Times New Roman"/>
        </w:rPr>
        <w:t xml:space="preserve">represented with an expansive sample size </w:t>
      </w:r>
      <w:r w:rsidRPr="00E7423F">
        <w:rPr>
          <w:rFonts w:cs="Times New Roman"/>
        </w:rPr>
        <w:t xml:space="preserve">from the Batanes Island chain can be separated from all Philippine species except </w:t>
      </w:r>
      <w:r w:rsidRPr="00E7423F">
        <w:rPr>
          <w:rFonts w:cs="Times New Roman"/>
          <w:i/>
        </w:rPr>
        <w:t>L</w:t>
      </w:r>
      <w:r w:rsidRPr="00E7423F">
        <w:rPr>
          <w:rFonts w:cs="Times New Roman"/>
        </w:rPr>
        <w:t xml:space="preserve">. </w:t>
      </w:r>
      <w:r w:rsidRPr="00E7423F">
        <w:rPr>
          <w:rFonts w:cs="Times New Roman"/>
          <w:i/>
        </w:rPr>
        <w:t>balioburius</w:t>
      </w:r>
      <w:r w:rsidRPr="00E7423F">
        <w:rPr>
          <w:rFonts w:cs="Times New Roman"/>
        </w:rPr>
        <w:t xml:space="preserve"> based </w:t>
      </w:r>
      <w:r>
        <w:rPr>
          <w:rFonts w:cs="Times New Roman"/>
        </w:rPr>
        <w:t>on</w:t>
      </w:r>
      <w:r w:rsidRPr="00E7423F">
        <w:rPr>
          <w:rFonts w:cs="Times New Roman"/>
        </w:rPr>
        <w:t xml:space="preserve"> non</w:t>
      </w:r>
      <w:r>
        <w:rPr>
          <w:rFonts w:cs="Times New Roman"/>
        </w:rPr>
        <w:t>-</w:t>
      </w:r>
      <w:r w:rsidRPr="00E7423F">
        <w:rPr>
          <w:rFonts w:cs="Times New Roman"/>
        </w:rPr>
        <w:t xml:space="preserve">overlapping </w:t>
      </w:r>
      <w:r>
        <w:rPr>
          <w:rFonts w:cs="Times New Roman"/>
        </w:rPr>
        <w:t xml:space="preserve">morphological </w:t>
      </w:r>
      <w:r w:rsidRPr="00E7423F">
        <w:rPr>
          <w:rFonts w:cs="Times New Roman"/>
        </w:rPr>
        <w:t>features. For this lineage, a principal component analysis (</w:t>
      </w:r>
      <w:r w:rsidRPr="008707C2">
        <w:rPr>
          <w:rFonts w:cs="Times New Roman"/>
        </w:rPr>
        <w:t xml:space="preserve">Fig. </w:t>
      </w:r>
      <w:r w:rsidR="008707C2" w:rsidRPr="008707C2">
        <w:rPr>
          <w:rFonts w:cs="Times New Roman"/>
        </w:rPr>
        <w:t>1</w:t>
      </w:r>
      <w:r w:rsidRPr="00E7423F">
        <w:rPr>
          <w:rFonts w:cs="Times New Roman"/>
        </w:rPr>
        <w:t xml:space="preserve">) weighted most heavily by SVL for PC1 and </w:t>
      </w:r>
      <w:r>
        <w:rPr>
          <w:rFonts w:cs="Times New Roman"/>
        </w:rPr>
        <w:t>eye diameter</w:t>
      </w:r>
      <w:r w:rsidRPr="00E7423F">
        <w:rPr>
          <w:rFonts w:cs="Times New Roman"/>
        </w:rPr>
        <w:t xml:space="preserve"> for PC2 offer</w:t>
      </w:r>
      <w:r>
        <w:rPr>
          <w:rFonts w:cs="Times New Roman"/>
        </w:rPr>
        <w:t>s</w:t>
      </w:r>
      <w:r w:rsidRPr="00E7423F">
        <w:rPr>
          <w:rFonts w:cs="Times New Roman"/>
        </w:rPr>
        <w:t xml:space="preserve"> explicit distinction between its members and</w:t>
      </w:r>
      <w:r>
        <w:rPr>
          <w:rFonts w:cs="Times New Roman"/>
        </w:rPr>
        <w:t xml:space="preserve"> those of</w:t>
      </w:r>
      <w:r w:rsidRPr="00E7423F">
        <w:rPr>
          <w:rFonts w:cs="Times New Roman"/>
        </w:rPr>
        <w:t xml:space="preserve"> </w:t>
      </w:r>
      <w:r w:rsidRPr="00E7423F">
        <w:rPr>
          <w:rFonts w:cs="Times New Roman"/>
          <w:i/>
        </w:rPr>
        <w:t>L</w:t>
      </w:r>
      <w:r w:rsidRPr="00E7423F">
        <w:rPr>
          <w:rFonts w:cs="Times New Roman"/>
        </w:rPr>
        <w:t xml:space="preserve">. </w:t>
      </w:r>
      <w:r w:rsidRPr="00E7423F">
        <w:rPr>
          <w:rFonts w:cs="Times New Roman"/>
          <w:i/>
        </w:rPr>
        <w:t>balioburius</w:t>
      </w:r>
      <w:r w:rsidRPr="00E7423F">
        <w:rPr>
          <w:rFonts w:cs="Times New Roman"/>
        </w:rPr>
        <w:t xml:space="preserve"> (see Ota and Crombie [1989] for previous use of PCA to distinguish species in </w:t>
      </w:r>
      <w:r w:rsidRPr="00E7423F">
        <w:rPr>
          <w:rFonts w:cs="Times New Roman"/>
          <w:i/>
        </w:rPr>
        <w:t>Lepidodactylus</w:t>
      </w:r>
      <w:r w:rsidRPr="00E7423F">
        <w:rPr>
          <w:rFonts w:cs="Times New Roman"/>
        </w:rPr>
        <w:t xml:space="preserve">). </w:t>
      </w:r>
      <w:bookmarkStart w:id="11" w:name="_Hlk50569020"/>
      <w:r>
        <w:rPr>
          <w:rFonts w:cs="Times New Roman"/>
        </w:rPr>
        <w:t xml:space="preserve">Additionally, we found that multiple body size measures including SVL, </w:t>
      </w:r>
      <w:r w:rsidRPr="00E7423F">
        <w:rPr>
          <w:rFonts w:cs="Times New Roman"/>
        </w:rPr>
        <w:t>axilla–groin distance</w:t>
      </w:r>
      <w:r>
        <w:rPr>
          <w:rFonts w:cs="Times New Roman"/>
        </w:rPr>
        <w:t>, total arm length and total leg length all differed significantly between the two lineages.</w:t>
      </w:r>
      <w:bookmarkEnd w:id="11"/>
      <w:r>
        <w:rPr>
          <w:rFonts w:cs="Times New Roman"/>
        </w:rPr>
        <w:t xml:space="preserve"> </w:t>
      </w:r>
      <w:r w:rsidRPr="00E7423F">
        <w:rPr>
          <w:rFonts w:cs="Times New Roman"/>
        </w:rPr>
        <w:t xml:space="preserve">Features used most commonly to discern </w:t>
      </w:r>
      <w:r>
        <w:rPr>
          <w:rFonts w:cs="Times New Roman"/>
          <w:i/>
        </w:rPr>
        <w:t xml:space="preserve">Lepidodactylus </w:t>
      </w:r>
      <w:r>
        <w:rPr>
          <w:rFonts w:cs="Times New Roman"/>
        </w:rPr>
        <w:t>species boundaries</w:t>
      </w:r>
      <w:r w:rsidRPr="00E7423F">
        <w:rPr>
          <w:rFonts w:cs="Times New Roman"/>
        </w:rPr>
        <w:t xml:space="preserve"> include body and head lengths, axilla–groin distance, and body, supra/infralabial, digital, and pore</w:t>
      </w:r>
      <w:r>
        <w:rPr>
          <w:rFonts w:cs="Times New Roman"/>
        </w:rPr>
        <w:t>-</w:t>
      </w:r>
      <w:r w:rsidRPr="00E7423F">
        <w:rPr>
          <w:rFonts w:cs="Times New Roman"/>
        </w:rPr>
        <w:t>bearing scale counts</w:t>
      </w:r>
      <w:r>
        <w:rPr>
          <w:rFonts w:cs="Times New Roman"/>
        </w:rPr>
        <w:t xml:space="preserve"> </w:t>
      </w:r>
      <w:r w:rsidRPr="00640322">
        <w:rPr>
          <w:rFonts w:cs="Times New Roman"/>
        </w:rPr>
        <w:t>(Brown and Parker 1977; Brown and Alcala 1978; Siler et al. 2014a).</w:t>
      </w:r>
    </w:p>
    <w:p w14:paraId="6878E27F" w14:textId="77777777" w:rsidR="003E4841" w:rsidRDefault="003E4841" w:rsidP="003E4841">
      <w:pPr>
        <w:spacing w:line="480" w:lineRule="auto"/>
        <w:ind w:firstLine="360"/>
        <w:rPr>
          <w:rFonts w:cs="Times New Roman"/>
        </w:rPr>
      </w:pPr>
    </w:p>
    <w:p w14:paraId="1D41D6FC" w14:textId="77777777" w:rsidR="00F6339D" w:rsidRDefault="00F6339D" w:rsidP="00F6339D">
      <w:pPr>
        <w:spacing w:line="480" w:lineRule="auto"/>
        <w:ind w:firstLine="360"/>
        <w:jc w:val="center"/>
        <w:rPr>
          <w:rFonts w:cs="Times New Roman"/>
        </w:rPr>
      </w:pPr>
      <w:r>
        <w:rPr>
          <w:rFonts w:cs="Times New Roman"/>
        </w:rPr>
        <w:t>Phylogenetics</w:t>
      </w:r>
    </w:p>
    <w:p w14:paraId="01E13DA5" w14:textId="6A4B7A72" w:rsidR="00F6339D" w:rsidRPr="008E3934" w:rsidRDefault="00F6339D" w:rsidP="00F6339D">
      <w:pPr>
        <w:spacing w:line="480" w:lineRule="auto"/>
        <w:ind w:firstLine="360"/>
        <w:rPr>
          <w:rFonts w:cs="Times New Roman"/>
        </w:rPr>
      </w:pPr>
      <w:r>
        <w:rPr>
          <w:rFonts w:cs="Times New Roman"/>
        </w:rPr>
        <w:t>Discrete differences observed in ranges of</w:t>
      </w:r>
      <w:r w:rsidRPr="00E7423F">
        <w:rPr>
          <w:rFonts w:cs="Times New Roman"/>
        </w:rPr>
        <w:t xml:space="preserve"> morphological characters</w:t>
      </w:r>
      <w:r>
        <w:rPr>
          <w:rFonts w:cs="Times New Roman"/>
        </w:rPr>
        <w:t xml:space="preserve"> parallel </w:t>
      </w:r>
      <w:r w:rsidRPr="00E7423F">
        <w:rPr>
          <w:rFonts w:cs="Times New Roman"/>
        </w:rPr>
        <w:t xml:space="preserve">results </w:t>
      </w:r>
      <w:r>
        <w:rPr>
          <w:rFonts w:cs="Times New Roman"/>
        </w:rPr>
        <w:t>of Bayesian</w:t>
      </w:r>
      <w:r w:rsidRPr="00E7423F">
        <w:rPr>
          <w:rFonts w:cs="Times New Roman"/>
        </w:rPr>
        <w:t xml:space="preserve"> phylogenetic analyses (</w:t>
      </w:r>
      <w:r w:rsidRPr="008707C2">
        <w:rPr>
          <w:rFonts w:cs="Times New Roman"/>
        </w:rPr>
        <w:t xml:space="preserve">Fig. </w:t>
      </w:r>
      <w:r w:rsidR="008707C2" w:rsidRPr="008707C2">
        <w:rPr>
          <w:rFonts w:cs="Times New Roman"/>
        </w:rPr>
        <w:t>2</w:t>
      </w:r>
      <w:r w:rsidRPr="00E7423F">
        <w:rPr>
          <w:rFonts w:cs="Times New Roman"/>
        </w:rPr>
        <w:t xml:space="preserve">). </w:t>
      </w:r>
      <w:bookmarkStart w:id="12" w:name="_Hlk50728460"/>
      <w:r>
        <w:rPr>
          <w:rFonts w:cs="Times New Roman"/>
        </w:rPr>
        <w:t>The additional tree from PTP species delimitation procedures produced results similar to our analyses of morphological data and Bayesian phylogenetic analyses, although PTP proposed more extensive splitting than our most liberal interpretation based on morphology (</w:t>
      </w:r>
      <w:r w:rsidRPr="008707C2">
        <w:rPr>
          <w:rFonts w:cs="Times New Roman"/>
        </w:rPr>
        <w:t xml:space="preserve">Fig. </w:t>
      </w:r>
      <w:r w:rsidR="008707C2" w:rsidRPr="008707C2">
        <w:rPr>
          <w:rFonts w:cs="Times New Roman"/>
        </w:rPr>
        <w:t>2</w:t>
      </w:r>
      <w:r>
        <w:rPr>
          <w:rFonts w:cs="Times New Roman"/>
        </w:rPr>
        <w:t>). This additional delimiting is not unexpected given this model’s basis on the phylogenetic species concept, and its explicit goal of inferring the smallest possible units of phylogenetic interrelatedness (Zhang et al. 2013).</w:t>
      </w:r>
      <w:bookmarkEnd w:id="12"/>
    </w:p>
    <w:p w14:paraId="390689FB" w14:textId="77777777" w:rsidR="00F6339D" w:rsidRPr="00BB160F" w:rsidRDefault="00F6339D" w:rsidP="00F6339D">
      <w:pPr>
        <w:spacing w:line="480" w:lineRule="auto"/>
        <w:ind w:firstLine="360"/>
        <w:rPr>
          <w:rFonts w:cs="Times New Roman"/>
          <w:vertAlign w:val="subscript"/>
        </w:rPr>
      </w:pPr>
      <w:r w:rsidRPr="00BB160F">
        <w:rPr>
          <w:rFonts w:cs="Times New Roman"/>
        </w:rPr>
        <w:t xml:space="preserve">Uncorrected pairwise sequence divergences </w:t>
      </w:r>
      <w:r>
        <w:rPr>
          <w:rFonts w:cs="Times New Roman"/>
        </w:rPr>
        <w:t xml:space="preserve">show minimal </w:t>
      </w:r>
      <w:r w:rsidRPr="00BB160F">
        <w:rPr>
          <w:rFonts w:cs="Times New Roman"/>
        </w:rPr>
        <w:t>variab</w:t>
      </w:r>
      <w:r>
        <w:rPr>
          <w:rFonts w:cs="Times New Roman"/>
        </w:rPr>
        <w:t>ility</w:t>
      </w:r>
      <w:r w:rsidRPr="00BB160F">
        <w:rPr>
          <w:rFonts w:cs="Times New Roman"/>
        </w:rPr>
        <w:t xml:space="preserve"> within species described here (0.</w:t>
      </w:r>
      <w:r>
        <w:rPr>
          <w:rFonts w:cs="Times New Roman"/>
        </w:rPr>
        <w:t>12</w:t>
      </w:r>
      <w:r w:rsidRPr="00BB160F">
        <w:rPr>
          <w:rFonts w:cs="Times New Roman"/>
        </w:rPr>
        <w:t>–</w:t>
      </w:r>
      <w:r>
        <w:rPr>
          <w:rFonts w:cs="Times New Roman"/>
        </w:rPr>
        <w:t>3</w:t>
      </w:r>
      <w:r w:rsidRPr="00BB160F">
        <w:rPr>
          <w:rFonts w:cs="Times New Roman"/>
        </w:rPr>
        <w:t>.</w:t>
      </w:r>
      <w:r>
        <w:rPr>
          <w:rFonts w:cs="Times New Roman"/>
        </w:rPr>
        <w:t>9</w:t>
      </w:r>
      <w:r w:rsidRPr="00BB160F">
        <w:rPr>
          <w:rFonts w:cs="Times New Roman"/>
        </w:rPr>
        <w:t>% mtDNA divergence at ND2)</w:t>
      </w:r>
      <w:r>
        <w:rPr>
          <w:rFonts w:cs="Times New Roman"/>
        </w:rPr>
        <w:t>,</w:t>
      </w:r>
      <w:r w:rsidRPr="00BB160F">
        <w:rPr>
          <w:rFonts w:cs="Times New Roman"/>
        </w:rPr>
        <w:t xml:space="preserve"> </w:t>
      </w:r>
      <w:r>
        <w:rPr>
          <w:rFonts w:cs="Times New Roman"/>
        </w:rPr>
        <w:t>whereas</w:t>
      </w:r>
      <w:r w:rsidRPr="00BB160F">
        <w:rPr>
          <w:rFonts w:cs="Times New Roman"/>
        </w:rPr>
        <w:t xml:space="preserve"> interspecific divergences </w:t>
      </w:r>
      <w:r>
        <w:rPr>
          <w:rFonts w:cs="Times New Roman"/>
        </w:rPr>
        <w:t xml:space="preserve">are substantially </w:t>
      </w:r>
      <w:r w:rsidRPr="00BB160F">
        <w:rPr>
          <w:rFonts w:cs="Times New Roman"/>
        </w:rPr>
        <w:t>higher (</w:t>
      </w:r>
      <w:r>
        <w:rPr>
          <w:rFonts w:cs="Times New Roman"/>
        </w:rPr>
        <w:t>~</w:t>
      </w:r>
      <w:r w:rsidRPr="00BB160F">
        <w:rPr>
          <w:rFonts w:cs="Times New Roman"/>
        </w:rPr>
        <w:t xml:space="preserve"> ≥</w:t>
      </w:r>
      <w:r>
        <w:rPr>
          <w:rFonts w:cs="Times New Roman"/>
        </w:rPr>
        <w:t xml:space="preserve"> 10</w:t>
      </w:r>
      <w:r w:rsidRPr="00BB160F">
        <w:rPr>
          <w:rFonts w:cs="Times New Roman"/>
        </w:rPr>
        <w:t xml:space="preserve">%). The exception to this general level of interspecific divergence lies within lineages found on island chains north of Luzon, including </w:t>
      </w:r>
      <w:r>
        <w:rPr>
          <w:rFonts w:cs="Times New Roman"/>
          <w:i/>
        </w:rPr>
        <w:t>Lepidodactylus</w:t>
      </w:r>
      <w:r w:rsidRPr="00BB160F">
        <w:rPr>
          <w:rFonts w:cs="Times New Roman"/>
        </w:rPr>
        <w:t xml:space="preserve"> </w:t>
      </w:r>
      <w:r w:rsidRPr="00BB160F">
        <w:rPr>
          <w:rFonts w:cs="Times New Roman"/>
          <w:i/>
        </w:rPr>
        <w:t>yami</w:t>
      </w:r>
      <w:r w:rsidRPr="00BB160F">
        <w:rPr>
          <w:rFonts w:cs="Times New Roman"/>
        </w:rPr>
        <w:t xml:space="preserve">, </w:t>
      </w:r>
      <w:r w:rsidRPr="00BB160F">
        <w:rPr>
          <w:rFonts w:cs="Times New Roman"/>
          <w:i/>
        </w:rPr>
        <w:t>L</w:t>
      </w:r>
      <w:r w:rsidRPr="00BB160F">
        <w:rPr>
          <w:rFonts w:cs="Times New Roman"/>
        </w:rPr>
        <w:t xml:space="preserve">. </w:t>
      </w:r>
      <w:r w:rsidRPr="00BB160F">
        <w:rPr>
          <w:rFonts w:cs="Times New Roman"/>
          <w:i/>
        </w:rPr>
        <w:t>balioburius</w:t>
      </w:r>
      <w:r w:rsidRPr="00BB160F">
        <w:rPr>
          <w:rFonts w:cs="Times New Roman"/>
        </w:rPr>
        <w:t xml:space="preserve">, and </w:t>
      </w:r>
      <w:r>
        <w:rPr>
          <w:rFonts w:cs="Times New Roman"/>
        </w:rPr>
        <w:t>a novel lineage from the Babuyan Islands described herein</w:t>
      </w:r>
      <w:r w:rsidRPr="00BB160F">
        <w:rPr>
          <w:rFonts w:cs="Times New Roman"/>
        </w:rPr>
        <w:t xml:space="preserve">. </w:t>
      </w:r>
      <w:r>
        <w:rPr>
          <w:rFonts w:cs="Times New Roman"/>
        </w:rPr>
        <w:t>Although the novel species</w:t>
      </w:r>
      <w:r w:rsidRPr="00BB160F">
        <w:rPr>
          <w:rFonts w:cs="Times New Roman"/>
        </w:rPr>
        <w:t xml:space="preserve"> is differentiated readily from the two previously described species (6.2–7.7% mtDNA divergence), genetic divergence is less apparent between the Lanyu Island and Batanes Island chain </w:t>
      </w:r>
      <w:r>
        <w:rPr>
          <w:rFonts w:cs="Times New Roman"/>
        </w:rPr>
        <w:t>lineages</w:t>
      </w:r>
      <w:r w:rsidRPr="00BB160F">
        <w:rPr>
          <w:rFonts w:cs="Times New Roman"/>
        </w:rPr>
        <w:t xml:space="preserve"> (1.</w:t>
      </w:r>
      <w:r>
        <w:rPr>
          <w:rFonts w:cs="Times New Roman"/>
        </w:rPr>
        <w:t>7</w:t>
      </w:r>
      <w:r w:rsidRPr="00BB160F">
        <w:rPr>
          <w:rFonts w:cs="Times New Roman"/>
        </w:rPr>
        <w:t>–2.</w:t>
      </w:r>
      <w:r>
        <w:rPr>
          <w:rFonts w:cs="Times New Roman"/>
        </w:rPr>
        <w:t>7</w:t>
      </w:r>
      <w:r w:rsidRPr="00BB160F">
        <w:rPr>
          <w:rFonts w:cs="Times New Roman"/>
        </w:rPr>
        <w:t xml:space="preserve">% mtDNA divergence). Interestingly, while describing </w:t>
      </w:r>
      <w:r w:rsidRPr="00BB160F">
        <w:rPr>
          <w:rFonts w:cs="Times New Roman"/>
          <w:i/>
        </w:rPr>
        <w:t>L. balioburius</w:t>
      </w:r>
      <w:r w:rsidRPr="00BB160F">
        <w:rPr>
          <w:rFonts w:cs="Times New Roman"/>
        </w:rPr>
        <w:t xml:space="preserve">, Ota and Crombie (1989) had some difficulty in identifying distinct diagnostic characters between it and </w:t>
      </w:r>
      <w:r w:rsidRPr="00BB160F">
        <w:rPr>
          <w:rFonts w:cs="Times New Roman"/>
          <w:i/>
        </w:rPr>
        <w:t xml:space="preserve">L. yami </w:t>
      </w:r>
      <w:r w:rsidRPr="00BB160F">
        <w:rPr>
          <w:rFonts w:cs="Times New Roman"/>
        </w:rPr>
        <w:t xml:space="preserve">and had to use a suite of characters in differentiation. Because we were only able to examine two juvenile </w:t>
      </w:r>
      <w:r w:rsidRPr="00BB160F">
        <w:rPr>
          <w:rFonts w:cs="Times New Roman"/>
          <w:i/>
        </w:rPr>
        <w:t xml:space="preserve">L. yami </w:t>
      </w:r>
      <w:r w:rsidRPr="00BB160F">
        <w:rPr>
          <w:rFonts w:cs="Times New Roman"/>
        </w:rPr>
        <w:t xml:space="preserve">specimens for comparisons of morphological character state differences, we are unable to definitively evaluate the validity of </w:t>
      </w:r>
      <w:r w:rsidRPr="00BB160F">
        <w:rPr>
          <w:rFonts w:cs="Times New Roman"/>
          <w:i/>
        </w:rPr>
        <w:t xml:space="preserve">L. balioburius </w:t>
      </w:r>
      <w:r w:rsidRPr="00BB160F">
        <w:rPr>
          <w:rFonts w:cs="Times New Roman"/>
        </w:rPr>
        <w:t xml:space="preserve">as distinct from </w:t>
      </w:r>
      <w:r w:rsidRPr="00BB160F">
        <w:rPr>
          <w:rFonts w:cs="Times New Roman"/>
          <w:i/>
        </w:rPr>
        <w:t>L. yami</w:t>
      </w:r>
      <w:r w:rsidRPr="00BB160F">
        <w:rPr>
          <w:rFonts w:cs="Times New Roman"/>
        </w:rPr>
        <w:t>; we hold evaluation of these two named species in abeyance and follow Ota and Crombie (1989) in recognizing both taxa</w:t>
      </w:r>
      <w:r>
        <w:rPr>
          <w:rFonts w:cs="Times New Roman"/>
        </w:rPr>
        <w:t xml:space="preserve"> until a comprehensive analysis of phenotypic variation is forthcoming</w:t>
      </w:r>
      <w:r w:rsidRPr="00BB160F">
        <w:rPr>
          <w:rFonts w:cs="Times New Roman"/>
        </w:rPr>
        <w:t>.</w:t>
      </w:r>
    </w:p>
    <w:p w14:paraId="4AE82E03" w14:textId="77777777" w:rsidR="00F6339D" w:rsidRPr="00CF680B" w:rsidRDefault="00F6339D" w:rsidP="00F6339D">
      <w:pPr>
        <w:spacing w:line="480" w:lineRule="auto"/>
        <w:rPr>
          <w:rFonts w:cs="Times New Roman"/>
          <w:iCs/>
          <w:highlight w:val="darkGreen"/>
        </w:rPr>
      </w:pPr>
    </w:p>
    <w:p w14:paraId="483A130A" w14:textId="77777777" w:rsidR="00F6339D" w:rsidRPr="001269AA" w:rsidRDefault="00F6339D" w:rsidP="00F6339D">
      <w:pPr>
        <w:spacing w:line="480" w:lineRule="auto"/>
        <w:jc w:val="center"/>
        <w:rPr>
          <w:rFonts w:cs="Times New Roman"/>
          <w:iCs/>
        </w:rPr>
      </w:pPr>
      <w:r w:rsidRPr="001269AA">
        <w:rPr>
          <w:rFonts w:cs="Times New Roman"/>
          <w:iCs/>
        </w:rPr>
        <w:t>Taxonomic Conclusions</w:t>
      </w:r>
    </w:p>
    <w:p w14:paraId="76F93A53" w14:textId="33EA9D95" w:rsidR="00F6339D" w:rsidRPr="00995BFB" w:rsidRDefault="00F6339D" w:rsidP="00F6339D">
      <w:pPr>
        <w:spacing w:line="480" w:lineRule="auto"/>
        <w:ind w:firstLine="360"/>
        <w:rPr>
          <w:rFonts w:cs="Times New Roman"/>
        </w:rPr>
      </w:pPr>
      <w:r w:rsidRPr="00995BFB">
        <w:rPr>
          <w:rFonts w:cs="Times New Roman"/>
        </w:rPr>
        <w:t>Following examination of morphological data and consideration of molecular phylogenetic estimates, we recognize four lineages</w:t>
      </w:r>
      <w:r>
        <w:rPr>
          <w:rFonts w:cs="Times New Roman"/>
        </w:rPr>
        <w:t>,</w:t>
      </w:r>
      <w:r w:rsidRPr="00995BFB">
        <w:rPr>
          <w:rFonts w:cs="Times New Roman"/>
        </w:rPr>
        <w:t xml:space="preserve"> </w:t>
      </w:r>
      <w:r>
        <w:rPr>
          <w:rFonts w:cs="Times New Roman"/>
        </w:rPr>
        <w:t>unambiguously characterized by</w:t>
      </w:r>
      <w:r w:rsidRPr="00995BFB">
        <w:rPr>
          <w:rFonts w:cs="Times New Roman"/>
        </w:rPr>
        <w:t xml:space="preserve"> unique, non</w:t>
      </w:r>
      <w:r>
        <w:rPr>
          <w:rFonts w:cs="Times New Roman"/>
        </w:rPr>
        <w:t>-</w:t>
      </w:r>
      <w:r w:rsidRPr="00995BFB">
        <w:rPr>
          <w:rFonts w:cs="Times New Roman"/>
        </w:rPr>
        <w:t xml:space="preserve">overlapping suites of diagnostic morphological character </w:t>
      </w:r>
      <w:r>
        <w:rPr>
          <w:rFonts w:cs="Times New Roman"/>
        </w:rPr>
        <w:t xml:space="preserve">state differences </w:t>
      </w:r>
      <w:r w:rsidRPr="00995BFB">
        <w:rPr>
          <w:rFonts w:cs="Times New Roman"/>
        </w:rPr>
        <w:t>(</w:t>
      </w:r>
      <w:r>
        <w:rPr>
          <w:rFonts w:cs="Times New Roman"/>
        </w:rPr>
        <w:t>Table 1</w:t>
      </w:r>
      <w:r w:rsidRPr="00995BFB">
        <w:rPr>
          <w:rFonts w:cs="Times New Roman"/>
        </w:rPr>
        <w:t>) and which are distinct, genetically divergent clades (</w:t>
      </w:r>
      <w:r w:rsidRPr="008707C2">
        <w:rPr>
          <w:rFonts w:cs="Times New Roman"/>
        </w:rPr>
        <w:t xml:space="preserve">Fig. </w:t>
      </w:r>
      <w:r w:rsidR="008707C2" w:rsidRPr="008707C2">
        <w:rPr>
          <w:rFonts w:cs="Times New Roman"/>
        </w:rPr>
        <w:t>2</w:t>
      </w:r>
      <w:r w:rsidRPr="00995BFB">
        <w:rPr>
          <w:rFonts w:cs="Times New Roman"/>
        </w:rPr>
        <w:t>). All four novel lineages occur on Luzon Island, Lubang Island, or the Babuyan Island Group</w:t>
      </w:r>
      <w:r>
        <w:rPr>
          <w:rFonts w:cs="Times New Roman"/>
        </w:rPr>
        <w:t>, all of which are part of (or geographically associated with) the Luzon PAIC in the northern Philippines.</w:t>
      </w:r>
    </w:p>
    <w:p w14:paraId="523F7E3C" w14:textId="77777777" w:rsidR="00F6339D" w:rsidRPr="00E7423F" w:rsidRDefault="00F6339D" w:rsidP="00F6339D">
      <w:pPr>
        <w:spacing w:line="480" w:lineRule="auto"/>
        <w:jc w:val="center"/>
        <w:rPr>
          <w:rFonts w:cs="Times New Roman"/>
          <w:b/>
        </w:rPr>
      </w:pPr>
    </w:p>
    <w:p w14:paraId="68DA95D7" w14:textId="77777777" w:rsidR="00F6339D" w:rsidRPr="001269AA" w:rsidRDefault="00F6339D" w:rsidP="00F6339D">
      <w:pPr>
        <w:spacing w:line="480" w:lineRule="auto"/>
        <w:jc w:val="center"/>
        <w:rPr>
          <w:rFonts w:cs="Times New Roman"/>
          <w:bCs/>
          <w:smallCaps/>
        </w:rPr>
      </w:pPr>
      <w:r>
        <w:rPr>
          <w:rFonts w:cs="Times New Roman"/>
          <w:bCs/>
          <w:smallCaps/>
        </w:rPr>
        <w:t>Species</w:t>
      </w:r>
      <w:r w:rsidRPr="001269AA">
        <w:rPr>
          <w:rFonts w:cs="Times New Roman"/>
          <w:bCs/>
          <w:smallCaps/>
        </w:rPr>
        <w:t xml:space="preserve"> Accounts</w:t>
      </w:r>
    </w:p>
    <w:p w14:paraId="24B35557" w14:textId="77777777" w:rsidR="00F6339D" w:rsidRDefault="00F6339D" w:rsidP="00F6339D">
      <w:pPr>
        <w:spacing w:line="480" w:lineRule="auto"/>
        <w:jc w:val="center"/>
        <w:rPr>
          <w:bCs/>
        </w:rPr>
      </w:pPr>
      <w:r w:rsidRPr="00025A57">
        <w:rPr>
          <w:bCs/>
          <w:i/>
        </w:rPr>
        <w:t>Lepidodactylus</w:t>
      </w:r>
      <w:r w:rsidRPr="00025A57">
        <w:rPr>
          <w:bCs/>
        </w:rPr>
        <w:t xml:space="preserve"> </w:t>
      </w:r>
      <w:r w:rsidRPr="00E2774A">
        <w:rPr>
          <w:b/>
          <w:i/>
        </w:rPr>
        <w:t>bisakol</w:t>
      </w:r>
      <w:r w:rsidRPr="00025A57">
        <w:rPr>
          <w:bCs/>
        </w:rPr>
        <w:t xml:space="preserve"> sp. nov.</w:t>
      </w:r>
    </w:p>
    <w:p w14:paraId="0EDDA43B" w14:textId="77777777" w:rsidR="00F6339D" w:rsidRDefault="00F6339D" w:rsidP="00F6339D">
      <w:pPr>
        <w:spacing w:line="480" w:lineRule="auto"/>
        <w:jc w:val="center"/>
        <w:rPr>
          <w:bCs/>
        </w:rPr>
      </w:pPr>
      <w:r w:rsidRPr="004537CC">
        <w:rPr>
          <w:bCs/>
        </w:rPr>
        <w:t>(Fig</w:t>
      </w:r>
      <w:r>
        <w:rPr>
          <w:bCs/>
        </w:rPr>
        <w:t>s</w:t>
      </w:r>
      <w:r w:rsidRPr="004537CC">
        <w:rPr>
          <w:bCs/>
        </w:rPr>
        <w:t>. 3</w:t>
      </w:r>
      <w:r>
        <w:rPr>
          <w:bCs/>
        </w:rPr>
        <w:t>A, 4</w:t>
      </w:r>
      <w:r w:rsidRPr="004537CC">
        <w:rPr>
          <w:bCs/>
        </w:rPr>
        <w:t>; Table</w:t>
      </w:r>
      <w:r>
        <w:rPr>
          <w:bCs/>
        </w:rPr>
        <w:t xml:space="preserve"> </w:t>
      </w:r>
      <w:r w:rsidRPr="004537CC">
        <w:rPr>
          <w:bCs/>
        </w:rPr>
        <w:t>1)</w:t>
      </w:r>
    </w:p>
    <w:p w14:paraId="67F212B2" w14:textId="77777777" w:rsidR="00F6339D" w:rsidRPr="009A56AB" w:rsidRDefault="00F6339D" w:rsidP="00F6339D">
      <w:pPr>
        <w:spacing w:line="480" w:lineRule="auto"/>
        <w:rPr>
          <w:bCs/>
        </w:rPr>
      </w:pPr>
      <w:r w:rsidRPr="00292924">
        <w:rPr>
          <w:bCs/>
          <w:i/>
          <w:iCs/>
        </w:rPr>
        <w:t xml:space="preserve">Lepidodactylus </w:t>
      </w:r>
      <w:r w:rsidRPr="00292924">
        <w:rPr>
          <w:bCs/>
        </w:rPr>
        <w:t>sp. 1: Oliver et al. 2018</w:t>
      </w:r>
      <w:r>
        <w:rPr>
          <w:bCs/>
        </w:rPr>
        <w:t>:4.</w:t>
      </w:r>
    </w:p>
    <w:p w14:paraId="4CC41765" w14:textId="77777777" w:rsidR="00F6339D" w:rsidRPr="00C3238C" w:rsidRDefault="00F6339D" w:rsidP="00F6339D">
      <w:pPr>
        <w:pStyle w:val="NormalWeb"/>
        <w:spacing w:before="0" w:beforeAutospacing="0" w:after="0" w:afterAutospacing="0" w:line="480" w:lineRule="auto"/>
        <w:ind w:firstLine="360"/>
      </w:pPr>
      <w:r w:rsidRPr="005B63F5">
        <w:rPr>
          <w:b/>
          <w:bCs/>
        </w:rPr>
        <w:t>Holotype.</w:t>
      </w:r>
      <w:r w:rsidRPr="001F4467">
        <w:t>—</w:t>
      </w:r>
      <w:r w:rsidRPr="00041C92">
        <w:t>PNM 9874</w:t>
      </w:r>
      <w:r>
        <w:t xml:space="preserve"> (formerly </w:t>
      </w:r>
      <w:r w:rsidRPr="001F4467">
        <w:t>OMNH 46002</w:t>
      </w:r>
      <w:r>
        <w:t xml:space="preserve">; </w:t>
      </w:r>
      <w:r w:rsidRPr="001F4467">
        <w:t xml:space="preserve">NAH Field No. 479), adult male, collected 17 March 2017 at 365 m </w:t>
      </w:r>
      <w:r>
        <w:t>o</w:t>
      </w:r>
      <w:r w:rsidRPr="001F4467">
        <w:t xml:space="preserve">n </w:t>
      </w:r>
      <w:r>
        <w:t xml:space="preserve">Mt. Mayon, </w:t>
      </w:r>
      <w:r w:rsidRPr="001F4467">
        <w:t xml:space="preserve">Sitio Nagsipit, Barangay Mariroc, Municipality of Tabaco, Albay Province, Luzon Island, Philippines </w:t>
      </w:r>
      <w:r w:rsidRPr="008F309B">
        <w:t>(13.</w:t>
      </w:r>
      <w:r w:rsidRPr="003C015F">
        <w:t>30558°</w:t>
      </w:r>
      <w:r w:rsidRPr="008F309B">
        <w:t>, 123.</w:t>
      </w:r>
      <w:r w:rsidRPr="003C015F">
        <w:t>68898°</w:t>
      </w:r>
      <w:r w:rsidRPr="008F309B">
        <w:t>),</w:t>
      </w:r>
      <w:r w:rsidRPr="001F4467">
        <w:t xml:space="preserve"> by N. A. Huron</w:t>
      </w:r>
      <w:r>
        <w:t xml:space="preserve"> and </w:t>
      </w:r>
      <w:r w:rsidRPr="001F4467">
        <w:t xml:space="preserve">J. </w:t>
      </w:r>
      <w:r>
        <w:t xml:space="preserve">B. </w:t>
      </w:r>
      <w:r w:rsidRPr="001F4467">
        <w:t>Fernandez.</w:t>
      </w:r>
    </w:p>
    <w:p w14:paraId="19C26AA4" w14:textId="77777777" w:rsidR="00F6339D" w:rsidRPr="001F4467" w:rsidRDefault="00F6339D" w:rsidP="00F6339D">
      <w:pPr>
        <w:pStyle w:val="NormalWeb"/>
        <w:spacing w:before="0" w:beforeAutospacing="0" w:after="0" w:afterAutospacing="0" w:line="480" w:lineRule="auto"/>
        <w:ind w:firstLine="360"/>
      </w:pPr>
      <w:r>
        <w:rPr>
          <w:b/>
          <w:bCs/>
        </w:rPr>
        <w:t>Paratype (</w:t>
      </w:r>
      <w:r w:rsidRPr="00C3238C">
        <w:rPr>
          <w:b/>
          <w:bCs/>
        </w:rPr>
        <w:t>Paratopotype</w:t>
      </w:r>
      <w:r>
        <w:rPr>
          <w:b/>
          <w:bCs/>
        </w:rPr>
        <w:t>)</w:t>
      </w:r>
      <w:r w:rsidRPr="00C3238C">
        <w:rPr>
          <w:b/>
          <w:bCs/>
        </w:rPr>
        <w:t>.</w:t>
      </w:r>
      <w:r w:rsidRPr="001F4467">
        <w:t>—OMNH 46003 (</w:t>
      </w:r>
      <w:r>
        <w:t>NAH Field No. 480</w:t>
      </w:r>
      <w:r w:rsidRPr="001F4467">
        <w:t xml:space="preserve">), adult male, collected 14 March 2017 </w:t>
      </w:r>
      <w:r w:rsidRPr="003C015F">
        <w:t>by N. A. Huron</w:t>
      </w:r>
      <w:r>
        <w:t xml:space="preserve"> and </w:t>
      </w:r>
      <w:r w:rsidRPr="001F4467">
        <w:t>J.</w:t>
      </w:r>
      <w:r>
        <w:t xml:space="preserve"> B.</w:t>
      </w:r>
      <w:r w:rsidRPr="001F4467">
        <w:t xml:space="preserve"> Fernandez.</w:t>
      </w:r>
    </w:p>
    <w:p w14:paraId="5281CD19" w14:textId="77777777" w:rsidR="00F6339D" w:rsidRPr="00E7423F" w:rsidRDefault="00F6339D" w:rsidP="00F6339D">
      <w:pPr>
        <w:pStyle w:val="NormalWeb"/>
        <w:spacing w:before="0" w:beforeAutospacing="0" w:after="0" w:afterAutospacing="0" w:line="480" w:lineRule="auto"/>
        <w:ind w:firstLine="360"/>
      </w:pPr>
      <w:r>
        <w:rPr>
          <w:b/>
          <w:bCs/>
        </w:rPr>
        <w:t>Other p</w:t>
      </w:r>
      <w:r w:rsidRPr="00C3238C">
        <w:rPr>
          <w:b/>
          <w:bCs/>
        </w:rPr>
        <w:t>aratypes.</w:t>
      </w:r>
      <w:r w:rsidRPr="00792F15">
        <w:t>—KU 331652 (RMB Field No. 13781), adult female, collected</w:t>
      </w:r>
      <w:r>
        <w:t xml:space="preserve"> 16 January 2011 at 51 m</w:t>
      </w:r>
      <w:r w:rsidRPr="00792F15">
        <w:t xml:space="preserve"> in residential area on house walls in Barangay Tanawan, Municipality of Malinao, Albay Province, Luzon Island, Philippines </w:t>
      </w:r>
      <w:r>
        <w:t>(</w:t>
      </w:r>
      <w:r w:rsidRPr="00941AF9">
        <w:t>13.40534</w:t>
      </w:r>
      <w:r w:rsidRPr="003C015F">
        <w:t>°</w:t>
      </w:r>
      <w:r w:rsidRPr="00941AF9">
        <w:t>, 123.67683°),</w:t>
      </w:r>
      <w:r w:rsidRPr="00792F15">
        <w:t xml:space="preserve"> by RMB.</w:t>
      </w:r>
      <w:r>
        <w:t xml:space="preserve"> </w:t>
      </w:r>
      <w:r w:rsidRPr="00A602C0">
        <w:t>TNHC 62481 (RMB Field No. 4028)</w:t>
      </w:r>
      <w:r>
        <w:t>,</w:t>
      </w:r>
      <w:r w:rsidRPr="00A602C0">
        <w:t xml:space="preserve"> adult female</w:t>
      </w:r>
      <w:r>
        <w:t>,</w:t>
      </w:r>
      <w:r w:rsidRPr="00A602C0">
        <w:t xml:space="preserve"> collected</w:t>
      </w:r>
      <w:r>
        <w:t xml:space="preserve"> 23 November 2001 at 10 m in hilly and selectively logged primary rainforest near Bulusan Lake, on Mt. Bulusan, Barangay San Rogue, Municipality of Irosin, Sorsogon Province, Luzon Island, Philippines </w:t>
      </w:r>
      <w:r w:rsidRPr="00941AF9">
        <w:t>(12.752104°, 124.096736°), by</w:t>
      </w:r>
      <w:r>
        <w:t xml:space="preserve"> RMB and B. R. Fernandez. </w:t>
      </w:r>
      <w:r w:rsidRPr="00D534AC">
        <w:rPr>
          <w:rFonts w:ascii="Times" w:hAnsi="Times" w:cs="Times"/>
        </w:rPr>
        <w:t>KU 347921</w:t>
      </w:r>
      <w:r>
        <w:rPr>
          <w:rFonts w:ascii="Times" w:hAnsi="Times" w:cs="Times"/>
        </w:rPr>
        <w:t xml:space="preserve"> </w:t>
      </w:r>
      <w:r w:rsidRPr="00D534AC">
        <w:rPr>
          <w:rFonts w:ascii="Times" w:hAnsi="Times" w:cs="Times"/>
        </w:rPr>
        <w:t>(RMB Field No. 23234)</w:t>
      </w:r>
      <w:r>
        <w:rPr>
          <w:rFonts w:ascii="Times" w:hAnsi="Times" w:cs="Times"/>
        </w:rPr>
        <w:t>,</w:t>
      </w:r>
      <w:r w:rsidRPr="00D534AC">
        <w:rPr>
          <w:rFonts w:ascii="Times" w:hAnsi="Times" w:cs="Times"/>
        </w:rPr>
        <w:t xml:space="preserve"> adult male</w:t>
      </w:r>
      <w:r>
        <w:rPr>
          <w:rFonts w:ascii="Times" w:hAnsi="Times" w:cs="Times"/>
        </w:rPr>
        <w:t xml:space="preserve">, and </w:t>
      </w:r>
      <w:r w:rsidRPr="00B82C38">
        <w:rPr>
          <w:rFonts w:ascii="Times" w:hAnsi="Times" w:cs="Times"/>
        </w:rPr>
        <w:t>KU 348462 (RMB Field No. 23233), juvenile, collected 4 February 2017 at 260 m on Mt. Cawayan, Barangay Cawayan, Municipality of Irosin, Sorsogon Province, Luzon Island, Philippines (12.6968</w:t>
      </w:r>
      <w:r w:rsidRPr="00B82C38">
        <w:t>°</w:t>
      </w:r>
      <w:r w:rsidRPr="00B82C38">
        <w:rPr>
          <w:rFonts w:ascii="Times" w:hAnsi="Times" w:cs="Times"/>
        </w:rPr>
        <w:t>, 124.0827</w:t>
      </w:r>
      <w:r w:rsidRPr="00B82C38">
        <w:t>°), by RMB and J. B. Fernandez. KU 346536 (RMB Field No. 24027), juvenile, collected 4 August 2017 at 643 m on Mt. Jormahan, Barangay Cogon, Municipality of Irosin, Sorsogon Province, Luzon Island, Philippines (12.76116°, 124.0036°), by RMB, J. B. Fernandez, M. Buehler, and C. Tracy. KU 346537 (RMB Field No. 24672), juvenile, collected 11 August 2017 at 82 m near Bayugin Falls, Barangay San Francisco, Municipality of Bulusan, Sorsogon Province, Luzon Island, Philippines (12.7586°, 124.11996°), RMB, J. B. Fernandez, M. Buehler, and C. Tracy.</w:t>
      </w:r>
    </w:p>
    <w:p w14:paraId="58A628C6" w14:textId="77777777" w:rsidR="00F6339D" w:rsidRPr="00C208FA" w:rsidRDefault="00F6339D" w:rsidP="00F6339D">
      <w:pPr>
        <w:pStyle w:val="NormalWeb"/>
        <w:spacing w:before="0" w:beforeAutospacing="0" w:after="0" w:afterAutospacing="0" w:line="480" w:lineRule="auto"/>
        <w:ind w:firstLine="360"/>
      </w:pPr>
      <w:r w:rsidRPr="00C3238C">
        <w:rPr>
          <w:b/>
          <w:bCs/>
        </w:rPr>
        <w:t>Diagnosis.</w:t>
      </w:r>
      <w:r w:rsidRPr="007B3849">
        <w:t>—</w:t>
      </w:r>
      <w:r w:rsidRPr="003F3564">
        <w:rPr>
          <w:i/>
        </w:rPr>
        <w:t>Lepidodactylus</w:t>
      </w:r>
      <w:r w:rsidRPr="003F3564">
        <w:t xml:space="preserve"> </w:t>
      </w:r>
      <w:r w:rsidRPr="003F3564">
        <w:rPr>
          <w:i/>
        </w:rPr>
        <w:t>bisakol</w:t>
      </w:r>
      <w:r w:rsidRPr="003F3564">
        <w:t xml:space="preserve"> can be distinguished from congeners by the following combination of characters: (1) body size moderate (SVL 34.5–39.2 mm); (2) thigh length moderat</w:t>
      </w:r>
      <w:r>
        <w:t>e</w:t>
      </w:r>
      <w:r w:rsidRPr="003F3564">
        <w:t>, 13.9–15.4% SVL; (3) total leg length moderate</w:t>
      </w:r>
      <w:r w:rsidRPr="00E753C9">
        <w:t>,</w:t>
      </w:r>
      <w:r w:rsidRPr="003F3564">
        <w:t xml:space="preserve"> 26.3–31.9% SVL; (4) head width moderate</w:t>
      </w:r>
      <w:r>
        <w:t xml:space="preserve">, </w:t>
      </w:r>
      <w:r w:rsidRPr="003F3564">
        <w:t>61.2–69.5% head length; (5) snout length short</w:t>
      </w:r>
      <w:r>
        <w:t xml:space="preserve">, </w:t>
      </w:r>
      <w:r w:rsidRPr="003F3564">
        <w:t>32.7–45.3% head length;</w:t>
      </w:r>
      <w:r w:rsidRPr="007B3849">
        <w:t xml:space="preserve"> (</w:t>
      </w:r>
      <w:r>
        <w:t>6</w:t>
      </w:r>
      <w:r w:rsidRPr="007B3849">
        <w:t>) paravertebral scale</w:t>
      </w:r>
      <w:r>
        <w:t xml:space="preserve"> count</w:t>
      </w:r>
      <w:r w:rsidRPr="007B3849">
        <w:t xml:space="preserve"> within one </w:t>
      </w:r>
      <w:r>
        <w:t>eye</w:t>
      </w:r>
      <w:r w:rsidRPr="007B3849">
        <w:t xml:space="preserve"> diameter </w:t>
      </w:r>
      <w:r>
        <w:t>21</w:t>
      </w:r>
      <w:r w:rsidRPr="007B3849">
        <w:t>–23</w:t>
      </w:r>
      <w:r>
        <w:t xml:space="preserve">; (7) midbody ventral </w:t>
      </w:r>
      <w:r w:rsidRPr="007B3849">
        <w:t>scale</w:t>
      </w:r>
      <w:r>
        <w:t xml:space="preserve"> count </w:t>
      </w:r>
      <w:r w:rsidRPr="003F3564">
        <w:t xml:space="preserve">within one </w:t>
      </w:r>
      <w:r>
        <w:t>eye</w:t>
      </w:r>
      <w:r w:rsidRPr="003F3564">
        <w:t xml:space="preserve"> diameter</w:t>
      </w:r>
      <w:r>
        <w:t xml:space="preserve"> 15</w:t>
      </w:r>
      <w:r w:rsidRPr="007B3849">
        <w:t>–</w:t>
      </w:r>
      <w:r>
        <w:t xml:space="preserve">17; (8) ventral </w:t>
      </w:r>
      <w:r w:rsidRPr="007B3849">
        <w:t>scale</w:t>
      </w:r>
      <w:r>
        <w:t xml:space="preserve"> count within one eye diameter 15</w:t>
      </w:r>
      <w:r w:rsidRPr="007B3849">
        <w:t>–</w:t>
      </w:r>
      <w:r>
        <w:t>18; (9) circumnasal scales 4; (10) precloacofemoral pores in males 23</w:t>
      </w:r>
      <w:r w:rsidRPr="007B3849">
        <w:t>–</w:t>
      </w:r>
      <w:r>
        <w:t xml:space="preserve">27; (11) pore series shape linear; and (12) rostral scale not in contact with </w:t>
      </w:r>
      <w:r w:rsidRPr="00E2774A">
        <w:t>n</w:t>
      </w:r>
      <w:r>
        <w:t>ostril.</w:t>
      </w:r>
    </w:p>
    <w:p w14:paraId="797714F5" w14:textId="77777777" w:rsidR="00F6339D" w:rsidRDefault="00F6339D" w:rsidP="00F6339D">
      <w:pPr>
        <w:pStyle w:val="NormalWeb"/>
        <w:spacing w:before="0" w:beforeAutospacing="0" w:after="0" w:afterAutospacing="0" w:line="480" w:lineRule="auto"/>
        <w:ind w:firstLine="360"/>
      </w:pPr>
      <w:r w:rsidRPr="00224679">
        <w:rPr>
          <w:b/>
          <w:bCs/>
        </w:rPr>
        <w:t>Comparisons</w:t>
      </w:r>
      <w:r w:rsidRPr="00C927CA">
        <w:rPr>
          <w:b/>
          <w:bCs/>
        </w:rPr>
        <w:t>.</w:t>
      </w:r>
      <w:r w:rsidRPr="00E7423F">
        <w:t xml:space="preserve">—Characters distinguishing </w:t>
      </w:r>
      <w:r w:rsidRPr="00E7423F">
        <w:rPr>
          <w:i/>
        </w:rPr>
        <w:t>Lepidodactylus</w:t>
      </w:r>
      <w:r w:rsidRPr="00E7423F">
        <w:t xml:space="preserve"> </w:t>
      </w:r>
      <w:r>
        <w:rPr>
          <w:i/>
        </w:rPr>
        <w:t>bisakol</w:t>
      </w:r>
      <w:r w:rsidRPr="00E7423F">
        <w:t xml:space="preserve"> from all other species of</w:t>
      </w:r>
      <w:r>
        <w:t xml:space="preserve"> Philippine</w:t>
      </w:r>
      <w:r w:rsidRPr="00E7423F">
        <w:t xml:space="preserve"> </w:t>
      </w:r>
      <w:r w:rsidRPr="00E7423F">
        <w:rPr>
          <w:i/>
        </w:rPr>
        <w:t>Lepidodactylus</w:t>
      </w:r>
      <w:r w:rsidRPr="00E7423F">
        <w:t xml:space="preserve"> are summarized in Table 1</w:t>
      </w:r>
      <w:r>
        <w:t xml:space="preserve"> and additional comprehensive comparisons are available in Supplemental Table 1</w:t>
      </w:r>
      <w:r w:rsidRPr="00E7423F">
        <w:t xml:space="preserve">. </w:t>
      </w:r>
      <w:r>
        <w:rPr>
          <w:iCs/>
        </w:rPr>
        <w:t>This new species</w:t>
      </w:r>
      <w:r w:rsidRPr="00E7423F">
        <w:t xml:space="preserve"> most closely resembles </w:t>
      </w:r>
      <w:r>
        <w:rPr>
          <w:i/>
        </w:rPr>
        <w:t>L</w:t>
      </w:r>
      <w:r>
        <w:t xml:space="preserve">. </w:t>
      </w:r>
      <w:r>
        <w:rPr>
          <w:i/>
        </w:rPr>
        <w:t>lugubris</w:t>
      </w:r>
      <w:r>
        <w:t>; however, it differs in several characters, including having</w:t>
      </w:r>
      <w:r>
        <w:rPr>
          <w:i/>
        </w:rPr>
        <w:t xml:space="preserve"> </w:t>
      </w:r>
      <w:r>
        <w:t>more circumnasal scales (4 vs. 3), fewer Toe IV total scansors (9</w:t>
      </w:r>
      <w:r w:rsidRPr="00E7423F">
        <w:t>–</w:t>
      </w:r>
      <w:r>
        <w:t>11 vs. 12</w:t>
      </w:r>
      <w:r w:rsidRPr="00E7423F">
        <w:t>–</w:t>
      </w:r>
      <w:r>
        <w:t xml:space="preserve">18), fewer precloacofemoral pores in males (23–27 vs. 32), </w:t>
      </w:r>
      <w:r w:rsidRPr="00E7423F">
        <w:t>a linear pore series shape (vs. v</w:t>
      </w:r>
      <w:r>
        <w:t>-</w:t>
      </w:r>
      <w:r w:rsidRPr="00E7423F">
        <w:t>shaped</w:t>
      </w:r>
      <w:r>
        <w:t>) and a rostral scale that does not contact the nostril (vs. in contact).</w:t>
      </w:r>
    </w:p>
    <w:p w14:paraId="686C03D2" w14:textId="77777777" w:rsidR="00F6339D" w:rsidRDefault="00F6339D" w:rsidP="00F6339D">
      <w:pPr>
        <w:pStyle w:val="NormalWeb"/>
        <w:spacing w:before="0" w:beforeAutospacing="0" w:after="0" w:afterAutospacing="0" w:line="480" w:lineRule="auto"/>
        <w:ind w:firstLine="360"/>
      </w:pPr>
      <w:r w:rsidRPr="00A06A0B">
        <w:rPr>
          <w:iCs/>
        </w:rPr>
        <w:t xml:space="preserve">Considering all other Philippine congeners, </w:t>
      </w:r>
      <w:r w:rsidRPr="00A06A0B">
        <w:rPr>
          <w:i/>
        </w:rPr>
        <w:t>L</w:t>
      </w:r>
      <w:r w:rsidRPr="00A06A0B">
        <w:rPr>
          <w:iCs/>
        </w:rPr>
        <w:t>.</w:t>
      </w:r>
      <w:r w:rsidRPr="00A06A0B">
        <w:rPr>
          <w:i/>
        </w:rPr>
        <w:t xml:space="preserve"> bisakol</w:t>
      </w:r>
      <w:r w:rsidRPr="00A06A0B">
        <w:t xml:space="preserve"> can be distinguished </w:t>
      </w:r>
      <w:r>
        <w:t>readily</w:t>
      </w:r>
      <w:r w:rsidRPr="0002478B">
        <w:t xml:space="preserve"> </w:t>
      </w:r>
      <w:r>
        <w:t xml:space="preserve">from </w:t>
      </w:r>
      <w:r>
        <w:rPr>
          <w:i/>
          <w:iCs/>
        </w:rPr>
        <w:t xml:space="preserve">L. </w:t>
      </w:r>
      <w:r w:rsidRPr="00126F0B">
        <w:rPr>
          <w:i/>
          <w:iCs/>
        </w:rPr>
        <w:t>aureolineatus</w:t>
      </w:r>
      <w:r>
        <w:t>,</w:t>
      </w:r>
      <w:r w:rsidRPr="002E42EC">
        <w:t xml:space="preserve"> </w:t>
      </w:r>
      <w:r>
        <w:rPr>
          <w:i/>
          <w:iCs/>
        </w:rPr>
        <w:t xml:space="preserve">L. </w:t>
      </w:r>
      <w:r w:rsidRPr="00CF0924">
        <w:rPr>
          <w:i/>
          <w:iCs/>
        </w:rPr>
        <w:t>h</w:t>
      </w:r>
      <w:r>
        <w:rPr>
          <w:i/>
          <w:iCs/>
        </w:rPr>
        <w:t>errei</w:t>
      </w:r>
      <w:r>
        <w:t xml:space="preserve"> </w:t>
      </w:r>
      <w:r w:rsidRPr="00CF0924">
        <w:rPr>
          <w:i/>
          <w:iCs/>
        </w:rPr>
        <w:t>herrei</w:t>
      </w:r>
      <w:r>
        <w:t xml:space="preserve">, </w:t>
      </w:r>
      <w:r>
        <w:rPr>
          <w:i/>
          <w:iCs/>
        </w:rPr>
        <w:t>L. herrei medianus</w:t>
      </w:r>
      <w:r>
        <w:t xml:space="preserve">, </w:t>
      </w:r>
      <w:r>
        <w:rPr>
          <w:i/>
        </w:rPr>
        <w:t>L. labialis</w:t>
      </w:r>
      <w:r>
        <w:rPr>
          <w:iCs/>
        </w:rPr>
        <w:t xml:space="preserve">, and </w:t>
      </w:r>
      <w:r>
        <w:rPr>
          <w:i/>
        </w:rPr>
        <w:t xml:space="preserve">L. planicaudus </w:t>
      </w:r>
      <w:r>
        <w:t xml:space="preserve">by having a rostral scale separated from the nostril (vs. in contact); from </w:t>
      </w:r>
      <w:r>
        <w:rPr>
          <w:i/>
          <w:iCs/>
        </w:rPr>
        <w:t xml:space="preserve">L. </w:t>
      </w:r>
      <w:r w:rsidRPr="00CF0924">
        <w:rPr>
          <w:i/>
          <w:iCs/>
        </w:rPr>
        <w:t>h</w:t>
      </w:r>
      <w:r>
        <w:t xml:space="preserve">. </w:t>
      </w:r>
      <w:r w:rsidRPr="00CF0924">
        <w:rPr>
          <w:i/>
          <w:iCs/>
        </w:rPr>
        <w:t>herrei</w:t>
      </w:r>
      <w:r>
        <w:t xml:space="preserve"> and </w:t>
      </w:r>
      <w:r>
        <w:rPr>
          <w:i/>
          <w:iCs/>
        </w:rPr>
        <w:t>L. h</w:t>
      </w:r>
      <w:r>
        <w:t>.</w:t>
      </w:r>
      <w:r>
        <w:rPr>
          <w:i/>
          <w:iCs/>
        </w:rPr>
        <w:t xml:space="preserve"> medianus</w:t>
      </w:r>
      <w:r>
        <w:t xml:space="preserve"> by havng more midbody dorsal scales (20–24 vs. &lt; 15); from </w:t>
      </w:r>
      <w:r>
        <w:rPr>
          <w:i/>
        </w:rPr>
        <w:t>L</w:t>
      </w:r>
      <w:r>
        <w:t>.</w:t>
      </w:r>
      <w:r>
        <w:rPr>
          <w:i/>
        </w:rPr>
        <w:t xml:space="preserve"> babuyanensis</w:t>
      </w:r>
      <w:r>
        <w:rPr>
          <w:iCs/>
        </w:rPr>
        <w:t xml:space="preserve">, </w:t>
      </w:r>
      <w:r>
        <w:rPr>
          <w:i/>
          <w:iCs/>
        </w:rPr>
        <w:t xml:space="preserve">L. </w:t>
      </w:r>
      <w:r w:rsidRPr="00CF0924">
        <w:rPr>
          <w:i/>
          <w:iCs/>
        </w:rPr>
        <w:t>h</w:t>
      </w:r>
      <w:r>
        <w:t xml:space="preserve">. </w:t>
      </w:r>
      <w:r w:rsidRPr="00CF0924">
        <w:rPr>
          <w:i/>
          <w:iCs/>
        </w:rPr>
        <w:t>herrei</w:t>
      </w:r>
      <w:r>
        <w:t xml:space="preserve">, </w:t>
      </w:r>
      <w:r>
        <w:rPr>
          <w:i/>
          <w:iCs/>
        </w:rPr>
        <w:t>L. h</w:t>
      </w:r>
      <w:r>
        <w:t>.</w:t>
      </w:r>
      <w:r>
        <w:rPr>
          <w:i/>
          <w:iCs/>
        </w:rPr>
        <w:t xml:space="preserve"> medianus</w:t>
      </w:r>
      <w:r>
        <w:t xml:space="preserve">, </w:t>
      </w:r>
      <w:r>
        <w:rPr>
          <w:i/>
          <w:iCs/>
        </w:rPr>
        <w:t>L. nakahiwalay</w:t>
      </w:r>
      <w:r>
        <w:t xml:space="preserve">, and </w:t>
      </w:r>
      <w:r>
        <w:rPr>
          <w:i/>
        </w:rPr>
        <w:t xml:space="preserve">L. bakingibut </w:t>
      </w:r>
      <w:r>
        <w:rPr>
          <w:iCs/>
        </w:rPr>
        <w:t xml:space="preserve">by having </w:t>
      </w:r>
      <w:r>
        <w:t xml:space="preserve">more paravertebral scales (21–23 vs. &lt; 21); from </w:t>
      </w:r>
      <w:r>
        <w:rPr>
          <w:i/>
          <w:iCs/>
        </w:rPr>
        <w:t xml:space="preserve">L. </w:t>
      </w:r>
      <w:r w:rsidRPr="00126F0B">
        <w:rPr>
          <w:i/>
          <w:iCs/>
        </w:rPr>
        <w:t>aureolineatus</w:t>
      </w:r>
      <w:r>
        <w:t xml:space="preserve">, </w:t>
      </w:r>
      <w:r>
        <w:rPr>
          <w:i/>
        </w:rPr>
        <w:t>L</w:t>
      </w:r>
      <w:r>
        <w:t>.</w:t>
      </w:r>
      <w:r>
        <w:rPr>
          <w:i/>
        </w:rPr>
        <w:t xml:space="preserve"> babuyanensis</w:t>
      </w:r>
      <w:r>
        <w:rPr>
          <w:iCs/>
        </w:rPr>
        <w:t>,</w:t>
      </w:r>
      <w:r w:rsidRPr="007D72BB">
        <w:rPr>
          <w:i/>
        </w:rPr>
        <w:t xml:space="preserve"> </w:t>
      </w:r>
      <w:r>
        <w:rPr>
          <w:i/>
        </w:rPr>
        <w:t>L. christiani</w:t>
      </w:r>
      <w:r>
        <w:rPr>
          <w:iCs/>
        </w:rPr>
        <w:t>,</w:t>
      </w:r>
      <w:r>
        <w:t xml:space="preserve"> </w:t>
      </w:r>
      <w:r>
        <w:rPr>
          <w:i/>
          <w:iCs/>
        </w:rPr>
        <w:t xml:space="preserve">L. </w:t>
      </w:r>
      <w:r w:rsidRPr="00CF0924">
        <w:rPr>
          <w:i/>
          <w:iCs/>
        </w:rPr>
        <w:t>h</w:t>
      </w:r>
      <w:r>
        <w:t xml:space="preserve">. </w:t>
      </w:r>
      <w:r w:rsidRPr="00CF0924">
        <w:rPr>
          <w:i/>
          <w:iCs/>
        </w:rPr>
        <w:t>herrei</w:t>
      </w:r>
      <w:r>
        <w:t>,</w:t>
      </w:r>
      <w:r w:rsidRPr="007D72BB">
        <w:rPr>
          <w:i/>
          <w:iCs/>
        </w:rPr>
        <w:t xml:space="preserve"> </w:t>
      </w:r>
      <w:r>
        <w:rPr>
          <w:i/>
          <w:iCs/>
        </w:rPr>
        <w:t>L. h</w:t>
      </w:r>
      <w:r>
        <w:t>.</w:t>
      </w:r>
      <w:r>
        <w:rPr>
          <w:i/>
          <w:iCs/>
        </w:rPr>
        <w:t xml:space="preserve"> medianus</w:t>
      </w:r>
      <w:r>
        <w:t xml:space="preserve">, and </w:t>
      </w:r>
      <w:r>
        <w:rPr>
          <w:i/>
        </w:rPr>
        <w:t>L. labialis</w:t>
      </w:r>
      <w:r>
        <w:rPr>
          <w:iCs/>
        </w:rPr>
        <w:t xml:space="preserve"> </w:t>
      </w:r>
      <w:r>
        <w:t xml:space="preserve">by having more midbody ventral scales (15–17 vs. &lt; 15); from </w:t>
      </w:r>
      <w:r>
        <w:rPr>
          <w:i/>
          <w:iCs/>
        </w:rPr>
        <w:t xml:space="preserve">L. </w:t>
      </w:r>
      <w:r w:rsidRPr="00126F0B">
        <w:rPr>
          <w:i/>
          <w:iCs/>
        </w:rPr>
        <w:t>aureolineatus</w:t>
      </w:r>
      <w:r>
        <w:t xml:space="preserve">, </w:t>
      </w:r>
      <w:r>
        <w:rPr>
          <w:i/>
        </w:rPr>
        <w:t>L</w:t>
      </w:r>
      <w:r>
        <w:t>.</w:t>
      </w:r>
      <w:r>
        <w:rPr>
          <w:i/>
        </w:rPr>
        <w:t xml:space="preserve"> babuyanensis</w:t>
      </w:r>
      <w:r>
        <w:rPr>
          <w:iCs/>
        </w:rPr>
        <w:t>,</w:t>
      </w:r>
      <w:r>
        <w:t xml:space="preserve"> </w:t>
      </w:r>
      <w:r>
        <w:rPr>
          <w:i/>
          <w:iCs/>
        </w:rPr>
        <w:t xml:space="preserve">L. </w:t>
      </w:r>
      <w:r w:rsidRPr="00CF0924">
        <w:rPr>
          <w:i/>
          <w:iCs/>
        </w:rPr>
        <w:t>h</w:t>
      </w:r>
      <w:r>
        <w:t xml:space="preserve">. </w:t>
      </w:r>
      <w:r w:rsidRPr="00CF0924">
        <w:rPr>
          <w:i/>
          <w:iCs/>
        </w:rPr>
        <w:t>herrei</w:t>
      </w:r>
      <w:r>
        <w:t>,</w:t>
      </w:r>
      <w:r>
        <w:rPr>
          <w:i/>
          <w:iCs/>
        </w:rPr>
        <w:t xml:space="preserve"> L. h</w:t>
      </w:r>
      <w:r>
        <w:t>.</w:t>
      </w:r>
      <w:r>
        <w:rPr>
          <w:i/>
          <w:iCs/>
        </w:rPr>
        <w:t xml:space="preserve"> medianus</w:t>
      </w:r>
      <w:r>
        <w:t xml:space="preserve">, and </w:t>
      </w:r>
      <w:r>
        <w:rPr>
          <w:i/>
        </w:rPr>
        <w:t>L. labialis</w:t>
      </w:r>
      <w:r>
        <w:t xml:space="preserve"> by having more ventral scales (15–18 vs &lt; 15); from </w:t>
      </w:r>
      <w:r>
        <w:rPr>
          <w:i/>
        </w:rPr>
        <w:t>L. bakingibut</w:t>
      </w:r>
      <w:r>
        <w:rPr>
          <w:iCs/>
        </w:rPr>
        <w:t xml:space="preserve"> by having more supralabial scales (13 vs. 11–12); from </w:t>
      </w:r>
      <w:r>
        <w:rPr>
          <w:i/>
          <w:iCs/>
        </w:rPr>
        <w:t xml:space="preserve">L. </w:t>
      </w:r>
      <w:r w:rsidRPr="00126F0B">
        <w:rPr>
          <w:i/>
          <w:iCs/>
        </w:rPr>
        <w:t>aureolineatus</w:t>
      </w:r>
      <w:r>
        <w:t xml:space="preserve">, </w:t>
      </w:r>
      <w:r>
        <w:rPr>
          <w:i/>
          <w:iCs/>
        </w:rPr>
        <w:t xml:space="preserve">L. </w:t>
      </w:r>
      <w:r w:rsidRPr="00CF0924">
        <w:rPr>
          <w:i/>
          <w:iCs/>
        </w:rPr>
        <w:t>h</w:t>
      </w:r>
      <w:r>
        <w:t xml:space="preserve">. </w:t>
      </w:r>
      <w:r w:rsidRPr="00CF0924">
        <w:rPr>
          <w:i/>
          <w:iCs/>
        </w:rPr>
        <w:t>herrei</w:t>
      </w:r>
      <w:r>
        <w:t xml:space="preserve">, </w:t>
      </w:r>
      <w:r>
        <w:rPr>
          <w:i/>
        </w:rPr>
        <w:t>L. labialis</w:t>
      </w:r>
      <w:r>
        <w:rPr>
          <w:iCs/>
        </w:rPr>
        <w:t xml:space="preserve">, and </w:t>
      </w:r>
      <w:r>
        <w:rPr>
          <w:i/>
        </w:rPr>
        <w:t xml:space="preserve">L. planicaudus </w:t>
      </w:r>
      <w:r>
        <w:rPr>
          <w:iCs/>
        </w:rPr>
        <w:t>by having more</w:t>
      </w:r>
      <w:r>
        <w:rPr>
          <w:i/>
        </w:rPr>
        <w:t xml:space="preserve"> </w:t>
      </w:r>
      <w:r>
        <w:t xml:space="preserve">circumnasal scales (4 vs. 3); from </w:t>
      </w:r>
      <w:r>
        <w:rPr>
          <w:i/>
          <w:iCs/>
        </w:rPr>
        <w:t>L. nakahiwalay</w:t>
      </w:r>
      <w:r>
        <w:t xml:space="preserve"> by having more total scansors on Finger III (9–12 vs. 7); from </w:t>
      </w:r>
      <w:r>
        <w:rPr>
          <w:i/>
          <w:iCs/>
        </w:rPr>
        <w:t xml:space="preserve">L. </w:t>
      </w:r>
      <w:r w:rsidRPr="00CF0924">
        <w:rPr>
          <w:i/>
          <w:iCs/>
        </w:rPr>
        <w:t>h</w:t>
      </w:r>
      <w:r>
        <w:t xml:space="preserve">. </w:t>
      </w:r>
      <w:r w:rsidRPr="00CF0924">
        <w:rPr>
          <w:i/>
          <w:iCs/>
        </w:rPr>
        <w:t>herrei</w:t>
      </w:r>
      <w:r>
        <w:t xml:space="preserve">, </w:t>
      </w:r>
      <w:r>
        <w:rPr>
          <w:i/>
          <w:iCs/>
        </w:rPr>
        <w:t>L. h</w:t>
      </w:r>
      <w:r>
        <w:t>.</w:t>
      </w:r>
      <w:r>
        <w:rPr>
          <w:i/>
          <w:iCs/>
        </w:rPr>
        <w:t xml:space="preserve"> medianus</w:t>
      </w:r>
      <w:r>
        <w:t xml:space="preserve">, and </w:t>
      </w:r>
      <w:r>
        <w:rPr>
          <w:i/>
        </w:rPr>
        <w:t>L. labialis</w:t>
      </w:r>
      <w:r>
        <w:rPr>
          <w:iCs/>
        </w:rPr>
        <w:t xml:space="preserve"> </w:t>
      </w:r>
      <w:r>
        <w:t>by having a moderate number of precloacofemoral pores (23–27 vs. &lt; 14 [</w:t>
      </w:r>
      <w:r>
        <w:rPr>
          <w:i/>
        </w:rPr>
        <w:t>L. labialis</w:t>
      </w:r>
      <w:r>
        <w:t>], &gt; 30 [</w:t>
      </w:r>
      <w:r>
        <w:rPr>
          <w:i/>
          <w:iCs/>
        </w:rPr>
        <w:t xml:space="preserve">L. </w:t>
      </w:r>
      <w:r w:rsidRPr="00CF0924">
        <w:rPr>
          <w:i/>
          <w:iCs/>
        </w:rPr>
        <w:t>h</w:t>
      </w:r>
      <w:r>
        <w:t xml:space="preserve">. </w:t>
      </w:r>
      <w:r w:rsidRPr="00CF0924">
        <w:rPr>
          <w:i/>
          <w:iCs/>
        </w:rPr>
        <w:t>herrei</w:t>
      </w:r>
      <w:r>
        <w:t xml:space="preserve">, </w:t>
      </w:r>
      <w:r>
        <w:rPr>
          <w:i/>
          <w:iCs/>
        </w:rPr>
        <w:t>L. h</w:t>
      </w:r>
      <w:r>
        <w:t>.</w:t>
      </w:r>
      <w:r>
        <w:rPr>
          <w:i/>
          <w:iCs/>
        </w:rPr>
        <w:t xml:space="preserve"> medianus</w:t>
      </w:r>
      <w:r>
        <w:t xml:space="preserve">]); from </w:t>
      </w:r>
      <w:r>
        <w:rPr>
          <w:i/>
        </w:rPr>
        <w:t>L. labialis</w:t>
      </w:r>
      <w:r>
        <w:rPr>
          <w:iCs/>
        </w:rPr>
        <w:t xml:space="preserve"> by having </w:t>
      </w:r>
      <w:r w:rsidRPr="00E7423F">
        <w:t>a linear pore series shape (vs. v</w:t>
      </w:r>
      <w:r>
        <w:t>-</w:t>
      </w:r>
      <w:r w:rsidRPr="00E7423F">
        <w:t>shaped</w:t>
      </w:r>
      <w:r>
        <w:t>), a rostral scale that is not cleft (vs. cleft),</w:t>
      </w:r>
      <w:r w:rsidRPr="002E42EC">
        <w:t xml:space="preserve"> </w:t>
      </w:r>
      <w:r>
        <w:t xml:space="preserve">more webbing between Toes II and III (1–2 vs. 0) and more cloacal spurs (1–2 vs. 0); from </w:t>
      </w:r>
      <w:r>
        <w:rPr>
          <w:i/>
        </w:rPr>
        <w:t>L. labialis</w:t>
      </w:r>
      <w:r w:rsidRPr="002E42EC">
        <w:t xml:space="preserve"> </w:t>
      </w:r>
      <w:r>
        <w:t xml:space="preserve">and </w:t>
      </w:r>
      <w:r>
        <w:rPr>
          <w:i/>
        </w:rPr>
        <w:t xml:space="preserve">L. balioburius </w:t>
      </w:r>
      <w:r>
        <w:rPr>
          <w:iCs/>
        </w:rPr>
        <w:t xml:space="preserve">by having more webbing between </w:t>
      </w:r>
      <w:r>
        <w:t xml:space="preserve">Toes III and IV (2–3 vs. &gt; 2); from </w:t>
      </w:r>
      <w:r>
        <w:rPr>
          <w:i/>
          <w:iCs/>
        </w:rPr>
        <w:t>L. nakahiwalay</w:t>
      </w:r>
      <w:r>
        <w:t xml:space="preserve"> by having a larger relative snout–forearm length (35.1–39.1% SVL vs. &lt; 34.4%),</w:t>
      </w:r>
      <w:r w:rsidRPr="002E42EC">
        <w:t xml:space="preserve"> </w:t>
      </w:r>
      <w:r>
        <w:t>relative crus length (12.3–16.5% SVL vs. 11.8%),</w:t>
      </w:r>
      <w:r w:rsidRPr="002E42EC">
        <w:t xml:space="preserve"> </w:t>
      </w:r>
      <w:r>
        <w:t xml:space="preserve">and relative total leg length (26.3–31.9% SVL vs. &lt; 26.2%); from </w:t>
      </w:r>
      <w:r>
        <w:rPr>
          <w:i/>
        </w:rPr>
        <w:t>L. bakingibut</w:t>
      </w:r>
      <w:r>
        <w:rPr>
          <w:iCs/>
        </w:rPr>
        <w:t xml:space="preserve"> by having a smaller eye–nostril distance relative to head length (23.4–30.5% head length vs. &gt; 32.3%); and from </w:t>
      </w:r>
      <w:r>
        <w:rPr>
          <w:i/>
          <w:iCs/>
        </w:rPr>
        <w:t xml:space="preserve">L. </w:t>
      </w:r>
      <w:r w:rsidRPr="00126F0B">
        <w:rPr>
          <w:i/>
          <w:iCs/>
        </w:rPr>
        <w:t>aureolineatus</w:t>
      </w:r>
      <w:r>
        <w:t xml:space="preserve">, </w:t>
      </w:r>
      <w:r>
        <w:rPr>
          <w:i/>
          <w:iCs/>
        </w:rPr>
        <w:t xml:space="preserve">L. </w:t>
      </w:r>
      <w:r w:rsidRPr="00CF0924">
        <w:rPr>
          <w:i/>
          <w:iCs/>
        </w:rPr>
        <w:t>h</w:t>
      </w:r>
      <w:r>
        <w:t xml:space="preserve">. </w:t>
      </w:r>
      <w:r w:rsidRPr="00CF0924">
        <w:rPr>
          <w:i/>
          <w:iCs/>
        </w:rPr>
        <w:t>herrei</w:t>
      </w:r>
      <w:r>
        <w:t xml:space="preserve">, and </w:t>
      </w:r>
      <w:r>
        <w:rPr>
          <w:i/>
          <w:iCs/>
        </w:rPr>
        <w:t>L. h</w:t>
      </w:r>
      <w:r>
        <w:t>.</w:t>
      </w:r>
      <w:r>
        <w:rPr>
          <w:i/>
          <w:iCs/>
        </w:rPr>
        <w:t xml:space="preserve"> medianus</w:t>
      </w:r>
      <w:r>
        <w:t xml:space="preserve"> by having a greater eye diameter relative to head length (21.8–25.3% head length vs. &lt; 21.7%).</w:t>
      </w:r>
    </w:p>
    <w:p w14:paraId="12DB8335" w14:textId="77777777" w:rsidR="00F6339D" w:rsidRPr="00C208FA" w:rsidRDefault="00F6339D" w:rsidP="00F6339D">
      <w:pPr>
        <w:pStyle w:val="NormalWeb"/>
        <w:spacing w:before="0" w:beforeAutospacing="0" w:after="0" w:afterAutospacing="0" w:line="480" w:lineRule="auto"/>
        <w:ind w:firstLine="360"/>
      </w:pPr>
      <w:r w:rsidRPr="0064671B">
        <w:rPr>
          <w:b/>
          <w:bCs/>
        </w:rPr>
        <w:t>Description of holotype.</w:t>
      </w:r>
      <w:r w:rsidRPr="00E7423F">
        <w:t>—Adult male</w:t>
      </w:r>
      <w:r>
        <w:t xml:space="preserve"> in</w:t>
      </w:r>
      <w:r w:rsidRPr="00E7423F">
        <w:t xml:space="preserve"> good condition; small incision in ventral surface from retrieval of genetic sample. Body moderate, SVL </w:t>
      </w:r>
      <w:r>
        <w:t>36</w:t>
      </w:r>
      <w:r w:rsidRPr="00E7423F">
        <w:t>.</w:t>
      </w:r>
      <w:r>
        <w:t>8</w:t>
      </w:r>
      <w:r w:rsidRPr="00E7423F">
        <w:t xml:space="preserve"> mm</w:t>
      </w:r>
      <w:r>
        <w:t>, a</w:t>
      </w:r>
      <w:r w:rsidRPr="00E7423F">
        <w:t xml:space="preserve">xilla–groin distance </w:t>
      </w:r>
      <w:r>
        <w:t>47</w:t>
      </w:r>
      <w:r w:rsidRPr="00E7423F">
        <w:t>.</w:t>
      </w:r>
      <w:r>
        <w:t>3</w:t>
      </w:r>
      <w:r w:rsidRPr="00E7423F">
        <w:t>% SVL; limbs well developed, moderately slender; tail original, wide</w:t>
      </w:r>
      <w:r>
        <w:t>, somewhat ornamental</w:t>
      </w:r>
      <w:r w:rsidRPr="00E7423F">
        <w:t>; margins of limbs smooth, lacking cutaneous flaps or dermal folds; trunk lacking ventrolateral cutaneous fold.</w:t>
      </w:r>
    </w:p>
    <w:p w14:paraId="0A453BA9" w14:textId="77777777" w:rsidR="00F6339D" w:rsidRPr="00E7423F" w:rsidRDefault="00F6339D" w:rsidP="00F6339D">
      <w:pPr>
        <w:pStyle w:val="NormalWeb"/>
        <w:spacing w:before="0" w:beforeAutospacing="0" w:after="0" w:afterAutospacing="0" w:line="480" w:lineRule="auto"/>
        <w:ind w:firstLine="360"/>
      </w:pPr>
      <w:r w:rsidRPr="00FA2994">
        <w:t>Head moderate in size, largely undifferentiated from neck due to hypertrophied temporal musculature; snout rounded in dorsal and lateral aspects;</w:t>
      </w:r>
      <w:r w:rsidRPr="00E7423F">
        <w:t xml:space="preserve"> </w:t>
      </w:r>
      <w:r>
        <w:t>head length</w:t>
      </w:r>
      <w:r w:rsidRPr="00E7423F">
        <w:t xml:space="preserve"> 2</w:t>
      </w:r>
      <w:r>
        <w:t>9</w:t>
      </w:r>
      <w:r w:rsidRPr="00E7423F">
        <w:t>.</w:t>
      </w:r>
      <w:r>
        <w:t>6</w:t>
      </w:r>
      <w:r w:rsidRPr="00E7423F">
        <w:t>% SVL</w:t>
      </w:r>
      <w:r>
        <w:t>,</w:t>
      </w:r>
      <w:r w:rsidRPr="00E7423F">
        <w:t xml:space="preserve"> 2</w:t>
      </w:r>
      <w:r>
        <w:t>09</w:t>
      </w:r>
      <w:r w:rsidRPr="00E7423F">
        <w:t>.</w:t>
      </w:r>
      <w:r>
        <w:t>7</w:t>
      </w:r>
      <w:r w:rsidRPr="00E7423F">
        <w:t xml:space="preserve">% </w:t>
      </w:r>
      <w:r>
        <w:t>head height</w:t>
      </w:r>
      <w:r w:rsidRPr="00E7423F">
        <w:t xml:space="preserve">; </w:t>
      </w:r>
      <w:r>
        <w:t>head width</w:t>
      </w:r>
      <w:r w:rsidRPr="00E7423F">
        <w:t xml:space="preserve"> 6</w:t>
      </w:r>
      <w:r>
        <w:t>8</w:t>
      </w:r>
      <w:r w:rsidRPr="00E7423F">
        <w:t>.</w:t>
      </w:r>
      <w:r>
        <w:t>8</w:t>
      </w:r>
      <w:r w:rsidRPr="00E7423F">
        <w:t xml:space="preserve">% </w:t>
      </w:r>
      <w:r>
        <w:t>head length</w:t>
      </w:r>
      <w:r w:rsidRPr="00E7423F">
        <w:t>, 1</w:t>
      </w:r>
      <w:r>
        <w:t>44</w:t>
      </w:r>
      <w:r w:rsidRPr="00E7423F">
        <w:t>.</w:t>
      </w:r>
      <w:r>
        <w:t>2</w:t>
      </w:r>
      <w:r w:rsidRPr="00E7423F">
        <w:t xml:space="preserve">% </w:t>
      </w:r>
      <w:r>
        <w:t>head height</w:t>
      </w:r>
      <w:r w:rsidRPr="00E7423F">
        <w:t xml:space="preserve">; </w:t>
      </w:r>
      <w:r>
        <w:t>snout length</w:t>
      </w:r>
      <w:r w:rsidRPr="00E7423F">
        <w:t xml:space="preserve"> 3</w:t>
      </w:r>
      <w:r>
        <w:t>7</w:t>
      </w:r>
      <w:r w:rsidRPr="00E7423F">
        <w:t>.</w:t>
      </w:r>
      <w:r>
        <w:t>6</w:t>
      </w:r>
      <w:r w:rsidRPr="00E7423F">
        <w:t xml:space="preserve">% </w:t>
      </w:r>
      <w:r>
        <w:t>head length, 54</w:t>
      </w:r>
      <w:r w:rsidRPr="00E7423F">
        <w:t>.</w:t>
      </w:r>
      <w:r>
        <w:t>7</w:t>
      </w:r>
      <w:r w:rsidRPr="00E7423F">
        <w:t xml:space="preserve">% </w:t>
      </w:r>
      <w:r>
        <w:t>head width</w:t>
      </w:r>
      <w:r w:rsidRPr="00E7423F">
        <w:t>; dorsal surfaces of head homogeneous, with only slight prefrontal and interorbital concavities present; auricular opening large, ovoid, angled slightly anteroventrally and posterodorsally, positioned anterior to temporal swellings on either side of head; eye moderate; pupil vertical, margin straight; n</w:t>
      </w:r>
      <w:r>
        <w:t>ostril</w:t>
      </w:r>
      <w:r w:rsidRPr="00E7423F">
        <w:t xml:space="preserve"> contacting first supralabial,</w:t>
      </w:r>
      <w:r>
        <w:t xml:space="preserve"> not contacting</w:t>
      </w:r>
      <w:r w:rsidRPr="00E7423F">
        <w:t xml:space="preserve"> rostral; limbs and digits moderate in length, and moderately slender; legs longer than arms, thighs moderately thicker compared to brachium; </w:t>
      </w:r>
      <w:r>
        <w:t>thigh length</w:t>
      </w:r>
      <w:r w:rsidRPr="00E7423F">
        <w:t xml:space="preserve"> 1</w:t>
      </w:r>
      <w:r>
        <w:t>12</w:t>
      </w:r>
      <w:r w:rsidRPr="00E7423F">
        <w:t>.</w:t>
      </w:r>
      <w:r>
        <w:t>5</w:t>
      </w:r>
      <w:r w:rsidRPr="00E7423F">
        <w:t xml:space="preserve">% </w:t>
      </w:r>
      <w:r>
        <w:t>crus length</w:t>
      </w:r>
      <w:r w:rsidRPr="00E7423F">
        <w:t xml:space="preserve">; </w:t>
      </w:r>
      <w:r>
        <w:t>leg length</w:t>
      </w:r>
      <w:r w:rsidRPr="00E7423F">
        <w:t xml:space="preserve"> 27.</w:t>
      </w:r>
      <w:r>
        <w:t>7</w:t>
      </w:r>
      <w:r w:rsidRPr="00E7423F">
        <w:t>% SVL, 13</w:t>
      </w:r>
      <w:r>
        <w:t>6</w:t>
      </w:r>
      <w:r w:rsidRPr="00E7423F">
        <w:t>.</w:t>
      </w:r>
      <w:r>
        <w:t>0</w:t>
      </w:r>
      <w:r w:rsidRPr="00E7423F">
        <w:t xml:space="preserve">% </w:t>
      </w:r>
      <w:r>
        <w:t>arm length</w:t>
      </w:r>
      <w:r w:rsidRPr="00E7423F">
        <w:t>.</w:t>
      </w:r>
    </w:p>
    <w:p w14:paraId="1D0E66BD" w14:textId="77777777" w:rsidR="00F6339D" w:rsidRPr="00C208FA" w:rsidRDefault="00F6339D" w:rsidP="00F6339D">
      <w:pPr>
        <w:pStyle w:val="NormalWeb"/>
        <w:spacing w:before="0" w:beforeAutospacing="0" w:after="0" w:afterAutospacing="0" w:line="480" w:lineRule="auto"/>
        <w:ind w:firstLine="360"/>
      </w:pPr>
      <w:r w:rsidRPr="0071481D">
        <w:t xml:space="preserve">Rostral </w:t>
      </w:r>
      <w:r>
        <w:t xml:space="preserve">somewhat </w:t>
      </w:r>
      <w:r w:rsidRPr="0071481D">
        <w:t>rectangular in anterior view, not cleft, bordered laterally by first supralabials, postero</w:t>
      </w:r>
      <w:r>
        <w:t>lateral</w:t>
      </w:r>
      <w:r w:rsidRPr="0071481D">
        <w:t xml:space="preserve">ly </w:t>
      </w:r>
      <w:r>
        <w:t xml:space="preserve">by anterior-most </w:t>
      </w:r>
      <w:r w:rsidRPr="0071481D">
        <w:t>enlarged circumnasals</w:t>
      </w:r>
      <w:r>
        <w:t>,</w:t>
      </w:r>
      <w:r w:rsidRPr="0071481D">
        <w:t xml:space="preserve"> and</w:t>
      </w:r>
      <w:r>
        <w:t xml:space="preserve"> posteriorly by</w:t>
      </w:r>
      <w:r w:rsidRPr="0071481D">
        <w:t xml:space="preserve"> </w:t>
      </w:r>
      <w:r>
        <w:t>two</w:t>
      </w:r>
      <w:r w:rsidRPr="0071481D">
        <w:t xml:space="preserve"> additional scales (=</w:t>
      </w:r>
      <w:r>
        <w:t xml:space="preserve"> </w:t>
      </w:r>
      <w:r w:rsidRPr="0071481D">
        <w:t>four snout scales); nostril surrounded by first supralabial and four equally sized enlarged circumnasals; supranasals separated by four heterogeneously sized median scales.</w:t>
      </w:r>
    </w:p>
    <w:p w14:paraId="4C8817CF" w14:textId="77777777" w:rsidR="00F6339D" w:rsidRPr="00E7423F" w:rsidRDefault="00F6339D" w:rsidP="00F6339D">
      <w:pPr>
        <w:pStyle w:val="NormalWeb"/>
        <w:spacing w:before="0" w:beforeAutospacing="0" w:after="0" w:afterAutospacing="0" w:line="480" w:lineRule="auto"/>
        <w:ind w:firstLine="360"/>
        <w:rPr>
          <w:highlight w:val="yellow"/>
        </w:rPr>
      </w:pPr>
      <w:r w:rsidRPr="00E7423F">
        <w:t xml:space="preserve">Total number of differentiated supralabials </w:t>
      </w:r>
      <w:r w:rsidRPr="0071481D">
        <w:t>13/12</w:t>
      </w:r>
      <w:r w:rsidRPr="00E7423F">
        <w:t xml:space="preserve">; total number of differentiated infralabials </w:t>
      </w:r>
      <w:r w:rsidRPr="0071481D">
        <w:t>11/1</w:t>
      </w:r>
      <w:r>
        <w:t>2</w:t>
      </w:r>
      <w:r w:rsidRPr="0071481D">
        <w:t>,</w:t>
      </w:r>
      <w:r w:rsidRPr="00E7423F">
        <w:t xml:space="preserve"> bordered ventrally by slightly enlarged chin and undifferentiated gular scales; total number of chin scales between second and third infralabials </w:t>
      </w:r>
      <w:r>
        <w:t>eight</w:t>
      </w:r>
      <w:r w:rsidRPr="00E7423F">
        <w:t xml:space="preserve">; number of enlarged scale rows adjacent to chin </w:t>
      </w:r>
      <w:r w:rsidRPr="0071481D">
        <w:t xml:space="preserve">scales </w:t>
      </w:r>
      <w:r>
        <w:t>one</w:t>
      </w:r>
      <w:r w:rsidRPr="0071481D">
        <w:t xml:space="preserve"> or </w:t>
      </w:r>
      <w:r>
        <w:t>two</w:t>
      </w:r>
      <w:r w:rsidRPr="0071481D">
        <w:t xml:space="preserve"> until fourth or fifth infralabials; patch of enlarged gular scales on anterior end of gular</w:t>
      </w:r>
      <w:r w:rsidRPr="00E7423F">
        <w:t xml:space="preserve"> region continuing to a point in line with </w:t>
      </w:r>
      <w:r>
        <w:t>fifth</w:t>
      </w:r>
      <w:r w:rsidRPr="00E7423F">
        <w:t xml:space="preserve"> infralabial on both side</w:t>
      </w:r>
      <w:r>
        <w:t>s</w:t>
      </w:r>
      <w:r w:rsidRPr="00E7423F">
        <w:t>.</w:t>
      </w:r>
    </w:p>
    <w:p w14:paraId="1C062E0D" w14:textId="77777777" w:rsidR="00F6339D" w:rsidRPr="00E7423F" w:rsidRDefault="00F6339D" w:rsidP="00F6339D">
      <w:pPr>
        <w:pStyle w:val="NormalWeb"/>
        <w:spacing w:before="0" w:beforeAutospacing="0" w:after="0" w:afterAutospacing="0" w:line="480" w:lineRule="auto"/>
        <w:ind w:firstLine="360"/>
      </w:pPr>
      <w:r w:rsidRPr="00E7423F">
        <w:t>Dorsal cephalic scales fairly homogeneous in size, shape, disposition, and distribution; cephalic scalation slightly convex, primarily round scales; prefrontal and interorbital depressions slight; undifferentiated posterior head scales slightly convex; gular and throat scales small, oval, rounded, and nonimbricate, making a moderately sharp transition in scalation towards posterior of end of neck on ventral surface, with enlarged rounded, hexagonal, non</w:t>
      </w:r>
      <w:r>
        <w:t>-</w:t>
      </w:r>
      <w:r w:rsidRPr="00E7423F">
        <w:t xml:space="preserve">overlapping scales; circumorbitals </w:t>
      </w:r>
      <w:r>
        <w:t>38</w:t>
      </w:r>
      <w:r w:rsidRPr="00E7423F">
        <w:t xml:space="preserve"> (L).</w:t>
      </w:r>
      <w:r>
        <w:t xml:space="preserve"> Dorsal body scales </w:t>
      </w:r>
      <w:r w:rsidRPr="00E7423F">
        <w:t>round, convex, juxtaposed, relatively homogeneous in size; dorsals gradually transition to sub</w:t>
      </w:r>
      <w:r>
        <w:t>-</w:t>
      </w:r>
      <w:r w:rsidRPr="00E7423F">
        <w:t>imbricate to non</w:t>
      </w:r>
      <w:r>
        <w:t>-</w:t>
      </w:r>
      <w:r w:rsidRPr="00E7423F">
        <w:t xml:space="preserve">overlapping ventrals along lateral body surface; midbody dorsal scales within one eye diameter </w:t>
      </w:r>
      <w:r>
        <w:t>21</w:t>
      </w:r>
      <w:r w:rsidRPr="00E7423F">
        <w:t xml:space="preserve">; paravertebral scales within one eye diameter </w:t>
      </w:r>
      <w:r>
        <w:t>21</w:t>
      </w:r>
      <w:r w:rsidRPr="00E7423F">
        <w:t>; midbody ventral scales within one eye diameter 1</w:t>
      </w:r>
      <w:r>
        <w:t>6</w:t>
      </w:r>
      <w:r w:rsidRPr="00E7423F">
        <w:t>; ventral scales within one eye diameter 1</w:t>
      </w:r>
      <w:r>
        <w:t>6</w:t>
      </w:r>
      <w:r w:rsidRPr="00E7423F">
        <w:t>; scales on dorsal surfaces of limbs undifferentiated from dorsals; scales on dorsal surfaces of hands and feet similar to dorsal limb scales; ventral body scales flat, rounded, hexagonal, sub</w:t>
      </w:r>
      <w:r>
        <w:t>-</w:t>
      </w:r>
      <w:r w:rsidRPr="00E7423F">
        <w:t>imbricate to non</w:t>
      </w:r>
      <w:r>
        <w:t>-</w:t>
      </w:r>
      <w:r w:rsidRPr="00E7423F">
        <w:t>overlapping, much larger than dorsal body scales, relatively homogeneous in size.</w:t>
      </w:r>
      <w:r>
        <w:t xml:space="preserve"> </w:t>
      </w:r>
      <w:r w:rsidRPr="0071481D">
        <w:t xml:space="preserve">Enlarged </w:t>
      </w:r>
      <w:r>
        <w:t>precloacofemoral</w:t>
      </w:r>
      <w:r w:rsidRPr="0071481D">
        <w:t xml:space="preserve"> pore</w:t>
      </w:r>
      <w:r>
        <w:t>-</w:t>
      </w:r>
      <w:r w:rsidRPr="0071481D">
        <w:t>bearing scales in a continuous, linear row 23; rectangular patch of moderately enlarged precloacal scales directly posterior to pore series and anterior to cloacal opening.</w:t>
      </w:r>
    </w:p>
    <w:p w14:paraId="342177FF" w14:textId="77777777" w:rsidR="00F6339D" w:rsidRPr="00E7423F" w:rsidRDefault="00F6339D" w:rsidP="00F6339D">
      <w:pPr>
        <w:pStyle w:val="NormalWeb"/>
        <w:spacing w:before="0" w:beforeAutospacing="0" w:after="0" w:afterAutospacing="0" w:line="480" w:lineRule="auto"/>
        <w:ind w:firstLine="360"/>
      </w:pPr>
      <w:r w:rsidRPr="00E7423F">
        <w:t>Digits moderately expanded and covered on palmar surface proximally with undivided bowed scansors and distally with divided scansors; total scansors on Finger III 1</w:t>
      </w:r>
      <w:r>
        <w:t>0</w:t>
      </w:r>
      <w:r w:rsidRPr="00E7423F">
        <w:t xml:space="preserve">, first divided scansor on Finger III scansor </w:t>
      </w:r>
      <w:r>
        <w:t>eight</w:t>
      </w:r>
      <w:r w:rsidRPr="00E7423F">
        <w:t>, last divided scansor on Finger III scansor 1</w:t>
      </w:r>
      <w:r>
        <w:t>0</w:t>
      </w:r>
      <w:r w:rsidRPr="00E7423F">
        <w:t>; total scansors on Toe IV 1</w:t>
      </w:r>
      <w:r>
        <w:t>0</w:t>
      </w:r>
      <w:r w:rsidRPr="00E7423F">
        <w:t xml:space="preserve">, first divided scansor on Toe IV scansor </w:t>
      </w:r>
      <w:r>
        <w:t>eight</w:t>
      </w:r>
      <w:r w:rsidRPr="00E7423F">
        <w:t>, last divided scansor on Toe IV scansor 1</w:t>
      </w:r>
      <w:r>
        <w:t>0</w:t>
      </w:r>
      <w:r w:rsidRPr="00E7423F">
        <w:t xml:space="preserve">; webbing between Toes II and III </w:t>
      </w:r>
      <w:r>
        <w:t>two</w:t>
      </w:r>
      <w:r w:rsidRPr="00E7423F">
        <w:t xml:space="preserve">, between Toes III and IV </w:t>
      </w:r>
      <w:r>
        <w:t>two</w:t>
      </w:r>
      <w:r w:rsidRPr="00E7423F">
        <w:t>.</w:t>
      </w:r>
    </w:p>
    <w:p w14:paraId="03055239" w14:textId="77777777" w:rsidR="00F6339D" w:rsidRPr="00C95CB9" w:rsidRDefault="00F6339D" w:rsidP="00F6339D">
      <w:pPr>
        <w:pStyle w:val="NormalWeb"/>
        <w:spacing w:before="0" w:beforeAutospacing="0" w:after="0" w:afterAutospacing="0" w:line="480" w:lineRule="auto"/>
        <w:ind w:firstLine="360"/>
      </w:pPr>
      <w:r>
        <w:t xml:space="preserve">Tail </w:t>
      </w:r>
      <w:r w:rsidRPr="00E7423F">
        <w:t>round, wide</w:t>
      </w:r>
      <w:r>
        <w:t>, length moderate, 113</w:t>
      </w:r>
      <w:r w:rsidRPr="00E7423F">
        <w:t>.</w:t>
      </w:r>
      <w:r>
        <w:t>9</w:t>
      </w:r>
      <w:r w:rsidRPr="00E7423F">
        <w:t xml:space="preserve"> % SVL; </w:t>
      </w:r>
      <w:r>
        <w:t>tail width</w:t>
      </w:r>
      <w:r w:rsidRPr="00E7423F">
        <w:t xml:space="preserve"> 1</w:t>
      </w:r>
      <w:r>
        <w:t>96</w:t>
      </w:r>
      <w:r w:rsidRPr="00E7423F">
        <w:t>.</w:t>
      </w:r>
      <w:r>
        <w:t>8</w:t>
      </w:r>
      <w:r w:rsidRPr="00E7423F">
        <w:t xml:space="preserve">% </w:t>
      </w:r>
      <w:r>
        <w:t>tail diameter</w:t>
      </w:r>
      <w:r w:rsidRPr="00E7423F">
        <w:t xml:space="preserve">; </w:t>
      </w:r>
      <w:r>
        <w:t xml:space="preserve">intermittent enlarged scales resembling spikes present along lateral sides; </w:t>
      </w:r>
      <w:r w:rsidRPr="00E7423F">
        <w:t>caudals slightly convex, much more sub</w:t>
      </w:r>
      <w:r>
        <w:t>-</w:t>
      </w:r>
      <w:r w:rsidRPr="00E7423F">
        <w:t xml:space="preserve">rectangular than dorsals, subcaudals much more rectangular than ventrals; ventrolateral ridge with intermittent, enlarged, imbricate scales present; cloacal spurs at base of tail </w:t>
      </w:r>
      <w:r>
        <w:t>two</w:t>
      </w:r>
      <w:r w:rsidRPr="00E7423F">
        <w:t>.</w:t>
      </w:r>
    </w:p>
    <w:p w14:paraId="7E300D59" w14:textId="77777777" w:rsidR="00F6339D" w:rsidRDefault="00F6339D" w:rsidP="00F6339D">
      <w:pPr>
        <w:pStyle w:val="NormalWeb"/>
        <w:spacing w:before="0" w:beforeAutospacing="0" w:after="0" w:afterAutospacing="0" w:line="480" w:lineRule="auto"/>
        <w:ind w:firstLine="360"/>
      </w:pPr>
      <w:r w:rsidRPr="00803901">
        <w:rPr>
          <w:b/>
          <w:bCs/>
        </w:rPr>
        <w:t>Coloration of holotype in preservative.</w:t>
      </w:r>
      <w:r w:rsidRPr="00DA4D0D">
        <w:t>—</w:t>
      </w:r>
      <w:r>
        <w:t>Dorsal surfaces of body, limbs, and tail Glaucous (Color 272) mottled with faint patches of Hair Brown (Color 277); posterior regions of head similar in color to body but transitions to Raw Umber (Color 280) anteriorly towards snout; ventral surfaces of head body and limbs Smoke Gray (Color 266) with small specks of Hair Brown (Color 277) present; ventral surface of tail shows similar coloration to body, however with increased Hair Brown (Color 277) present; base coloration of tail gradually transitions form Smoke Gray (Color 266) to Sepia (Color 279) posteriorly.</w:t>
      </w:r>
    </w:p>
    <w:p w14:paraId="147D1BD4" w14:textId="77777777" w:rsidR="00F6339D" w:rsidRDefault="00F6339D" w:rsidP="00F6339D">
      <w:pPr>
        <w:pStyle w:val="NormalWeb"/>
        <w:spacing w:before="0" w:beforeAutospacing="0" w:after="0" w:afterAutospacing="0" w:line="480" w:lineRule="auto"/>
        <w:ind w:firstLine="360"/>
      </w:pPr>
      <w:r w:rsidRPr="00732C52">
        <w:rPr>
          <w:b/>
        </w:rPr>
        <w:t>Coloration of paratype in life.</w:t>
      </w:r>
      <w:r w:rsidRPr="00732C52">
        <w:t xml:space="preserve">—Based </w:t>
      </w:r>
      <w:r>
        <w:t>on</w:t>
      </w:r>
      <w:r w:rsidRPr="00732C52">
        <w:t xml:space="preserve"> photograph of </w:t>
      </w:r>
      <w:r>
        <w:t>PNM</w:t>
      </w:r>
      <w:r w:rsidRPr="00732C52">
        <w:t xml:space="preserve"> </w:t>
      </w:r>
      <w:r w:rsidRPr="00041C92">
        <w:t>9874</w:t>
      </w:r>
      <w:r>
        <w:t xml:space="preserve"> </w:t>
      </w:r>
      <w:r w:rsidRPr="00732C52">
        <w:t>in life</w:t>
      </w:r>
      <w:r>
        <w:t xml:space="preserve"> (Fig. 3A). Dorsal surface of body Smoke Gray (Color 267) mottled with speckles of Smoky White (Color 261) to Sepia (Color 279) forming weak chevron patterning; dorsolateral coloration and dorsal surface of limbs darker than dorsal body surface, closer to Fuscus (Color 283) with speckles of Drab-Gray (Color 256) and Smoky White (Color 261); dorsal surface of head Fuscus (Color 283) with patches of Drab-Gray (Color 256) and Smoky White (Color 261); post orbital stripe Smoky White (Color 261) continues to a point in line with anterior edge of forelimb; faint stripe of Smoky White (Color 261) extending horizontally across head between center of eyes; dorsal surface of tail Fuscus (Color 283) with patches ranging from Smoky White (Color 261) to Smoke Gray (Color 267); tail coloration mostly Smoky White (Color 261) along lateral surfaces.</w:t>
      </w:r>
    </w:p>
    <w:p w14:paraId="1EA14E3D" w14:textId="77777777" w:rsidR="00F6339D" w:rsidRPr="00C208FA" w:rsidRDefault="00F6339D" w:rsidP="00F6339D">
      <w:pPr>
        <w:pStyle w:val="NormalWeb"/>
        <w:spacing w:before="0" w:beforeAutospacing="0" w:after="0" w:afterAutospacing="0" w:line="480" w:lineRule="auto"/>
        <w:ind w:firstLine="360"/>
      </w:pPr>
      <w:r w:rsidRPr="00C927CA">
        <w:rPr>
          <w:b/>
          <w:bCs/>
        </w:rPr>
        <w:t>Measurements and scale counts of holotype (in mm).</w:t>
      </w:r>
      <w:r w:rsidRPr="00E7423F">
        <w:t xml:space="preserve">—Snout–vent length </w:t>
      </w:r>
      <w:r>
        <w:t>36</w:t>
      </w:r>
      <w:r w:rsidRPr="00E7423F">
        <w:t>.</w:t>
      </w:r>
      <w:r>
        <w:t>8</w:t>
      </w:r>
      <w:r w:rsidRPr="00E7423F">
        <w:t xml:space="preserve">; axilla–groin distance </w:t>
      </w:r>
      <w:r>
        <w:t>17</w:t>
      </w:r>
      <w:r w:rsidRPr="00E7423F">
        <w:t>.</w:t>
      </w:r>
      <w:r>
        <w:t>4</w:t>
      </w:r>
      <w:r w:rsidRPr="00E7423F">
        <w:t xml:space="preserve">; tail length </w:t>
      </w:r>
      <w:r>
        <w:t>41.9</w:t>
      </w:r>
      <w:r w:rsidRPr="00E7423F">
        <w:t>; tail width 6.</w:t>
      </w:r>
      <w:r>
        <w:t>1</w:t>
      </w:r>
      <w:r w:rsidRPr="00E7423F">
        <w:t xml:space="preserve">; tail depth </w:t>
      </w:r>
      <w:r>
        <w:t>3</w:t>
      </w:r>
      <w:r w:rsidRPr="00E7423F">
        <w:t>.</w:t>
      </w:r>
      <w:r>
        <w:t>1</w:t>
      </w:r>
      <w:r w:rsidRPr="00E7423F">
        <w:t>; snout–forearm length 1</w:t>
      </w:r>
      <w:r>
        <w:t>4</w:t>
      </w:r>
      <w:r w:rsidRPr="00E7423F">
        <w:t xml:space="preserve">.4; upper arm length </w:t>
      </w:r>
      <w:r>
        <w:t>3</w:t>
      </w:r>
      <w:r w:rsidRPr="00E7423F">
        <w:t>.</w:t>
      </w:r>
      <w:r>
        <w:t>0</w:t>
      </w:r>
      <w:r w:rsidRPr="00E7423F">
        <w:t>; forearm length 4.</w:t>
      </w:r>
      <w:r>
        <w:t>5</w:t>
      </w:r>
      <w:r w:rsidRPr="00E7423F">
        <w:t xml:space="preserve">; </w:t>
      </w:r>
      <w:r>
        <w:t>thigh</w:t>
      </w:r>
      <w:r w:rsidRPr="00E7423F">
        <w:t xml:space="preserve"> length </w:t>
      </w:r>
      <w:r>
        <w:t>5</w:t>
      </w:r>
      <w:r w:rsidRPr="00E7423F">
        <w:t>.</w:t>
      </w:r>
      <w:r>
        <w:t>4</w:t>
      </w:r>
      <w:r w:rsidRPr="00E7423F">
        <w:t xml:space="preserve">; crus length </w:t>
      </w:r>
      <w:r>
        <w:t>4</w:t>
      </w:r>
      <w:r w:rsidRPr="00E7423F">
        <w:t>.</w:t>
      </w:r>
      <w:r>
        <w:t>8</w:t>
      </w:r>
      <w:r w:rsidRPr="00E7423F">
        <w:t xml:space="preserve">; Finger III length </w:t>
      </w:r>
      <w:r>
        <w:t>2</w:t>
      </w:r>
      <w:r w:rsidRPr="00E7423F">
        <w:t>.</w:t>
      </w:r>
      <w:r>
        <w:t>6</w:t>
      </w:r>
      <w:r w:rsidRPr="00E7423F">
        <w:t xml:space="preserve">; Toe IV length </w:t>
      </w:r>
      <w:r>
        <w:t>2</w:t>
      </w:r>
      <w:r w:rsidRPr="00E7423F">
        <w:t>.</w:t>
      </w:r>
      <w:r>
        <w:t>7</w:t>
      </w:r>
      <w:r w:rsidRPr="00E7423F">
        <w:t>; head length 1</w:t>
      </w:r>
      <w:r>
        <w:t>0</w:t>
      </w:r>
      <w:r w:rsidRPr="00E7423F">
        <w:t>.</w:t>
      </w:r>
      <w:r>
        <w:t>9</w:t>
      </w:r>
      <w:r w:rsidRPr="00E7423F">
        <w:t xml:space="preserve">; head width </w:t>
      </w:r>
      <w:r>
        <w:t>7</w:t>
      </w:r>
      <w:r w:rsidRPr="00E7423F">
        <w:t>.</w:t>
      </w:r>
      <w:r>
        <w:t>5</w:t>
      </w:r>
      <w:r w:rsidRPr="00E7423F">
        <w:t xml:space="preserve">; head height </w:t>
      </w:r>
      <w:r>
        <w:t>5</w:t>
      </w:r>
      <w:r w:rsidRPr="00E7423F">
        <w:t>.</w:t>
      </w:r>
      <w:r>
        <w:t>2</w:t>
      </w:r>
      <w:r w:rsidRPr="00E7423F">
        <w:t>; eye–ear distance 3.</w:t>
      </w:r>
      <w:r>
        <w:t>3</w:t>
      </w:r>
      <w:r w:rsidRPr="00E7423F">
        <w:t xml:space="preserve">; </w:t>
      </w:r>
      <w:r>
        <w:t>eye–nostril</w:t>
      </w:r>
      <w:r w:rsidRPr="00E7423F">
        <w:t xml:space="preserve"> distance 3.</w:t>
      </w:r>
      <w:r>
        <w:t>2</w:t>
      </w:r>
      <w:r w:rsidRPr="00E7423F">
        <w:t>; snout length 4.</w:t>
      </w:r>
      <w:r>
        <w:t>1</w:t>
      </w:r>
      <w:r w:rsidRPr="00E7423F">
        <w:t>; interorbital distance 1.</w:t>
      </w:r>
      <w:r>
        <w:t>2</w:t>
      </w:r>
      <w:r w:rsidRPr="00E7423F">
        <w:t>; internare distance 1.</w:t>
      </w:r>
      <w:r>
        <w:t>6</w:t>
      </w:r>
      <w:r w:rsidRPr="00E7423F">
        <w:t>; ear diameter 0.</w:t>
      </w:r>
      <w:r>
        <w:t>4</w:t>
      </w:r>
      <w:r w:rsidRPr="00E7423F">
        <w:t xml:space="preserve">; </w:t>
      </w:r>
      <w:r>
        <w:t>eye</w:t>
      </w:r>
      <w:r w:rsidRPr="00E7423F">
        <w:t xml:space="preserve"> diameter 2.4; midbody dorsal scales </w:t>
      </w:r>
      <w:r>
        <w:t>21</w:t>
      </w:r>
      <w:r w:rsidRPr="00E7423F">
        <w:t xml:space="preserve">; paravertebral scales </w:t>
      </w:r>
      <w:r>
        <w:t>21</w:t>
      </w:r>
      <w:r w:rsidRPr="00E7423F">
        <w:t>; midbody ventral scales 1</w:t>
      </w:r>
      <w:r>
        <w:t>6</w:t>
      </w:r>
      <w:r w:rsidRPr="00E7423F">
        <w:t>; ventral scales 1</w:t>
      </w:r>
      <w:r>
        <w:t>6</w:t>
      </w:r>
      <w:r w:rsidRPr="00E7423F">
        <w:t>; supralabials 1</w:t>
      </w:r>
      <w:r>
        <w:t>3</w:t>
      </w:r>
      <w:r w:rsidRPr="00E7423F">
        <w:t>; infralabials 11; circumorbital scales 3</w:t>
      </w:r>
      <w:r>
        <w:t>8</w:t>
      </w:r>
      <w:r w:rsidRPr="00E7423F">
        <w:t xml:space="preserve">; circumnasals </w:t>
      </w:r>
      <w:r>
        <w:t>4</w:t>
      </w:r>
      <w:r w:rsidRPr="00E7423F">
        <w:t xml:space="preserve">; snout scales </w:t>
      </w:r>
      <w:r>
        <w:t>4</w:t>
      </w:r>
      <w:r w:rsidRPr="00E7423F">
        <w:t xml:space="preserve">; chin scales </w:t>
      </w:r>
      <w:r>
        <w:t>8</w:t>
      </w:r>
      <w:r w:rsidRPr="00E7423F">
        <w:t>; Finger III total scansors 1</w:t>
      </w:r>
      <w:r>
        <w:t>0</w:t>
      </w:r>
      <w:r w:rsidRPr="00E7423F">
        <w:t xml:space="preserve">; Finger III divided scansors </w:t>
      </w:r>
      <w:r>
        <w:t>3</w:t>
      </w:r>
      <w:r w:rsidRPr="00E7423F">
        <w:t>; Toe IV total scansors 1</w:t>
      </w:r>
      <w:r>
        <w:t>0</w:t>
      </w:r>
      <w:r w:rsidRPr="00E7423F">
        <w:t xml:space="preserve">; Toe IV divided scansors 4; </w:t>
      </w:r>
      <w:r>
        <w:t xml:space="preserve">precloacofemoral pores 23; </w:t>
      </w:r>
      <w:r w:rsidRPr="00E7423F">
        <w:t>cloacal spurs 2.</w:t>
      </w:r>
    </w:p>
    <w:p w14:paraId="2D4332CF" w14:textId="77777777" w:rsidR="00F6339D" w:rsidRPr="00E7423F" w:rsidRDefault="00F6339D" w:rsidP="00F6339D">
      <w:pPr>
        <w:pStyle w:val="NormalWeb"/>
        <w:spacing w:before="0" w:beforeAutospacing="0" w:after="0" w:afterAutospacing="0" w:line="480" w:lineRule="auto"/>
        <w:ind w:firstLine="360"/>
      </w:pPr>
      <w:r w:rsidRPr="00C927CA">
        <w:rPr>
          <w:b/>
          <w:bCs/>
        </w:rPr>
        <w:t>Variation.</w:t>
      </w:r>
      <w:r w:rsidRPr="000203E1">
        <w:t>—</w:t>
      </w:r>
      <w:r>
        <w:t xml:space="preserve">Intraspecific variation among characters recorded is summarized in Table 1. </w:t>
      </w:r>
      <w:r w:rsidRPr="000203E1">
        <w:t>Among the f</w:t>
      </w:r>
      <w:r>
        <w:t>ive</w:t>
      </w:r>
      <w:r w:rsidRPr="000203E1">
        <w:t xml:space="preserve"> specimens examined, we observed variation in the number of</w:t>
      </w:r>
      <w:r>
        <w:t xml:space="preserve"> </w:t>
      </w:r>
      <w:r w:rsidRPr="000203E1">
        <w:t>midbody dorsal, paravertebral, midbody ventral, ventral, infralabial,</w:t>
      </w:r>
      <w:r>
        <w:t xml:space="preserve"> </w:t>
      </w:r>
      <w:r w:rsidRPr="000203E1">
        <w:t>circumorbital</w:t>
      </w:r>
      <w:r>
        <w:t>, snout, and chin scales</w:t>
      </w:r>
      <w:r w:rsidRPr="000203E1">
        <w:t>, Finger III total scansors,</w:t>
      </w:r>
      <w:r>
        <w:t xml:space="preserve"> Finger III divided scansors,</w:t>
      </w:r>
      <w:r w:rsidRPr="000203E1">
        <w:t xml:space="preserve"> Toe IV total scansors, Toe IV divided scansors</w:t>
      </w:r>
      <w:r>
        <w:t>, and precloacofemoral pores in males (Supplemental Table 1).</w:t>
      </w:r>
    </w:p>
    <w:p w14:paraId="0600EEF8" w14:textId="77777777" w:rsidR="00F6339D" w:rsidRPr="000747D1" w:rsidRDefault="00F6339D" w:rsidP="00F6339D">
      <w:pPr>
        <w:pStyle w:val="NormalWeb"/>
        <w:spacing w:before="0" w:beforeAutospacing="0" w:after="0" w:afterAutospacing="0" w:line="480" w:lineRule="auto"/>
        <w:ind w:firstLine="360"/>
      </w:pPr>
      <w:r w:rsidRPr="00352777">
        <w:rPr>
          <w:b/>
          <w:bCs/>
        </w:rPr>
        <w:t>Distribution.</w:t>
      </w:r>
      <w:r w:rsidRPr="00352777">
        <w:t>—</w:t>
      </w:r>
      <w:r w:rsidRPr="007B3849">
        <w:rPr>
          <w:i/>
        </w:rPr>
        <w:t>Lepidodactylus</w:t>
      </w:r>
      <w:r w:rsidRPr="007B3849">
        <w:t xml:space="preserve"> </w:t>
      </w:r>
      <w:r>
        <w:rPr>
          <w:i/>
        </w:rPr>
        <w:t xml:space="preserve">bisakol </w:t>
      </w:r>
      <w:r>
        <w:t xml:space="preserve">is known from two sites approximately 80 km apart in southern portions of the Bicol Peninsula. We anticipate that additional populations exist in suitable habitat throughout Albay and Sorsogon Provinces. Future surveys could discover additional populations further north in the Bicol in Camarines Sur or Camarines Norte </w:t>
      </w:r>
      <w:r w:rsidRPr="000747D1">
        <w:t>Provinces.</w:t>
      </w:r>
    </w:p>
    <w:p w14:paraId="6CDC434F" w14:textId="77777777" w:rsidR="00F6339D" w:rsidRPr="00351872" w:rsidRDefault="00F6339D" w:rsidP="00F6339D">
      <w:pPr>
        <w:pStyle w:val="NormalWeb"/>
        <w:spacing w:before="0" w:beforeAutospacing="0" w:after="0" w:afterAutospacing="0" w:line="480" w:lineRule="auto"/>
        <w:ind w:firstLine="360"/>
      </w:pPr>
      <w:r w:rsidRPr="000747D1">
        <w:rPr>
          <w:b/>
          <w:bCs/>
        </w:rPr>
        <w:t>Ecology and natural history.</w:t>
      </w:r>
      <w:r w:rsidRPr="000747D1">
        <w:t>—</w:t>
      </w:r>
      <w:r w:rsidRPr="000747D1">
        <w:rPr>
          <w:i/>
          <w:iCs/>
        </w:rPr>
        <w:t xml:space="preserve">Lepidodactylus </w:t>
      </w:r>
      <w:r>
        <w:rPr>
          <w:i/>
          <w:iCs/>
        </w:rPr>
        <w:t>bisakol</w:t>
      </w:r>
      <w:r w:rsidRPr="000747D1">
        <w:rPr>
          <w:i/>
          <w:iCs/>
        </w:rPr>
        <w:t xml:space="preserve"> </w:t>
      </w:r>
      <w:r w:rsidRPr="000747D1">
        <w:t xml:space="preserve">has been found in disturbed and secondary growth habitats. In some regions of its known range, substantial habitat degradation has occurred with agricultural fields fragmenting remaining forest patches. In Albay Province, individuals were observed on small tree branches and large shrubs along stream systems at low </w:t>
      </w:r>
      <w:r w:rsidRPr="00AA6DB0">
        <w:t>elevations on Mt. Mayon. Individuals of this species have also been found in residential areas on artificial buildings. This species is known to co</w:t>
      </w:r>
      <w:r>
        <w:t>-</w:t>
      </w:r>
      <w:r w:rsidRPr="00AA6DB0">
        <w:t xml:space="preserve">occur with the widespread </w:t>
      </w:r>
      <w:r w:rsidRPr="00AA6DB0">
        <w:rPr>
          <w:i/>
          <w:iCs/>
        </w:rPr>
        <w:t xml:space="preserve">L. lugubris </w:t>
      </w:r>
      <w:r w:rsidRPr="00AA6DB0">
        <w:t xml:space="preserve">in sympatry within the Municipality of Malinao, Albay Province and it may be sympatric with </w:t>
      </w:r>
      <w:r w:rsidRPr="00AA6DB0">
        <w:rPr>
          <w:i/>
          <w:iCs/>
        </w:rPr>
        <w:t xml:space="preserve">L. lugubris </w:t>
      </w:r>
      <w:r w:rsidRPr="00AA6DB0">
        <w:t xml:space="preserve">across most of its range. This is the first example of sympatric </w:t>
      </w:r>
      <w:r w:rsidRPr="00AA6DB0">
        <w:rPr>
          <w:i/>
          <w:iCs/>
        </w:rPr>
        <w:t xml:space="preserve">Lepidodactylus </w:t>
      </w:r>
      <w:r w:rsidRPr="00AA6DB0">
        <w:t>species on or near Luzon Island to date.</w:t>
      </w:r>
    </w:p>
    <w:p w14:paraId="590F15C6" w14:textId="77777777" w:rsidR="00F6339D" w:rsidRDefault="00F6339D" w:rsidP="00F6339D">
      <w:pPr>
        <w:pStyle w:val="NormalWeb"/>
        <w:spacing w:before="0" w:beforeAutospacing="0" w:after="0" w:afterAutospacing="0" w:line="480" w:lineRule="auto"/>
        <w:ind w:firstLine="360"/>
      </w:pPr>
      <w:r w:rsidRPr="00B75ABD">
        <w:rPr>
          <w:b/>
          <w:bCs/>
        </w:rPr>
        <w:t>Etymology.</w:t>
      </w:r>
      <w:r w:rsidRPr="00B75ABD">
        <w:t>—The specific epithet is chosen in reference to the biogeographically and</w:t>
      </w:r>
      <w:r w:rsidRPr="00917B1F">
        <w:t xml:space="preserve"> culturally distinct Bicol Region of southern Luzon Island (Albay, Camarines Norte, Camarines Sur, Catandua</w:t>
      </w:r>
      <w:r>
        <w:t>ñ</w:t>
      </w:r>
      <w:r w:rsidRPr="00917B1F">
        <w:t xml:space="preserve">es and Sorsogon provinces). </w:t>
      </w:r>
      <w:r>
        <w:t>The cultural diversity on the peninsula is home to a diverse group of indigenous dialects, that are referred to collectively as the Bisakol languages. This</w:t>
      </w:r>
      <w:r w:rsidRPr="00917B1F">
        <w:t xml:space="preserve"> unique </w:t>
      </w:r>
      <w:r>
        <w:t>subfaunal region in the northern Philippines</w:t>
      </w:r>
      <w:r w:rsidRPr="00917B1F">
        <w:t xml:space="preserve"> is home to </w:t>
      </w:r>
      <w:r>
        <w:t xml:space="preserve">a growing number of endemic vertebrates. </w:t>
      </w:r>
      <w:r w:rsidRPr="00917B1F">
        <w:t xml:space="preserve">Suggested common name: Bicol </w:t>
      </w:r>
      <w:r w:rsidRPr="002A34DE">
        <w:t>Scaly</w:t>
      </w:r>
      <w:r>
        <w:t>-</w:t>
      </w:r>
      <w:r w:rsidRPr="002A34DE">
        <w:t xml:space="preserve">toed </w:t>
      </w:r>
      <w:r>
        <w:t>G</w:t>
      </w:r>
      <w:r w:rsidRPr="002A34DE">
        <w:t>ecko</w:t>
      </w:r>
      <w:r>
        <w:t>s</w:t>
      </w:r>
      <w:r w:rsidRPr="00917B1F">
        <w:t>.</w:t>
      </w:r>
    </w:p>
    <w:p w14:paraId="32C3324F" w14:textId="77777777" w:rsidR="00F6339D" w:rsidRPr="00C208FA" w:rsidRDefault="00F6339D" w:rsidP="00F6339D">
      <w:pPr>
        <w:pStyle w:val="NormalWeb"/>
        <w:spacing w:before="0" w:beforeAutospacing="0" w:after="0" w:afterAutospacing="0" w:line="480" w:lineRule="auto"/>
      </w:pPr>
    </w:p>
    <w:p w14:paraId="056DD153" w14:textId="77777777" w:rsidR="00F6339D" w:rsidRPr="004B2647" w:rsidRDefault="00F6339D" w:rsidP="00F6339D">
      <w:pPr>
        <w:pStyle w:val="NormalWeb"/>
        <w:spacing w:before="0" w:beforeAutospacing="0" w:after="0" w:afterAutospacing="0" w:line="480" w:lineRule="auto"/>
        <w:jc w:val="center"/>
        <w:rPr>
          <w:bCs/>
        </w:rPr>
      </w:pPr>
      <w:r w:rsidRPr="00025A57">
        <w:rPr>
          <w:bCs/>
          <w:i/>
        </w:rPr>
        <w:t>Lepidodactylus</w:t>
      </w:r>
      <w:r w:rsidRPr="00025A57">
        <w:rPr>
          <w:bCs/>
        </w:rPr>
        <w:t xml:space="preserve"> </w:t>
      </w:r>
      <w:r w:rsidRPr="00E2774A">
        <w:rPr>
          <w:b/>
          <w:i/>
        </w:rPr>
        <w:t>bakingibut</w:t>
      </w:r>
      <w:r w:rsidRPr="00025A57">
        <w:rPr>
          <w:bCs/>
          <w:i/>
        </w:rPr>
        <w:t xml:space="preserve"> </w:t>
      </w:r>
      <w:r w:rsidRPr="00025A57">
        <w:rPr>
          <w:bCs/>
        </w:rPr>
        <w:t>sp. nov.</w:t>
      </w:r>
    </w:p>
    <w:p w14:paraId="610421B6" w14:textId="77777777" w:rsidR="00F6339D" w:rsidRPr="005B63F5" w:rsidRDefault="00F6339D" w:rsidP="00F6339D">
      <w:pPr>
        <w:spacing w:line="480" w:lineRule="auto"/>
        <w:jc w:val="center"/>
        <w:rPr>
          <w:bCs/>
        </w:rPr>
      </w:pPr>
      <w:r w:rsidRPr="004537CC">
        <w:rPr>
          <w:bCs/>
        </w:rPr>
        <w:t>(Fig</w:t>
      </w:r>
      <w:r>
        <w:rPr>
          <w:bCs/>
        </w:rPr>
        <w:t>s</w:t>
      </w:r>
      <w:r w:rsidRPr="004537CC">
        <w:rPr>
          <w:bCs/>
        </w:rPr>
        <w:t xml:space="preserve">. </w:t>
      </w:r>
      <w:r>
        <w:rPr>
          <w:bCs/>
        </w:rPr>
        <w:t>3B, 5</w:t>
      </w:r>
      <w:r w:rsidRPr="004537CC">
        <w:rPr>
          <w:bCs/>
        </w:rPr>
        <w:t>; Table</w:t>
      </w:r>
      <w:r>
        <w:rPr>
          <w:bCs/>
        </w:rPr>
        <w:t xml:space="preserve"> </w:t>
      </w:r>
      <w:r w:rsidRPr="004537CC">
        <w:rPr>
          <w:bCs/>
        </w:rPr>
        <w:t>1)</w:t>
      </w:r>
    </w:p>
    <w:p w14:paraId="768E24AC" w14:textId="77777777" w:rsidR="00F6339D" w:rsidRDefault="00F6339D" w:rsidP="00F6339D">
      <w:pPr>
        <w:pStyle w:val="NormalWeb"/>
        <w:spacing w:before="0" w:beforeAutospacing="0" w:after="0" w:afterAutospacing="0" w:line="480" w:lineRule="auto"/>
        <w:ind w:left="360" w:hanging="360"/>
      </w:pPr>
      <w:r w:rsidRPr="00EB41C8">
        <w:rPr>
          <w:i/>
        </w:rPr>
        <w:t xml:space="preserve">Lepidodactylus </w:t>
      </w:r>
      <w:r w:rsidRPr="00EB41C8">
        <w:t>cf</w:t>
      </w:r>
      <w:r>
        <w:t>.</w:t>
      </w:r>
      <w:r w:rsidRPr="00EB41C8">
        <w:t xml:space="preserve"> </w:t>
      </w:r>
      <w:r w:rsidRPr="00EB41C8">
        <w:rPr>
          <w:i/>
        </w:rPr>
        <w:t>lugubris</w:t>
      </w:r>
      <w:r>
        <w:rPr>
          <w:iCs/>
        </w:rPr>
        <w:t>:</w:t>
      </w:r>
      <w:r w:rsidRPr="00EB41C8">
        <w:rPr>
          <w:i/>
        </w:rPr>
        <w:t xml:space="preserve"> </w:t>
      </w:r>
      <w:r w:rsidRPr="00EB41C8">
        <w:t>Brown</w:t>
      </w:r>
      <w:r>
        <w:t xml:space="preserve"> et al. </w:t>
      </w:r>
      <w:r w:rsidRPr="00EB41C8">
        <w:t>2013</w:t>
      </w:r>
      <w:r>
        <w:t>:52, their Fig. 50.</w:t>
      </w:r>
    </w:p>
    <w:p w14:paraId="4621C75B" w14:textId="77777777" w:rsidR="00F6339D" w:rsidRPr="00BC5E90" w:rsidRDefault="00F6339D" w:rsidP="00F6339D">
      <w:pPr>
        <w:pStyle w:val="NormalWeb"/>
        <w:spacing w:before="0" w:beforeAutospacing="0" w:after="0" w:afterAutospacing="0" w:line="480" w:lineRule="auto"/>
        <w:ind w:left="360" w:hanging="360"/>
        <w:rPr>
          <w:iCs/>
          <w:lang w:val="da-DK"/>
        </w:rPr>
      </w:pPr>
      <w:r w:rsidRPr="00BC5E90">
        <w:rPr>
          <w:i/>
          <w:lang w:val="da-DK"/>
        </w:rPr>
        <w:t xml:space="preserve">Lepidodactylus </w:t>
      </w:r>
      <w:r w:rsidRPr="00BC5E90">
        <w:rPr>
          <w:iCs/>
          <w:lang w:val="da-DK"/>
        </w:rPr>
        <w:t>sp. 2: Oliver et al. 2018:4.</w:t>
      </w:r>
    </w:p>
    <w:p w14:paraId="18E9C50E" w14:textId="77777777" w:rsidR="00F6339D" w:rsidRPr="00C208FA" w:rsidRDefault="00F6339D" w:rsidP="00F6339D">
      <w:pPr>
        <w:pStyle w:val="NormalWeb"/>
        <w:spacing w:before="0" w:beforeAutospacing="0" w:after="0" w:afterAutospacing="0" w:line="480" w:lineRule="auto"/>
        <w:ind w:firstLine="360"/>
      </w:pPr>
      <w:r w:rsidRPr="004B2647">
        <w:rPr>
          <w:b/>
          <w:bCs/>
        </w:rPr>
        <w:t>Holotype</w:t>
      </w:r>
      <w:r w:rsidRPr="00D7065D">
        <w:rPr>
          <w:b/>
          <w:bCs/>
        </w:rPr>
        <w:t>.</w:t>
      </w:r>
      <w:r w:rsidRPr="00D7065D">
        <w:t>—</w:t>
      </w:r>
      <w:r w:rsidRPr="00941AF9">
        <w:t xml:space="preserve">PNM </w:t>
      </w:r>
      <w:r w:rsidRPr="00D7065D">
        <w:t>9875</w:t>
      </w:r>
      <w:r>
        <w:t xml:space="preserve"> (formerly </w:t>
      </w:r>
      <w:r w:rsidRPr="00E7423F">
        <w:t>KU 330066</w:t>
      </w:r>
      <w:r>
        <w:t>; RMB</w:t>
      </w:r>
      <w:r w:rsidRPr="00E7423F">
        <w:t xml:space="preserve"> Field No. 14886), adult male, collected </w:t>
      </w:r>
      <w:r>
        <w:t>15 July</w:t>
      </w:r>
      <w:r w:rsidRPr="00E7423F">
        <w:t xml:space="preserve"> 2011</w:t>
      </w:r>
      <w:r>
        <w:t xml:space="preserve"> at 685 m on</w:t>
      </w:r>
      <w:r w:rsidRPr="00E7423F">
        <w:t xml:space="preserve"> Mt. Cagua, Barangay Magrafil, Municipality of Gonzaga, Cagayan Province, Luzon Island, Philippines </w:t>
      </w:r>
      <w:r>
        <w:t>(</w:t>
      </w:r>
      <w:r w:rsidRPr="00941AF9">
        <w:t>18.236</w:t>
      </w:r>
      <w:r w:rsidRPr="003C015F">
        <w:t>°</w:t>
      </w:r>
      <w:r w:rsidRPr="00941AF9">
        <w:t>,</w:t>
      </w:r>
      <w:r>
        <w:t xml:space="preserve"> </w:t>
      </w:r>
      <w:r w:rsidRPr="00941AF9">
        <w:t>122.104</w:t>
      </w:r>
      <w:r w:rsidRPr="003C015F">
        <w:t>°</w:t>
      </w:r>
      <w:r w:rsidRPr="00E7423F">
        <w:t>), by</w:t>
      </w:r>
      <w:r>
        <w:t xml:space="preserve"> </w:t>
      </w:r>
      <w:r w:rsidRPr="00A72637">
        <w:t>J. B. Fernandez, L. J. Welton, C. H. Oliveros, and</w:t>
      </w:r>
      <w:r w:rsidRPr="00E7423F">
        <w:t xml:space="preserve"> RMB.</w:t>
      </w:r>
    </w:p>
    <w:p w14:paraId="5B395924" w14:textId="77777777" w:rsidR="00F6339D" w:rsidRDefault="00F6339D" w:rsidP="00F6339D">
      <w:pPr>
        <w:pStyle w:val="NormalWeb"/>
        <w:spacing w:before="0" w:beforeAutospacing="0" w:after="0" w:afterAutospacing="0" w:line="480" w:lineRule="auto"/>
        <w:ind w:firstLine="360"/>
      </w:pPr>
      <w:r w:rsidRPr="004B2647">
        <w:rPr>
          <w:b/>
          <w:bCs/>
        </w:rPr>
        <w:t>Paratype.</w:t>
      </w:r>
      <w:r w:rsidRPr="004B2647">
        <w:t>—</w:t>
      </w:r>
      <w:r w:rsidRPr="00E7423F">
        <w:t>KU 330065 (</w:t>
      </w:r>
      <w:r>
        <w:t>RMB</w:t>
      </w:r>
      <w:r w:rsidRPr="00E7423F">
        <w:t xml:space="preserve"> Field No. 14765), adult female, collected </w:t>
      </w:r>
      <w:r>
        <w:t>12 July</w:t>
      </w:r>
      <w:r w:rsidRPr="00E7423F">
        <w:t xml:space="preserve"> 2011, at</w:t>
      </w:r>
      <w:r>
        <w:t xml:space="preserve"> 785m on</w:t>
      </w:r>
      <w:r w:rsidRPr="00E7423F">
        <w:t xml:space="preserve"> Mt. Cagua, Barangay Magrafil, Municipality of Gonzaga, Cagayan Province, Luzon Island, Philippines </w:t>
      </w:r>
      <w:r w:rsidRPr="00AD5A99">
        <w:t>(18.219°, 122.111°</w:t>
      </w:r>
      <w:r w:rsidRPr="00E7423F">
        <w:t>), by</w:t>
      </w:r>
      <w:r>
        <w:t xml:space="preserve"> </w:t>
      </w:r>
      <w:r w:rsidRPr="00A72637">
        <w:t>J. B. Fernandez, L. J. Welton, C. H. Oliveros, and</w:t>
      </w:r>
      <w:r w:rsidRPr="00E7423F">
        <w:t xml:space="preserve"> RMB.</w:t>
      </w:r>
    </w:p>
    <w:p w14:paraId="421D969D" w14:textId="3FF2F672" w:rsidR="00F6339D" w:rsidRPr="00E7423F" w:rsidRDefault="00F6339D" w:rsidP="00F6339D">
      <w:pPr>
        <w:pStyle w:val="NormalWeb"/>
        <w:spacing w:before="0" w:beforeAutospacing="0" w:after="0" w:afterAutospacing="0" w:line="480" w:lineRule="auto"/>
        <w:ind w:firstLine="360"/>
      </w:pPr>
      <w:r>
        <w:rPr>
          <w:b/>
          <w:bCs/>
        </w:rPr>
        <w:t>Referred</w:t>
      </w:r>
      <w:r w:rsidRPr="004B2647">
        <w:rPr>
          <w:b/>
          <w:bCs/>
        </w:rPr>
        <w:t xml:space="preserve"> </w:t>
      </w:r>
      <w:r>
        <w:rPr>
          <w:b/>
          <w:bCs/>
        </w:rPr>
        <w:t>s</w:t>
      </w:r>
      <w:r w:rsidRPr="004B2647">
        <w:rPr>
          <w:b/>
          <w:bCs/>
        </w:rPr>
        <w:t>pecimens.</w:t>
      </w:r>
      <w:r w:rsidRPr="004B2647">
        <w:t>—</w:t>
      </w:r>
      <w:r w:rsidRPr="00B82C38">
        <w:t>PNM 7539 (RMB Field No. 4273), collected in Barangay Pancian, Municipality of Pagudpud, Ilocos Norte Province (on the boundary with Cagayan Province), Luzon Island, Philippines. PNM 8009 (ACD Field No. 1129), collected on Mt. Natib, Barangay Tala, Municipality of Orani, Bataan Province, Luzon Island, Philippines. ACD Field No. 3352, collected on Luzon Island (specific locality unknown; deposited at PNM). Although genetic data are available for these specimens (</w:t>
      </w:r>
      <w:r w:rsidRPr="008707C2">
        <w:t xml:space="preserve">Fig. </w:t>
      </w:r>
      <w:r w:rsidR="008707C2" w:rsidRPr="008707C2">
        <w:t>2</w:t>
      </w:r>
      <w:r w:rsidRPr="00B82C38">
        <w:t xml:space="preserve">; Appendix; Oliver et al. 2018), morphological data were not available at the time of this investigation. As such, we assign these individuals to </w:t>
      </w:r>
      <w:r w:rsidRPr="00B82C38">
        <w:rPr>
          <w:i/>
        </w:rPr>
        <w:t xml:space="preserve">L. </w:t>
      </w:r>
      <w:r w:rsidRPr="00B82C38">
        <w:t xml:space="preserve">cf. </w:t>
      </w:r>
      <w:r w:rsidRPr="00B82C38">
        <w:rPr>
          <w:i/>
        </w:rPr>
        <w:t>bakingibut</w:t>
      </w:r>
      <w:r w:rsidRPr="00B82C38">
        <w:t xml:space="preserve"> pending morphological data collection but designate them as paratypes.</w:t>
      </w:r>
    </w:p>
    <w:p w14:paraId="0427EB64" w14:textId="77777777" w:rsidR="00F6339D" w:rsidRPr="00EA1B55" w:rsidRDefault="00F6339D" w:rsidP="00F6339D">
      <w:pPr>
        <w:pStyle w:val="NormalWeb"/>
        <w:spacing w:before="0" w:beforeAutospacing="0" w:after="0" w:afterAutospacing="0" w:line="480" w:lineRule="auto"/>
        <w:ind w:firstLine="360"/>
      </w:pPr>
      <w:r w:rsidRPr="0033237C">
        <w:rPr>
          <w:b/>
          <w:bCs/>
        </w:rPr>
        <w:t>Diagnosis.</w:t>
      </w:r>
      <w:r w:rsidRPr="005004E1">
        <w:t>—</w:t>
      </w:r>
      <w:r w:rsidRPr="00A414E8">
        <w:rPr>
          <w:i/>
        </w:rPr>
        <w:t>Lepidodactylus</w:t>
      </w:r>
      <w:r w:rsidRPr="00A414E8">
        <w:t xml:space="preserve"> </w:t>
      </w:r>
      <w:r w:rsidRPr="00A414E8">
        <w:rPr>
          <w:i/>
        </w:rPr>
        <w:t>bakingibut</w:t>
      </w:r>
      <w:r w:rsidRPr="00A414E8">
        <w:t xml:space="preserve"> can be distinguished from congeners by the following combination of characters: (1) body size moderate (SVL 35.9–37.7 mm); (2) snout–forearm length moderate</w:t>
      </w:r>
      <w:r>
        <w:t xml:space="preserve">, </w:t>
      </w:r>
      <w:r w:rsidRPr="00A414E8">
        <w:t>34.5–35.4% SVL; (3) forearm length moderate</w:t>
      </w:r>
      <w:r>
        <w:t xml:space="preserve">, </w:t>
      </w:r>
      <w:r w:rsidRPr="00A414E8">
        <w:t>10.9–11.4% SVL; (4) thigh length moderat</w:t>
      </w:r>
      <w:r>
        <w:t>e</w:t>
      </w:r>
      <w:r w:rsidRPr="00A414E8">
        <w:t xml:space="preserve">, 13.8–14.5% SVL; </w:t>
      </w:r>
      <w:r w:rsidRPr="006133C8">
        <w:t>(5) crus length moderate</w:t>
      </w:r>
      <w:r>
        <w:t xml:space="preserve">, </w:t>
      </w:r>
      <w:r w:rsidRPr="006133C8">
        <w:t>13.8–14.</w:t>
      </w:r>
      <w:r>
        <w:t>2</w:t>
      </w:r>
      <w:r w:rsidRPr="006133C8">
        <w:t>% SVL; (6) total leg length moderate</w:t>
      </w:r>
      <w:r>
        <w:t xml:space="preserve">, </w:t>
      </w:r>
      <w:r w:rsidRPr="006133C8">
        <w:t xml:space="preserve">27.6–28.7% SVL; </w:t>
      </w:r>
      <w:r w:rsidRPr="004B7274">
        <w:t xml:space="preserve">(7) </w:t>
      </w:r>
      <w:r w:rsidRPr="00716DBD">
        <w:t>Finger III length long,</w:t>
      </w:r>
      <w:r>
        <w:t xml:space="preserve"> 32.9–35.0% total arm length</w:t>
      </w:r>
      <w:r w:rsidRPr="004B7274">
        <w:t xml:space="preserve">; (8) </w:t>
      </w:r>
      <w:r w:rsidRPr="00716DBD">
        <w:t>Toe IV length long,</w:t>
      </w:r>
      <w:r>
        <w:t xml:space="preserve"> 35.0–39.4% total leg length</w:t>
      </w:r>
      <w:r w:rsidRPr="004B7274">
        <w:t xml:space="preserve">; </w:t>
      </w:r>
      <w:r w:rsidRPr="006133C8">
        <w:t>(9) head length moderate</w:t>
      </w:r>
      <w:r>
        <w:t xml:space="preserve">, </w:t>
      </w:r>
      <w:r w:rsidRPr="006133C8">
        <w:t xml:space="preserve">25.6–27.1% SVL; (10) head width </w:t>
      </w:r>
      <w:r>
        <w:t xml:space="preserve">moderate, </w:t>
      </w:r>
      <w:r w:rsidRPr="006133C8">
        <w:t xml:space="preserve">63.7–69.6% head length; </w:t>
      </w:r>
      <w:r w:rsidRPr="00C62336">
        <w:t>(11) head height narrow</w:t>
      </w:r>
      <w:r>
        <w:t xml:space="preserve">, </w:t>
      </w:r>
      <w:r w:rsidRPr="00C62336">
        <w:t xml:space="preserve">36.3–37.0% </w:t>
      </w:r>
      <w:r>
        <w:t>head length</w:t>
      </w:r>
      <w:r w:rsidRPr="004B7274">
        <w:t>; (12) eye–ear distance short</w:t>
      </w:r>
      <w:r>
        <w:t xml:space="preserve">, </w:t>
      </w:r>
      <w:r w:rsidRPr="004B7274">
        <w:t xml:space="preserve">23.5–26.1% head </w:t>
      </w:r>
      <w:r w:rsidRPr="00B279B7">
        <w:t>length; (13) snout length moderate</w:t>
      </w:r>
      <w:r>
        <w:t xml:space="preserve">, </w:t>
      </w:r>
      <w:r w:rsidRPr="00B279B7">
        <w:t xml:space="preserve">41.2–42.4% head length; (14) </w:t>
      </w:r>
      <w:r w:rsidRPr="00716DBD">
        <w:t>eye diameter small</w:t>
      </w:r>
      <w:r>
        <w:t>, 21.6–22.8% head length</w:t>
      </w:r>
      <w:r w:rsidRPr="00B279B7">
        <w:t>;</w:t>
      </w:r>
      <w:r>
        <w:t xml:space="preserve"> (15) midbody ventral scale count within one eye diameter 14</w:t>
      </w:r>
      <w:r w:rsidRPr="005004E1">
        <w:t>–</w:t>
      </w:r>
      <w:r>
        <w:t>16; (16) ventral scale count within one eye diameter 16; (17) circumnasal scales 4; (18) Finger III total scansors 9; (19) Toe IV total scansors 9; (20) precloacofemoral</w:t>
      </w:r>
      <w:r w:rsidRPr="00EA1B55">
        <w:t xml:space="preserve"> pores in </w:t>
      </w:r>
      <w:r>
        <w:t>males</w:t>
      </w:r>
      <w:r w:rsidRPr="00EA1B55">
        <w:t xml:space="preserve"> 2</w:t>
      </w:r>
      <w:r>
        <w:t>5</w:t>
      </w:r>
      <w:r w:rsidRPr="00EA1B55">
        <w:t>;</w:t>
      </w:r>
      <w:r>
        <w:t xml:space="preserve"> (21)</w:t>
      </w:r>
      <w:r w:rsidRPr="00EA1B55">
        <w:t xml:space="preserve"> </w:t>
      </w:r>
      <w:r>
        <w:t>rostral scale not in contact with nostril; and (22) webbing between Toes II and III minimal.</w:t>
      </w:r>
    </w:p>
    <w:p w14:paraId="0A7E1374" w14:textId="77777777" w:rsidR="00F6339D" w:rsidRDefault="00F6339D" w:rsidP="00F6339D">
      <w:pPr>
        <w:pStyle w:val="NormalWeb"/>
        <w:spacing w:before="0" w:beforeAutospacing="0" w:after="0" w:afterAutospacing="0" w:line="480" w:lineRule="auto"/>
        <w:ind w:firstLine="360"/>
        <w:rPr>
          <w:iCs/>
        </w:rPr>
      </w:pPr>
      <w:r>
        <w:rPr>
          <w:b/>
          <w:bCs/>
        </w:rPr>
        <w:t>C</w:t>
      </w:r>
      <w:r w:rsidRPr="004B2647">
        <w:rPr>
          <w:b/>
          <w:bCs/>
        </w:rPr>
        <w:t>omparisons.</w:t>
      </w:r>
      <w:r w:rsidRPr="004B2647">
        <w:t>—</w:t>
      </w:r>
      <w:r w:rsidRPr="00E7423F">
        <w:t xml:space="preserve">Characters distinguishing </w:t>
      </w:r>
      <w:r w:rsidRPr="00E7423F">
        <w:rPr>
          <w:i/>
        </w:rPr>
        <w:t>Lepidodactylus</w:t>
      </w:r>
      <w:r w:rsidRPr="00E7423F">
        <w:t xml:space="preserve"> </w:t>
      </w:r>
      <w:r>
        <w:rPr>
          <w:i/>
        </w:rPr>
        <w:t>bakingibut</w:t>
      </w:r>
      <w:r w:rsidRPr="00E7423F">
        <w:t xml:space="preserve"> from all other species of </w:t>
      </w:r>
      <w:r>
        <w:t>Philippine</w:t>
      </w:r>
      <w:r w:rsidRPr="00E7423F">
        <w:t xml:space="preserve"> </w:t>
      </w:r>
      <w:r w:rsidRPr="00E7423F">
        <w:rPr>
          <w:i/>
        </w:rPr>
        <w:t>Lepidodactylus</w:t>
      </w:r>
      <w:r w:rsidRPr="00E7423F">
        <w:t xml:space="preserve"> are summarized in Table 1</w:t>
      </w:r>
      <w:r>
        <w:t xml:space="preserve"> and additional comprehensive comparisons are available in Supplemental Table 1</w:t>
      </w:r>
      <w:r w:rsidRPr="00E7423F">
        <w:t xml:space="preserve">. </w:t>
      </w:r>
      <w:r>
        <w:rPr>
          <w:iCs/>
        </w:rPr>
        <w:t>The new species</w:t>
      </w:r>
      <w:r w:rsidRPr="00E7423F">
        <w:t xml:space="preserve"> most closely resembles </w:t>
      </w:r>
      <w:r w:rsidRPr="00E7423F">
        <w:rPr>
          <w:i/>
        </w:rPr>
        <w:t>L. babuyanensis</w:t>
      </w:r>
      <w:r w:rsidRPr="00E7423F">
        <w:t xml:space="preserve">; however, </w:t>
      </w:r>
      <w:r>
        <w:t>it differs in several characters, including having</w:t>
      </w:r>
      <w:r>
        <w:rPr>
          <w:i/>
        </w:rPr>
        <w:t xml:space="preserve"> </w:t>
      </w:r>
      <w:r>
        <w:rPr>
          <w:iCs/>
        </w:rPr>
        <w:t xml:space="preserve">more midbody ventral scales (14–16 vs. 9–13), more ventral scales (16 vs. 8–12), more </w:t>
      </w:r>
      <w:r>
        <w:t>precloacofemoral</w:t>
      </w:r>
      <w:r>
        <w:rPr>
          <w:iCs/>
        </w:rPr>
        <w:t xml:space="preserve"> pores (25 vs. 18–23), and a smaller thigh length relative to crus length (100.0–102.0% crus length vs. 103.8–120.8%).</w:t>
      </w:r>
    </w:p>
    <w:p w14:paraId="21BCFE7E" w14:textId="77777777" w:rsidR="00F6339D" w:rsidRPr="00904743" w:rsidRDefault="00F6339D" w:rsidP="00F6339D">
      <w:pPr>
        <w:pStyle w:val="NormalWeb"/>
        <w:spacing w:before="0" w:beforeAutospacing="0" w:after="0" w:afterAutospacing="0" w:line="480" w:lineRule="auto"/>
        <w:ind w:firstLine="360"/>
        <w:jc w:val="both"/>
        <w:rPr>
          <w:iCs/>
        </w:rPr>
      </w:pPr>
      <w:r w:rsidRPr="00A06A0B">
        <w:rPr>
          <w:iCs/>
        </w:rPr>
        <w:t xml:space="preserve">Considering all other Philippine congeners, </w:t>
      </w:r>
      <w:r w:rsidRPr="00A06A0B">
        <w:rPr>
          <w:i/>
        </w:rPr>
        <w:t>L</w:t>
      </w:r>
      <w:r w:rsidRPr="00A06A0B">
        <w:rPr>
          <w:iCs/>
        </w:rPr>
        <w:t>.</w:t>
      </w:r>
      <w:r w:rsidRPr="00A06A0B">
        <w:rPr>
          <w:i/>
        </w:rPr>
        <w:t xml:space="preserve"> </w:t>
      </w:r>
      <w:r>
        <w:rPr>
          <w:i/>
        </w:rPr>
        <w:t>bakingibut</w:t>
      </w:r>
      <w:r w:rsidRPr="00A06A0B">
        <w:t xml:space="preserve"> can be distinguished </w:t>
      </w:r>
      <w:r>
        <w:t>readily</w:t>
      </w:r>
      <w:r w:rsidRPr="0002478B">
        <w:t xml:space="preserve"> </w:t>
      </w:r>
      <w:r w:rsidRPr="00E7423F">
        <w:t xml:space="preserve">from </w:t>
      </w:r>
      <w:r w:rsidRPr="00E7423F">
        <w:rPr>
          <w:i/>
        </w:rPr>
        <w:t>L</w:t>
      </w:r>
      <w:r w:rsidRPr="00E7423F">
        <w:t>.</w:t>
      </w:r>
      <w:r w:rsidRPr="00E7423F">
        <w:rPr>
          <w:i/>
        </w:rPr>
        <w:t xml:space="preserve"> </w:t>
      </w:r>
      <w:r>
        <w:rPr>
          <w:i/>
        </w:rPr>
        <w:t>aureolineatus</w:t>
      </w:r>
      <w:r w:rsidRPr="00E7423F">
        <w:t xml:space="preserve">, </w:t>
      </w:r>
      <w:r w:rsidRPr="00E7423F">
        <w:rPr>
          <w:i/>
        </w:rPr>
        <w:t>L</w:t>
      </w:r>
      <w:r w:rsidRPr="00E7423F">
        <w:t xml:space="preserve">. </w:t>
      </w:r>
      <w:r w:rsidRPr="00E7423F">
        <w:rPr>
          <w:i/>
        </w:rPr>
        <w:t>herrei</w:t>
      </w:r>
      <w:r w:rsidRPr="00E7423F">
        <w:t xml:space="preserve"> </w:t>
      </w:r>
      <w:r w:rsidRPr="00E7423F">
        <w:rPr>
          <w:i/>
        </w:rPr>
        <w:t>herrei</w:t>
      </w:r>
      <w:r w:rsidRPr="00E7423F">
        <w:t xml:space="preserve">, </w:t>
      </w:r>
      <w:r w:rsidRPr="00E7423F">
        <w:rPr>
          <w:i/>
        </w:rPr>
        <w:t>L</w:t>
      </w:r>
      <w:r w:rsidRPr="00E7423F">
        <w:t xml:space="preserve">. </w:t>
      </w:r>
      <w:r w:rsidRPr="00E7423F">
        <w:rPr>
          <w:i/>
        </w:rPr>
        <w:t>herrei</w:t>
      </w:r>
      <w:r w:rsidRPr="00E7423F">
        <w:t xml:space="preserve"> </w:t>
      </w:r>
      <w:r w:rsidRPr="00E7423F">
        <w:rPr>
          <w:i/>
        </w:rPr>
        <w:t>medianus</w:t>
      </w:r>
      <w:r w:rsidRPr="00E7423F">
        <w:t>,</w:t>
      </w:r>
      <w:r w:rsidRPr="00E7423F">
        <w:rPr>
          <w:i/>
        </w:rPr>
        <w:t xml:space="preserve"> L</w:t>
      </w:r>
      <w:r w:rsidRPr="00E7423F">
        <w:t xml:space="preserve">. </w:t>
      </w:r>
      <w:r w:rsidRPr="00E7423F">
        <w:rPr>
          <w:i/>
        </w:rPr>
        <w:t>labialis</w:t>
      </w:r>
      <w:r w:rsidRPr="00E7423F">
        <w:t xml:space="preserve">, </w:t>
      </w:r>
      <w:r w:rsidRPr="00E7423F">
        <w:rPr>
          <w:i/>
        </w:rPr>
        <w:t>L</w:t>
      </w:r>
      <w:r w:rsidRPr="00E7423F">
        <w:t xml:space="preserve">. </w:t>
      </w:r>
      <w:r w:rsidRPr="00E7423F">
        <w:rPr>
          <w:i/>
        </w:rPr>
        <w:t>lugubris</w:t>
      </w:r>
      <w:r w:rsidRPr="00E7423F">
        <w:t>,</w:t>
      </w:r>
      <w:r w:rsidRPr="00E7423F">
        <w:rPr>
          <w:i/>
        </w:rPr>
        <w:t xml:space="preserve"> </w:t>
      </w:r>
      <w:r w:rsidRPr="00E7423F">
        <w:t xml:space="preserve">and </w:t>
      </w:r>
      <w:r w:rsidRPr="00E7423F">
        <w:rPr>
          <w:i/>
        </w:rPr>
        <w:t>L</w:t>
      </w:r>
      <w:r w:rsidRPr="00E7423F">
        <w:t>.</w:t>
      </w:r>
      <w:r w:rsidRPr="00E7423F">
        <w:rPr>
          <w:i/>
        </w:rPr>
        <w:t xml:space="preserve"> planicaudus</w:t>
      </w:r>
      <w:r w:rsidRPr="00E7423F">
        <w:t xml:space="preserve"> by having a rostral scale </w:t>
      </w:r>
      <w:r>
        <w:t xml:space="preserve">separated from </w:t>
      </w:r>
      <w:r w:rsidRPr="00E7423F">
        <w:t>the n</w:t>
      </w:r>
      <w:r>
        <w:t>ostril</w:t>
      </w:r>
      <w:r w:rsidRPr="00E7423F">
        <w:t xml:space="preserve"> (vs. </w:t>
      </w:r>
      <w:r>
        <w:t>contacting</w:t>
      </w:r>
      <w:r w:rsidRPr="00E7423F">
        <w:t>);</w:t>
      </w:r>
      <w:r w:rsidRPr="00E00D20">
        <w:t xml:space="preserve"> </w:t>
      </w:r>
      <w:r w:rsidRPr="00E7423F">
        <w:t xml:space="preserve">from </w:t>
      </w:r>
      <w:r w:rsidRPr="00E7423F">
        <w:rPr>
          <w:i/>
        </w:rPr>
        <w:t>L</w:t>
      </w:r>
      <w:r w:rsidRPr="00E7423F">
        <w:t xml:space="preserve">. </w:t>
      </w:r>
      <w:r w:rsidRPr="00E7423F">
        <w:rPr>
          <w:i/>
        </w:rPr>
        <w:t>h</w:t>
      </w:r>
      <w:r w:rsidRPr="00E7423F">
        <w:t xml:space="preserve">. </w:t>
      </w:r>
      <w:r w:rsidRPr="00E7423F">
        <w:rPr>
          <w:i/>
        </w:rPr>
        <w:t>herrei</w:t>
      </w:r>
      <w:r w:rsidRPr="00E7423F">
        <w:t xml:space="preserve"> and </w:t>
      </w:r>
      <w:r w:rsidRPr="00E7423F">
        <w:rPr>
          <w:i/>
        </w:rPr>
        <w:t>L</w:t>
      </w:r>
      <w:r w:rsidRPr="00E7423F">
        <w:t xml:space="preserve">. </w:t>
      </w:r>
      <w:r w:rsidRPr="00E7423F">
        <w:rPr>
          <w:i/>
        </w:rPr>
        <w:t>h</w:t>
      </w:r>
      <w:r w:rsidRPr="00E7423F">
        <w:t xml:space="preserve">. </w:t>
      </w:r>
      <w:r w:rsidRPr="00E7423F">
        <w:rPr>
          <w:i/>
        </w:rPr>
        <w:t>medianus</w:t>
      </w:r>
      <w:r w:rsidRPr="00E7423F">
        <w:t xml:space="preserve"> by having more midbody dorsal </w:t>
      </w:r>
      <w:r>
        <w:t>scales</w:t>
      </w:r>
      <w:r w:rsidRPr="00E7423F">
        <w:t xml:space="preserve"> (19–22 vs. </w:t>
      </w:r>
      <w:r>
        <w:t xml:space="preserve">&lt; </w:t>
      </w:r>
      <w:r w:rsidRPr="00E7423F">
        <w:t>15)</w:t>
      </w:r>
      <w:r>
        <w:t>;</w:t>
      </w:r>
      <w:r w:rsidRPr="00E7423F">
        <w:t xml:space="preserve"> </w:t>
      </w:r>
      <w:r>
        <w:t xml:space="preserve">from </w:t>
      </w:r>
      <w:r w:rsidRPr="00E7423F">
        <w:rPr>
          <w:i/>
        </w:rPr>
        <w:t>L</w:t>
      </w:r>
      <w:r w:rsidRPr="00E7423F">
        <w:t xml:space="preserve">. </w:t>
      </w:r>
      <w:r>
        <w:rPr>
          <w:i/>
        </w:rPr>
        <w:t>bisakol</w:t>
      </w:r>
      <w:r w:rsidRPr="00E7423F">
        <w:t xml:space="preserve">, </w:t>
      </w:r>
      <w:r w:rsidRPr="00E7423F">
        <w:rPr>
          <w:i/>
        </w:rPr>
        <w:t>L</w:t>
      </w:r>
      <w:r w:rsidRPr="00E7423F">
        <w:t xml:space="preserve">. </w:t>
      </w:r>
      <w:r w:rsidRPr="00E7423F">
        <w:rPr>
          <w:i/>
        </w:rPr>
        <w:t>h</w:t>
      </w:r>
      <w:r w:rsidRPr="00E7423F">
        <w:t xml:space="preserve">. </w:t>
      </w:r>
      <w:r w:rsidRPr="00E7423F">
        <w:rPr>
          <w:i/>
        </w:rPr>
        <w:t>herrei</w:t>
      </w:r>
      <w:r>
        <w:t>,</w:t>
      </w:r>
      <w:r w:rsidRPr="00E7423F">
        <w:t xml:space="preserve"> </w:t>
      </w:r>
      <w:r w:rsidRPr="00E7423F">
        <w:rPr>
          <w:i/>
        </w:rPr>
        <w:t>L</w:t>
      </w:r>
      <w:r w:rsidRPr="00E7423F">
        <w:t xml:space="preserve">. </w:t>
      </w:r>
      <w:r w:rsidRPr="00E7423F">
        <w:rPr>
          <w:i/>
        </w:rPr>
        <w:t>h</w:t>
      </w:r>
      <w:r w:rsidRPr="00E7423F">
        <w:t xml:space="preserve">. </w:t>
      </w:r>
      <w:r w:rsidRPr="00E7423F">
        <w:rPr>
          <w:i/>
        </w:rPr>
        <w:t>medianus</w:t>
      </w:r>
      <w:r>
        <w:rPr>
          <w:iCs/>
        </w:rPr>
        <w:t xml:space="preserve">, </w:t>
      </w:r>
      <w:r w:rsidRPr="00E7423F">
        <w:t xml:space="preserve"> </w:t>
      </w:r>
      <w:r w:rsidRPr="00E7423F">
        <w:rPr>
          <w:i/>
        </w:rPr>
        <w:t>L</w:t>
      </w:r>
      <w:r w:rsidRPr="00E7423F">
        <w:t xml:space="preserve">. </w:t>
      </w:r>
      <w:r w:rsidRPr="00E7423F">
        <w:rPr>
          <w:i/>
        </w:rPr>
        <w:t>labialis</w:t>
      </w:r>
      <w:r>
        <w:t>,</w:t>
      </w:r>
      <w:r w:rsidRPr="00E7423F">
        <w:t xml:space="preserve"> </w:t>
      </w:r>
      <w:r>
        <w:t xml:space="preserve">and </w:t>
      </w:r>
      <w:r w:rsidRPr="00E7423F">
        <w:rPr>
          <w:i/>
        </w:rPr>
        <w:t xml:space="preserve">L. </w:t>
      </w:r>
      <w:r>
        <w:rPr>
          <w:i/>
        </w:rPr>
        <w:t>nakahiwalay</w:t>
      </w:r>
      <w:r w:rsidRPr="00E7423F">
        <w:t xml:space="preserve"> </w:t>
      </w:r>
      <w:r>
        <w:t>by having a moderate number of</w:t>
      </w:r>
      <w:r w:rsidRPr="00E7423F">
        <w:t xml:space="preserve"> paravertebral </w:t>
      </w:r>
      <w:r>
        <w:t xml:space="preserve">scales </w:t>
      </w:r>
      <w:r w:rsidRPr="00E7423F">
        <w:t xml:space="preserve">(17 or 18 vs. </w:t>
      </w:r>
      <w:r>
        <w:t xml:space="preserve">&lt; </w:t>
      </w:r>
      <w:r w:rsidRPr="00E7423F">
        <w:t>16</w:t>
      </w:r>
      <w:r>
        <w:t xml:space="preserve"> [</w:t>
      </w:r>
      <w:r w:rsidRPr="00E7423F">
        <w:rPr>
          <w:i/>
        </w:rPr>
        <w:t>L</w:t>
      </w:r>
      <w:r w:rsidRPr="00E7423F">
        <w:t xml:space="preserve">. </w:t>
      </w:r>
      <w:r w:rsidRPr="00E7423F">
        <w:rPr>
          <w:i/>
        </w:rPr>
        <w:t>h</w:t>
      </w:r>
      <w:r w:rsidRPr="00E7423F">
        <w:t xml:space="preserve">. </w:t>
      </w:r>
      <w:r w:rsidRPr="00E7423F">
        <w:rPr>
          <w:i/>
        </w:rPr>
        <w:t>herrei</w:t>
      </w:r>
      <w:r>
        <w:t>,</w:t>
      </w:r>
      <w:r w:rsidRPr="00E7423F">
        <w:t xml:space="preserve"> </w:t>
      </w:r>
      <w:r w:rsidRPr="00E7423F">
        <w:rPr>
          <w:i/>
        </w:rPr>
        <w:t>L</w:t>
      </w:r>
      <w:r w:rsidRPr="00E7423F">
        <w:t xml:space="preserve">. </w:t>
      </w:r>
      <w:r w:rsidRPr="00E7423F">
        <w:rPr>
          <w:i/>
        </w:rPr>
        <w:t>h</w:t>
      </w:r>
      <w:r w:rsidRPr="00E7423F">
        <w:t xml:space="preserve">. </w:t>
      </w:r>
      <w:r w:rsidRPr="00E7423F">
        <w:rPr>
          <w:i/>
        </w:rPr>
        <w:t>medianus</w:t>
      </w:r>
      <w:r>
        <w:t>], &gt; 18 [</w:t>
      </w:r>
      <w:r w:rsidRPr="00E7423F">
        <w:rPr>
          <w:i/>
        </w:rPr>
        <w:t>L</w:t>
      </w:r>
      <w:r w:rsidRPr="00E7423F">
        <w:t xml:space="preserve">. </w:t>
      </w:r>
      <w:r>
        <w:rPr>
          <w:i/>
        </w:rPr>
        <w:t>bisakol</w:t>
      </w:r>
      <w:r w:rsidRPr="00E7423F">
        <w:t xml:space="preserve">, </w:t>
      </w:r>
      <w:r w:rsidRPr="00E7423F">
        <w:rPr>
          <w:i/>
        </w:rPr>
        <w:t>L</w:t>
      </w:r>
      <w:r w:rsidRPr="00E7423F">
        <w:t xml:space="preserve">. </w:t>
      </w:r>
      <w:r w:rsidRPr="00E7423F">
        <w:rPr>
          <w:i/>
        </w:rPr>
        <w:t>labialis</w:t>
      </w:r>
      <w:r>
        <w:t xml:space="preserve">, </w:t>
      </w:r>
      <w:r w:rsidRPr="00E7423F">
        <w:rPr>
          <w:i/>
        </w:rPr>
        <w:t xml:space="preserve">L. </w:t>
      </w:r>
      <w:r>
        <w:rPr>
          <w:i/>
        </w:rPr>
        <w:t>nakahiwalay</w:t>
      </w:r>
      <w:r>
        <w:t>]</w:t>
      </w:r>
      <w:r w:rsidRPr="00E7423F">
        <w:t>);</w:t>
      </w:r>
      <w:r>
        <w:t xml:space="preserve"> </w:t>
      </w:r>
      <w:r w:rsidRPr="00E7423F">
        <w:t xml:space="preserve">from </w:t>
      </w:r>
      <w:r w:rsidRPr="00E7423F">
        <w:rPr>
          <w:i/>
        </w:rPr>
        <w:t>L</w:t>
      </w:r>
      <w:r w:rsidRPr="00E7423F">
        <w:t xml:space="preserve">. </w:t>
      </w:r>
      <w:r w:rsidRPr="00E7423F">
        <w:rPr>
          <w:i/>
        </w:rPr>
        <w:t>h</w:t>
      </w:r>
      <w:r w:rsidRPr="00E7423F">
        <w:t xml:space="preserve">. </w:t>
      </w:r>
      <w:r w:rsidRPr="00E7423F">
        <w:rPr>
          <w:i/>
        </w:rPr>
        <w:t>herrei</w:t>
      </w:r>
      <w:r>
        <w:t>,</w:t>
      </w:r>
      <w:r w:rsidRPr="00E7423F">
        <w:t xml:space="preserve"> </w:t>
      </w:r>
      <w:r w:rsidRPr="00E7423F">
        <w:rPr>
          <w:i/>
        </w:rPr>
        <w:t>L</w:t>
      </w:r>
      <w:r w:rsidRPr="00E7423F">
        <w:t xml:space="preserve">. </w:t>
      </w:r>
      <w:r w:rsidRPr="00E7423F">
        <w:rPr>
          <w:i/>
        </w:rPr>
        <w:t>h</w:t>
      </w:r>
      <w:r w:rsidRPr="00E7423F">
        <w:t xml:space="preserve">. </w:t>
      </w:r>
      <w:r w:rsidRPr="00E7423F">
        <w:rPr>
          <w:i/>
        </w:rPr>
        <w:t>medianus</w:t>
      </w:r>
      <w:r>
        <w:rPr>
          <w:iCs/>
        </w:rPr>
        <w:t xml:space="preserve">, </w:t>
      </w:r>
      <w:r>
        <w:t xml:space="preserve">and </w:t>
      </w:r>
      <w:r w:rsidRPr="00E7423F">
        <w:rPr>
          <w:i/>
        </w:rPr>
        <w:t>L</w:t>
      </w:r>
      <w:r w:rsidRPr="00E7423F">
        <w:t xml:space="preserve">. </w:t>
      </w:r>
      <w:r w:rsidRPr="00E7423F">
        <w:rPr>
          <w:i/>
        </w:rPr>
        <w:t>labialis</w:t>
      </w:r>
      <w:r>
        <w:rPr>
          <w:i/>
        </w:rPr>
        <w:t xml:space="preserve"> </w:t>
      </w:r>
      <w:r>
        <w:rPr>
          <w:iCs/>
        </w:rPr>
        <w:t xml:space="preserve">by having more midbody ventral scales (14–16 vs. &lt; 13); from </w:t>
      </w:r>
      <w:r w:rsidRPr="00E7423F">
        <w:rPr>
          <w:i/>
        </w:rPr>
        <w:t>L</w:t>
      </w:r>
      <w:r w:rsidRPr="00E7423F">
        <w:t xml:space="preserve">. </w:t>
      </w:r>
      <w:r>
        <w:rPr>
          <w:i/>
        </w:rPr>
        <w:t>aureolineatus</w:t>
      </w:r>
      <w:r>
        <w:rPr>
          <w:iCs/>
        </w:rPr>
        <w:t>,</w:t>
      </w:r>
      <w:r w:rsidRPr="00E7423F">
        <w:rPr>
          <w:i/>
        </w:rPr>
        <w:t xml:space="preserve"> L</w:t>
      </w:r>
      <w:r w:rsidRPr="00E7423F">
        <w:t xml:space="preserve">. </w:t>
      </w:r>
      <w:r w:rsidRPr="00E7423F">
        <w:rPr>
          <w:i/>
        </w:rPr>
        <w:t>christiani</w:t>
      </w:r>
      <w:r w:rsidRPr="00E7423F">
        <w:t xml:space="preserve">, </w:t>
      </w:r>
      <w:r w:rsidRPr="00E7423F">
        <w:rPr>
          <w:i/>
        </w:rPr>
        <w:t>L</w:t>
      </w:r>
      <w:r w:rsidRPr="00E7423F">
        <w:t xml:space="preserve">. </w:t>
      </w:r>
      <w:r w:rsidRPr="00E7423F">
        <w:rPr>
          <w:i/>
        </w:rPr>
        <w:t>h</w:t>
      </w:r>
      <w:r w:rsidRPr="00E7423F">
        <w:t xml:space="preserve">. </w:t>
      </w:r>
      <w:r w:rsidRPr="00E7423F">
        <w:rPr>
          <w:i/>
        </w:rPr>
        <w:t>herrei</w:t>
      </w:r>
      <w:r w:rsidRPr="00E7423F">
        <w:t xml:space="preserve">, </w:t>
      </w:r>
      <w:r w:rsidRPr="00E7423F">
        <w:rPr>
          <w:i/>
        </w:rPr>
        <w:t>L</w:t>
      </w:r>
      <w:r w:rsidRPr="00E7423F">
        <w:t xml:space="preserve">. </w:t>
      </w:r>
      <w:r w:rsidRPr="00E7423F">
        <w:rPr>
          <w:i/>
        </w:rPr>
        <w:t>h</w:t>
      </w:r>
      <w:r w:rsidRPr="00E7423F">
        <w:t xml:space="preserve">. </w:t>
      </w:r>
      <w:r w:rsidRPr="00E7423F">
        <w:rPr>
          <w:i/>
        </w:rPr>
        <w:t>medianus</w:t>
      </w:r>
      <w:r w:rsidRPr="00E7423F">
        <w:t xml:space="preserve">, </w:t>
      </w:r>
      <w:r w:rsidRPr="00E7423F">
        <w:rPr>
          <w:i/>
        </w:rPr>
        <w:t>L</w:t>
      </w:r>
      <w:r w:rsidRPr="00E7423F">
        <w:t xml:space="preserve">. </w:t>
      </w:r>
      <w:r w:rsidRPr="00E7423F">
        <w:rPr>
          <w:i/>
        </w:rPr>
        <w:t>labialis</w:t>
      </w:r>
      <w:r w:rsidRPr="00E7423F">
        <w:t xml:space="preserve">, </w:t>
      </w:r>
      <w:r w:rsidRPr="00E7423F">
        <w:rPr>
          <w:i/>
        </w:rPr>
        <w:t xml:space="preserve">L. </w:t>
      </w:r>
      <w:r>
        <w:rPr>
          <w:i/>
        </w:rPr>
        <w:t>nakahiwalay</w:t>
      </w:r>
      <w:r>
        <w:rPr>
          <w:iCs/>
        </w:rPr>
        <w:t>,</w:t>
      </w:r>
      <w:r w:rsidRPr="00E7423F">
        <w:t xml:space="preserve"> and </w:t>
      </w:r>
      <w:r w:rsidRPr="00E7423F">
        <w:rPr>
          <w:i/>
        </w:rPr>
        <w:t>L</w:t>
      </w:r>
      <w:r w:rsidRPr="00E7423F">
        <w:t xml:space="preserve">. </w:t>
      </w:r>
      <w:r w:rsidRPr="00E7423F">
        <w:rPr>
          <w:i/>
        </w:rPr>
        <w:t>lugubris</w:t>
      </w:r>
      <w:r w:rsidRPr="00E7423F">
        <w:t xml:space="preserve"> by having more ventral scales (16 vs. </w:t>
      </w:r>
      <w:r>
        <w:t xml:space="preserve">&lt; </w:t>
      </w:r>
      <w:r w:rsidRPr="00E7423F">
        <w:t xml:space="preserve">16); </w:t>
      </w:r>
      <w:r>
        <w:t xml:space="preserve">from </w:t>
      </w:r>
      <w:r w:rsidRPr="00E7423F">
        <w:rPr>
          <w:i/>
        </w:rPr>
        <w:t xml:space="preserve">L. </w:t>
      </w:r>
      <w:r>
        <w:rPr>
          <w:i/>
        </w:rPr>
        <w:t xml:space="preserve">bisakol </w:t>
      </w:r>
      <w:r>
        <w:rPr>
          <w:iCs/>
        </w:rPr>
        <w:t xml:space="preserve">and </w:t>
      </w:r>
      <w:r w:rsidRPr="00E7423F">
        <w:rPr>
          <w:i/>
        </w:rPr>
        <w:t>L</w:t>
      </w:r>
      <w:r w:rsidRPr="00E7423F">
        <w:t xml:space="preserve">. </w:t>
      </w:r>
      <w:r w:rsidRPr="00E7423F">
        <w:rPr>
          <w:i/>
        </w:rPr>
        <w:t>labialis</w:t>
      </w:r>
      <w:r>
        <w:t xml:space="preserve"> by having fewer supralabials (11–12 vs. &gt; 13); </w:t>
      </w:r>
      <w:r w:rsidRPr="00E7423F">
        <w:t xml:space="preserve">from </w:t>
      </w:r>
      <w:r w:rsidRPr="00E7423F">
        <w:rPr>
          <w:i/>
        </w:rPr>
        <w:t>L</w:t>
      </w:r>
      <w:r w:rsidRPr="00E7423F">
        <w:t xml:space="preserve">. </w:t>
      </w:r>
      <w:r>
        <w:rPr>
          <w:i/>
        </w:rPr>
        <w:t>aureolineatus</w:t>
      </w:r>
      <w:r w:rsidRPr="00E7423F">
        <w:t xml:space="preserve">, </w:t>
      </w:r>
      <w:r w:rsidRPr="00E7423F">
        <w:rPr>
          <w:i/>
        </w:rPr>
        <w:t>L</w:t>
      </w:r>
      <w:r w:rsidRPr="00E7423F">
        <w:t xml:space="preserve">. </w:t>
      </w:r>
      <w:r w:rsidRPr="00E7423F">
        <w:rPr>
          <w:i/>
        </w:rPr>
        <w:t>christiani</w:t>
      </w:r>
      <w:r w:rsidRPr="00E7423F">
        <w:t xml:space="preserve">, and </w:t>
      </w:r>
      <w:r w:rsidRPr="00E7423F">
        <w:rPr>
          <w:i/>
        </w:rPr>
        <w:t>L</w:t>
      </w:r>
      <w:r w:rsidRPr="00E7423F">
        <w:t xml:space="preserve">. </w:t>
      </w:r>
      <w:r w:rsidRPr="00E7423F">
        <w:rPr>
          <w:i/>
        </w:rPr>
        <w:t>h</w:t>
      </w:r>
      <w:r w:rsidRPr="00E7423F">
        <w:t xml:space="preserve">. </w:t>
      </w:r>
      <w:r w:rsidRPr="00E7423F">
        <w:rPr>
          <w:i/>
        </w:rPr>
        <w:t>herrei</w:t>
      </w:r>
      <w:r w:rsidRPr="00E7423F">
        <w:t xml:space="preserve"> by having more circumorbital scales (32–35 vs. </w:t>
      </w:r>
      <w:r>
        <w:t xml:space="preserve">&lt; </w:t>
      </w:r>
      <w:r w:rsidRPr="00E7423F">
        <w:t>31)</w:t>
      </w:r>
      <w:r>
        <w:t xml:space="preserve">; from </w:t>
      </w:r>
      <w:r w:rsidRPr="00E7423F">
        <w:rPr>
          <w:i/>
        </w:rPr>
        <w:t>L</w:t>
      </w:r>
      <w:r w:rsidRPr="00E7423F">
        <w:t>.</w:t>
      </w:r>
      <w:r w:rsidRPr="00E7423F">
        <w:rPr>
          <w:i/>
        </w:rPr>
        <w:t xml:space="preserve"> </w:t>
      </w:r>
      <w:r>
        <w:rPr>
          <w:i/>
        </w:rPr>
        <w:t>aureolineatus</w:t>
      </w:r>
      <w:r w:rsidRPr="00E7423F">
        <w:t>,</w:t>
      </w:r>
      <w:r>
        <w:t xml:space="preserve"> </w:t>
      </w:r>
      <w:r w:rsidRPr="00E7423F">
        <w:rPr>
          <w:i/>
        </w:rPr>
        <w:t>L</w:t>
      </w:r>
      <w:r w:rsidRPr="00E7423F">
        <w:t xml:space="preserve">. </w:t>
      </w:r>
      <w:r w:rsidRPr="00E7423F">
        <w:rPr>
          <w:i/>
        </w:rPr>
        <w:t>h</w:t>
      </w:r>
      <w:r w:rsidRPr="00E7423F">
        <w:t xml:space="preserve">. </w:t>
      </w:r>
      <w:r w:rsidRPr="00E7423F">
        <w:rPr>
          <w:i/>
        </w:rPr>
        <w:t>herrei</w:t>
      </w:r>
      <w:r w:rsidRPr="00E7423F">
        <w:t>,</w:t>
      </w:r>
      <w:r w:rsidRPr="00E7423F">
        <w:rPr>
          <w:i/>
        </w:rPr>
        <w:t xml:space="preserve"> L</w:t>
      </w:r>
      <w:r w:rsidRPr="00E7423F">
        <w:t xml:space="preserve">. </w:t>
      </w:r>
      <w:r w:rsidRPr="00E7423F">
        <w:rPr>
          <w:i/>
        </w:rPr>
        <w:t>labialis</w:t>
      </w:r>
      <w:r w:rsidRPr="00E7423F">
        <w:t xml:space="preserve">, </w:t>
      </w:r>
      <w:r w:rsidRPr="00E7423F">
        <w:rPr>
          <w:i/>
        </w:rPr>
        <w:t>L</w:t>
      </w:r>
      <w:r w:rsidRPr="00E7423F">
        <w:t xml:space="preserve">. </w:t>
      </w:r>
      <w:r w:rsidRPr="00E7423F">
        <w:rPr>
          <w:i/>
        </w:rPr>
        <w:t>lugubris</w:t>
      </w:r>
      <w:r w:rsidRPr="00E7423F">
        <w:t>,</w:t>
      </w:r>
      <w:r w:rsidRPr="00E7423F">
        <w:rPr>
          <w:i/>
        </w:rPr>
        <w:t xml:space="preserve"> </w:t>
      </w:r>
      <w:r w:rsidRPr="00E7423F">
        <w:t xml:space="preserve">and </w:t>
      </w:r>
      <w:r w:rsidRPr="00E7423F">
        <w:rPr>
          <w:i/>
        </w:rPr>
        <w:t>L</w:t>
      </w:r>
      <w:r w:rsidRPr="00E7423F">
        <w:t>.</w:t>
      </w:r>
      <w:r w:rsidRPr="00E7423F">
        <w:rPr>
          <w:i/>
        </w:rPr>
        <w:t xml:space="preserve"> planicaudus</w:t>
      </w:r>
      <w:r>
        <w:rPr>
          <w:i/>
        </w:rPr>
        <w:t xml:space="preserve"> </w:t>
      </w:r>
      <w:r>
        <w:rPr>
          <w:iCs/>
        </w:rPr>
        <w:t xml:space="preserve">by having more circumnasal scales (4 vs. 3); from </w:t>
      </w:r>
      <w:r w:rsidRPr="00E7423F">
        <w:rPr>
          <w:i/>
        </w:rPr>
        <w:t>L. balioburius</w:t>
      </w:r>
      <w:r>
        <w:rPr>
          <w:iCs/>
        </w:rPr>
        <w:t xml:space="preserve">, </w:t>
      </w:r>
      <w:r w:rsidRPr="00E7423F">
        <w:rPr>
          <w:i/>
        </w:rPr>
        <w:t>L</w:t>
      </w:r>
      <w:r w:rsidRPr="00E7423F">
        <w:t xml:space="preserve">. </w:t>
      </w:r>
      <w:r w:rsidRPr="00E7423F">
        <w:rPr>
          <w:i/>
        </w:rPr>
        <w:t>h</w:t>
      </w:r>
      <w:r>
        <w:t>.</w:t>
      </w:r>
      <w:r w:rsidRPr="00E7423F">
        <w:t xml:space="preserve"> </w:t>
      </w:r>
      <w:r w:rsidRPr="00E7423F">
        <w:rPr>
          <w:i/>
        </w:rPr>
        <w:t>herrei</w:t>
      </w:r>
      <w:r>
        <w:rPr>
          <w:iCs/>
        </w:rPr>
        <w:t>,</w:t>
      </w:r>
      <w:r w:rsidRPr="00E7423F">
        <w:t xml:space="preserve"> </w:t>
      </w:r>
      <w:r w:rsidRPr="00E7423F">
        <w:rPr>
          <w:i/>
        </w:rPr>
        <w:t>L</w:t>
      </w:r>
      <w:r w:rsidRPr="00E7423F">
        <w:t xml:space="preserve">. </w:t>
      </w:r>
      <w:r w:rsidRPr="00E7423F">
        <w:rPr>
          <w:i/>
        </w:rPr>
        <w:t>h</w:t>
      </w:r>
      <w:r w:rsidRPr="00E7423F">
        <w:t xml:space="preserve">. </w:t>
      </w:r>
      <w:r w:rsidRPr="00E7423F">
        <w:rPr>
          <w:i/>
        </w:rPr>
        <w:t>medianus</w:t>
      </w:r>
      <w:r>
        <w:rPr>
          <w:iCs/>
        </w:rPr>
        <w:t>,</w:t>
      </w:r>
      <w:r w:rsidRPr="00AB020D">
        <w:rPr>
          <w:i/>
        </w:rPr>
        <w:t xml:space="preserve"> </w:t>
      </w:r>
      <w:r w:rsidRPr="00E7423F">
        <w:rPr>
          <w:i/>
        </w:rPr>
        <w:t>L</w:t>
      </w:r>
      <w:r w:rsidRPr="00E7423F">
        <w:t xml:space="preserve">. </w:t>
      </w:r>
      <w:r w:rsidRPr="00E7423F">
        <w:rPr>
          <w:i/>
        </w:rPr>
        <w:t>labialis</w:t>
      </w:r>
      <w:r>
        <w:rPr>
          <w:iCs/>
        </w:rPr>
        <w:t>,</w:t>
      </w:r>
      <w:r w:rsidRPr="00CE25CC">
        <w:rPr>
          <w:i/>
        </w:rPr>
        <w:t xml:space="preserve"> </w:t>
      </w:r>
      <w:r w:rsidRPr="00E7423F">
        <w:rPr>
          <w:i/>
        </w:rPr>
        <w:t>L. lugubris</w:t>
      </w:r>
      <w:r>
        <w:t>,</w:t>
      </w:r>
      <w:r w:rsidRPr="001F124E">
        <w:rPr>
          <w:i/>
        </w:rPr>
        <w:t xml:space="preserve"> </w:t>
      </w:r>
      <w:r w:rsidRPr="00E7423F">
        <w:rPr>
          <w:i/>
        </w:rPr>
        <w:t xml:space="preserve">L. </w:t>
      </w:r>
      <w:r>
        <w:rPr>
          <w:i/>
        </w:rPr>
        <w:t>nakahiwalay</w:t>
      </w:r>
      <w:r>
        <w:rPr>
          <w:iCs/>
        </w:rPr>
        <w:t xml:space="preserve">, and </w:t>
      </w:r>
      <w:r>
        <w:rPr>
          <w:i/>
          <w:iCs/>
        </w:rPr>
        <w:t>L. planicaudus</w:t>
      </w:r>
      <w:r>
        <w:t xml:space="preserve"> by having a moderate number of precloacofemoral</w:t>
      </w:r>
      <w:r w:rsidRPr="00EA1B55">
        <w:t xml:space="preserve"> pores</w:t>
      </w:r>
      <w:r>
        <w:t xml:space="preserve"> (25 vs. &lt; 24 [</w:t>
      </w:r>
      <w:r w:rsidRPr="00E7423F">
        <w:rPr>
          <w:i/>
        </w:rPr>
        <w:t>L</w:t>
      </w:r>
      <w:r w:rsidRPr="00E7423F">
        <w:t xml:space="preserve">. </w:t>
      </w:r>
      <w:r w:rsidRPr="00E7423F">
        <w:rPr>
          <w:i/>
        </w:rPr>
        <w:t>labialis</w:t>
      </w:r>
      <w:r>
        <w:rPr>
          <w:iCs/>
        </w:rPr>
        <w:t>,</w:t>
      </w:r>
      <w:r w:rsidRPr="00AB020D">
        <w:rPr>
          <w:i/>
        </w:rPr>
        <w:t xml:space="preserve"> </w:t>
      </w:r>
      <w:r w:rsidRPr="00E7423F">
        <w:rPr>
          <w:i/>
        </w:rPr>
        <w:t xml:space="preserve">L. </w:t>
      </w:r>
      <w:r>
        <w:rPr>
          <w:i/>
        </w:rPr>
        <w:t>nakahiwalay</w:t>
      </w:r>
      <w:r>
        <w:rPr>
          <w:iCs/>
        </w:rPr>
        <w:t xml:space="preserve">, </w:t>
      </w:r>
      <w:r>
        <w:rPr>
          <w:i/>
          <w:iCs/>
        </w:rPr>
        <w:t>L. planicaudus</w:t>
      </w:r>
      <w:r>
        <w:t>], &gt; 30 [</w:t>
      </w:r>
      <w:r w:rsidRPr="00E7423F">
        <w:rPr>
          <w:i/>
        </w:rPr>
        <w:t>L</w:t>
      </w:r>
      <w:r w:rsidRPr="00E7423F">
        <w:t xml:space="preserve">. </w:t>
      </w:r>
      <w:r w:rsidRPr="00E7423F">
        <w:rPr>
          <w:i/>
        </w:rPr>
        <w:t>h</w:t>
      </w:r>
      <w:r>
        <w:t>.</w:t>
      </w:r>
      <w:r w:rsidRPr="00E7423F">
        <w:t xml:space="preserve"> </w:t>
      </w:r>
      <w:r w:rsidRPr="00E7423F">
        <w:rPr>
          <w:i/>
        </w:rPr>
        <w:t>herrei</w:t>
      </w:r>
      <w:r>
        <w:rPr>
          <w:iCs/>
        </w:rPr>
        <w:t>,</w:t>
      </w:r>
      <w:r w:rsidRPr="00E7423F">
        <w:t xml:space="preserve"> </w:t>
      </w:r>
      <w:r w:rsidRPr="00E7423F">
        <w:rPr>
          <w:i/>
        </w:rPr>
        <w:t>L</w:t>
      </w:r>
      <w:r w:rsidRPr="00E7423F">
        <w:t xml:space="preserve">. </w:t>
      </w:r>
      <w:r w:rsidRPr="00E7423F">
        <w:rPr>
          <w:i/>
        </w:rPr>
        <w:t>h</w:t>
      </w:r>
      <w:r w:rsidRPr="00E7423F">
        <w:t xml:space="preserve">. </w:t>
      </w:r>
      <w:r w:rsidRPr="00E7423F">
        <w:rPr>
          <w:i/>
        </w:rPr>
        <w:t>medianus</w:t>
      </w:r>
      <w:r>
        <w:rPr>
          <w:iCs/>
        </w:rPr>
        <w:t xml:space="preserve">, </w:t>
      </w:r>
      <w:r w:rsidRPr="00E7423F">
        <w:rPr>
          <w:i/>
        </w:rPr>
        <w:t>L. lugubris</w:t>
      </w:r>
      <w:r>
        <w:t>]);</w:t>
      </w:r>
      <w:r>
        <w:rPr>
          <w:iCs/>
        </w:rPr>
        <w:t xml:space="preserve"> from</w:t>
      </w:r>
      <w:r w:rsidRPr="00454B1B">
        <w:rPr>
          <w:i/>
        </w:rPr>
        <w:t xml:space="preserve"> </w:t>
      </w:r>
      <w:r w:rsidRPr="00E7423F">
        <w:rPr>
          <w:i/>
        </w:rPr>
        <w:t>L</w:t>
      </w:r>
      <w:r w:rsidRPr="00E7423F">
        <w:t xml:space="preserve">. </w:t>
      </w:r>
      <w:r w:rsidRPr="00E7423F">
        <w:rPr>
          <w:i/>
        </w:rPr>
        <w:t>labialis</w:t>
      </w:r>
      <w:r>
        <w:rPr>
          <w:iCs/>
        </w:rPr>
        <w:t xml:space="preserve"> and </w:t>
      </w:r>
      <w:r w:rsidRPr="00E7423F">
        <w:rPr>
          <w:i/>
        </w:rPr>
        <w:t>L</w:t>
      </w:r>
      <w:r w:rsidRPr="00E7423F">
        <w:t xml:space="preserve">. </w:t>
      </w:r>
      <w:r w:rsidRPr="00E7423F">
        <w:rPr>
          <w:i/>
        </w:rPr>
        <w:t>lugubris</w:t>
      </w:r>
      <w:r>
        <w:rPr>
          <w:i/>
        </w:rPr>
        <w:t xml:space="preserve"> </w:t>
      </w:r>
      <w:r>
        <w:rPr>
          <w:iCs/>
        </w:rPr>
        <w:t xml:space="preserve"> </w:t>
      </w:r>
      <w:r>
        <w:t xml:space="preserve">by having a a linear pore series (vs. v-shaped); from </w:t>
      </w:r>
      <w:r w:rsidRPr="00E7423F">
        <w:rPr>
          <w:i/>
        </w:rPr>
        <w:t>L</w:t>
      </w:r>
      <w:r w:rsidRPr="00E7423F">
        <w:t xml:space="preserve">. </w:t>
      </w:r>
      <w:r w:rsidRPr="00E7423F">
        <w:rPr>
          <w:i/>
        </w:rPr>
        <w:t>labialis</w:t>
      </w:r>
      <w:r>
        <w:t xml:space="preserve"> by having a rostral scale not cleft (vs. cleft) and more cloacal spurs (1 or 2 vs. 0); from </w:t>
      </w:r>
      <w:r w:rsidRPr="00E7423F">
        <w:rPr>
          <w:i/>
        </w:rPr>
        <w:t>L</w:t>
      </w:r>
      <w:r w:rsidRPr="00E7423F">
        <w:t xml:space="preserve">. </w:t>
      </w:r>
      <w:r>
        <w:rPr>
          <w:i/>
        </w:rPr>
        <w:t>aureolineatus</w:t>
      </w:r>
      <w:r>
        <w:rPr>
          <w:iCs/>
        </w:rPr>
        <w:t xml:space="preserve">, </w:t>
      </w:r>
      <w:r>
        <w:rPr>
          <w:i/>
          <w:iCs/>
        </w:rPr>
        <w:t>L. christiani</w:t>
      </w:r>
      <w:r w:rsidRPr="00454B1B">
        <w:rPr>
          <w:i/>
        </w:rPr>
        <w:t xml:space="preserve"> </w:t>
      </w:r>
      <w:r w:rsidRPr="00E7423F">
        <w:rPr>
          <w:i/>
        </w:rPr>
        <w:t>L</w:t>
      </w:r>
      <w:r w:rsidRPr="00E7423F">
        <w:t xml:space="preserve">. </w:t>
      </w:r>
      <w:r w:rsidRPr="00E7423F">
        <w:rPr>
          <w:i/>
        </w:rPr>
        <w:t>h</w:t>
      </w:r>
      <w:r>
        <w:rPr>
          <w:iCs/>
        </w:rPr>
        <w:t>.</w:t>
      </w:r>
      <w:r w:rsidRPr="00E7423F">
        <w:t xml:space="preserve"> </w:t>
      </w:r>
      <w:r w:rsidRPr="00E7423F">
        <w:rPr>
          <w:i/>
        </w:rPr>
        <w:t>herrei</w:t>
      </w:r>
      <w:r>
        <w:rPr>
          <w:iCs/>
        </w:rPr>
        <w:t>,</w:t>
      </w:r>
      <w:r>
        <w:t xml:space="preserve"> </w:t>
      </w:r>
      <w:r w:rsidRPr="00E7423F">
        <w:rPr>
          <w:i/>
        </w:rPr>
        <w:t>L</w:t>
      </w:r>
      <w:r w:rsidRPr="00E7423F">
        <w:t xml:space="preserve">. </w:t>
      </w:r>
      <w:r w:rsidRPr="00E7423F">
        <w:rPr>
          <w:i/>
        </w:rPr>
        <w:t>labialis</w:t>
      </w:r>
      <w:r>
        <w:rPr>
          <w:iCs/>
        </w:rPr>
        <w:t>,</w:t>
      </w:r>
      <w:r w:rsidRPr="00454B1B">
        <w:rPr>
          <w:i/>
        </w:rPr>
        <w:t xml:space="preserve"> </w:t>
      </w:r>
      <w:r>
        <w:rPr>
          <w:iCs/>
        </w:rPr>
        <w:t xml:space="preserve">and </w:t>
      </w:r>
      <w:r w:rsidRPr="00E7423F">
        <w:rPr>
          <w:i/>
        </w:rPr>
        <w:t>L</w:t>
      </w:r>
      <w:r w:rsidRPr="00E7423F">
        <w:t>.</w:t>
      </w:r>
      <w:r w:rsidRPr="00E7423F">
        <w:rPr>
          <w:i/>
        </w:rPr>
        <w:t xml:space="preserve"> planicaudus</w:t>
      </w:r>
      <w:r>
        <w:rPr>
          <w:i/>
        </w:rPr>
        <w:t xml:space="preserve"> </w:t>
      </w:r>
      <w:r>
        <w:rPr>
          <w:iCs/>
        </w:rPr>
        <w:t>by having minimal webbing between Toes II and III (1 vs. 0 [</w:t>
      </w:r>
      <w:r w:rsidRPr="00E7423F">
        <w:rPr>
          <w:i/>
        </w:rPr>
        <w:t>L</w:t>
      </w:r>
      <w:r w:rsidRPr="00E7423F">
        <w:t xml:space="preserve">. </w:t>
      </w:r>
      <w:r w:rsidRPr="00E7423F">
        <w:rPr>
          <w:i/>
        </w:rPr>
        <w:t>labialis</w:t>
      </w:r>
      <w:r>
        <w:rPr>
          <w:iCs/>
        </w:rPr>
        <w:t>], &gt; 1[</w:t>
      </w:r>
      <w:r w:rsidRPr="00E7423F">
        <w:rPr>
          <w:i/>
        </w:rPr>
        <w:t>L</w:t>
      </w:r>
      <w:r w:rsidRPr="00E7423F">
        <w:t xml:space="preserve">. </w:t>
      </w:r>
      <w:r>
        <w:rPr>
          <w:i/>
        </w:rPr>
        <w:t>aureolineatus</w:t>
      </w:r>
      <w:r>
        <w:rPr>
          <w:iCs/>
        </w:rPr>
        <w:t xml:space="preserve">, </w:t>
      </w:r>
      <w:r>
        <w:rPr>
          <w:i/>
          <w:iCs/>
        </w:rPr>
        <w:t>L. christiani</w:t>
      </w:r>
      <w:r>
        <w:t>,</w:t>
      </w:r>
      <w:r w:rsidRPr="00454B1B">
        <w:rPr>
          <w:i/>
        </w:rPr>
        <w:t xml:space="preserve"> </w:t>
      </w:r>
      <w:r w:rsidRPr="00E7423F">
        <w:rPr>
          <w:i/>
        </w:rPr>
        <w:t>L</w:t>
      </w:r>
      <w:r w:rsidRPr="00E7423F">
        <w:t xml:space="preserve">. </w:t>
      </w:r>
      <w:r w:rsidRPr="00E7423F">
        <w:rPr>
          <w:i/>
        </w:rPr>
        <w:t>h</w:t>
      </w:r>
      <w:r>
        <w:rPr>
          <w:iCs/>
        </w:rPr>
        <w:t>.</w:t>
      </w:r>
      <w:r w:rsidRPr="00E7423F">
        <w:t xml:space="preserve"> </w:t>
      </w:r>
      <w:r w:rsidRPr="00E7423F">
        <w:rPr>
          <w:i/>
        </w:rPr>
        <w:t>herrei</w:t>
      </w:r>
      <w:r>
        <w:rPr>
          <w:iCs/>
        </w:rPr>
        <w:t>,</w:t>
      </w:r>
      <w:r>
        <w:t xml:space="preserve"> </w:t>
      </w:r>
      <w:r w:rsidRPr="00454B1B">
        <w:rPr>
          <w:i/>
        </w:rPr>
        <w:t xml:space="preserve"> </w:t>
      </w:r>
      <w:r w:rsidRPr="00E7423F">
        <w:rPr>
          <w:i/>
        </w:rPr>
        <w:t>L</w:t>
      </w:r>
      <w:r w:rsidRPr="00E7423F">
        <w:t>.</w:t>
      </w:r>
      <w:r w:rsidRPr="00E7423F">
        <w:rPr>
          <w:i/>
        </w:rPr>
        <w:t xml:space="preserve"> planicaudus</w:t>
      </w:r>
      <w:r>
        <w:rPr>
          <w:iCs/>
        </w:rPr>
        <w:t xml:space="preserve">]); </w:t>
      </w:r>
      <w:r>
        <w:t xml:space="preserve">from </w:t>
      </w:r>
      <w:r w:rsidRPr="00E7423F">
        <w:rPr>
          <w:i/>
        </w:rPr>
        <w:t>L</w:t>
      </w:r>
      <w:r w:rsidRPr="00E7423F">
        <w:t xml:space="preserve">. </w:t>
      </w:r>
      <w:r>
        <w:rPr>
          <w:i/>
        </w:rPr>
        <w:t>aureolineatus</w:t>
      </w:r>
      <w:r>
        <w:rPr>
          <w:iCs/>
        </w:rPr>
        <w:t xml:space="preserve">, </w:t>
      </w:r>
      <w:r w:rsidRPr="00E7423F">
        <w:rPr>
          <w:i/>
        </w:rPr>
        <w:t>L. balioburius</w:t>
      </w:r>
      <w:r>
        <w:rPr>
          <w:iCs/>
        </w:rPr>
        <w:t>,</w:t>
      </w:r>
      <w:r w:rsidRPr="00454B1B">
        <w:rPr>
          <w:i/>
        </w:rPr>
        <w:t xml:space="preserve"> </w:t>
      </w:r>
      <w:r>
        <w:rPr>
          <w:iCs/>
        </w:rPr>
        <w:t>and</w:t>
      </w:r>
      <w:r>
        <w:rPr>
          <w:i/>
        </w:rPr>
        <w:t xml:space="preserve"> </w:t>
      </w:r>
      <w:r w:rsidRPr="00E7423F">
        <w:rPr>
          <w:i/>
        </w:rPr>
        <w:t>L</w:t>
      </w:r>
      <w:r w:rsidRPr="00E7423F">
        <w:t xml:space="preserve">. </w:t>
      </w:r>
      <w:r w:rsidRPr="00E7423F">
        <w:rPr>
          <w:i/>
        </w:rPr>
        <w:t>labialis</w:t>
      </w:r>
      <w:r>
        <w:rPr>
          <w:iCs/>
        </w:rPr>
        <w:t xml:space="preserve"> by having more webbing between Toes III and IV (3 vs. &lt; 3); from </w:t>
      </w:r>
      <w:r w:rsidRPr="00E7423F">
        <w:rPr>
          <w:i/>
        </w:rPr>
        <w:t>L</w:t>
      </w:r>
      <w:r w:rsidRPr="00E7423F">
        <w:t xml:space="preserve">. </w:t>
      </w:r>
      <w:r>
        <w:rPr>
          <w:i/>
        </w:rPr>
        <w:t>aureolineatus</w:t>
      </w:r>
      <w:r>
        <w:rPr>
          <w:iCs/>
        </w:rPr>
        <w:t>,</w:t>
      </w:r>
      <w:r>
        <w:rPr>
          <w:i/>
        </w:rPr>
        <w:t xml:space="preserve"> </w:t>
      </w:r>
      <w:r>
        <w:rPr>
          <w:i/>
          <w:iCs/>
        </w:rPr>
        <w:t>L. christiani</w:t>
      </w:r>
      <w:r>
        <w:rPr>
          <w:iCs/>
        </w:rPr>
        <w:t>,</w:t>
      </w:r>
      <w:r w:rsidRPr="00454B1B">
        <w:rPr>
          <w:i/>
        </w:rPr>
        <w:t xml:space="preserve"> </w:t>
      </w:r>
      <w:r>
        <w:rPr>
          <w:iCs/>
        </w:rPr>
        <w:t xml:space="preserve">and </w:t>
      </w:r>
      <w:r w:rsidRPr="00E7423F">
        <w:rPr>
          <w:i/>
        </w:rPr>
        <w:t>L</w:t>
      </w:r>
      <w:r w:rsidRPr="00E7423F">
        <w:t xml:space="preserve">. </w:t>
      </w:r>
      <w:r w:rsidRPr="00E7423F">
        <w:rPr>
          <w:i/>
        </w:rPr>
        <w:t>h</w:t>
      </w:r>
      <w:r>
        <w:rPr>
          <w:iCs/>
        </w:rPr>
        <w:t>.</w:t>
      </w:r>
      <w:r w:rsidRPr="00E7423F">
        <w:t xml:space="preserve"> </w:t>
      </w:r>
      <w:r w:rsidRPr="00E7423F">
        <w:rPr>
          <w:i/>
        </w:rPr>
        <w:t>herrei</w:t>
      </w:r>
      <w:r>
        <w:rPr>
          <w:i/>
        </w:rPr>
        <w:t xml:space="preserve"> </w:t>
      </w:r>
      <w:r>
        <w:rPr>
          <w:iCs/>
        </w:rPr>
        <w:t xml:space="preserve">by having a larger axilla–groin distance relative to head length (182.4–193.5% head length vs. &lt; 177.9%); from </w:t>
      </w:r>
      <w:r w:rsidRPr="00E7423F">
        <w:rPr>
          <w:i/>
        </w:rPr>
        <w:t>L</w:t>
      </w:r>
      <w:r w:rsidRPr="00E7423F">
        <w:t xml:space="preserve">. </w:t>
      </w:r>
      <w:r>
        <w:rPr>
          <w:i/>
        </w:rPr>
        <w:t>aureolineatus</w:t>
      </w:r>
      <w:r>
        <w:rPr>
          <w:iCs/>
        </w:rPr>
        <w:t>,</w:t>
      </w:r>
      <w:r>
        <w:rPr>
          <w:i/>
        </w:rPr>
        <w:t xml:space="preserve"> </w:t>
      </w:r>
      <w:r w:rsidRPr="00E7423F">
        <w:rPr>
          <w:i/>
        </w:rPr>
        <w:t>L. balioburius</w:t>
      </w:r>
      <w:r>
        <w:rPr>
          <w:iCs/>
        </w:rPr>
        <w:t>,</w:t>
      </w:r>
      <w:r w:rsidRPr="00454B1B">
        <w:rPr>
          <w:i/>
        </w:rPr>
        <w:t xml:space="preserve"> </w:t>
      </w:r>
      <w:r>
        <w:rPr>
          <w:i/>
          <w:iCs/>
        </w:rPr>
        <w:t>L. christiani</w:t>
      </w:r>
      <w:r>
        <w:rPr>
          <w:iCs/>
        </w:rPr>
        <w:t>,</w:t>
      </w:r>
      <w:r w:rsidRPr="00454B1B">
        <w:rPr>
          <w:i/>
        </w:rPr>
        <w:t xml:space="preserve"> </w:t>
      </w:r>
      <w:r w:rsidRPr="00E7423F">
        <w:rPr>
          <w:i/>
        </w:rPr>
        <w:t>L</w:t>
      </w:r>
      <w:r w:rsidRPr="00E7423F">
        <w:t xml:space="preserve">. </w:t>
      </w:r>
      <w:r w:rsidRPr="00E7423F">
        <w:rPr>
          <w:i/>
        </w:rPr>
        <w:t>h</w:t>
      </w:r>
      <w:r>
        <w:rPr>
          <w:iCs/>
        </w:rPr>
        <w:t>.</w:t>
      </w:r>
      <w:r w:rsidRPr="00E7423F">
        <w:t xml:space="preserve"> </w:t>
      </w:r>
      <w:r w:rsidRPr="00E7423F">
        <w:rPr>
          <w:i/>
        </w:rPr>
        <w:t>herrei</w:t>
      </w:r>
      <w:r>
        <w:rPr>
          <w:iCs/>
        </w:rPr>
        <w:t>,</w:t>
      </w:r>
      <w:r w:rsidRPr="00454B1B">
        <w:rPr>
          <w:i/>
        </w:rPr>
        <w:t xml:space="preserve"> </w:t>
      </w:r>
      <w:r w:rsidRPr="00E7423F">
        <w:rPr>
          <w:i/>
        </w:rPr>
        <w:t>L</w:t>
      </w:r>
      <w:r w:rsidRPr="00E7423F">
        <w:t xml:space="preserve">. </w:t>
      </w:r>
      <w:r>
        <w:rPr>
          <w:i/>
        </w:rPr>
        <w:t>h</w:t>
      </w:r>
      <w:r>
        <w:rPr>
          <w:iCs/>
        </w:rPr>
        <w:t>.</w:t>
      </w:r>
      <w:r w:rsidRPr="00E7423F">
        <w:t xml:space="preserve"> </w:t>
      </w:r>
      <w:r w:rsidRPr="00E7423F">
        <w:rPr>
          <w:i/>
        </w:rPr>
        <w:t>medianus</w:t>
      </w:r>
      <w:r>
        <w:rPr>
          <w:iCs/>
        </w:rPr>
        <w:t>,</w:t>
      </w:r>
      <w:r w:rsidRPr="00454B1B">
        <w:rPr>
          <w:i/>
        </w:rPr>
        <w:t xml:space="preserve"> </w:t>
      </w:r>
      <w:r w:rsidRPr="00E7423F">
        <w:rPr>
          <w:i/>
        </w:rPr>
        <w:t xml:space="preserve">L. </w:t>
      </w:r>
      <w:r>
        <w:rPr>
          <w:i/>
        </w:rPr>
        <w:t>nakahiwalay</w:t>
      </w:r>
      <w:r>
        <w:rPr>
          <w:iCs/>
        </w:rPr>
        <w:t>,</w:t>
      </w:r>
      <w:r w:rsidRPr="00E7423F">
        <w:t xml:space="preserve"> </w:t>
      </w:r>
      <w:r>
        <w:rPr>
          <w:iCs/>
        </w:rPr>
        <w:t xml:space="preserve">and </w:t>
      </w:r>
      <w:r w:rsidRPr="00E7423F">
        <w:rPr>
          <w:i/>
        </w:rPr>
        <w:t>L</w:t>
      </w:r>
      <w:r w:rsidRPr="00E7423F">
        <w:t>.</w:t>
      </w:r>
      <w:r w:rsidRPr="00E7423F">
        <w:rPr>
          <w:i/>
        </w:rPr>
        <w:t xml:space="preserve"> planicaudus</w:t>
      </w:r>
      <w:r>
        <w:rPr>
          <w:i/>
        </w:rPr>
        <w:t xml:space="preserve"> </w:t>
      </w:r>
      <w:r>
        <w:rPr>
          <w:iCs/>
        </w:rPr>
        <w:t xml:space="preserve">by having a larger crus length relative to head length (51.0–55.4% head length vs. &lt; 50.5%); and from </w:t>
      </w:r>
      <w:r w:rsidRPr="00E7423F">
        <w:rPr>
          <w:i/>
        </w:rPr>
        <w:t>L</w:t>
      </w:r>
      <w:r w:rsidRPr="00E7423F">
        <w:t xml:space="preserve">. </w:t>
      </w:r>
      <w:r>
        <w:rPr>
          <w:i/>
        </w:rPr>
        <w:t>aureolineatus</w:t>
      </w:r>
      <w:r>
        <w:rPr>
          <w:iCs/>
        </w:rPr>
        <w:t>,</w:t>
      </w:r>
      <w:r>
        <w:rPr>
          <w:i/>
        </w:rPr>
        <w:t xml:space="preserve"> </w:t>
      </w:r>
      <w:r w:rsidRPr="00E7423F">
        <w:rPr>
          <w:i/>
        </w:rPr>
        <w:t>L. balioburiu</w:t>
      </w:r>
      <w:r>
        <w:rPr>
          <w:iCs/>
        </w:rPr>
        <w:t>,</w:t>
      </w:r>
      <w:r w:rsidRPr="00E7423F">
        <w:rPr>
          <w:i/>
        </w:rPr>
        <w:t>s</w:t>
      </w:r>
      <w:r w:rsidRPr="00454B1B">
        <w:rPr>
          <w:i/>
        </w:rPr>
        <w:t xml:space="preserve"> </w:t>
      </w:r>
      <w:r w:rsidRPr="00E7423F">
        <w:rPr>
          <w:i/>
        </w:rPr>
        <w:t xml:space="preserve">L. </w:t>
      </w:r>
      <w:r>
        <w:rPr>
          <w:i/>
        </w:rPr>
        <w:t>bisakol</w:t>
      </w:r>
      <w:r>
        <w:rPr>
          <w:iCs/>
        </w:rPr>
        <w:t>,</w:t>
      </w:r>
      <w:r w:rsidRPr="00454B1B">
        <w:rPr>
          <w:i/>
          <w:iCs/>
        </w:rPr>
        <w:t xml:space="preserve"> </w:t>
      </w:r>
      <w:r>
        <w:rPr>
          <w:i/>
          <w:iCs/>
        </w:rPr>
        <w:t>L. christian</w:t>
      </w:r>
      <w:r>
        <w:rPr>
          <w:iCs/>
        </w:rPr>
        <w:t>,</w:t>
      </w:r>
      <w:r>
        <w:rPr>
          <w:i/>
          <w:iCs/>
        </w:rPr>
        <w:t>i</w:t>
      </w:r>
      <w:r w:rsidRPr="00454B1B">
        <w:rPr>
          <w:i/>
        </w:rPr>
        <w:t xml:space="preserve"> </w:t>
      </w:r>
      <w:r w:rsidRPr="00E7423F">
        <w:rPr>
          <w:i/>
        </w:rPr>
        <w:t>L</w:t>
      </w:r>
      <w:r w:rsidRPr="00E7423F">
        <w:t xml:space="preserve">. </w:t>
      </w:r>
      <w:r w:rsidRPr="00E7423F">
        <w:rPr>
          <w:i/>
        </w:rPr>
        <w:t>h</w:t>
      </w:r>
      <w:r>
        <w:rPr>
          <w:iCs/>
        </w:rPr>
        <w:t>.</w:t>
      </w:r>
      <w:r w:rsidRPr="00E7423F">
        <w:t xml:space="preserve"> </w:t>
      </w:r>
      <w:r w:rsidRPr="00E7423F">
        <w:rPr>
          <w:i/>
        </w:rPr>
        <w:t>herre</w:t>
      </w:r>
      <w:r>
        <w:rPr>
          <w:iCs/>
        </w:rPr>
        <w:t>,</w:t>
      </w:r>
      <w:r w:rsidRPr="00E7423F">
        <w:rPr>
          <w:i/>
        </w:rPr>
        <w:t>i</w:t>
      </w:r>
      <w:r w:rsidRPr="00454B1B">
        <w:rPr>
          <w:i/>
        </w:rPr>
        <w:t xml:space="preserve"> </w:t>
      </w:r>
      <w:r w:rsidRPr="00E7423F">
        <w:rPr>
          <w:i/>
        </w:rPr>
        <w:t>L</w:t>
      </w:r>
      <w:r w:rsidRPr="00E7423F">
        <w:t xml:space="preserve">. </w:t>
      </w:r>
      <w:r>
        <w:rPr>
          <w:i/>
        </w:rPr>
        <w:t>h</w:t>
      </w:r>
      <w:r>
        <w:rPr>
          <w:iCs/>
        </w:rPr>
        <w:t>.</w:t>
      </w:r>
      <w:r w:rsidRPr="00E7423F">
        <w:t xml:space="preserve"> </w:t>
      </w:r>
      <w:r w:rsidRPr="00E7423F">
        <w:rPr>
          <w:i/>
        </w:rPr>
        <w:t>medianus</w:t>
      </w:r>
      <w:r>
        <w:rPr>
          <w:iCs/>
        </w:rPr>
        <w:t>,</w:t>
      </w:r>
      <w:r>
        <w:rPr>
          <w:i/>
        </w:rPr>
        <w:t xml:space="preserve"> </w:t>
      </w:r>
      <w:r>
        <w:t xml:space="preserve">and </w:t>
      </w:r>
      <w:r w:rsidRPr="00E7423F">
        <w:rPr>
          <w:i/>
        </w:rPr>
        <w:t>L</w:t>
      </w:r>
      <w:r w:rsidRPr="00E7423F">
        <w:t>.</w:t>
      </w:r>
      <w:r w:rsidRPr="00E7423F">
        <w:rPr>
          <w:i/>
        </w:rPr>
        <w:t xml:space="preserve"> planicaudus</w:t>
      </w:r>
      <w:r>
        <w:rPr>
          <w:i/>
        </w:rPr>
        <w:t xml:space="preserve"> </w:t>
      </w:r>
      <w:r>
        <w:rPr>
          <w:iCs/>
        </w:rPr>
        <w:t>by having a larger eye–nostril distance relative to head length (32.4–34.8% head length vs. &lt; 31.7%).</w:t>
      </w:r>
    </w:p>
    <w:p w14:paraId="6A7BE7D6" w14:textId="77777777" w:rsidR="00F6339D" w:rsidRPr="00C208FA" w:rsidRDefault="00F6339D" w:rsidP="00F6339D">
      <w:pPr>
        <w:pStyle w:val="NormalWeb"/>
        <w:spacing w:before="0" w:beforeAutospacing="0" w:after="0" w:afterAutospacing="0" w:line="480" w:lineRule="auto"/>
        <w:ind w:firstLine="360"/>
      </w:pPr>
      <w:r w:rsidRPr="004B2647">
        <w:rPr>
          <w:b/>
          <w:bCs/>
        </w:rPr>
        <w:t>Description of holotype.</w:t>
      </w:r>
      <w:r w:rsidRPr="004B2647">
        <w:t>—</w:t>
      </w:r>
      <w:r w:rsidRPr="00E7423F">
        <w:t>Adult male</w:t>
      </w:r>
      <w:r>
        <w:t xml:space="preserve"> in</w:t>
      </w:r>
      <w:r w:rsidRPr="00E7423F">
        <w:t xml:space="preserve"> good condition; small incision in ventral surface from retrieval of genetic sample, hemipenes inverted from preservation. Body small, SVL 37.</w:t>
      </w:r>
      <w:r>
        <w:t>7</w:t>
      </w:r>
      <w:r w:rsidRPr="00E7423F">
        <w:t xml:space="preserve"> mm</w:t>
      </w:r>
      <w:r>
        <w:t>, a</w:t>
      </w:r>
      <w:r w:rsidRPr="00E7423F">
        <w:t>xilla–groin distance 49.3% SVL</w:t>
      </w:r>
      <w:r>
        <w:t xml:space="preserve">; </w:t>
      </w:r>
      <w:r w:rsidRPr="00E7423F">
        <w:t>limbs well developed, moderately slender; tail regenerated, narrow; margins of limbs smooth, lacking cutaneous flaps or dermal folds; trunk lacking ventrolateral cutaneous fold.</w:t>
      </w:r>
    </w:p>
    <w:p w14:paraId="2E79E232" w14:textId="77777777" w:rsidR="00F6339D" w:rsidRDefault="00F6339D" w:rsidP="00F6339D">
      <w:pPr>
        <w:pStyle w:val="NormalWeb"/>
        <w:spacing w:before="0" w:beforeAutospacing="0" w:after="0" w:afterAutospacing="0" w:line="480" w:lineRule="auto"/>
        <w:ind w:firstLine="360"/>
      </w:pPr>
      <w:r w:rsidRPr="00E7423F">
        <w:t xml:space="preserve">Head moderate in size, largely undifferentiated from neck due to hypertrophied temporal musculature; snout rounded in dorsal and lateral aspects; </w:t>
      </w:r>
      <w:r>
        <w:t>head length</w:t>
      </w:r>
      <w:r w:rsidRPr="00E7423F">
        <w:t xml:space="preserve"> 27.1% SVL</w:t>
      </w:r>
      <w:r>
        <w:t>,</w:t>
      </w:r>
      <w:r w:rsidRPr="00E7423F">
        <w:t xml:space="preserve"> 27</w:t>
      </w:r>
      <w:r>
        <w:t>5</w:t>
      </w:r>
      <w:r w:rsidRPr="00E7423F">
        <w:t>.</w:t>
      </w:r>
      <w:r>
        <w:t>7</w:t>
      </w:r>
      <w:r w:rsidRPr="00E7423F">
        <w:t xml:space="preserve">% </w:t>
      </w:r>
      <w:r>
        <w:t>head height</w:t>
      </w:r>
      <w:r w:rsidRPr="00E7423F">
        <w:t xml:space="preserve">; </w:t>
      </w:r>
      <w:r>
        <w:t>head width</w:t>
      </w:r>
      <w:r w:rsidRPr="00E7423F">
        <w:t xml:space="preserve"> 63.7% </w:t>
      </w:r>
      <w:r>
        <w:t>head length</w:t>
      </w:r>
      <w:r w:rsidRPr="00E7423F">
        <w:t xml:space="preserve">, 175.7% </w:t>
      </w:r>
      <w:r>
        <w:t>head height</w:t>
      </w:r>
      <w:r w:rsidRPr="00E7423F">
        <w:t xml:space="preserve">; </w:t>
      </w:r>
      <w:r>
        <w:t xml:space="preserve">snout length </w:t>
      </w:r>
      <w:r w:rsidRPr="00E7423F">
        <w:t xml:space="preserve">41.2% </w:t>
      </w:r>
      <w:r>
        <w:t xml:space="preserve">head length, </w:t>
      </w:r>
      <w:r w:rsidRPr="00E7423F">
        <w:t xml:space="preserve">64.6% </w:t>
      </w:r>
      <w:r>
        <w:t>head width</w:t>
      </w:r>
      <w:r w:rsidRPr="00E7423F">
        <w:t xml:space="preserve">; dorsal surfaces of head homogeneous, with only slight prefrontal and interorbital concavities present; auricular opening large, slightly ovoid, elongated ventrally and dorsally, positioned towards posterior most point on either side of head; eye moderate; pupil vertical, </w:t>
      </w:r>
      <w:r w:rsidRPr="00F12B24">
        <w:t>margin straight</w:t>
      </w:r>
      <w:r w:rsidRPr="00E7423F">
        <w:t>; n</w:t>
      </w:r>
      <w:r>
        <w:t>ostril</w:t>
      </w:r>
      <w:r w:rsidRPr="00E7423F">
        <w:t xml:space="preserve"> contacting first supralabial, not contacting rostral; limbs and digits moderate in length, and moderately slender; legs longer than arms, thighs moderately thicker compared to brachium; </w:t>
      </w:r>
      <w:r>
        <w:t>thigh length</w:t>
      </w:r>
      <w:r w:rsidRPr="00E7423F">
        <w:t xml:space="preserve"> 100.0% </w:t>
      </w:r>
      <w:r>
        <w:t>crus length</w:t>
      </w:r>
      <w:r w:rsidRPr="00E7423F">
        <w:t xml:space="preserve">; </w:t>
      </w:r>
      <w:r>
        <w:t>leg length</w:t>
      </w:r>
      <w:r w:rsidRPr="00E7423F">
        <w:t xml:space="preserve"> 27.6% SVL, 130.0% </w:t>
      </w:r>
      <w:r>
        <w:t>arm length</w:t>
      </w:r>
      <w:r w:rsidRPr="00E7423F">
        <w:t>.</w:t>
      </w:r>
    </w:p>
    <w:p w14:paraId="14E76FC2" w14:textId="77777777" w:rsidR="00F6339D" w:rsidRPr="00E7423F" w:rsidRDefault="00F6339D" w:rsidP="00F6339D">
      <w:pPr>
        <w:pStyle w:val="NormalWeb"/>
        <w:spacing w:before="0" w:beforeAutospacing="0" w:after="0" w:afterAutospacing="0" w:line="480" w:lineRule="auto"/>
        <w:ind w:firstLine="360"/>
      </w:pPr>
      <w:r w:rsidRPr="00E7423F">
        <w:t>Rostral somewhat pentagonal in anterior view, not cleft, bordered laterally by first supralabial</w:t>
      </w:r>
      <w:r>
        <w:t>s</w:t>
      </w:r>
      <w:r w:rsidRPr="00E7423F">
        <w:t>, posterolaterally by anterior</w:t>
      </w:r>
      <w:r>
        <w:t>-</w:t>
      </w:r>
      <w:r w:rsidRPr="00E7423F">
        <w:t>most enlarged circumnasal</w:t>
      </w:r>
      <w:r>
        <w:t>s,</w:t>
      </w:r>
      <w:r w:rsidRPr="00E7423F">
        <w:t xml:space="preserve"> and posteriorly by three </w:t>
      </w:r>
      <w:r>
        <w:t>additional</w:t>
      </w:r>
      <w:r w:rsidRPr="00E7423F">
        <w:t xml:space="preserve"> scales</w:t>
      </w:r>
      <w:r>
        <w:t xml:space="preserve"> (= five snout scales)</w:t>
      </w:r>
      <w:r w:rsidRPr="00E7423F">
        <w:t>; nostril surrounded by first labial and four equally sized enlarged circumnasals</w:t>
      </w:r>
      <w:r w:rsidRPr="00E20863">
        <w:t>; supranasals separated by four heterogeneously sized median scales.</w:t>
      </w:r>
    </w:p>
    <w:p w14:paraId="0DB725EB" w14:textId="77777777" w:rsidR="00F6339D" w:rsidRPr="00E7423F" w:rsidRDefault="00F6339D" w:rsidP="00F6339D">
      <w:pPr>
        <w:pStyle w:val="NormalWeb"/>
        <w:spacing w:before="0" w:beforeAutospacing="0" w:after="0" w:afterAutospacing="0" w:line="480" w:lineRule="auto"/>
        <w:ind w:firstLine="360"/>
      </w:pPr>
      <w:r w:rsidRPr="00E7423F">
        <w:t xml:space="preserve">Total number of differentiated supralabials 12/13; total number of differentiated infralabials 11/11, bordered ventrally by slightly enlarged chin and undifferentiated gular scales; total number of chin scales between second and third infralabials 9; number of enlarged scale rows adjacent to chin scales </w:t>
      </w:r>
      <w:r>
        <w:t>one</w:t>
      </w:r>
      <w:r w:rsidRPr="00E7423F">
        <w:t xml:space="preserve"> or </w:t>
      </w:r>
      <w:r>
        <w:t>two</w:t>
      </w:r>
      <w:r w:rsidRPr="00E7423F">
        <w:t xml:space="preserve"> until sixth infralabials; patch of enlarged gular scales on anterior end of gular region continuing to a point in line with third infralabial on both side</w:t>
      </w:r>
      <w:r>
        <w:t>s</w:t>
      </w:r>
      <w:r w:rsidRPr="00E7423F">
        <w:t>.</w:t>
      </w:r>
    </w:p>
    <w:p w14:paraId="463663F0" w14:textId="77777777" w:rsidR="00F6339D" w:rsidRPr="00E7423F" w:rsidRDefault="00F6339D" w:rsidP="00F6339D">
      <w:pPr>
        <w:pStyle w:val="NormalWeb"/>
        <w:spacing w:before="0" w:beforeAutospacing="0" w:after="0" w:afterAutospacing="0" w:line="480" w:lineRule="auto"/>
        <w:ind w:firstLine="360"/>
      </w:pPr>
      <w:r w:rsidRPr="00E7423F">
        <w:t>Dorsal cephalic scales fairly homogeneous in size, shape, disposition, and distribution; cephalic scalation slightly convex, primarily round scales; prefrontal and interorbital depressions slight; undifferentiated posterior head scales slightly convex; gular and throat scales small, oval, rounded, and nonimbricate, making a somewhat gradual transition in scalation towards posterior of end of neck on ventral surface, with enlarged rounded, hexagonal, non</w:t>
      </w:r>
      <w:r>
        <w:t>-</w:t>
      </w:r>
      <w:r w:rsidRPr="00E7423F">
        <w:t>overlapping scales; circumorbitals 32 (L).</w:t>
      </w:r>
      <w:r>
        <w:t xml:space="preserve"> D</w:t>
      </w:r>
      <w:r w:rsidRPr="00E7423F">
        <w:t>orsal body scales round, convex, juxtaposed, relatively homogeneous in size; dorsals gradually transition to flat, sub</w:t>
      </w:r>
      <w:r>
        <w:t>-</w:t>
      </w:r>
      <w:r w:rsidRPr="00E7423F">
        <w:t>imbricate to non</w:t>
      </w:r>
      <w:r>
        <w:t>-</w:t>
      </w:r>
      <w:r w:rsidRPr="00E7423F">
        <w:t>overlapping ventrals along lateral body surface; midbody dorsal scales within one eye diameter 22; paravertebral scales within one eye diameter 17; midbody ventral scales within one eye diameter 14; ventral scales within one eye diameter 16; scales on dorsal surfaces of limbs undifferentiated from dorsals; scales on dorsal surfaces of hands and feet similar to dorsal limb scales; ventral body scales flat, rounded, hexagonal, sub</w:t>
      </w:r>
      <w:r>
        <w:t>-</w:t>
      </w:r>
      <w:r w:rsidRPr="00E7423F">
        <w:t>imbricate to non</w:t>
      </w:r>
      <w:r>
        <w:t>-</w:t>
      </w:r>
      <w:r w:rsidRPr="00E7423F">
        <w:t>overlapping, much larger than dorsal body scales, relatively homogeneous in size.</w:t>
      </w:r>
      <w:r>
        <w:t xml:space="preserve"> </w:t>
      </w:r>
      <w:r w:rsidRPr="00E7423F">
        <w:t xml:space="preserve">Enlarged </w:t>
      </w:r>
      <w:r>
        <w:t>precloacofemoral</w:t>
      </w:r>
      <w:r w:rsidRPr="00E7423F">
        <w:t xml:space="preserve"> pore</w:t>
      </w:r>
      <w:r>
        <w:t>-</w:t>
      </w:r>
      <w:r w:rsidRPr="00E7423F">
        <w:t>bearing scales in a continuous, linear row 25; triangular patch of moderately enlarged precloacal scales directly anterior to cloacal opening.</w:t>
      </w:r>
    </w:p>
    <w:p w14:paraId="2FA4D78A" w14:textId="77777777" w:rsidR="00F6339D" w:rsidRDefault="00F6339D" w:rsidP="00F6339D">
      <w:pPr>
        <w:pStyle w:val="NormalWeb"/>
        <w:spacing w:before="0" w:beforeAutospacing="0" w:after="0" w:afterAutospacing="0" w:line="480" w:lineRule="auto"/>
        <w:ind w:firstLine="360"/>
      </w:pPr>
      <w:r w:rsidRPr="00E7423F">
        <w:t xml:space="preserve">Digits moderately expanded and covered on palmar surface proximally with undivided bowed scansors and distally with divided scansors; total scansors on Finger III </w:t>
      </w:r>
      <w:r>
        <w:t>nine</w:t>
      </w:r>
      <w:r w:rsidRPr="00E7423F">
        <w:t xml:space="preserve">, first divided scansor on Finger III scansor </w:t>
      </w:r>
      <w:r>
        <w:t>seven</w:t>
      </w:r>
      <w:r w:rsidRPr="00E7423F">
        <w:t xml:space="preserve">, last divided scansor on Finger III scansor </w:t>
      </w:r>
      <w:r>
        <w:t>nine</w:t>
      </w:r>
      <w:r w:rsidRPr="00E7423F">
        <w:t xml:space="preserve">; total scansors on Toe IV </w:t>
      </w:r>
      <w:r>
        <w:t>nine</w:t>
      </w:r>
      <w:r w:rsidRPr="00E7423F">
        <w:t xml:space="preserve">, first divided scansor on Toe IV scansor </w:t>
      </w:r>
      <w:r>
        <w:t>six</w:t>
      </w:r>
      <w:r w:rsidRPr="00E7423F">
        <w:t xml:space="preserve">, last divided scansor on Toe IV scansor </w:t>
      </w:r>
      <w:r>
        <w:t>nine</w:t>
      </w:r>
      <w:r w:rsidRPr="00E7423F">
        <w:t xml:space="preserve">; webbing between Toes II and III </w:t>
      </w:r>
      <w:r>
        <w:t>one</w:t>
      </w:r>
      <w:r w:rsidRPr="00E7423F">
        <w:t xml:space="preserve">, between Toes III and IV </w:t>
      </w:r>
      <w:r>
        <w:t>three</w:t>
      </w:r>
      <w:r w:rsidRPr="00E7423F">
        <w:t>.</w:t>
      </w:r>
    </w:p>
    <w:p w14:paraId="61ED8B71" w14:textId="77777777" w:rsidR="00F6339D" w:rsidRPr="00E7423F" w:rsidRDefault="00F6339D" w:rsidP="00F6339D">
      <w:pPr>
        <w:pStyle w:val="NormalWeb"/>
        <w:spacing w:before="0" w:beforeAutospacing="0" w:after="0" w:afterAutospacing="0" w:line="480" w:lineRule="auto"/>
        <w:ind w:firstLine="360"/>
      </w:pPr>
      <w:r w:rsidRPr="00E7423F">
        <w:t xml:space="preserve">Tail round, </w:t>
      </w:r>
      <w:r>
        <w:t>narrow,</w:t>
      </w:r>
      <w:r w:rsidRPr="00E7423F">
        <w:t xml:space="preserve"> regenerated</w:t>
      </w:r>
      <w:r>
        <w:t>, length short,</w:t>
      </w:r>
      <w:r w:rsidRPr="00E7423F">
        <w:t xml:space="preserve"> 50.1 % SVL; </w:t>
      </w:r>
      <w:r>
        <w:t>tail width</w:t>
      </w:r>
      <w:r w:rsidRPr="00E7423F">
        <w:t xml:space="preserve"> 170.0% </w:t>
      </w:r>
      <w:r>
        <w:t xml:space="preserve">tail depth; </w:t>
      </w:r>
      <w:r w:rsidRPr="00E7423F">
        <w:t>caudals slightly convex, similar in shape to dorsals, subcaudals fairly heterogeneous in shape, more rectangular than ventrals; ventrolateral ridge present but poorly defined; singular cloacal spur at base of tail.</w:t>
      </w:r>
    </w:p>
    <w:p w14:paraId="710B64BC" w14:textId="77777777" w:rsidR="00F6339D" w:rsidRDefault="00F6339D" w:rsidP="00F6339D">
      <w:pPr>
        <w:pStyle w:val="NormalWeb"/>
        <w:spacing w:before="0" w:beforeAutospacing="0" w:after="0" w:afterAutospacing="0" w:line="480" w:lineRule="auto"/>
        <w:ind w:firstLine="360"/>
      </w:pPr>
      <w:r w:rsidRPr="0096113C">
        <w:rPr>
          <w:b/>
          <w:bCs/>
        </w:rPr>
        <w:t>Coloration of holotype in preservative.</w:t>
      </w:r>
      <w:r w:rsidRPr="00E7423F">
        <w:t>—</w:t>
      </w:r>
      <w:r>
        <w:t>Dorsal surfaces of body and limbs Glaucous (Color 272) with broken chevron patterning of Hair Brown (Color 277) running posteriorly from back of head to base of tail; dorsal surface of tail Sepia (Color 279) with small patches of Glaucous (Color 272); posterior regions of head similar in color to body but transitions to Raw Umber (Color 280) anteriorly towards snout; infralabial scale line Raw Umber (Color 280) with speckling of Smoke Gray (Color 266); ventral surface of head, body and limbs Smoke Gray (Color 266) with light speckling of Hair Brown (Color 277); ventral surface of tail Grayish Horn Color (Color 268).</w:t>
      </w:r>
    </w:p>
    <w:p w14:paraId="5D2475B5" w14:textId="77777777" w:rsidR="00F6339D" w:rsidRPr="009517D4" w:rsidRDefault="00F6339D" w:rsidP="00F6339D">
      <w:pPr>
        <w:pStyle w:val="NormalWeb"/>
        <w:spacing w:before="0" w:beforeAutospacing="0" w:after="0" w:afterAutospacing="0" w:line="480" w:lineRule="auto"/>
        <w:ind w:firstLine="360"/>
        <w:rPr>
          <w:b/>
        </w:rPr>
      </w:pPr>
      <w:r w:rsidRPr="004B51E4">
        <w:rPr>
          <w:b/>
        </w:rPr>
        <w:t xml:space="preserve">Coloration of </w:t>
      </w:r>
      <w:r>
        <w:rPr>
          <w:b/>
        </w:rPr>
        <w:t>holotype</w:t>
      </w:r>
      <w:r w:rsidRPr="004B51E4">
        <w:rPr>
          <w:b/>
        </w:rPr>
        <w:t xml:space="preserve"> in life.</w:t>
      </w:r>
      <w:r w:rsidRPr="004B51E4">
        <w:t>—Based o</w:t>
      </w:r>
      <w:r>
        <w:t>n</w:t>
      </w:r>
      <w:r w:rsidRPr="004B51E4">
        <w:t xml:space="preserve"> photograph of KU 330065 in life</w:t>
      </w:r>
      <w:r>
        <w:t xml:space="preserve"> (Fig. 3B). Dorsal surfaces of body and limbs Smoke Gray (Color 267) with irregular chevron patterning of Grayish Horn Color (Color 268) on body from posterior end of head through to end of tail; dorsal surface of head Smoke Gray (Color 267) with speckling of Smoky White (Color 261) to Sepia (Color 286); post orbital stripe of Olive Clay Color (Color 85) runs to a point in line with the anterior edge of the forelimb; post orbital stripe has faint border of Smoky White (Color 261) above and Sepia (Color 286) below; three spots of Sepia (Color 286) present on dorsolateral surface just anterior to, even with, and posterior to forelimb insertion point; two similar dots of Sepia (Color 286) present even with, and just posterior to hind limb insertion point; intermittent patches of Sepia (Color 286) present on dorsolateral edges of tail.</w:t>
      </w:r>
    </w:p>
    <w:p w14:paraId="5AC492DE" w14:textId="77777777" w:rsidR="00F6339D" w:rsidRPr="00C208FA" w:rsidRDefault="00F6339D" w:rsidP="00F6339D">
      <w:pPr>
        <w:pStyle w:val="NormalWeb"/>
        <w:spacing w:before="0" w:beforeAutospacing="0" w:after="0" w:afterAutospacing="0" w:line="480" w:lineRule="auto"/>
        <w:ind w:firstLine="360"/>
      </w:pPr>
      <w:r w:rsidRPr="00C927CA">
        <w:rPr>
          <w:b/>
          <w:bCs/>
        </w:rPr>
        <w:t>Measurements and scale counts of holotype (in mm).</w:t>
      </w:r>
      <w:r w:rsidRPr="00E7423F">
        <w:t>—Snout–vent length 37.</w:t>
      </w:r>
      <w:r>
        <w:t>7</w:t>
      </w:r>
      <w:r w:rsidRPr="00E7423F">
        <w:t xml:space="preserve">; axilla–groin distance 18.6; tail length 18.9; tail width 5.1; tail depth 3.0; snout–forearm length 13.0; upper arm length 3.9; forearm length 4.1; </w:t>
      </w:r>
      <w:r>
        <w:t>thigh</w:t>
      </w:r>
      <w:r w:rsidRPr="00E7423F">
        <w:t xml:space="preserve"> length 5.2; crus length 5.2; Finger III length 2.8; Toe IV length 4.1; head length 10.2; head width 6.5; head height 3.7; eye–ear distance 2.4; </w:t>
      </w:r>
      <w:r>
        <w:t>eye–nostril</w:t>
      </w:r>
      <w:r w:rsidRPr="00E7423F">
        <w:t xml:space="preserve"> distance 3.3; snout length 4.2; interorbital distance 1.4; internare distance 1.5; ear diameter 0.6; </w:t>
      </w:r>
      <w:r>
        <w:t>eye</w:t>
      </w:r>
      <w:r w:rsidRPr="00E7423F">
        <w:t xml:space="preserve"> diameter 2.2; midbody dorsal scales 22; paravertebral scales 17; midbody ventral scales 14; ventral scales 16; supralabials 12; infralabials 11; circumorbital scales 32; circumnasals 4; </w:t>
      </w:r>
      <w:r w:rsidRPr="00E11A14">
        <w:t xml:space="preserve">snout scales </w:t>
      </w:r>
      <w:r>
        <w:t>5</w:t>
      </w:r>
      <w:r w:rsidRPr="00E7423F">
        <w:t xml:space="preserve">; chin scales 9; Finger III total scansors 9; Finger III divided scansors 3; Toe IV total scansors 9; Toe IV divided scansors 3; </w:t>
      </w:r>
      <w:r>
        <w:t xml:space="preserve">precloacofemoral pores 25; </w:t>
      </w:r>
      <w:r w:rsidRPr="00E7423F">
        <w:t>cloacal spurs 1.</w:t>
      </w:r>
    </w:p>
    <w:p w14:paraId="424340FD" w14:textId="77777777" w:rsidR="00F6339D" w:rsidRPr="00E7423F" w:rsidRDefault="00F6339D" w:rsidP="00F6339D">
      <w:pPr>
        <w:pStyle w:val="NormalWeb"/>
        <w:spacing w:before="0" w:beforeAutospacing="0" w:after="0" w:afterAutospacing="0" w:line="480" w:lineRule="auto"/>
        <w:ind w:firstLine="360"/>
      </w:pPr>
      <w:r w:rsidRPr="004B2647">
        <w:rPr>
          <w:b/>
          <w:bCs/>
        </w:rPr>
        <w:t>Variation.</w:t>
      </w:r>
      <w:r w:rsidRPr="004B2647">
        <w:t>—</w:t>
      </w:r>
      <w:r>
        <w:t xml:space="preserve">Morphometric variation is summarized in Table 1. </w:t>
      </w:r>
      <w:r w:rsidRPr="009C4028">
        <w:t xml:space="preserve">Among the two specimens examined, we observed variation in the number of </w:t>
      </w:r>
      <w:r>
        <w:t>midbody dorsal,</w:t>
      </w:r>
      <w:r w:rsidRPr="004B0322">
        <w:t xml:space="preserve"> </w:t>
      </w:r>
      <w:r>
        <w:t>paravertebral ventral,</w:t>
      </w:r>
      <w:r w:rsidRPr="004B0322">
        <w:t xml:space="preserve"> </w:t>
      </w:r>
      <w:r>
        <w:t>midbody ventral,</w:t>
      </w:r>
      <w:r w:rsidRPr="004B0322">
        <w:t xml:space="preserve"> </w:t>
      </w:r>
      <w:r>
        <w:t>supralabial, infralabial, and circumorbital scales, as well as Toe IV divided scansors (Supplemental Table 1).</w:t>
      </w:r>
    </w:p>
    <w:p w14:paraId="29210ACB" w14:textId="77777777" w:rsidR="00F6339D" w:rsidRPr="00BF0675" w:rsidRDefault="00F6339D" w:rsidP="00F6339D">
      <w:pPr>
        <w:pStyle w:val="NormalWeb"/>
        <w:spacing w:before="0" w:beforeAutospacing="0" w:after="0" w:afterAutospacing="0" w:line="480" w:lineRule="auto"/>
        <w:ind w:firstLine="360"/>
      </w:pPr>
      <w:r w:rsidRPr="00352777">
        <w:rPr>
          <w:b/>
          <w:bCs/>
        </w:rPr>
        <w:t>Distribution.</w:t>
      </w:r>
      <w:r w:rsidRPr="00352777">
        <w:t>—</w:t>
      </w:r>
      <w:r w:rsidRPr="005004E1">
        <w:rPr>
          <w:i/>
        </w:rPr>
        <w:t>Lepidodactylus</w:t>
      </w:r>
      <w:r w:rsidRPr="005004E1">
        <w:t xml:space="preserve"> </w:t>
      </w:r>
      <w:r>
        <w:rPr>
          <w:i/>
        </w:rPr>
        <w:t xml:space="preserve">bakingibut </w:t>
      </w:r>
      <w:r>
        <w:t xml:space="preserve">is known to occur on Mt. Cagua in Cagayan Province along the northernmost extent of the Sierra Madre mountain range, and likely also occurs in north-central and northwestern Luzon Island. As individuals of this lineage have been observed in Kalinga and Ilocos Norte Provinces, </w:t>
      </w:r>
      <w:r>
        <w:rPr>
          <w:i/>
          <w:iCs/>
        </w:rPr>
        <w:t xml:space="preserve">L. bakingibut </w:t>
      </w:r>
      <w:r>
        <w:t xml:space="preserve">may be more widespread across the northern extent of the island. Such a distribution across northern Luzon Island has been observed in other squamate reptiles in the Philippines (i.e. </w:t>
      </w:r>
      <w:r>
        <w:rPr>
          <w:i/>
          <w:iCs/>
        </w:rPr>
        <w:t>Brachymeles ilocandia</w:t>
      </w:r>
      <w:r>
        <w:t>; Siler et al. 2016b).</w:t>
      </w:r>
    </w:p>
    <w:p w14:paraId="73A7E243" w14:textId="77777777" w:rsidR="00F6339D" w:rsidRDefault="00F6339D" w:rsidP="00F6339D">
      <w:pPr>
        <w:pStyle w:val="NormalWeb"/>
        <w:spacing w:before="0" w:beforeAutospacing="0" w:after="0" w:afterAutospacing="0" w:line="480" w:lineRule="auto"/>
        <w:ind w:firstLine="360"/>
      </w:pPr>
      <w:r w:rsidRPr="00043970">
        <w:rPr>
          <w:b/>
          <w:bCs/>
        </w:rPr>
        <w:t>Ecology and natural history.</w:t>
      </w:r>
      <w:r w:rsidRPr="00043970">
        <w:t>—The type specimens for this species were both found in mixed primary and secondary</w:t>
      </w:r>
      <w:r>
        <w:t>-</w:t>
      </w:r>
      <w:r w:rsidRPr="00043970">
        <w:t>growth rainforest at mid</w:t>
      </w:r>
      <w:r>
        <w:t>-</w:t>
      </w:r>
      <w:r w:rsidRPr="00043970">
        <w:t xml:space="preserve"> to high elevation on Mt. Cagua. Other specimens</w:t>
      </w:r>
      <w:r>
        <w:t xml:space="preserve"> </w:t>
      </w:r>
      <w:r w:rsidRPr="00043970">
        <w:t xml:space="preserve">for which </w:t>
      </w:r>
      <w:r>
        <w:t xml:space="preserve">only </w:t>
      </w:r>
      <w:r w:rsidRPr="00043970">
        <w:t>genetic data were available have been observed</w:t>
      </w:r>
      <w:r>
        <w:t xml:space="preserve"> </w:t>
      </w:r>
      <w:r w:rsidRPr="00043970">
        <w:t>in lower elevation habitats converted for agricultural and residential purposes.</w:t>
      </w:r>
    </w:p>
    <w:p w14:paraId="0AA0205A" w14:textId="77777777" w:rsidR="00F6339D" w:rsidRDefault="00F6339D" w:rsidP="00F6339D">
      <w:pPr>
        <w:pStyle w:val="NormalWeb"/>
        <w:spacing w:before="0" w:beforeAutospacing="0" w:after="0" w:afterAutospacing="0" w:line="480" w:lineRule="auto"/>
        <w:ind w:firstLine="360"/>
      </w:pPr>
      <w:r w:rsidRPr="00375658">
        <w:rPr>
          <w:b/>
          <w:bCs/>
        </w:rPr>
        <w:t>Etymology.</w:t>
      </w:r>
      <w:r w:rsidRPr="00375658">
        <w:t>—</w:t>
      </w:r>
      <w:r w:rsidRPr="006F5170">
        <w:t xml:space="preserve">The </w:t>
      </w:r>
      <w:r>
        <w:t>name</w:t>
      </w:r>
      <w:r w:rsidRPr="006F5170">
        <w:t xml:space="preserve"> </w:t>
      </w:r>
      <w:r>
        <w:t>is based on</w:t>
      </w:r>
      <w:r w:rsidRPr="00C44127">
        <w:t xml:space="preserve"> </w:t>
      </w:r>
      <w:r>
        <w:t xml:space="preserve">terms in the dominant Ilocano dialect of northern Luzon Island, and chosen in recognition of the </w:t>
      </w:r>
      <w:r w:rsidRPr="0022321F">
        <w:t xml:space="preserve">biogeographically and culturally distinct </w:t>
      </w:r>
      <w:r>
        <w:t xml:space="preserve">region in the northern Philippines. The specific epithet is derived from the Ilocano terms “bákir,” meaning forest, and “alibut,” meaning lizard or gecko, in reference to the observed habitat preferences of the new species. </w:t>
      </w:r>
      <w:r w:rsidRPr="00917B1F">
        <w:t xml:space="preserve">Suggested common name: </w:t>
      </w:r>
      <w:r>
        <w:t>Ilokano</w:t>
      </w:r>
      <w:r w:rsidRPr="00917B1F">
        <w:t xml:space="preserve"> </w:t>
      </w:r>
      <w:r w:rsidRPr="002A34DE">
        <w:t>Scaly</w:t>
      </w:r>
      <w:r>
        <w:t>-</w:t>
      </w:r>
      <w:r w:rsidRPr="002A34DE">
        <w:t xml:space="preserve">toed </w:t>
      </w:r>
      <w:r>
        <w:t>G</w:t>
      </w:r>
      <w:r w:rsidRPr="002A34DE">
        <w:t>ecko</w:t>
      </w:r>
      <w:r>
        <w:t>s</w:t>
      </w:r>
      <w:r w:rsidRPr="00917B1F">
        <w:t>.</w:t>
      </w:r>
    </w:p>
    <w:p w14:paraId="3C05C17C" w14:textId="77777777" w:rsidR="00F6339D" w:rsidRPr="004B2647" w:rsidRDefault="00F6339D" w:rsidP="00F6339D">
      <w:pPr>
        <w:pStyle w:val="NormalWeb"/>
        <w:spacing w:before="0" w:beforeAutospacing="0" w:after="0" w:afterAutospacing="0" w:line="480" w:lineRule="auto"/>
        <w:jc w:val="center"/>
        <w:rPr>
          <w:bCs/>
          <w:i/>
        </w:rPr>
      </w:pPr>
    </w:p>
    <w:p w14:paraId="43DC9301" w14:textId="77777777" w:rsidR="00F6339D" w:rsidRPr="004B2647" w:rsidRDefault="00F6339D" w:rsidP="00F6339D">
      <w:pPr>
        <w:pStyle w:val="NormalWeb"/>
        <w:spacing w:before="0" w:beforeAutospacing="0" w:after="0" w:afterAutospacing="0" w:line="480" w:lineRule="auto"/>
        <w:jc w:val="center"/>
        <w:rPr>
          <w:bCs/>
        </w:rPr>
      </w:pPr>
      <w:r w:rsidRPr="00025A57">
        <w:rPr>
          <w:bCs/>
          <w:i/>
        </w:rPr>
        <w:t>Lepidodactylus</w:t>
      </w:r>
      <w:r w:rsidRPr="00025A57">
        <w:rPr>
          <w:bCs/>
        </w:rPr>
        <w:t xml:space="preserve"> </w:t>
      </w:r>
      <w:r w:rsidRPr="00E2774A">
        <w:rPr>
          <w:b/>
          <w:i/>
        </w:rPr>
        <w:t>nakahiwalay</w:t>
      </w:r>
      <w:r w:rsidRPr="00025A57">
        <w:rPr>
          <w:bCs/>
        </w:rPr>
        <w:t xml:space="preserve"> sp. nov.</w:t>
      </w:r>
    </w:p>
    <w:p w14:paraId="000068DB" w14:textId="77777777" w:rsidR="00F6339D" w:rsidRPr="00BC5E90" w:rsidRDefault="00F6339D" w:rsidP="00F6339D">
      <w:pPr>
        <w:spacing w:line="480" w:lineRule="auto"/>
        <w:jc w:val="center"/>
        <w:rPr>
          <w:bCs/>
          <w:lang w:val="da-DK"/>
        </w:rPr>
      </w:pPr>
      <w:r w:rsidRPr="00BC5E90">
        <w:rPr>
          <w:bCs/>
          <w:lang w:val="da-DK"/>
        </w:rPr>
        <w:t>(Fig. 6; Table 1)</w:t>
      </w:r>
    </w:p>
    <w:p w14:paraId="2AC344B8" w14:textId="77777777" w:rsidR="00F6339D" w:rsidRPr="00BC5E90" w:rsidRDefault="00F6339D" w:rsidP="00F6339D">
      <w:pPr>
        <w:pStyle w:val="NormalWeb"/>
        <w:spacing w:before="0" w:beforeAutospacing="0" w:after="0" w:afterAutospacing="0" w:line="480" w:lineRule="auto"/>
        <w:ind w:left="360" w:hanging="360"/>
        <w:rPr>
          <w:iCs/>
          <w:lang w:val="da-DK"/>
        </w:rPr>
      </w:pPr>
      <w:r w:rsidRPr="00BC5E90">
        <w:rPr>
          <w:i/>
          <w:lang w:val="da-DK"/>
        </w:rPr>
        <w:t xml:space="preserve">Lepidodactylus </w:t>
      </w:r>
      <w:r w:rsidRPr="00BC5E90">
        <w:rPr>
          <w:iCs/>
          <w:lang w:val="da-DK"/>
        </w:rPr>
        <w:t>sp. 3: Oliver et al. 2018:4.</w:t>
      </w:r>
    </w:p>
    <w:p w14:paraId="2030124D" w14:textId="77777777" w:rsidR="00F6339D" w:rsidRDefault="00F6339D" w:rsidP="00F6339D">
      <w:pPr>
        <w:pStyle w:val="NormalWeb"/>
        <w:spacing w:before="0" w:beforeAutospacing="0" w:after="0" w:afterAutospacing="0" w:line="480" w:lineRule="auto"/>
        <w:ind w:firstLine="360"/>
      </w:pPr>
      <w:r w:rsidRPr="00640D14">
        <w:rPr>
          <w:b/>
          <w:bCs/>
        </w:rPr>
        <w:t>Holotype.</w:t>
      </w:r>
      <w:r w:rsidRPr="00640D14">
        <w:t>—</w:t>
      </w:r>
      <w:r w:rsidRPr="001F627E">
        <w:t>PNM 9876</w:t>
      </w:r>
      <w:r>
        <w:t xml:space="preserve"> (formerly </w:t>
      </w:r>
      <w:r w:rsidRPr="00E7423F">
        <w:t>KU 320411</w:t>
      </w:r>
      <w:r>
        <w:t xml:space="preserve">; </w:t>
      </w:r>
      <w:r w:rsidRPr="00E7423F">
        <w:t>CDS Field No. 3931), adult male, collected</w:t>
      </w:r>
      <w:r>
        <w:t xml:space="preserve"> 29 April</w:t>
      </w:r>
      <w:r w:rsidRPr="00E7423F">
        <w:t xml:space="preserve"> 20</w:t>
      </w:r>
      <w:r>
        <w:t>09</w:t>
      </w:r>
      <w:r w:rsidRPr="00E7423F">
        <w:t xml:space="preserve"> </w:t>
      </w:r>
      <w:r>
        <w:t xml:space="preserve">at 98 m </w:t>
      </w:r>
      <w:r w:rsidRPr="00E7423F">
        <w:t xml:space="preserve">in Sitio Dangay, Barangay Vigo, Municipality of Lubang, Occidental Mindoro Province, Lubang Island, </w:t>
      </w:r>
      <w:r w:rsidRPr="005201FF">
        <w:t xml:space="preserve">Philippines </w:t>
      </w:r>
      <w:r w:rsidRPr="00941AF9">
        <w:t>(</w:t>
      </w:r>
      <w:r w:rsidRPr="005201FF">
        <w:t>13.7</w:t>
      </w:r>
      <w:r>
        <w:t>8304</w:t>
      </w:r>
      <w:r w:rsidRPr="005201FF">
        <w:t>°, 120.</w:t>
      </w:r>
      <w:r>
        <w:t>17246</w:t>
      </w:r>
      <w:r w:rsidRPr="005201FF">
        <w:t>°),</w:t>
      </w:r>
      <w:r w:rsidRPr="00E7423F">
        <w:t xml:space="preserve"> by CDS</w:t>
      </w:r>
      <w:r w:rsidRPr="00A72637">
        <w:t>, J. B. Fernandez, and RMB.</w:t>
      </w:r>
    </w:p>
    <w:p w14:paraId="6F3AD1DC" w14:textId="77777777" w:rsidR="00F6339D" w:rsidRPr="00E7423F" w:rsidRDefault="00F6339D" w:rsidP="00F6339D">
      <w:pPr>
        <w:pStyle w:val="NormalWeb"/>
        <w:spacing w:before="0" w:beforeAutospacing="0" w:after="0" w:afterAutospacing="0" w:line="480" w:lineRule="auto"/>
        <w:ind w:firstLine="360"/>
      </w:pPr>
      <w:r>
        <w:rPr>
          <w:b/>
          <w:bCs/>
        </w:rPr>
        <w:t>Paratype (</w:t>
      </w:r>
      <w:r w:rsidRPr="00640D14">
        <w:rPr>
          <w:b/>
          <w:bCs/>
        </w:rPr>
        <w:t>Paratopotype</w:t>
      </w:r>
      <w:r>
        <w:rPr>
          <w:b/>
          <w:bCs/>
        </w:rPr>
        <w:t>)</w:t>
      </w:r>
      <w:r w:rsidRPr="00640D14">
        <w:rPr>
          <w:b/>
          <w:bCs/>
        </w:rPr>
        <w:t>.</w:t>
      </w:r>
      <w:r w:rsidRPr="00640D14">
        <w:t>—</w:t>
      </w:r>
      <w:r w:rsidRPr="00E7423F">
        <w:t>KU 320410 (CDS Field No. 3930), adult female, collected</w:t>
      </w:r>
      <w:r>
        <w:t xml:space="preserve"> 29 April </w:t>
      </w:r>
      <w:r w:rsidRPr="00E7423F">
        <w:t>20</w:t>
      </w:r>
      <w:r>
        <w:t xml:space="preserve">09 </w:t>
      </w:r>
      <w:r w:rsidRPr="00E7423F">
        <w:t>by CDS</w:t>
      </w:r>
      <w:r w:rsidRPr="00A72637">
        <w:t>, J. B. Fernandez, and RMB.</w:t>
      </w:r>
    </w:p>
    <w:p w14:paraId="3E91E679" w14:textId="77777777" w:rsidR="00F6339D" w:rsidRPr="004024F2" w:rsidRDefault="00F6339D" w:rsidP="00F6339D">
      <w:pPr>
        <w:pStyle w:val="NormalWeb"/>
        <w:spacing w:before="0" w:beforeAutospacing="0" w:after="0" w:afterAutospacing="0" w:line="480" w:lineRule="auto"/>
        <w:ind w:firstLine="360"/>
      </w:pPr>
      <w:r w:rsidRPr="00640D14">
        <w:rPr>
          <w:b/>
          <w:bCs/>
        </w:rPr>
        <w:t>Diagnosis.</w:t>
      </w:r>
      <w:r w:rsidRPr="009A4971">
        <w:t>—</w:t>
      </w:r>
      <w:r w:rsidRPr="00394623">
        <w:rPr>
          <w:i/>
        </w:rPr>
        <w:t>Lepidodactylus</w:t>
      </w:r>
      <w:r w:rsidRPr="00394623">
        <w:t xml:space="preserve"> </w:t>
      </w:r>
      <w:r w:rsidRPr="00394623">
        <w:rPr>
          <w:i/>
        </w:rPr>
        <w:t>nakahiwalay</w:t>
      </w:r>
      <w:r w:rsidRPr="00394623">
        <w:t xml:space="preserve"> can be distinguished from congeners by the following combination of characters: (1) body size moderate to large (SVL 40.6–40.8 mm); (2) snout–forearm length moderate</w:t>
      </w:r>
      <w:r>
        <w:t xml:space="preserve">, </w:t>
      </w:r>
      <w:r w:rsidRPr="00394623">
        <w:t>34.2</w:t>
      </w:r>
      <w:r>
        <w:t>–</w:t>
      </w:r>
      <w:r w:rsidRPr="00394623">
        <w:t>34.3% SVL; (3) total arm length short</w:t>
      </w:r>
      <w:r>
        <w:t xml:space="preserve">, </w:t>
      </w:r>
      <w:r w:rsidRPr="00394623">
        <w:t xml:space="preserve">18.1–20.2% SVL; </w:t>
      </w:r>
      <w:r w:rsidRPr="00B767B8">
        <w:t>(4) crus length moderate</w:t>
      </w:r>
      <w:r>
        <w:t xml:space="preserve">, </w:t>
      </w:r>
      <w:r w:rsidRPr="00B767B8">
        <w:t xml:space="preserve">11.8% SVL; </w:t>
      </w:r>
      <w:r w:rsidRPr="00A34991">
        <w:t>(5) total leg length moderate</w:t>
      </w:r>
      <w:r>
        <w:t xml:space="preserve">, </w:t>
      </w:r>
      <w:r w:rsidRPr="00A34991">
        <w:t xml:space="preserve">23.5–26.1% SVL; (6) </w:t>
      </w:r>
      <w:r w:rsidRPr="002E6757">
        <w:t>Finger III length long, 29.7–35.4% total arm length; (7) Toe IV length moderate, 33.0–36.5% total leg length;</w:t>
      </w:r>
      <w:r w:rsidRPr="00A34991">
        <w:t xml:space="preserve"> </w:t>
      </w:r>
      <w:r w:rsidRPr="006B7E0A">
        <w:t>(8) head length moderate</w:t>
      </w:r>
      <w:r>
        <w:t>,</w:t>
      </w:r>
      <w:r w:rsidRPr="006B7E0A">
        <w:t xml:space="preserve"> 26.4</w:t>
      </w:r>
      <w:r>
        <w:t>–</w:t>
      </w:r>
      <w:r w:rsidRPr="006B7E0A">
        <w:t>26.5% SVL; (</w:t>
      </w:r>
      <w:r>
        <w:t>9</w:t>
      </w:r>
      <w:r w:rsidRPr="006B7E0A">
        <w:t>) head width moderate</w:t>
      </w:r>
      <w:r>
        <w:t xml:space="preserve">, </w:t>
      </w:r>
      <w:r w:rsidRPr="006B7E0A">
        <w:t>67.3–69.4% head length; (1</w:t>
      </w:r>
      <w:r>
        <w:t>0</w:t>
      </w:r>
      <w:r w:rsidRPr="006B7E0A">
        <w:t>) snout length long</w:t>
      </w:r>
      <w:r>
        <w:t xml:space="preserve">, </w:t>
      </w:r>
      <w:r w:rsidRPr="006B7E0A">
        <w:t>43.5–44.9% head length;</w:t>
      </w:r>
      <w:r>
        <w:t xml:space="preserve"> (11) </w:t>
      </w:r>
      <w:r w:rsidRPr="002E6757">
        <w:t>eye diameter large, 22.4–25.0% head length</w:t>
      </w:r>
      <w:r>
        <w:t>; (12) midbody dorsal scale count within one eye diameter 22 or 23; (13) paravertebral scale count within one eye diameter 19 or 20; (14) midbody ventral scale count within one eye diameter 14</w:t>
      </w:r>
      <w:r w:rsidRPr="009A4971">
        <w:t>–</w:t>
      </w:r>
      <w:r>
        <w:t>16; (15) circumnasal scales 4; (16) Finger III total scansors 7; (17) Toe IV total scansors 8 or 9; (18) precloacofemoral pores in males 23; and (19) rostral scale not in contact with nostril.</w:t>
      </w:r>
    </w:p>
    <w:p w14:paraId="7E438C0A" w14:textId="77777777" w:rsidR="00F6339D" w:rsidRDefault="00F6339D" w:rsidP="00F6339D">
      <w:pPr>
        <w:pStyle w:val="NormalWeb"/>
        <w:spacing w:before="0" w:beforeAutospacing="0" w:after="0" w:afterAutospacing="0" w:line="480" w:lineRule="auto"/>
        <w:ind w:firstLine="360"/>
        <w:rPr>
          <w:iCs/>
        </w:rPr>
      </w:pPr>
      <w:r w:rsidRPr="00640D14">
        <w:rPr>
          <w:b/>
          <w:bCs/>
        </w:rPr>
        <w:t>Comparisons.</w:t>
      </w:r>
      <w:r w:rsidRPr="00E7423F">
        <w:t>—</w:t>
      </w:r>
      <w:bookmarkStart w:id="13" w:name="_Hlk60937663"/>
      <w:r w:rsidRPr="00E7423F">
        <w:t xml:space="preserve">Characters distinguishing </w:t>
      </w:r>
      <w:r w:rsidRPr="00E7423F">
        <w:rPr>
          <w:i/>
        </w:rPr>
        <w:t>Lepidodactylus</w:t>
      </w:r>
      <w:r w:rsidRPr="00E7423F">
        <w:t xml:space="preserve"> </w:t>
      </w:r>
      <w:r>
        <w:rPr>
          <w:i/>
        </w:rPr>
        <w:t>nakahiwalay</w:t>
      </w:r>
      <w:r w:rsidRPr="00E7423F">
        <w:t xml:space="preserve"> from all other </w:t>
      </w:r>
      <w:r>
        <w:t xml:space="preserve">Philippine </w:t>
      </w:r>
      <w:r w:rsidRPr="00E7423F">
        <w:t xml:space="preserve">species of </w:t>
      </w:r>
      <w:r w:rsidRPr="00E7423F">
        <w:rPr>
          <w:i/>
        </w:rPr>
        <w:t>Lepidodactylus</w:t>
      </w:r>
      <w:r w:rsidRPr="00E7423F">
        <w:t xml:space="preserve"> are summarized in Table 1</w:t>
      </w:r>
      <w:r w:rsidRPr="00363200">
        <w:t xml:space="preserve"> </w:t>
      </w:r>
      <w:r>
        <w:t>and additional comprehensive comparisons are available in Supplemental Table 1</w:t>
      </w:r>
      <w:r w:rsidRPr="00E7423F">
        <w:t xml:space="preserve">. </w:t>
      </w:r>
      <w:r>
        <w:rPr>
          <w:iCs/>
        </w:rPr>
        <w:t>The new species</w:t>
      </w:r>
      <w:r w:rsidRPr="00E7423F">
        <w:t xml:space="preserve"> most closely resembles </w:t>
      </w:r>
      <w:r w:rsidRPr="00E7423F">
        <w:rPr>
          <w:i/>
        </w:rPr>
        <w:t xml:space="preserve">L. </w:t>
      </w:r>
      <w:r>
        <w:rPr>
          <w:i/>
        </w:rPr>
        <w:t>bisakol</w:t>
      </w:r>
      <w:r w:rsidRPr="00E7423F">
        <w:t xml:space="preserve">; however, </w:t>
      </w:r>
      <w:r>
        <w:t xml:space="preserve">it differs in several characters, including </w:t>
      </w:r>
      <w:r>
        <w:rPr>
          <w:iCs/>
        </w:rPr>
        <w:t>having fewer paravertebral scales (19–20 vs. 21–23), a</w:t>
      </w:r>
      <w:r w:rsidRPr="00EF6DB6">
        <w:rPr>
          <w:iCs/>
        </w:rPr>
        <w:t xml:space="preserve"> </w:t>
      </w:r>
      <w:r>
        <w:rPr>
          <w:iCs/>
        </w:rPr>
        <w:t>smaller relative snout–forearm length (34.2–34.3% SVL vs. 35.1–39.1%),</w:t>
      </w:r>
      <w:r w:rsidRPr="00777653">
        <w:rPr>
          <w:iCs/>
        </w:rPr>
        <w:t xml:space="preserve"> </w:t>
      </w:r>
      <w:r>
        <w:rPr>
          <w:iCs/>
        </w:rPr>
        <w:t>relative crus length (11.8% SVL vs. 12.3–16.5%),</w:t>
      </w:r>
      <w:r w:rsidRPr="004C65A6">
        <w:rPr>
          <w:iCs/>
        </w:rPr>
        <w:t xml:space="preserve"> </w:t>
      </w:r>
      <w:r>
        <w:rPr>
          <w:iCs/>
        </w:rPr>
        <w:t>and relative total leg length (23.5–26.1% SVL vs. 26.3–31.9%), a larger Toe IV length relative to total leg length (33.0–36.5% leg length vs. 25.7–32.7%) and a larger head width relative to head height (178.6–180.0% head height vs. 144.2–176.3%).</w:t>
      </w:r>
    </w:p>
    <w:p w14:paraId="006064E8" w14:textId="77777777" w:rsidR="00F6339D" w:rsidRPr="00E7423F" w:rsidRDefault="00F6339D" w:rsidP="00F6339D">
      <w:pPr>
        <w:pStyle w:val="NormalWeb"/>
        <w:spacing w:before="0" w:beforeAutospacing="0" w:after="0" w:afterAutospacing="0" w:line="480" w:lineRule="auto"/>
        <w:ind w:firstLine="360"/>
        <w:jc w:val="both"/>
      </w:pPr>
      <w:r w:rsidRPr="00A06A0B">
        <w:rPr>
          <w:iCs/>
        </w:rPr>
        <w:t xml:space="preserve">Considering all other Philippine congeners, </w:t>
      </w:r>
      <w:r w:rsidRPr="00A06A0B">
        <w:rPr>
          <w:i/>
        </w:rPr>
        <w:t>L</w:t>
      </w:r>
      <w:r w:rsidRPr="00A06A0B">
        <w:rPr>
          <w:iCs/>
        </w:rPr>
        <w:t>.</w:t>
      </w:r>
      <w:r w:rsidRPr="00A06A0B">
        <w:rPr>
          <w:i/>
        </w:rPr>
        <w:t xml:space="preserve"> </w:t>
      </w:r>
      <w:r>
        <w:rPr>
          <w:i/>
        </w:rPr>
        <w:t xml:space="preserve">nakahiwalay </w:t>
      </w:r>
      <w:r w:rsidRPr="00A06A0B">
        <w:t xml:space="preserve">can be distinguished </w:t>
      </w:r>
      <w:r>
        <w:t>readily</w:t>
      </w:r>
      <w:r w:rsidRPr="0002478B">
        <w:t xml:space="preserve"> </w:t>
      </w:r>
      <w:r w:rsidRPr="00E7423F">
        <w:t>from</w:t>
      </w:r>
      <w:r w:rsidRPr="000D1B7E">
        <w:rPr>
          <w:i/>
        </w:rPr>
        <w:t xml:space="preserve"> </w:t>
      </w:r>
      <w:r w:rsidRPr="00E7423F">
        <w:rPr>
          <w:i/>
        </w:rPr>
        <w:t>L</w:t>
      </w:r>
      <w:r w:rsidRPr="00E7423F">
        <w:t>.</w:t>
      </w:r>
      <w:r w:rsidRPr="00E7423F">
        <w:rPr>
          <w:i/>
        </w:rPr>
        <w:t xml:space="preserve"> </w:t>
      </w:r>
      <w:r>
        <w:rPr>
          <w:i/>
        </w:rPr>
        <w:t>aureolineatus</w:t>
      </w:r>
      <w:r w:rsidRPr="00E7423F">
        <w:t xml:space="preserve">, </w:t>
      </w:r>
      <w:r w:rsidRPr="00E7423F">
        <w:rPr>
          <w:i/>
        </w:rPr>
        <w:t>L</w:t>
      </w:r>
      <w:r w:rsidRPr="00E7423F">
        <w:t xml:space="preserve">. </w:t>
      </w:r>
      <w:r w:rsidRPr="00E7423F">
        <w:rPr>
          <w:i/>
        </w:rPr>
        <w:t>herrei</w:t>
      </w:r>
      <w:r w:rsidRPr="00E7423F">
        <w:t xml:space="preserve"> </w:t>
      </w:r>
      <w:r w:rsidRPr="00E7423F">
        <w:rPr>
          <w:i/>
        </w:rPr>
        <w:t>herrei</w:t>
      </w:r>
      <w:r w:rsidRPr="00E7423F">
        <w:t xml:space="preserve">, </w:t>
      </w:r>
      <w:r w:rsidRPr="00E7423F">
        <w:rPr>
          <w:i/>
        </w:rPr>
        <w:t>L</w:t>
      </w:r>
      <w:r w:rsidRPr="00E7423F">
        <w:t xml:space="preserve">. </w:t>
      </w:r>
      <w:r w:rsidRPr="00E7423F">
        <w:rPr>
          <w:i/>
        </w:rPr>
        <w:t>herrei</w:t>
      </w:r>
      <w:r w:rsidRPr="00E7423F">
        <w:t xml:space="preserve"> </w:t>
      </w:r>
      <w:r w:rsidRPr="00E7423F">
        <w:rPr>
          <w:i/>
        </w:rPr>
        <w:t>medianus</w:t>
      </w:r>
      <w:r w:rsidRPr="00E7423F">
        <w:t>,</w:t>
      </w:r>
      <w:r w:rsidRPr="00E7423F">
        <w:rPr>
          <w:i/>
        </w:rPr>
        <w:t xml:space="preserve"> L</w:t>
      </w:r>
      <w:r w:rsidRPr="00E7423F">
        <w:t xml:space="preserve">. </w:t>
      </w:r>
      <w:r w:rsidRPr="00E7423F">
        <w:rPr>
          <w:i/>
        </w:rPr>
        <w:t>labialis</w:t>
      </w:r>
      <w:r w:rsidRPr="00E7423F">
        <w:t xml:space="preserve">, </w:t>
      </w:r>
      <w:r w:rsidRPr="00E7423F">
        <w:rPr>
          <w:i/>
        </w:rPr>
        <w:t>L</w:t>
      </w:r>
      <w:r w:rsidRPr="00E7423F">
        <w:t xml:space="preserve">. </w:t>
      </w:r>
      <w:r w:rsidRPr="00E7423F">
        <w:rPr>
          <w:i/>
        </w:rPr>
        <w:t>lugubris</w:t>
      </w:r>
      <w:r w:rsidRPr="00E7423F">
        <w:t>,</w:t>
      </w:r>
      <w:r w:rsidRPr="00E7423F">
        <w:rPr>
          <w:i/>
        </w:rPr>
        <w:t xml:space="preserve"> </w:t>
      </w:r>
      <w:r w:rsidRPr="00E7423F">
        <w:t xml:space="preserve">and </w:t>
      </w:r>
      <w:r w:rsidRPr="00E7423F">
        <w:rPr>
          <w:i/>
        </w:rPr>
        <w:t>L</w:t>
      </w:r>
      <w:r w:rsidRPr="00E7423F">
        <w:t>.</w:t>
      </w:r>
      <w:r w:rsidRPr="00E7423F">
        <w:rPr>
          <w:i/>
        </w:rPr>
        <w:t xml:space="preserve"> planicaudus</w:t>
      </w:r>
      <w:r w:rsidRPr="00E7423F">
        <w:t xml:space="preserve"> by having a rostral scale </w:t>
      </w:r>
      <w:r>
        <w:t xml:space="preserve">separated from </w:t>
      </w:r>
      <w:r w:rsidRPr="00E7423F">
        <w:t>the n</w:t>
      </w:r>
      <w:r>
        <w:t>ostril</w:t>
      </w:r>
      <w:r w:rsidRPr="00E7423F">
        <w:t xml:space="preserve"> (vs. </w:t>
      </w:r>
      <w:r>
        <w:t>contacting</w:t>
      </w:r>
      <w:r w:rsidRPr="00E7423F">
        <w:t>);</w:t>
      </w:r>
      <w:r>
        <w:t xml:space="preserve"> </w:t>
      </w:r>
      <w:r w:rsidRPr="00E7423F">
        <w:t xml:space="preserve">from </w:t>
      </w:r>
      <w:r w:rsidRPr="00E7423F">
        <w:rPr>
          <w:i/>
        </w:rPr>
        <w:t>L</w:t>
      </w:r>
      <w:r w:rsidRPr="00E7423F">
        <w:t xml:space="preserve">. </w:t>
      </w:r>
      <w:r>
        <w:rPr>
          <w:i/>
        </w:rPr>
        <w:t>aureolineatus</w:t>
      </w:r>
      <w:r w:rsidRPr="00E7423F">
        <w:t xml:space="preserve">, </w:t>
      </w:r>
      <w:r w:rsidRPr="00E7423F">
        <w:rPr>
          <w:i/>
        </w:rPr>
        <w:t>L. balioburius</w:t>
      </w:r>
      <w:r w:rsidRPr="00E7423F">
        <w:t xml:space="preserve">, </w:t>
      </w:r>
      <w:r w:rsidRPr="00E7423F">
        <w:rPr>
          <w:i/>
        </w:rPr>
        <w:t>L</w:t>
      </w:r>
      <w:r w:rsidRPr="00E7423F">
        <w:t xml:space="preserve">. </w:t>
      </w:r>
      <w:r w:rsidRPr="00E7423F">
        <w:rPr>
          <w:i/>
        </w:rPr>
        <w:t>h</w:t>
      </w:r>
      <w:r w:rsidRPr="00E7423F">
        <w:t xml:space="preserve">. </w:t>
      </w:r>
      <w:r w:rsidRPr="00E7423F">
        <w:rPr>
          <w:i/>
        </w:rPr>
        <w:t>herrei</w:t>
      </w:r>
      <w:r w:rsidRPr="00E7423F">
        <w:t>,</w:t>
      </w:r>
      <w:r w:rsidRPr="00E7423F">
        <w:rPr>
          <w:i/>
        </w:rPr>
        <w:t xml:space="preserve"> </w:t>
      </w:r>
      <w:r w:rsidRPr="00E7423F">
        <w:t xml:space="preserve">and </w:t>
      </w:r>
      <w:r w:rsidRPr="00E7423F">
        <w:rPr>
          <w:i/>
        </w:rPr>
        <w:t>L</w:t>
      </w:r>
      <w:r w:rsidRPr="00E7423F">
        <w:t xml:space="preserve">. </w:t>
      </w:r>
      <w:r w:rsidRPr="00E7423F">
        <w:rPr>
          <w:i/>
        </w:rPr>
        <w:t>h</w:t>
      </w:r>
      <w:r w:rsidRPr="00E7423F">
        <w:t xml:space="preserve">. </w:t>
      </w:r>
      <w:r w:rsidRPr="00E7423F">
        <w:rPr>
          <w:i/>
        </w:rPr>
        <w:t>medianus</w:t>
      </w:r>
      <w:r w:rsidRPr="00E7423F">
        <w:t xml:space="preserve"> by having more midbody dorsal scales (22 or 23 vs. </w:t>
      </w:r>
      <w:r>
        <w:t xml:space="preserve">&lt; </w:t>
      </w:r>
      <w:r w:rsidRPr="00E7423F">
        <w:t>22)</w:t>
      </w:r>
      <w:r>
        <w:t xml:space="preserve">; </w:t>
      </w:r>
      <w:r w:rsidRPr="00E7423F">
        <w:t xml:space="preserve">from </w:t>
      </w:r>
      <w:r w:rsidRPr="00E7423F">
        <w:rPr>
          <w:i/>
        </w:rPr>
        <w:t>L</w:t>
      </w:r>
      <w:r w:rsidRPr="00E7423F">
        <w:t xml:space="preserve">. </w:t>
      </w:r>
      <w:r w:rsidRPr="00E7423F">
        <w:rPr>
          <w:i/>
        </w:rPr>
        <w:t>h</w:t>
      </w:r>
      <w:r w:rsidRPr="00E7423F">
        <w:t xml:space="preserve">. </w:t>
      </w:r>
      <w:r w:rsidRPr="00E7423F">
        <w:rPr>
          <w:i/>
        </w:rPr>
        <w:t>herrei</w:t>
      </w:r>
      <w:r w:rsidRPr="00E7423F">
        <w:t>,</w:t>
      </w:r>
      <w:r w:rsidRPr="00E7423F">
        <w:rPr>
          <w:i/>
        </w:rPr>
        <w:t xml:space="preserve"> L</w:t>
      </w:r>
      <w:r w:rsidRPr="00E7423F">
        <w:t xml:space="preserve">. </w:t>
      </w:r>
      <w:r w:rsidRPr="00E7423F">
        <w:rPr>
          <w:i/>
        </w:rPr>
        <w:t>h</w:t>
      </w:r>
      <w:r w:rsidRPr="00E7423F">
        <w:t xml:space="preserve">. </w:t>
      </w:r>
      <w:r w:rsidRPr="00E7423F">
        <w:rPr>
          <w:i/>
        </w:rPr>
        <w:t>medianus</w:t>
      </w:r>
      <w:r>
        <w:t>, and</w:t>
      </w:r>
      <w:r w:rsidRPr="00E7423F">
        <w:t xml:space="preserve"> </w:t>
      </w:r>
      <w:r w:rsidRPr="00E7423F">
        <w:rPr>
          <w:i/>
        </w:rPr>
        <w:t>L.</w:t>
      </w:r>
      <w:r w:rsidRPr="00E7423F">
        <w:t xml:space="preserve"> </w:t>
      </w:r>
      <w:r>
        <w:rPr>
          <w:i/>
        </w:rPr>
        <w:t>bakingibut</w:t>
      </w:r>
      <w:r w:rsidRPr="00E7423F">
        <w:rPr>
          <w:i/>
        </w:rPr>
        <w:t xml:space="preserve"> </w:t>
      </w:r>
      <w:r w:rsidRPr="00E7423F">
        <w:t xml:space="preserve">by having more paravertebral scales (19 or 20 vs. </w:t>
      </w:r>
      <w:r>
        <w:t xml:space="preserve">&lt; </w:t>
      </w:r>
      <w:r w:rsidRPr="00E7423F">
        <w:t>19);</w:t>
      </w:r>
      <w:r w:rsidRPr="000D1B7E">
        <w:t xml:space="preserve"> </w:t>
      </w:r>
      <w:r w:rsidRPr="00E7423F">
        <w:t xml:space="preserve">from </w:t>
      </w:r>
      <w:r w:rsidRPr="00E7423F">
        <w:rPr>
          <w:i/>
        </w:rPr>
        <w:t>L. babuyanensis</w:t>
      </w:r>
      <w:r w:rsidRPr="00E7423F">
        <w:t>,</w:t>
      </w:r>
      <w:r w:rsidRPr="00E7423F">
        <w:rPr>
          <w:i/>
        </w:rPr>
        <w:t xml:space="preserve"> L</w:t>
      </w:r>
      <w:r w:rsidRPr="00E7423F">
        <w:t xml:space="preserve">. </w:t>
      </w:r>
      <w:r w:rsidRPr="00E7423F">
        <w:rPr>
          <w:i/>
        </w:rPr>
        <w:t>h</w:t>
      </w:r>
      <w:r w:rsidRPr="00E7423F">
        <w:t xml:space="preserve">. </w:t>
      </w:r>
      <w:r w:rsidRPr="00E7423F">
        <w:rPr>
          <w:i/>
        </w:rPr>
        <w:t>herrei</w:t>
      </w:r>
      <w:r w:rsidRPr="00E7423F">
        <w:t>,</w:t>
      </w:r>
      <w:r w:rsidRPr="00E7423F">
        <w:rPr>
          <w:i/>
        </w:rPr>
        <w:t xml:space="preserve"> L</w:t>
      </w:r>
      <w:r w:rsidRPr="00E7423F">
        <w:t xml:space="preserve">. </w:t>
      </w:r>
      <w:r w:rsidRPr="00E7423F">
        <w:rPr>
          <w:i/>
        </w:rPr>
        <w:t>h</w:t>
      </w:r>
      <w:r w:rsidRPr="00E7423F">
        <w:t xml:space="preserve">. </w:t>
      </w:r>
      <w:r w:rsidRPr="00E7423F">
        <w:rPr>
          <w:i/>
        </w:rPr>
        <w:t>medianus</w:t>
      </w:r>
      <w:r w:rsidRPr="00E7423F">
        <w:t xml:space="preserve">, and </w:t>
      </w:r>
      <w:r w:rsidRPr="00E7423F">
        <w:rPr>
          <w:i/>
        </w:rPr>
        <w:t>L</w:t>
      </w:r>
      <w:r w:rsidRPr="00E7423F">
        <w:t xml:space="preserve">. </w:t>
      </w:r>
      <w:r w:rsidRPr="00E7423F">
        <w:rPr>
          <w:i/>
        </w:rPr>
        <w:t>labialis</w:t>
      </w:r>
      <w:r w:rsidRPr="00E7423F">
        <w:t xml:space="preserve"> by having more midbody ventral scales (14–16 vs. </w:t>
      </w:r>
      <w:r>
        <w:t xml:space="preserve">&lt; </w:t>
      </w:r>
      <w:r w:rsidRPr="00E7423F">
        <w:t>14);</w:t>
      </w:r>
      <w:r>
        <w:t xml:space="preserve"> from </w:t>
      </w:r>
      <w:r w:rsidRPr="00E7423F">
        <w:rPr>
          <w:i/>
        </w:rPr>
        <w:t>L.</w:t>
      </w:r>
      <w:r w:rsidRPr="00E7423F">
        <w:t xml:space="preserve"> </w:t>
      </w:r>
      <w:r>
        <w:rPr>
          <w:i/>
        </w:rPr>
        <w:t>bakingibut</w:t>
      </w:r>
      <w:r w:rsidRPr="00E7423F">
        <w:rPr>
          <w:i/>
        </w:rPr>
        <w:t xml:space="preserve"> </w:t>
      </w:r>
      <w:r w:rsidRPr="00E7423F">
        <w:t xml:space="preserve">by </w:t>
      </w:r>
      <w:r>
        <w:t xml:space="preserve">fewer ventral scales (12–15 vs. 16); </w:t>
      </w:r>
      <w:r w:rsidRPr="00E7423F">
        <w:t xml:space="preserve">from </w:t>
      </w:r>
      <w:r w:rsidRPr="00E7423F">
        <w:rPr>
          <w:i/>
        </w:rPr>
        <w:t>L</w:t>
      </w:r>
      <w:r w:rsidRPr="00E7423F">
        <w:t xml:space="preserve">. </w:t>
      </w:r>
      <w:r>
        <w:rPr>
          <w:i/>
        </w:rPr>
        <w:t>aureolineatus</w:t>
      </w:r>
      <w:r w:rsidRPr="00E7423F">
        <w:t>,</w:t>
      </w:r>
      <w:r w:rsidRPr="00E7423F">
        <w:rPr>
          <w:i/>
        </w:rPr>
        <w:t xml:space="preserve"> L</w:t>
      </w:r>
      <w:r w:rsidRPr="00E7423F">
        <w:t xml:space="preserve">. </w:t>
      </w:r>
      <w:r w:rsidRPr="00E7423F">
        <w:rPr>
          <w:i/>
        </w:rPr>
        <w:t>christiani</w:t>
      </w:r>
      <w:r w:rsidRPr="00E7423F">
        <w:t xml:space="preserve">, and </w:t>
      </w:r>
      <w:r w:rsidRPr="00E7423F">
        <w:rPr>
          <w:i/>
        </w:rPr>
        <w:t>L</w:t>
      </w:r>
      <w:r w:rsidRPr="00E7423F">
        <w:t xml:space="preserve">. </w:t>
      </w:r>
      <w:r w:rsidRPr="00E7423F">
        <w:rPr>
          <w:i/>
        </w:rPr>
        <w:t>h</w:t>
      </w:r>
      <w:r w:rsidRPr="00E7423F">
        <w:t xml:space="preserve">. </w:t>
      </w:r>
      <w:r w:rsidRPr="00E7423F">
        <w:rPr>
          <w:i/>
        </w:rPr>
        <w:t>herrei</w:t>
      </w:r>
      <w:r w:rsidRPr="00E7423F">
        <w:t xml:space="preserve"> by having more circumorbital scales (31–34 vs. </w:t>
      </w:r>
      <w:r>
        <w:t xml:space="preserve">&lt; </w:t>
      </w:r>
      <w:r w:rsidRPr="00E7423F">
        <w:t>31);</w:t>
      </w:r>
      <w:r>
        <w:t xml:space="preserve"> </w:t>
      </w:r>
      <w:r w:rsidRPr="00E7423F">
        <w:t xml:space="preserve">from </w:t>
      </w:r>
      <w:r w:rsidRPr="00E7423F">
        <w:rPr>
          <w:i/>
        </w:rPr>
        <w:t>L</w:t>
      </w:r>
      <w:r w:rsidRPr="00E7423F">
        <w:t xml:space="preserve">. </w:t>
      </w:r>
      <w:r>
        <w:rPr>
          <w:i/>
        </w:rPr>
        <w:t>aureolineatus</w:t>
      </w:r>
      <w:r w:rsidRPr="00E7423F">
        <w:t xml:space="preserve">, </w:t>
      </w:r>
      <w:r w:rsidRPr="00E7423F">
        <w:rPr>
          <w:i/>
        </w:rPr>
        <w:t>L</w:t>
      </w:r>
      <w:r w:rsidRPr="00E7423F">
        <w:t xml:space="preserve">. </w:t>
      </w:r>
      <w:r w:rsidRPr="00E7423F">
        <w:rPr>
          <w:i/>
        </w:rPr>
        <w:t>h</w:t>
      </w:r>
      <w:r w:rsidRPr="00E7423F">
        <w:t xml:space="preserve">. </w:t>
      </w:r>
      <w:r w:rsidRPr="00E7423F">
        <w:rPr>
          <w:i/>
        </w:rPr>
        <w:t>herrei</w:t>
      </w:r>
      <w:r w:rsidRPr="00E7423F">
        <w:t>,</w:t>
      </w:r>
      <w:r w:rsidRPr="00E7423F">
        <w:rPr>
          <w:i/>
        </w:rPr>
        <w:t xml:space="preserve"> </w:t>
      </w:r>
      <w:r>
        <w:rPr>
          <w:i/>
          <w:iCs/>
        </w:rPr>
        <w:t>L</w:t>
      </w:r>
      <w:r>
        <w:t>.</w:t>
      </w:r>
      <w:r>
        <w:rPr>
          <w:i/>
          <w:iCs/>
        </w:rPr>
        <w:t xml:space="preserve"> labialis</w:t>
      </w:r>
      <w:r>
        <w:t>,</w:t>
      </w:r>
      <w:r w:rsidRPr="00E7423F">
        <w:t xml:space="preserve"> </w:t>
      </w:r>
      <w:r w:rsidRPr="00E7423F">
        <w:rPr>
          <w:i/>
        </w:rPr>
        <w:t>L. lugubris</w:t>
      </w:r>
      <w:r w:rsidRPr="00E7423F">
        <w:t>,</w:t>
      </w:r>
      <w:r>
        <w:t xml:space="preserve"> </w:t>
      </w:r>
      <w:r w:rsidRPr="00E7423F">
        <w:t xml:space="preserve">and </w:t>
      </w:r>
      <w:r w:rsidRPr="00E7423F">
        <w:rPr>
          <w:i/>
        </w:rPr>
        <w:t>L. planicaudus</w:t>
      </w:r>
      <w:r w:rsidRPr="00E7423F">
        <w:t xml:space="preserve"> by having more circumnasal scales (4 vs. 3);</w:t>
      </w:r>
      <w:r w:rsidRPr="000D1B7E">
        <w:t xml:space="preserve"> </w:t>
      </w:r>
      <w:r w:rsidRPr="00E7423F">
        <w:t xml:space="preserve">from </w:t>
      </w:r>
      <w:r w:rsidRPr="00E7423F">
        <w:rPr>
          <w:i/>
        </w:rPr>
        <w:t>L</w:t>
      </w:r>
      <w:r w:rsidRPr="00E7423F">
        <w:t xml:space="preserve">. </w:t>
      </w:r>
      <w:r>
        <w:rPr>
          <w:i/>
        </w:rPr>
        <w:t>aureolineatus</w:t>
      </w:r>
      <w:r w:rsidRPr="00E7423F">
        <w:t>,</w:t>
      </w:r>
      <w:r w:rsidRPr="00E7423F">
        <w:rPr>
          <w:i/>
        </w:rPr>
        <w:t xml:space="preserve"> L. balioburius</w:t>
      </w:r>
      <w:r w:rsidRPr="00E7423F">
        <w:t xml:space="preserve">, </w:t>
      </w:r>
      <w:r w:rsidRPr="00E7423F">
        <w:rPr>
          <w:i/>
        </w:rPr>
        <w:t>L</w:t>
      </w:r>
      <w:r w:rsidRPr="00E7423F">
        <w:t xml:space="preserve">. </w:t>
      </w:r>
      <w:r w:rsidRPr="00E7423F">
        <w:rPr>
          <w:i/>
        </w:rPr>
        <w:t>h</w:t>
      </w:r>
      <w:r w:rsidRPr="00E7423F">
        <w:t xml:space="preserve">. </w:t>
      </w:r>
      <w:r w:rsidRPr="00E7423F">
        <w:rPr>
          <w:i/>
        </w:rPr>
        <w:t>herrei</w:t>
      </w:r>
      <w:r w:rsidRPr="00E7423F">
        <w:t>,</w:t>
      </w:r>
      <w:r w:rsidRPr="00E7423F">
        <w:rPr>
          <w:i/>
        </w:rPr>
        <w:t xml:space="preserve"> L</w:t>
      </w:r>
      <w:r w:rsidRPr="00E7423F">
        <w:t xml:space="preserve">. </w:t>
      </w:r>
      <w:r w:rsidRPr="00E7423F">
        <w:rPr>
          <w:i/>
        </w:rPr>
        <w:t>h</w:t>
      </w:r>
      <w:r w:rsidRPr="00E7423F">
        <w:t xml:space="preserve">. </w:t>
      </w:r>
      <w:r w:rsidRPr="00E7423F">
        <w:rPr>
          <w:i/>
        </w:rPr>
        <w:t>medianus</w:t>
      </w:r>
      <w:r w:rsidRPr="00E7423F">
        <w:t>,</w:t>
      </w:r>
      <w:r w:rsidRPr="00E7423F">
        <w:rPr>
          <w:i/>
        </w:rPr>
        <w:t xml:space="preserve"> L</w:t>
      </w:r>
      <w:r w:rsidRPr="00E7423F">
        <w:t xml:space="preserve">. </w:t>
      </w:r>
      <w:r w:rsidRPr="00E7423F">
        <w:rPr>
          <w:i/>
        </w:rPr>
        <w:t>labialis</w:t>
      </w:r>
      <w:r w:rsidRPr="00E7423F">
        <w:t xml:space="preserve">, </w:t>
      </w:r>
      <w:r w:rsidRPr="00E7423F">
        <w:rPr>
          <w:i/>
        </w:rPr>
        <w:t>L. lugubris</w:t>
      </w:r>
      <w:r>
        <w:t>,</w:t>
      </w:r>
      <w:r w:rsidRPr="00E7423F">
        <w:t xml:space="preserve"> and</w:t>
      </w:r>
      <w:r w:rsidRPr="00E7423F">
        <w:rPr>
          <w:i/>
        </w:rPr>
        <w:t xml:space="preserve"> L.</w:t>
      </w:r>
      <w:r w:rsidRPr="00E7423F">
        <w:t xml:space="preserve"> </w:t>
      </w:r>
      <w:r>
        <w:rPr>
          <w:i/>
        </w:rPr>
        <w:t>bakingibut</w:t>
      </w:r>
      <w:r w:rsidRPr="00E7423F">
        <w:rPr>
          <w:i/>
        </w:rPr>
        <w:t xml:space="preserve"> </w:t>
      </w:r>
      <w:r w:rsidRPr="00E7423F">
        <w:t xml:space="preserve">by having fewer total scansors on Finger III (7 vs. </w:t>
      </w:r>
      <w:r>
        <w:t xml:space="preserve">&gt; </w:t>
      </w:r>
      <w:r w:rsidRPr="00E7423F">
        <w:t xml:space="preserve">7); from </w:t>
      </w:r>
      <w:r w:rsidRPr="00E7423F">
        <w:rPr>
          <w:i/>
        </w:rPr>
        <w:t>L</w:t>
      </w:r>
      <w:r w:rsidRPr="00E7423F">
        <w:t xml:space="preserve">. </w:t>
      </w:r>
      <w:r>
        <w:rPr>
          <w:i/>
        </w:rPr>
        <w:t>aureolineatus</w:t>
      </w:r>
      <w:r w:rsidRPr="00E7423F">
        <w:t>,</w:t>
      </w:r>
      <w:r w:rsidRPr="00E7423F">
        <w:rPr>
          <w:i/>
        </w:rPr>
        <w:t xml:space="preserve"> L</w:t>
      </w:r>
      <w:r w:rsidRPr="00E7423F">
        <w:t xml:space="preserve">. </w:t>
      </w:r>
      <w:r w:rsidRPr="00E7423F">
        <w:rPr>
          <w:i/>
        </w:rPr>
        <w:t>h</w:t>
      </w:r>
      <w:r w:rsidRPr="00E7423F">
        <w:t xml:space="preserve">. </w:t>
      </w:r>
      <w:r w:rsidRPr="00E7423F">
        <w:rPr>
          <w:i/>
        </w:rPr>
        <w:t>herrei</w:t>
      </w:r>
      <w:r w:rsidRPr="00E7423F">
        <w:t>,</w:t>
      </w:r>
      <w:r w:rsidRPr="00E7423F">
        <w:rPr>
          <w:i/>
        </w:rPr>
        <w:t xml:space="preserve"> L</w:t>
      </w:r>
      <w:r w:rsidRPr="00E7423F">
        <w:t xml:space="preserve">. </w:t>
      </w:r>
      <w:r w:rsidRPr="00E7423F">
        <w:rPr>
          <w:i/>
        </w:rPr>
        <w:t>h</w:t>
      </w:r>
      <w:r w:rsidRPr="00E7423F">
        <w:t xml:space="preserve">. </w:t>
      </w:r>
      <w:r w:rsidRPr="00E7423F">
        <w:rPr>
          <w:i/>
        </w:rPr>
        <w:t>medianus</w:t>
      </w:r>
      <w:r w:rsidRPr="00E7423F">
        <w:t>,</w:t>
      </w:r>
      <w:r w:rsidRPr="00E7423F">
        <w:rPr>
          <w:i/>
        </w:rPr>
        <w:t xml:space="preserve"> L</w:t>
      </w:r>
      <w:r w:rsidRPr="00E7423F">
        <w:t xml:space="preserve">. </w:t>
      </w:r>
      <w:r w:rsidRPr="00E7423F">
        <w:rPr>
          <w:i/>
        </w:rPr>
        <w:t>labialis</w:t>
      </w:r>
      <w:r w:rsidRPr="00E7423F">
        <w:t>, and</w:t>
      </w:r>
      <w:r w:rsidRPr="00E7423F">
        <w:rPr>
          <w:i/>
        </w:rPr>
        <w:t xml:space="preserve"> L. lugubris</w:t>
      </w:r>
      <w:r w:rsidRPr="00E7423F">
        <w:t xml:space="preserve"> by having fewer total scansors on Toe IV (8 or 9 vs. </w:t>
      </w:r>
      <w:r>
        <w:t xml:space="preserve">&gt; </w:t>
      </w:r>
      <w:r w:rsidRPr="00E7423F">
        <w:t>9);</w:t>
      </w:r>
      <w:r w:rsidRPr="000D1B7E">
        <w:t xml:space="preserve"> </w:t>
      </w:r>
      <w:r w:rsidRPr="00E7423F">
        <w:t xml:space="preserve">from </w:t>
      </w:r>
      <w:r w:rsidRPr="00E7423F">
        <w:rPr>
          <w:i/>
        </w:rPr>
        <w:t>L</w:t>
      </w:r>
      <w:r w:rsidRPr="00E7423F">
        <w:t xml:space="preserve">. </w:t>
      </w:r>
      <w:r>
        <w:rPr>
          <w:i/>
        </w:rPr>
        <w:t>aureolineatus</w:t>
      </w:r>
      <w:r w:rsidRPr="00E7423F">
        <w:t>,</w:t>
      </w:r>
      <w:r w:rsidRPr="00E7423F">
        <w:rPr>
          <w:i/>
        </w:rPr>
        <w:t xml:space="preserve"> L</w:t>
      </w:r>
      <w:r w:rsidRPr="00E7423F">
        <w:t xml:space="preserve">. </w:t>
      </w:r>
      <w:r w:rsidRPr="00E7423F">
        <w:rPr>
          <w:i/>
        </w:rPr>
        <w:t>h</w:t>
      </w:r>
      <w:r w:rsidRPr="00E7423F">
        <w:t xml:space="preserve">. </w:t>
      </w:r>
      <w:r w:rsidRPr="00E7423F">
        <w:rPr>
          <w:i/>
        </w:rPr>
        <w:t>herrei</w:t>
      </w:r>
      <w:r w:rsidRPr="00E7423F">
        <w:t>,</w:t>
      </w:r>
      <w:r w:rsidRPr="00E7423F">
        <w:rPr>
          <w:i/>
        </w:rPr>
        <w:t xml:space="preserve"> L</w:t>
      </w:r>
      <w:r w:rsidRPr="00E7423F">
        <w:t xml:space="preserve">. </w:t>
      </w:r>
      <w:r w:rsidRPr="00E7423F">
        <w:rPr>
          <w:i/>
        </w:rPr>
        <w:t>h</w:t>
      </w:r>
      <w:r w:rsidRPr="00E7423F">
        <w:t xml:space="preserve">. </w:t>
      </w:r>
      <w:r w:rsidRPr="00E7423F">
        <w:rPr>
          <w:i/>
        </w:rPr>
        <w:t>medianus</w:t>
      </w:r>
      <w:r w:rsidRPr="00E7423F">
        <w:t>,</w:t>
      </w:r>
      <w:r w:rsidRPr="00E7423F">
        <w:rPr>
          <w:i/>
        </w:rPr>
        <w:t xml:space="preserve"> L</w:t>
      </w:r>
      <w:r w:rsidRPr="00E7423F">
        <w:t xml:space="preserve">. </w:t>
      </w:r>
      <w:r w:rsidRPr="00E7423F">
        <w:rPr>
          <w:i/>
        </w:rPr>
        <w:t>labialis</w:t>
      </w:r>
      <w:r w:rsidRPr="00E7423F">
        <w:t>,</w:t>
      </w:r>
      <w:r w:rsidRPr="00E7423F">
        <w:rPr>
          <w:i/>
        </w:rPr>
        <w:t xml:space="preserve"> L. lugubris</w:t>
      </w:r>
      <w:r>
        <w:rPr>
          <w:iCs/>
        </w:rPr>
        <w:t xml:space="preserve">, and </w:t>
      </w:r>
      <w:r w:rsidRPr="00E7423F">
        <w:rPr>
          <w:i/>
        </w:rPr>
        <w:t>L.</w:t>
      </w:r>
      <w:r w:rsidRPr="00E7423F">
        <w:t xml:space="preserve"> </w:t>
      </w:r>
      <w:r>
        <w:rPr>
          <w:i/>
        </w:rPr>
        <w:t>bakingibut</w:t>
      </w:r>
      <w:r w:rsidRPr="00E7423F">
        <w:t xml:space="preserve"> by having a moderate number of </w:t>
      </w:r>
      <w:r>
        <w:t>precloacofemoral</w:t>
      </w:r>
      <w:r w:rsidRPr="00E7423F">
        <w:t xml:space="preserve"> pores </w:t>
      </w:r>
      <w:r>
        <w:t xml:space="preserve">in males </w:t>
      </w:r>
      <w:r w:rsidRPr="00E7423F">
        <w:t xml:space="preserve">(23 vs. </w:t>
      </w:r>
      <w:r>
        <w:t xml:space="preserve">&lt; </w:t>
      </w:r>
      <w:r w:rsidRPr="00E7423F">
        <w:t xml:space="preserve">14 </w:t>
      </w:r>
      <w:r>
        <w:t>[</w:t>
      </w:r>
      <w:r w:rsidRPr="00E7423F">
        <w:rPr>
          <w:i/>
        </w:rPr>
        <w:t>L. labialis</w:t>
      </w:r>
      <w:r>
        <w:t>]</w:t>
      </w:r>
      <w:r w:rsidRPr="00E7423F">
        <w:t xml:space="preserve">, </w:t>
      </w:r>
      <w:r>
        <w:t>&gt; 24</w:t>
      </w:r>
      <w:r w:rsidRPr="00E7423F">
        <w:t xml:space="preserve"> </w:t>
      </w:r>
      <w:r>
        <w:t>[</w:t>
      </w:r>
      <w:r w:rsidRPr="00E7423F">
        <w:rPr>
          <w:i/>
        </w:rPr>
        <w:t>L</w:t>
      </w:r>
      <w:r w:rsidRPr="00E7423F">
        <w:t xml:space="preserve">. </w:t>
      </w:r>
      <w:r>
        <w:rPr>
          <w:i/>
        </w:rPr>
        <w:t>aureolineatus</w:t>
      </w:r>
      <w:r w:rsidRPr="00E7423F">
        <w:t>,</w:t>
      </w:r>
      <w:r w:rsidRPr="00E7423F">
        <w:rPr>
          <w:i/>
        </w:rPr>
        <w:t xml:space="preserve"> L</w:t>
      </w:r>
      <w:r w:rsidRPr="00E7423F">
        <w:t xml:space="preserve">. </w:t>
      </w:r>
      <w:r w:rsidRPr="00E7423F">
        <w:rPr>
          <w:i/>
        </w:rPr>
        <w:t>h</w:t>
      </w:r>
      <w:r w:rsidRPr="00E7423F">
        <w:t xml:space="preserve">. </w:t>
      </w:r>
      <w:r w:rsidRPr="00E7423F">
        <w:rPr>
          <w:i/>
        </w:rPr>
        <w:t>herrei</w:t>
      </w:r>
      <w:r w:rsidRPr="00E7423F">
        <w:t>,</w:t>
      </w:r>
      <w:r w:rsidRPr="00E7423F">
        <w:rPr>
          <w:i/>
        </w:rPr>
        <w:t xml:space="preserve"> L</w:t>
      </w:r>
      <w:r w:rsidRPr="00E7423F">
        <w:t xml:space="preserve">. </w:t>
      </w:r>
      <w:r w:rsidRPr="00E7423F">
        <w:rPr>
          <w:i/>
        </w:rPr>
        <w:t>h</w:t>
      </w:r>
      <w:r w:rsidRPr="00E7423F">
        <w:t xml:space="preserve">. </w:t>
      </w:r>
      <w:r w:rsidRPr="00E7423F">
        <w:rPr>
          <w:i/>
        </w:rPr>
        <w:t>medianus</w:t>
      </w:r>
      <w:r w:rsidRPr="00E7423F">
        <w:t>,</w:t>
      </w:r>
      <w:r w:rsidRPr="00E7423F">
        <w:rPr>
          <w:i/>
        </w:rPr>
        <w:t xml:space="preserve"> L. lugubris</w:t>
      </w:r>
      <w:r w:rsidRPr="00E7423F">
        <w:t>,</w:t>
      </w:r>
      <w:r w:rsidRPr="006D5791">
        <w:rPr>
          <w:i/>
        </w:rPr>
        <w:t xml:space="preserve"> </w:t>
      </w:r>
      <w:r w:rsidRPr="00E7423F">
        <w:rPr>
          <w:i/>
        </w:rPr>
        <w:t>L.</w:t>
      </w:r>
      <w:r w:rsidRPr="00E7423F">
        <w:t xml:space="preserve"> </w:t>
      </w:r>
      <w:r>
        <w:rPr>
          <w:i/>
        </w:rPr>
        <w:t>bakingibut</w:t>
      </w:r>
      <w:r>
        <w:t>]</w:t>
      </w:r>
      <w:r w:rsidRPr="00E7423F">
        <w:t xml:space="preserve">); from </w:t>
      </w:r>
      <w:r w:rsidRPr="00E7423F">
        <w:rPr>
          <w:i/>
        </w:rPr>
        <w:t>L</w:t>
      </w:r>
      <w:r w:rsidRPr="00E7423F">
        <w:t xml:space="preserve">. </w:t>
      </w:r>
      <w:r w:rsidRPr="00E7423F">
        <w:rPr>
          <w:i/>
        </w:rPr>
        <w:t>labialis</w:t>
      </w:r>
      <w:r w:rsidRPr="00E7423F">
        <w:t xml:space="preserve"> and </w:t>
      </w:r>
      <w:r w:rsidRPr="00E7423F">
        <w:rPr>
          <w:i/>
        </w:rPr>
        <w:t>L</w:t>
      </w:r>
      <w:r w:rsidRPr="00E7423F">
        <w:t>.</w:t>
      </w:r>
      <w:r w:rsidRPr="00E7423F">
        <w:rPr>
          <w:i/>
        </w:rPr>
        <w:t xml:space="preserve"> lugubris</w:t>
      </w:r>
      <w:r w:rsidRPr="00E7423F">
        <w:t xml:space="preserve"> by having a linear pore series shape (vs. v-shaped)</w:t>
      </w:r>
      <w:r>
        <w:t xml:space="preserve">; </w:t>
      </w:r>
      <w:r w:rsidRPr="00E7423F">
        <w:t>from</w:t>
      </w:r>
      <w:r w:rsidRPr="00E7423F">
        <w:rPr>
          <w:i/>
        </w:rPr>
        <w:t xml:space="preserve"> L</w:t>
      </w:r>
      <w:r w:rsidRPr="00E7423F">
        <w:t xml:space="preserve">. </w:t>
      </w:r>
      <w:r w:rsidRPr="00E7423F">
        <w:rPr>
          <w:i/>
        </w:rPr>
        <w:t>labialis</w:t>
      </w:r>
      <w:r w:rsidRPr="00E7423F">
        <w:t xml:space="preserve"> by having no cleft on the rostral scale (vs. cleft), more webbing between Toes II and III (1 or 2 vs. 0)</w:t>
      </w:r>
      <w:r>
        <w:t>,</w:t>
      </w:r>
      <w:r w:rsidRPr="00E7423F">
        <w:t xml:space="preserve"> and more cloacal spurs (2 or 3 vs. 0)</w:t>
      </w:r>
      <w:r>
        <w:t xml:space="preserve">; from </w:t>
      </w:r>
      <w:r w:rsidRPr="00E7423F">
        <w:rPr>
          <w:i/>
        </w:rPr>
        <w:t>L</w:t>
      </w:r>
      <w:r w:rsidRPr="00E7423F">
        <w:t xml:space="preserve">. </w:t>
      </w:r>
      <w:r>
        <w:rPr>
          <w:i/>
        </w:rPr>
        <w:t>aureolineatus</w:t>
      </w:r>
      <w:r w:rsidRPr="00E7423F">
        <w:t>,</w:t>
      </w:r>
      <w:r>
        <w:rPr>
          <w:i/>
        </w:rPr>
        <w:t xml:space="preserve"> </w:t>
      </w:r>
      <w:r>
        <w:rPr>
          <w:i/>
          <w:iCs/>
        </w:rPr>
        <w:t>L. christiani</w:t>
      </w:r>
      <w:r w:rsidRPr="00E7423F">
        <w:t>,</w:t>
      </w:r>
      <w:r w:rsidRPr="00454B1B">
        <w:rPr>
          <w:i/>
        </w:rPr>
        <w:t xml:space="preserve"> </w:t>
      </w:r>
      <w:r w:rsidRPr="00E7423F">
        <w:rPr>
          <w:i/>
        </w:rPr>
        <w:t>L</w:t>
      </w:r>
      <w:r w:rsidRPr="00E7423F">
        <w:t xml:space="preserve">. </w:t>
      </w:r>
      <w:r w:rsidRPr="00E7423F">
        <w:rPr>
          <w:i/>
        </w:rPr>
        <w:t>h</w:t>
      </w:r>
      <w:r>
        <w:rPr>
          <w:iCs/>
        </w:rPr>
        <w:t>.</w:t>
      </w:r>
      <w:r w:rsidRPr="00E7423F">
        <w:t xml:space="preserve"> </w:t>
      </w:r>
      <w:r w:rsidRPr="00E7423F">
        <w:rPr>
          <w:i/>
        </w:rPr>
        <w:t>herrei</w:t>
      </w:r>
      <w:r w:rsidRPr="00E7423F">
        <w:t>,</w:t>
      </w:r>
      <w:r w:rsidRPr="00454B1B">
        <w:rPr>
          <w:i/>
        </w:rPr>
        <w:t xml:space="preserve"> </w:t>
      </w:r>
      <w:r w:rsidRPr="00E7423F">
        <w:rPr>
          <w:i/>
        </w:rPr>
        <w:t>L</w:t>
      </w:r>
      <w:r w:rsidRPr="00E7423F">
        <w:t xml:space="preserve">. </w:t>
      </w:r>
      <w:r>
        <w:rPr>
          <w:i/>
        </w:rPr>
        <w:t>h</w:t>
      </w:r>
      <w:r>
        <w:rPr>
          <w:iCs/>
        </w:rPr>
        <w:t>.</w:t>
      </w:r>
      <w:r w:rsidRPr="00E7423F">
        <w:t xml:space="preserve"> </w:t>
      </w:r>
      <w:r w:rsidRPr="00E7423F">
        <w:rPr>
          <w:i/>
        </w:rPr>
        <w:t>medianus</w:t>
      </w:r>
      <w:r w:rsidRPr="00E7423F">
        <w:t>,</w:t>
      </w:r>
      <w:r>
        <w:t xml:space="preserve"> </w:t>
      </w:r>
      <w:r w:rsidRPr="00E7423F">
        <w:rPr>
          <w:i/>
        </w:rPr>
        <w:t>L</w:t>
      </w:r>
      <w:r w:rsidRPr="00E7423F">
        <w:t xml:space="preserve">. </w:t>
      </w:r>
      <w:r w:rsidRPr="00E7423F">
        <w:rPr>
          <w:i/>
        </w:rPr>
        <w:t>lugubris</w:t>
      </w:r>
      <w:r w:rsidRPr="00E7423F">
        <w:t xml:space="preserve">, </w:t>
      </w:r>
      <w:r>
        <w:t xml:space="preserve">and </w:t>
      </w:r>
      <w:r w:rsidRPr="00E7423F">
        <w:rPr>
          <w:i/>
        </w:rPr>
        <w:t>L</w:t>
      </w:r>
      <w:r w:rsidRPr="00E7423F">
        <w:t>.</w:t>
      </w:r>
      <w:r w:rsidRPr="00E7423F">
        <w:rPr>
          <w:i/>
        </w:rPr>
        <w:t xml:space="preserve"> planicaudus</w:t>
      </w:r>
      <w:r>
        <w:rPr>
          <w:i/>
        </w:rPr>
        <w:t xml:space="preserve"> </w:t>
      </w:r>
      <w:r>
        <w:rPr>
          <w:iCs/>
        </w:rPr>
        <w:t xml:space="preserve">by having a larger axilla–groin distance relative to head length (193.5–198.1% head length vs. &lt; 188.2%); </w:t>
      </w:r>
      <w:r w:rsidRPr="00E7423F">
        <w:t xml:space="preserve">from </w:t>
      </w:r>
      <w:r w:rsidRPr="00E7423F">
        <w:rPr>
          <w:i/>
        </w:rPr>
        <w:t>L</w:t>
      </w:r>
      <w:r w:rsidRPr="00E7423F">
        <w:t xml:space="preserve">. </w:t>
      </w:r>
      <w:r>
        <w:rPr>
          <w:i/>
        </w:rPr>
        <w:t>aureolineatus</w:t>
      </w:r>
      <w:r w:rsidRPr="00E7423F">
        <w:t xml:space="preserve">, </w:t>
      </w:r>
      <w:r w:rsidRPr="00E7423F">
        <w:rPr>
          <w:i/>
        </w:rPr>
        <w:t>L. balioburius</w:t>
      </w:r>
      <w:r>
        <w:rPr>
          <w:iCs/>
        </w:rPr>
        <w:t>,</w:t>
      </w:r>
      <w:r w:rsidRPr="00454B1B">
        <w:rPr>
          <w:i/>
        </w:rPr>
        <w:t xml:space="preserve"> </w:t>
      </w:r>
      <w:r>
        <w:rPr>
          <w:i/>
          <w:iCs/>
        </w:rPr>
        <w:t>L. christiani</w:t>
      </w:r>
      <w:r>
        <w:t>,</w:t>
      </w:r>
      <w:r w:rsidRPr="00454B1B">
        <w:rPr>
          <w:i/>
        </w:rPr>
        <w:t xml:space="preserve"> </w:t>
      </w:r>
      <w:r w:rsidRPr="00E7423F">
        <w:rPr>
          <w:i/>
        </w:rPr>
        <w:t>L</w:t>
      </w:r>
      <w:r w:rsidRPr="00E7423F">
        <w:t xml:space="preserve">. </w:t>
      </w:r>
      <w:r w:rsidRPr="00E7423F">
        <w:rPr>
          <w:i/>
        </w:rPr>
        <w:t>h</w:t>
      </w:r>
      <w:r w:rsidRPr="00E7423F">
        <w:t xml:space="preserve">. </w:t>
      </w:r>
      <w:r w:rsidRPr="00E7423F">
        <w:rPr>
          <w:i/>
        </w:rPr>
        <w:t>medianus</w:t>
      </w:r>
      <w:r w:rsidRPr="00E7423F">
        <w:t xml:space="preserve">, </w:t>
      </w:r>
      <w:r w:rsidRPr="00E7423F">
        <w:rPr>
          <w:i/>
        </w:rPr>
        <w:t>L.</w:t>
      </w:r>
      <w:r w:rsidRPr="00E7423F">
        <w:t xml:space="preserve"> </w:t>
      </w:r>
      <w:r>
        <w:rPr>
          <w:i/>
        </w:rPr>
        <w:t>bakingibut</w:t>
      </w:r>
      <w:r>
        <w:rPr>
          <w:iCs/>
        </w:rPr>
        <w:t>,</w:t>
      </w:r>
      <w:r w:rsidRPr="00E7423F">
        <w:t xml:space="preserve"> and </w:t>
      </w:r>
      <w:r w:rsidRPr="00E7423F">
        <w:rPr>
          <w:i/>
        </w:rPr>
        <w:t>L. lugubris</w:t>
      </w:r>
      <w:r w:rsidRPr="00E7423F">
        <w:t xml:space="preserve"> by having a smaller relative snout–forearm</w:t>
      </w:r>
      <w:r>
        <w:t xml:space="preserve"> length</w:t>
      </w:r>
      <w:r w:rsidRPr="00E7423F">
        <w:t xml:space="preserve"> (34.2–34.3% SVL vs. </w:t>
      </w:r>
      <w:r>
        <w:t xml:space="preserve">&gt; </w:t>
      </w:r>
      <w:r w:rsidRPr="00E7423F">
        <w:t>3</w:t>
      </w:r>
      <w:r>
        <w:t>4</w:t>
      </w:r>
      <w:r w:rsidRPr="00E7423F">
        <w:t>.</w:t>
      </w:r>
      <w:r>
        <w:t>4</w:t>
      </w:r>
      <w:r w:rsidRPr="00E7423F">
        <w:t>%);</w:t>
      </w:r>
      <w:r>
        <w:t xml:space="preserve"> from </w:t>
      </w:r>
      <w:r w:rsidRPr="00E7423F">
        <w:rPr>
          <w:i/>
        </w:rPr>
        <w:t>L</w:t>
      </w:r>
      <w:r w:rsidRPr="00E7423F">
        <w:t xml:space="preserve">. </w:t>
      </w:r>
      <w:r>
        <w:rPr>
          <w:i/>
        </w:rPr>
        <w:t>aureolineatus</w:t>
      </w:r>
      <w:r w:rsidRPr="00E7423F">
        <w:t>,</w:t>
      </w:r>
      <w:r>
        <w:rPr>
          <w:i/>
        </w:rPr>
        <w:t xml:space="preserve"> </w:t>
      </w:r>
      <w:r w:rsidRPr="00E7423F">
        <w:rPr>
          <w:i/>
        </w:rPr>
        <w:t>L. balioburius</w:t>
      </w:r>
      <w:r w:rsidRPr="00E7423F">
        <w:t>,</w:t>
      </w:r>
      <w:r w:rsidRPr="00454B1B">
        <w:rPr>
          <w:i/>
        </w:rPr>
        <w:t xml:space="preserve"> </w:t>
      </w:r>
      <w:r>
        <w:rPr>
          <w:i/>
          <w:iCs/>
        </w:rPr>
        <w:t>L. christiani</w:t>
      </w:r>
      <w:r w:rsidRPr="00E7423F">
        <w:t>,</w:t>
      </w:r>
      <w:r w:rsidRPr="00454B1B">
        <w:rPr>
          <w:i/>
        </w:rPr>
        <w:t xml:space="preserve"> </w:t>
      </w:r>
      <w:r w:rsidRPr="00E7423F">
        <w:rPr>
          <w:i/>
        </w:rPr>
        <w:t>L</w:t>
      </w:r>
      <w:r w:rsidRPr="00E7423F">
        <w:t xml:space="preserve">. </w:t>
      </w:r>
      <w:r w:rsidRPr="00E7423F">
        <w:rPr>
          <w:i/>
        </w:rPr>
        <w:t>h</w:t>
      </w:r>
      <w:r>
        <w:rPr>
          <w:iCs/>
        </w:rPr>
        <w:t>.</w:t>
      </w:r>
      <w:r w:rsidRPr="00E7423F">
        <w:t xml:space="preserve"> </w:t>
      </w:r>
      <w:r w:rsidRPr="00E7423F">
        <w:rPr>
          <w:i/>
        </w:rPr>
        <w:t>herrei</w:t>
      </w:r>
      <w:r w:rsidRPr="00E7423F">
        <w:t>,</w:t>
      </w:r>
      <w:r w:rsidRPr="00454B1B">
        <w:rPr>
          <w:i/>
        </w:rPr>
        <w:t xml:space="preserve"> </w:t>
      </w:r>
      <w:r w:rsidRPr="00E7423F">
        <w:rPr>
          <w:i/>
        </w:rPr>
        <w:t>L</w:t>
      </w:r>
      <w:r w:rsidRPr="00E7423F">
        <w:t xml:space="preserve">. </w:t>
      </w:r>
      <w:r>
        <w:rPr>
          <w:i/>
        </w:rPr>
        <w:t>h</w:t>
      </w:r>
      <w:r>
        <w:rPr>
          <w:iCs/>
        </w:rPr>
        <w:t>.</w:t>
      </w:r>
      <w:r w:rsidRPr="00E7423F">
        <w:t xml:space="preserve"> </w:t>
      </w:r>
      <w:r w:rsidRPr="00E7423F">
        <w:rPr>
          <w:i/>
        </w:rPr>
        <w:t>medianus</w:t>
      </w:r>
      <w:r w:rsidRPr="00E7423F">
        <w:t>,</w:t>
      </w:r>
      <w:r>
        <w:t xml:space="preserve"> </w:t>
      </w:r>
      <w:r w:rsidRPr="00E7423F">
        <w:rPr>
          <w:i/>
        </w:rPr>
        <w:t>L</w:t>
      </w:r>
      <w:r w:rsidRPr="00E7423F">
        <w:t xml:space="preserve">. </w:t>
      </w:r>
      <w:r w:rsidRPr="00E7423F">
        <w:rPr>
          <w:i/>
        </w:rPr>
        <w:t>lugubris</w:t>
      </w:r>
      <w:r w:rsidRPr="00E7423F">
        <w:t>,</w:t>
      </w:r>
      <w:r w:rsidRPr="006D5791">
        <w:rPr>
          <w:i/>
        </w:rPr>
        <w:t xml:space="preserve"> </w:t>
      </w:r>
      <w:r>
        <w:rPr>
          <w:iCs/>
        </w:rPr>
        <w:t>and</w:t>
      </w:r>
      <w:r w:rsidRPr="00E7423F">
        <w:t xml:space="preserve"> </w:t>
      </w:r>
      <w:r w:rsidRPr="00E7423F">
        <w:rPr>
          <w:i/>
        </w:rPr>
        <w:t>L</w:t>
      </w:r>
      <w:r w:rsidRPr="00E7423F">
        <w:t>.</w:t>
      </w:r>
      <w:r w:rsidRPr="00E7423F">
        <w:rPr>
          <w:i/>
        </w:rPr>
        <w:t xml:space="preserve"> planicaudus</w:t>
      </w:r>
      <w:r>
        <w:rPr>
          <w:i/>
        </w:rPr>
        <w:t xml:space="preserve"> </w:t>
      </w:r>
      <w:r>
        <w:rPr>
          <w:iCs/>
        </w:rPr>
        <w:t xml:space="preserve">by having a larger relative head length (26.4–26.5% SVL vs. &lt; 26.4%); from </w:t>
      </w:r>
      <w:r w:rsidRPr="00E7423F">
        <w:rPr>
          <w:i/>
        </w:rPr>
        <w:t>L</w:t>
      </w:r>
      <w:r w:rsidRPr="00E7423F">
        <w:t xml:space="preserve">. </w:t>
      </w:r>
      <w:r>
        <w:rPr>
          <w:i/>
        </w:rPr>
        <w:t>aureolineatus</w:t>
      </w:r>
      <w:r w:rsidRPr="00E7423F">
        <w:t>,</w:t>
      </w:r>
      <w:r>
        <w:rPr>
          <w:i/>
        </w:rPr>
        <w:t xml:space="preserve"> </w:t>
      </w:r>
      <w:r w:rsidRPr="00E7423F">
        <w:rPr>
          <w:i/>
        </w:rPr>
        <w:t>L</w:t>
      </w:r>
      <w:r w:rsidRPr="00E7423F">
        <w:t xml:space="preserve">. </w:t>
      </w:r>
      <w:r w:rsidRPr="00E7423F">
        <w:rPr>
          <w:i/>
        </w:rPr>
        <w:t>h</w:t>
      </w:r>
      <w:r>
        <w:rPr>
          <w:iCs/>
        </w:rPr>
        <w:t>.</w:t>
      </w:r>
      <w:r w:rsidRPr="00E7423F">
        <w:t xml:space="preserve"> </w:t>
      </w:r>
      <w:r w:rsidRPr="00E7423F">
        <w:rPr>
          <w:i/>
        </w:rPr>
        <w:t>herrei</w:t>
      </w:r>
      <w:r w:rsidRPr="00E7423F">
        <w:t>,</w:t>
      </w:r>
      <w:r w:rsidRPr="00454B1B">
        <w:rPr>
          <w:i/>
        </w:rPr>
        <w:t xml:space="preserve"> </w:t>
      </w:r>
      <w:r w:rsidRPr="00E7423F">
        <w:rPr>
          <w:i/>
        </w:rPr>
        <w:t>L</w:t>
      </w:r>
      <w:r w:rsidRPr="00E7423F">
        <w:t xml:space="preserve">. </w:t>
      </w:r>
      <w:r>
        <w:rPr>
          <w:i/>
        </w:rPr>
        <w:t>h</w:t>
      </w:r>
      <w:r>
        <w:rPr>
          <w:iCs/>
        </w:rPr>
        <w:t>.</w:t>
      </w:r>
      <w:r w:rsidRPr="00E7423F">
        <w:t xml:space="preserve"> </w:t>
      </w:r>
      <w:r w:rsidRPr="00E7423F">
        <w:rPr>
          <w:i/>
        </w:rPr>
        <w:t>medianus</w:t>
      </w:r>
      <w:r w:rsidRPr="00E7423F">
        <w:t xml:space="preserve">, </w:t>
      </w:r>
      <w:r w:rsidRPr="00E7423F">
        <w:rPr>
          <w:i/>
        </w:rPr>
        <w:t>L</w:t>
      </w:r>
      <w:r w:rsidRPr="00E7423F">
        <w:t xml:space="preserve">. </w:t>
      </w:r>
      <w:r w:rsidRPr="00E7423F">
        <w:rPr>
          <w:i/>
        </w:rPr>
        <w:t>lugubris</w:t>
      </w:r>
      <w:r w:rsidRPr="00E7423F">
        <w:t>,</w:t>
      </w:r>
      <w:r w:rsidRPr="006D5791">
        <w:rPr>
          <w:i/>
        </w:rPr>
        <w:t xml:space="preserve"> </w:t>
      </w:r>
      <w:r w:rsidRPr="00E7423F">
        <w:rPr>
          <w:i/>
        </w:rPr>
        <w:t>L.</w:t>
      </w:r>
      <w:r w:rsidRPr="00E7423F">
        <w:t xml:space="preserve"> </w:t>
      </w:r>
      <w:r>
        <w:rPr>
          <w:i/>
        </w:rPr>
        <w:t>bakingibut</w:t>
      </w:r>
      <w:r w:rsidRPr="00E7423F">
        <w:t>,</w:t>
      </w:r>
      <w:r>
        <w:t xml:space="preserve"> and</w:t>
      </w:r>
      <w:r w:rsidRPr="00E7423F">
        <w:t xml:space="preserve"> </w:t>
      </w:r>
      <w:r w:rsidRPr="00E7423F">
        <w:rPr>
          <w:i/>
        </w:rPr>
        <w:t>L</w:t>
      </w:r>
      <w:r w:rsidRPr="00E7423F">
        <w:t>.</w:t>
      </w:r>
      <w:r w:rsidRPr="00E7423F">
        <w:rPr>
          <w:i/>
        </w:rPr>
        <w:t xml:space="preserve"> planicaudus</w:t>
      </w:r>
      <w:r>
        <w:rPr>
          <w:i/>
        </w:rPr>
        <w:t xml:space="preserve"> </w:t>
      </w:r>
      <w:r>
        <w:rPr>
          <w:iCs/>
        </w:rPr>
        <w:t>by having a larger snout length relative to head length (43.5–44.9% head length vs. &lt; 43.3%).</w:t>
      </w:r>
      <w:bookmarkEnd w:id="13"/>
    </w:p>
    <w:p w14:paraId="0D0BC2C5" w14:textId="77777777" w:rsidR="00F6339D" w:rsidRPr="00C208FA" w:rsidRDefault="00F6339D" w:rsidP="00F6339D">
      <w:pPr>
        <w:pStyle w:val="NormalWeb"/>
        <w:spacing w:before="0" w:beforeAutospacing="0" w:after="0" w:afterAutospacing="0" w:line="480" w:lineRule="auto"/>
        <w:ind w:firstLine="360"/>
      </w:pPr>
      <w:r w:rsidRPr="0096113C">
        <w:rPr>
          <w:b/>
          <w:bCs/>
        </w:rPr>
        <w:t>Description of holotype.</w:t>
      </w:r>
      <w:r w:rsidRPr="00E7423F">
        <w:t>—Adult male</w:t>
      </w:r>
      <w:r>
        <w:t xml:space="preserve"> in</w:t>
      </w:r>
      <w:r w:rsidRPr="00E7423F">
        <w:t xml:space="preserve"> good condition; large incision in ventral surface from retrieval of genetic sample, hemipenes inverted from preservation. Body moderate, SVL 40.6 mm</w:t>
      </w:r>
      <w:r>
        <w:t>, a</w:t>
      </w:r>
      <w:r w:rsidRPr="00E7423F">
        <w:t>xilla–groin distance 52.2% SVL; limbs well developed, moderately slender; tail original, detached; margins of limbs smooth, lacking cutaneous flaps or dermal folds; trunk lacking ventrolateral cutaneous fold.</w:t>
      </w:r>
    </w:p>
    <w:p w14:paraId="173BB2AC" w14:textId="77777777" w:rsidR="00F6339D" w:rsidRPr="00E7423F" w:rsidRDefault="00F6339D" w:rsidP="00F6339D">
      <w:pPr>
        <w:pStyle w:val="NormalWeb"/>
        <w:spacing w:before="0" w:beforeAutospacing="0" w:after="0" w:afterAutospacing="0" w:line="480" w:lineRule="auto"/>
        <w:ind w:firstLine="360"/>
      </w:pPr>
      <w:r w:rsidRPr="00E7423F">
        <w:t xml:space="preserve">Head moderate in size, largely undifferentiated from neck due to hypertrophied temporal musculature; snout rounded in dorsal and lateral aspects; </w:t>
      </w:r>
      <w:r>
        <w:t>head length</w:t>
      </w:r>
      <w:r w:rsidRPr="00E7423F">
        <w:t xml:space="preserve"> 26.4% SVL</w:t>
      </w:r>
      <w:r>
        <w:t>,</w:t>
      </w:r>
      <w:r w:rsidRPr="00E7423F">
        <w:t xml:space="preserve"> 267.5% </w:t>
      </w:r>
      <w:r>
        <w:t>head height</w:t>
      </w:r>
      <w:r w:rsidRPr="00E7423F">
        <w:t xml:space="preserve">; </w:t>
      </w:r>
      <w:r>
        <w:t>head width</w:t>
      </w:r>
      <w:r w:rsidRPr="00E7423F">
        <w:t xml:space="preserve"> 67.3% </w:t>
      </w:r>
      <w:r>
        <w:t>head length</w:t>
      </w:r>
      <w:r w:rsidRPr="00E7423F">
        <w:t xml:space="preserve">, 180.0% </w:t>
      </w:r>
      <w:r>
        <w:t>head height</w:t>
      </w:r>
      <w:r w:rsidRPr="00E7423F">
        <w:t xml:space="preserve">; </w:t>
      </w:r>
      <w:r>
        <w:t>snout length</w:t>
      </w:r>
      <w:r w:rsidRPr="00E7423F">
        <w:t xml:space="preserve"> 44.9% </w:t>
      </w:r>
      <w:r>
        <w:t>head length,</w:t>
      </w:r>
      <w:r w:rsidRPr="00E7423F">
        <w:t xml:space="preserve"> 66.7% </w:t>
      </w:r>
      <w:r>
        <w:t>head width;</w:t>
      </w:r>
      <w:r w:rsidRPr="00E7423F">
        <w:t xml:space="preserve"> dorsal surfaces of head homogeneous, with only slight prefrontal and interorbital concavities present; auricular opening large, elongated, angled anteroventrally and posterodorsally, positioned anterior to temporal swellings on either side of head; eye moderate; pupil vertical, </w:t>
      </w:r>
      <w:r w:rsidRPr="00F12B24">
        <w:t>margin straight</w:t>
      </w:r>
      <w:r w:rsidRPr="00E7423F">
        <w:t>; n</w:t>
      </w:r>
      <w:r>
        <w:t>ostril</w:t>
      </w:r>
      <w:r w:rsidRPr="00E7423F">
        <w:t xml:space="preserve"> contacting first supralabial, not contacting rostral; limbs and digits moderate in length, and moderately slender; legs longer than arms, thighs moderately thicker compared to brachium; </w:t>
      </w:r>
      <w:r>
        <w:t>thigh length</w:t>
      </w:r>
      <w:r w:rsidRPr="00E7423F">
        <w:t xml:space="preserve"> 120.8% </w:t>
      </w:r>
      <w:r>
        <w:t>crus length</w:t>
      </w:r>
      <w:r w:rsidRPr="00E7423F">
        <w:t xml:space="preserve">; </w:t>
      </w:r>
      <w:r>
        <w:t>leg length</w:t>
      </w:r>
      <w:r w:rsidRPr="00E7423F">
        <w:t xml:space="preserve"> 26.1% SVL, 129.3% </w:t>
      </w:r>
      <w:r>
        <w:t>arm length</w:t>
      </w:r>
      <w:r w:rsidRPr="00E7423F">
        <w:t>.</w:t>
      </w:r>
    </w:p>
    <w:p w14:paraId="68422DB0" w14:textId="77777777" w:rsidR="00F6339D" w:rsidRPr="00E7423F" w:rsidRDefault="00F6339D" w:rsidP="00F6339D">
      <w:pPr>
        <w:pStyle w:val="NormalWeb"/>
        <w:spacing w:before="0" w:beforeAutospacing="0" w:after="0" w:afterAutospacing="0" w:line="480" w:lineRule="auto"/>
        <w:ind w:firstLine="360"/>
        <w:rPr>
          <w:highlight w:val="magenta"/>
        </w:rPr>
      </w:pPr>
      <w:r w:rsidRPr="00E7423F">
        <w:t>Rostral somewhat rectangular in anterior view, not cleft, bordered laterally by first supralabial</w:t>
      </w:r>
      <w:r>
        <w:t>s</w:t>
      </w:r>
      <w:r w:rsidRPr="00E7423F">
        <w:t>, posterolaterally by anterior</w:t>
      </w:r>
      <w:r>
        <w:t>-</w:t>
      </w:r>
      <w:r w:rsidRPr="00E7423F">
        <w:t>most enlarged circumnasal</w:t>
      </w:r>
      <w:r>
        <w:t>s,</w:t>
      </w:r>
      <w:r w:rsidRPr="00E7423F">
        <w:t xml:space="preserve"> and posteriorly by three </w:t>
      </w:r>
      <w:r>
        <w:t>additional</w:t>
      </w:r>
      <w:r w:rsidRPr="00E7423F">
        <w:t xml:space="preserve"> scales</w:t>
      </w:r>
      <w:r>
        <w:t xml:space="preserve"> (= five snout scales)</w:t>
      </w:r>
      <w:r w:rsidRPr="00E7423F">
        <w:t xml:space="preserve">; nostril surrounded by first labial and four equally sized enlarged circumnasals; </w:t>
      </w:r>
      <w:r w:rsidRPr="00DA7867">
        <w:t>supranasals separated by four heterogeneously sized median scales.</w:t>
      </w:r>
    </w:p>
    <w:p w14:paraId="4DDFB940" w14:textId="77777777" w:rsidR="00F6339D" w:rsidRPr="00E7423F" w:rsidRDefault="00F6339D" w:rsidP="00F6339D">
      <w:pPr>
        <w:pStyle w:val="NormalWeb"/>
        <w:spacing w:before="0" w:beforeAutospacing="0" w:after="0" w:afterAutospacing="0" w:line="480" w:lineRule="auto"/>
        <w:ind w:firstLine="360"/>
      </w:pPr>
      <w:r w:rsidRPr="00E7423F">
        <w:t xml:space="preserve">Total number of differentiated supralabials 14/13; total number of differentiated infralabials 12/12, bordered ventrally by slightly enlarged chin and undifferentiated gular scales; total number of chin scales between second and third infralabials 9; number of enlarged scale rows adjacent to chin scales </w:t>
      </w:r>
      <w:r>
        <w:t>one</w:t>
      </w:r>
      <w:r w:rsidRPr="00E7423F">
        <w:t xml:space="preserve"> or </w:t>
      </w:r>
      <w:r>
        <w:t>two</w:t>
      </w:r>
      <w:r w:rsidRPr="00E7423F">
        <w:t xml:space="preserve"> until fourth infralabials; patch of enlarged gular scales on anterior end of gular region continuing to a point in line with third infralabial on both side</w:t>
      </w:r>
      <w:r>
        <w:t>s</w:t>
      </w:r>
      <w:r w:rsidRPr="00E7423F">
        <w:t>.</w:t>
      </w:r>
    </w:p>
    <w:p w14:paraId="1AD2BB99" w14:textId="77777777" w:rsidR="00F6339D" w:rsidRPr="00E7423F" w:rsidRDefault="00F6339D" w:rsidP="00F6339D">
      <w:pPr>
        <w:pStyle w:val="NormalWeb"/>
        <w:spacing w:before="0" w:beforeAutospacing="0" w:after="0" w:afterAutospacing="0" w:line="480" w:lineRule="auto"/>
        <w:ind w:firstLine="360"/>
      </w:pPr>
      <w:r w:rsidRPr="00E7423F">
        <w:t>Dorsal cephalic scales fairly homogeneous in size, shape, disposition, and distribution; cephalic scalation slightly convex, primarily round scales; prefrontal and interorbital depressions slight; undifferentiated posterior head scales slightly convex; gular and throat scales small, oval, rounded, and nonimbricate, making a moderately sharp transition in scalation towards posterior end of neck on ventral surface, with enlarged rounded, hexagonal, non</w:t>
      </w:r>
      <w:r>
        <w:t>-</w:t>
      </w:r>
      <w:r w:rsidRPr="00E7423F">
        <w:t>overlapping scales; circumorbitals 31 (L).</w:t>
      </w:r>
      <w:r>
        <w:t xml:space="preserve"> D</w:t>
      </w:r>
      <w:r w:rsidRPr="00E7423F">
        <w:t>orsal body scales round, convex, juxtaposed, relatively homogeneous in size; dorsals sharply transition to flat, non</w:t>
      </w:r>
      <w:r>
        <w:t>-</w:t>
      </w:r>
      <w:r w:rsidRPr="00E7423F">
        <w:t>overlapping ventrals along lateral body surface; midbody dorsal scales within one eye diameter 22; paravertebral scales within one eye diameter 19; midbody ventral scales within one eye diameter 16; ventral scales within one eye diameter 15; scales on dorsal surfaces of limbs undifferentiated from dorsals; scales on dorsal surfaces of hands and feet similar to dorsal limb scales; ventral body scales flat, rounded, hexagonal, non</w:t>
      </w:r>
      <w:r>
        <w:t>-</w:t>
      </w:r>
      <w:r w:rsidRPr="00E7423F">
        <w:t>overlapping, much larger than dorsal body scales, relatively homogeneous in size.</w:t>
      </w:r>
      <w:r>
        <w:t xml:space="preserve"> </w:t>
      </w:r>
      <w:r w:rsidRPr="00E7423F">
        <w:t xml:space="preserve">Enlarged </w:t>
      </w:r>
      <w:r>
        <w:t>precloacofemoral</w:t>
      </w:r>
      <w:r w:rsidRPr="00E7423F">
        <w:t xml:space="preserve"> pore</w:t>
      </w:r>
      <w:r>
        <w:t>-</w:t>
      </w:r>
      <w:r w:rsidRPr="00E7423F">
        <w:t>bearing scales in a continuous, linear row 23; rectangular patch of moderately enlarged precloacal scales directly posterior to pore series and anterior to cloacal opening.</w:t>
      </w:r>
    </w:p>
    <w:p w14:paraId="21738CEA" w14:textId="77777777" w:rsidR="00F6339D" w:rsidRDefault="00F6339D" w:rsidP="00F6339D">
      <w:pPr>
        <w:pStyle w:val="NormalWeb"/>
        <w:spacing w:before="0" w:beforeAutospacing="0" w:after="0" w:afterAutospacing="0" w:line="480" w:lineRule="auto"/>
        <w:ind w:firstLine="360"/>
      </w:pPr>
      <w:r w:rsidRPr="00E7423F">
        <w:t xml:space="preserve">Digits moderately expanded and covered on palmar surface proximally with undivided bowed scansors and distally with divided scansors; total scansors on Finger III </w:t>
      </w:r>
      <w:r>
        <w:t>seven</w:t>
      </w:r>
      <w:r w:rsidRPr="00E7423F">
        <w:t xml:space="preserve">, first divided scansor on Finger III scansor </w:t>
      </w:r>
      <w:r>
        <w:t>three</w:t>
      </w:r>
      <w:r w:rsidRPr="00E7423F">
        <w:t xml:space="preserve">, last divided scansor on Finger III scansor </w:t>
      </w:r>
      <w:r>
        <w:t>seven</w:t>
      </w:r>
      <w:r w:rsidRPr="00E7423F">
        <w:t xml:space="preserve">; total scansors on Toe IV </w:t>
      </w:r>
      <w:r>
        <w:t>eight</w:t>
      </w:r>
      <w:r w:rsidRPr="00E7423F">
        <w:t xml:space="preserve">, first divided scansor on Toe IV scansor </w:t>
      </w:r>
      <w:r>
        <w:t>six</w:t>
      </w:r>
      <w:r w:rsidRPr="00E7423F">
        <w:t xml:space="preserve">, last divided scansor on Toe IV scansor </w:t>
      </w:r>
      <w:r>
        <w:t>eight</w:t>
      </w:r>
      <w:r w:rsidRPr="00E7423F">
        <w:t xml:space="preserve">; webbing between Toes II and III </w:t>
      </w:r>
      <w:r>
        <w:t>two</w:t>
      </w:r>
      <w:r w:rsidRPr="00E7423F">
        <w:t xml:space="preserve">, between Toes III and IV </w:t>
      </w:r>
      <w:r>
        <w:t>three</w:t>
      </w:r>
      <w:r w:rsidRPr="00E7423F">
        <w:t>.</w:t>
      </w:r>
    </w:p>
    <w:p w14:paraId="68F1A68D" w14:textId="77777777" w:rsidR="00F6339D" w:rsidRPr="00E7423F" w:rsidRDefault="00F6339D" w:rsidP="00F6339D">
      <w:pPr>
        <w:pStyle w:val="NormalWeb"/>
        <w:spacing w:before="0" w:beforeAutospacing="0" w:after="0" w:afterAutospacing="0" w:line="480" w:lineRule="auto"/>
        <w:ind w:firstLine="360"/>
      </w:pPr>
      <w:r w:rsidRPr="00E7423F">
        <w:t xml:space="preserve">Tail </w:t>
      </w:r>
      <w:r>
        <w:t>moderately round,</w:t>
      </w:r>
      <w:r w:rsidRPr="00E7423F">
        <w:t xml:space="preserve"> detached,</w:t>
      </w:r>
      <w:r>
        <w:t xml:space="preserve"> length moderate,</w:t>
      </w:r>
      <w:r w:rsidRPr="00E7423F">
        <w:t xml:space="preserve"> 100.2% SVL;</w:t>
      </w:r>
      <w:r>
        <w:t xml:space="preserve"> tail width</w:t>
      </w:r>
      <w:r w:rsidRPr="00E7423F">
        <w:t xml:space="preserve"> 156.3% </w:t>
      </w:r>
      <w:r>
        <w:t>tail depth</w:t>
      </w:r>
      <w:r w:rsidRPr="00E7423F">
        <w:t>; caudals slightly convex, much more sub</w:t>
      </w:r>
      <w:r>
        <w:t>-</w:t>
      </w:r>
      <w:r w:rsidRPr="00E7423F">
        <w:t xml:space="preserve">rectangular than dorsals, subcaudals much more rectangular than ventrals; ventrolateral ridge with intermittent, enlarged, imbricate scales present; cloacal spurs at base of tail </w:t>
      </w:r>
      <w:r>
        <w:t>three</w:t>
      </w:r>
      <w:r w:rsidRPr="00E7423F">
        <w:t>.</w:t>
      </w:r>
    </w:p>
    <w:p w14:paraId="198F5C3F" w14:textId="77777777" w:rsidR="00F6339D" w:rsidRPr="00C208FA" w:rsidRDefault="00F6339D" w:rsidP="00F6339D">
      <w:pPr>
        <w:pStyle w:val="NormalWeb"/>
        <w:spacing w:before="0" w:beforeAutospacing="0" w:after="0" w:afterAutospacing="0" w:line="480" w:lineRule="auto"/>
        <w:ind w:firstLine="360"/>
      </w:pPr>
      <w:r w:rsidRPr="006D04B1">
        <w:rPr>
          <w:b/>
          <w:bCs/>
        </w:rPr>
        <w:t>Coloration of holotype in preservative.</w:t>
      </w:r>
      <w:r w:rsidRPr="00E7423F">
        <w:t>—</w:t>
      </w:r>
      <w:r>
        <w:t>Dorsal surface of body and limbs Grayish Horn Color (Color 268) with chevron patterning of Brownish Olive (Color 276) and Raw Umber (Color 280) running dorsolaterally on both sides of spine; dorsal surface of head Grayish Horn Color (Color 268) with tear-drop shaped spot of Hair Brown (Color 277) present between eyes that extends to a point in line with back of the head; dorsal surface of tail Grayish Horn Color (Color 268) with moderate striping of Brownish Olive (Color 276); ventral surface of body and limbs Smoky White (Color 261) with light speckling of Smoke Gray (Color 266) present; ventral surface of tail has a base color of Smoky White (Color 261) but gradually transitions to Smoke Gray (Color 266) base color with Brownish Olive striping (Color 276) on posterior half of tail.</w:t>
      </w:r>
    </w:p>
    <w:p w14:paraId="2BD29B61" w14:textId="77777777" w:rsidR="00F6339D" w:rsidRPr="00C208FA" w:rsidRDefault="00F6339D" w:rsidP="00F6339D">
      <w:pPr>
        <w:pStyle w:val="NormalWeb"/>
        <w:spacing w:before="0" w:beforeAutospacing="0" w:after="0" w:afterAutospacing="0" w:line="480" w:lineRule="auto"/>
        <w:ind w:firstLine="360"/>
      </w:pPr>
      <w:r w:rsidRPr="00C927CA">
        <w:rPr>
          <w:b/>
          <w:bCs/>
        </w:rPr>
        <w:t>Measurements and scale counts of holotype (in mm).</w:t>
      </w:r>
      <w:r w:rsidRPr="00E7423F">
        <w:t xml:space="preserve">—Snout–vent length 40.6; axilla–groin distance 21.2; tail length 40.7; tail width 5.0; tail depth 3.2; snout–forearm length 13.9; upper arm length 4.0; forearm length 4.2; </w:t>
      </w:r>
      <w:r>
        <w:t>thigh</w:t>
      </w:r>
      <w:r w:rsidRPr="00E7423F">
        <w:t xml:space="preserve"> length 5.8; crus length 4.8; Finger III length 2.9; Toe IV length 3.5; head length 10.7; head width 7.2; head height 4.0; eye–ear distance 3.5; </w:t>
      </w:r>
      <w:r>
        <w:t>eye–nostril</w:t>
      </w:r>
      <w:r w:rsidRPr="00E7423F">
        <w:t xml:space="preserve"> distance 3.6; snout length 4.8; interorbital distance 1.7; internare distance 1.6; ear diameter 0.4; </w:t>
      </w:r>
      <w:r>
        <w:t>eye</w:t>
      </w:r>
      <w:r w:rsidRPr="00E7423F">
        <w:t xml:space="preserve"> diameter 2.4; midbody dorsal scales 22; paravertebral scales 19; midbody ventral scales 16; ventral scales 15; supralabials 14; infralabials 12; circumorbital scales 31; circumnasals 4; snout scales </w:t>
      </w:r>
      <w:r>
        <w:t>5</w:t>
      </w:r>
      <w:r w:rsidRPr="00E7423F">
        <w:t xml:space="preserve">; chin scales 9; Finger III total scansors 7; Finger III divided scansors 5; Toe IV total scansors 8; Toe IV divided scansors 3; </w:t>
      </w:r>
      <w:r>
        <w:t xml:space="preserve">precloacofemoral pores 23; </w:t>
      </w:r>
      <w:r w:rsidRPr="00E7423F">
        <w:t>cloacal spurs 3.</w:t>
      </w:r>
    </w:p>
    <w:p w14:paraId="499F9E72" w14:textId="77777777" w:rsidR="00F6339D" w:rsidRPr="00E7423F" w:rsidRDefault="00F6339D" w:rsidP="00F6339D">
      <w:pPr>
        <w:pStyle w:val="NormalWeb"/>
        <w:spacing w:before="0" w:beforeAutospacing="0" w:after="0" w:afterAutospacing="0" w:line="480" w:lineRule="auto"/>
        <w:ind w:firstLine="360"/>
      </w:pPr>
      <w:r w:rsidRPr="006D04B1">
        <w:rPr>
          <w:b/>
          <w:bCs/>
        </w:rPr>
        <w:t>Variation.</w:t>
      </w:r>
      <w:r w:rsidRPr="000203E1">
        <w:t>—</w:t>
      </w:r>
      <w:r>
        <w:t>Variation in mensural and meristic characters is summarized in Table 1.</w:t>
      </w:r>
      <w:r w:rsidRPr="000203E1">
        <w:t xml:space="preserve">Among the </w:t>
      </w:r>
      <w:r>
        <w:t xml:space="preserve">two </w:t>
      </w:r>
      <w:r w:rsidRPr="000203E1">
        <w:t>specimens examined, we observed variation in the number of</w:t>
      </w:r>
      <w:r>
        <w:t xml:space="preserve"> </w:t>
      </w:r>
      <w:r w:rsidRPr="000203E1">
        <w:t xml:space="preserve">midbody dorsal, paravertebral, midbody ventral, ventral, </w:t>
      </w:r>
      <w:r>
        <w:t xml:space="preserve">supralabial, </w:t>
      </w:r>
      <w:r w:rsidRPr="000203E1">
        <w:t>infralabial,</w:t>
      </w:r>
      <w:r>
        <w:t xml:space="preserve"> </w:t>
      </w:r>
      <w:r w:rsidRPr="000203E1">
        <w:t>circumorbital</w:t>
      </w:r>
      <w:r>
        <w:t>, snout, and chin scales</w:t>
      </w:r>
      <w:r w:rsidRPr="000203E1">
        <w:t xml:space="preserve">, </w:t>
      </w:r>
      <w:r>
        <w:t>Finger divided III scansors,</w:t>
      </w:r>
      <w:r w:rsidRPr="000203E1">
        <w:t xml:space="preserve"> Toe IV total scansors, </w:t>
      </w:r>
      <w:r>
        <w:t xml:space="preserve">and </w:t>
      </w:r>
      <w:r w:rsidRPr="000203E1">
        <w:t>Toe IV divided scansors</w:t>
      </w:r>
      <w:r>
        <w:t xml:space="preserve"> (Supplemental Table 1)</w:t>
      </w:r>
      <w:r w:rsidRPr="000203E1">
        <w:t>.</w:t>
      </w:r>
    </w:p>
    <w:p w14:paraId="0B8E5CD3" w14:textId="77777777" w:rsidR="00F6339D" w:rsidRPr="00C22A5E" w:rsidRDefault="00F6339D" w:rsidP="00F6339D">
      <w:pPr>
        <w:pStyle w:val="NormalWeb"/>
        <w:spacing w:before="0" w:beforeAutospacing="0" w:after="0" w:afterAutospacing="0" w:line="480" w:lineRule="auto"/>
        <w:ind w:firstLine="360"/>
      </w:pPr>
      <w:r w:rsidRPr="004E4E01">
        <w:rPr>
          <w:b/>
          <w:bCs/>
        </w:rPr>
        <w:t>Distribution.</w:t>
      </w:r>
      <w:r w:rsidRPr="004E4E01">
        <w:t>—</w:t>
      </w:r>
      <w:r w:rsidRPr="009A4971">
        <w:rPr>
          <w:i/>
        </w:rPr>
        <w:t>Lepidodactylus</w:t>
      </w:r>
      <w:r w:rsidRPr="009A4971">
        <w:t xml:space="preserve"> </w:t>
      </w:r>
      <w:r>
        <w:rPr>
          <w:i/>
        </w:rPr>
        <w:t xml:space="preserve">nakahiwalay </w:t>
      </w:r>
      <w:r>
        <w:t xml:space="preserve">occurs on Lubang Island in the Occidental Mindoro Province. This lineage may occur throughout the Lubang Island Group and may be found on surrounding Ambil, Cabra, and Golo islands however current distribution is </w:t>
      </w:r>
      <w:r w:rsidRPr="00C22A5E">
        <w:t xml:space="preserve">restricted to Lubang Island exclusively. It is unlikely that this lineage expands beyond the Lubang Island Group; examination of a </w:t>
      </w:r>
      <w:r w:rsidRPr="00C22A5E">
        <w:rPr>
          <w:i/>
        </w:rPr>
        <w:t>Lepidodactylus</w:t>
      </w:r>
      <w:r w:rsidRPr="00C22A5E">
        <w:t xml:space="preserve"> specimen from Subic Bay on nearby Luzon Island suggests evolutionary distinction between localities.</w:t>
      </w:r>
    </w:p>
    <w:p w14:paraId="6F8BC338" w14:textId="77777777" w:rsidR="00F6339D" w:rsidRPr="006B51D0" w:rsidRDefault="00F6339D" w:rsidP="00F6339D">
      <w:pPr>
        <w:pStyle w:val="NormalWeb"/>
        <w:spacing w:before="0" w:beforeAutospacing="0" w:after="0" w:afterAutospacing="0" w:line="480" w:lineRule="auto"/>
        <w:ind w:firstLine="360"/>
      </w:pPr>
      <w:r w:rsidRPr="00C22A5E">
        <w:rPr>
          <w:b/>
          <w:bCs/>
        </w:rPr>
        <w:t>Ecology and natural history.</w:t>
      </w:r>
      <w:r w:rsidRPr="00C22A5E">
        <w:t>—</w:t>
      </w:r>
      <w:r w:rsidRPr="00C22A5E">
        <w:rPr>
          <w:i/>
          <w:iCs/>
        </w:rPr>
        <w:t xml:space="preserve">Lepidodactylus </w:t>
      </w:r>
      <w:r>
        <w:rPr>
          <w:i/>
          <w:iCs/>
        </w:rPr>
        <w:t>nakahiwalay</w:t>
      </w:r>
      <w:r w:rsidRPr="00C22A5E">
        <w:rPr>
          <w:i/>
          <w:iCs/>
        </w:rPr>
        <w:t xml:space="preserve"> </w:t>
      </w:r>
      <w:r w:rsidRPr="00C22A5E">
        <w:t>has only been observed in well</w:t>
      </w:r>
      <w:r>
        <w:t>-</w:t>
      </w:r>
      <w:r w:rsidRPr="00C22A5E">
        <w:t>established secondary</w:t>
      </w:r>
      <w:r>
        <w:t>-</w:t>
      </w:r>
      <w:r w:rsidRPr="00C22A5E">
        <w:t>growth rainforest habitats and has yet to be observed in more disturbed agricultural or residential areas along the coasts of the island. Like other members of the genus, this arboreal species was observed primarily on small branches or trunks of trees in the forest as well as along small stream systems.</w:t>
      </w:r>
    </w:p>
    <w:p w14:paraId="5FCD40DD" w14:textId="77777777" w:rsidR="00F6339D" w:rsidRDefault="00F6339D" w:rsidP="00F6339D">
      <w:pPr>
        <w:pStyle w:val="NormalWeb"/>
        <w:spacing w:before="0" w:beforeAutospacing="0" w:after="0" w:afterAutospacing="0" w:line="480" w:lineRule="auto"/>
        <w:ind w:firstLine="360"/>
      </w:pPr>
      <w:r w:rsidRPr="00375658">
        <w:rPr>
          <w:b/>
          <w:bCs/>
        </w:rPr>
        <w:t>Etymology.</w:t>
      </w:r>
      <w:r w:rsidRPr="00375658">
        <w:t>—</w:t>
      </w:r>
      <w:r w:rsidRPr="006F5170">
        <w:t xml:space="preserve">The specific epithet is </w:t>
      </w:r>
      <w:r w:rsidRPr="001D145A">
        <w:t>deriv</w:t>
      </w:r>
      <w:r w:rsidRPr="003666B1">
        <w:t>e</w:t>
      </w:r>
      <w:r w:rsidRPr="005D7EDE">
        <w:t>d</w:t>
      </w:r>
      <w:r w:rsidRPr="00B4371B">
        <w:t xml:space="preserve"> from </w:t>
      </w:r>
      <w:r w:rsidRPr="0022321F">
        <w:t xml:space="preserve">the Tagalog </w:t>
      </w:r>
      <w:r w:rsidRPr="001867DB">
        <w:t>t</w:t>
      </w:r>
      <w:r w:rsidRPr="000F32C3">
        <w:t>e</w:t>
      </w:r>
      <w:r w:rsidRPr="00FF40DB">
        <w:t>rm f</w:t>
      </w:r>
      <w:r w:rsidRPr="006F5170">
        <w:t>or isolated and is in</w:t>
      </w:r>
      <w:r>
        <w:t xml:space="preserve"> </w:t>
      </w:r>
      <w:r w:rsidRPr="00B75ABD">
        <w:t xml:space="preserve">reference to the biogeographically </w:t>
      </w:r>
      <w:r>
        <w:t xml:space="preserve">distinct and isolated island of Lubang which is believed to be surrounded by deep-ocean channels and never in historical contact with surrounding paleoisland landmasses. </w:t>
      </w:r>
      <w:r w:rsidRPr="00917B1F">
        <w:t xml:space="preserve">Suggested common name: </w:t>
      </w:r>
      <w:r>
        <w:t>Lubang</w:t>
      </w:r>
      <w:r w:rsidRPr="00917B1F">
        <w:t xml:space="preserve"> </w:t>
      </w:r>
      <w:r w:rsidRPr="002A34DE">
        <w:t>Scaly</w:t>
      </w:r>
      <w:r>
        <w:t>-</w:t>
      </w:r>
      <w:r w:rsidRPr="002A34DE">
        <w:t xml:space="preserve">toed </w:t>
      </w:r>
      <w:r>
        <w:t>G</w:t>
      </w:r>
      <w:r w:rsidRPr="002A34DE">
        <w:t>ecko</w:t>
      </w:r>
      <w:r>
        <w:t>s</w:t>
      </w:r>
      <w:r w:rsidRPr="00917B1F">
        <w:t>.</w:t>
      </w:r>
    </w:p>
    <w:p w14:paraId="603E527F" w14:textId="77777777" w:rsidR="00F6339D" w:rsidRPr="00C208FA" w:rsidRDefault="00F6339D" w:rsidP="00F6339D">
      <w:pPr>
        <w:pStyle w:val="NormalWeb"/>
        <w:spacing w:before="0" w:beforeAutospacing="0" w:after="0" w:afterAutospacing="0" w:line="480" w:lineRule="auto"/>
      </w:pPr>
    </w:p>
    <w:p w14:paraId="51EFC7C6" w14:textId="77777777" w:rsidR="00F6339D" w:rsidRDefault="00F6339D" w:rsidP="00F6339D">
      <w:pPr>
        <w:pStyle w:val="NormalWeb"/>
        <w:spacing w:before="0" w:beforeAutospacing="0" w:after="0" w:afterAutospacing="0" w:line="480" w:lineRule="auto"/>
        <w:jc w:val="center"/>
        <w:rPr>
          <w:bCs/>
        </w:rPr>
      </w:pPr>
      <w:r w:rsidRPr="00025A57">
        <w:rPr>
          <w:bCs/>
          <w:i/>
        </w:rPr>
        <w:t>Lepidodactylus</w:t>
      </w:r>
      <w:r w:rsidRPr="00025A57">
        <w:rPr>
          <w:bCs/>
        </w:rPr>
        <w:t xml:space="preserve"> </w:t>
      </w:r>
      <w:r w:rsidRPr="00E2774A">
        <w:rPr>
          <w:b/>
          <w:i/>
        </w:rPr>
        <w:t>babuyanensis</w:t>
      </w:r>
      <w:r w:rsidRPr="00025A57">
        <w:rPr>
          <w:bCs/>
        </w:rPr>
        <w:t xml:space="preserve"> sp. nov.</w:t>
      </w:r>
    </w:p>
    <w:p w14:paraId="76CFD782" w14:textId="77777777" w:rsidR="00F6339D" w:rsidRDefault="00F6339D" w:rsidP="00F6339D">
      <w:pPr>
        <w:spacing w:line="480" w:lineRule="auto"/>
        <w:jc w:val="center"/>
        <w:rPr>
          <w:bCs/>
        </w:rPr>
      </w:pPr>
      <w:r w:rsidRPr="004537CC">
        <w:rPr>
          <w:bCs/>
        </w:rPr>
        <w:t>(Fig</w:t>
      </w:r>
      <w:r>
        <w:rPr>
          <w:bCs/>
        </w:rPr>
        <w:t>s</w:t>
      </w:r>
      <w:r w:rsidRPr="004537CC">
        <w:rPr>
          <w:bCs/>
        </w:rPr>
        <w:t xml:space="preserve">. </w:t>
      </w:r>
      <w:r>
        <w:rPr>
          <w:bCs/>
        </w:rPr>
        <w:t>3C, 7</w:t>
      </w:r>
      <w:r w:rsidRPr="004537CC">
        <w:rPr>
          <w:bCs/>
        </w:rPr>
        <w:t>; Table</w:t>
      </w:r>
      <w:r>
        <w:rPr>
          <w:bCs/>
        </w:rPr>
        <w:t xml:space="preserve"> </w:t>
      </w:r>
      <w:r w:rsidRPr="004537CC">
        <w:rPr>
          <w:bCs/>
        </w:rPr>
        <w:t>1)</w:t>
      </w:r>
    </w:p>
    <w:p w14:paraId="1E8B9B9A" w14:textId="77777777" w:rsidR="00F6339D" w:rsidRPr="00292924" w:rsidRDefault="00F6339D" w:rsidP="00F6339D">
      <w:pPr>
        <w:pStyle w:val="NormalWeb"/>
        <w:spacing w:before="0" w:beforeAutospacing="0" w:after="0" w:afterAutospacing="0" w:line="480" w:lineRule="auto"/>
        <w:ind w:left="360" w:hanging="360"/>
        <w:rPr>
          <w:iCs/>
        </w:rPr>
      </w:pPr>
      <w:r>
        <w:rPr>
          <w:i/>
        </w:rPr>
        <w:t xml:space="preserve">Lepidodactylus </w:t>
      </w:r>
      <w:r>
        <w:rPr>
          <w:iCs/>
        </w:rPr>
        <w:t>sp. 4: Oliver et al. 2018:4.</w:t>
      </w:r>
    </w:p>
    <w:p w14:paraId="6CDD22B5" w14:textId="77777777" w:rsidR="00F6339D" w:rsidRPr="00C208FA" w:rsidRDefault="00F6339D" w:rsidP="00F6339D">
      <w:pPr>
        <w:pStyle w:val="NormalWeb"/>
        <w:spacing w:before="0" w:beforeAutospacing="0" w:after="0" w:afterAutospacing="0" w:line="480" w:lineRule="auto"/>
        <w:ind w:firstLine="360"/>
      </w:pPr>
      <w:r w:rsidRPr="0096113C">
        <w:rPr>
          <w:b/>
          <w:bCs/>
        </w:rPr>
        <w:t>Holotype.</w:t>
      </w:r>
      <w:r w:rsidRPr="00E7423F">
        <w:t>—</w:t>
      </w:r>
      <w:r w:rsidRPr="001F627E">
        <w:t xml:space="preserve">PNM </w:t>
      </w:r>
      <w:r>
        <w:t xml:space="preserve">9877 (formerly </w:t>
      </w:r>
      <w:r w:rsidRPr="00E7423F">
        <w:t>OMNH 46971</w:t>
      </w:r>
      <w:r>
        <w:t xml:space="preserve">; </w:t>
      </w:r>
      <w:r w:rsidRPr="00E7423F">
        <w:t>CDS Field No. 9198), adult male, collected 27 May 2018 at 72 m</w:t>
      </w:r>
      <w:r>
        <w:t xml:space="preserve"> in</w:t>
      </w:r>
      <w:r w:rsidRPr="00E7423F">
        <w:t xml:space="preserve"> Barangay Magsidel, Municipality of</w:t>
      </w:r>
      <w:r>
        <w:t xml:space="preserve"> </w:t>
      </w:r>
      <w:r w:rsidRPr="00E7423F">
        <w:t>Calayan, Cagayan Province, Calayan Island, Philippines (19.27482</w:t>
      </w:r>
      <w:r>
        <w:t>°</w:t>
      </w:r>
      <w:r w:rsidRPr="00E7423F">
        <w:t>, 121.44701</w:t>
      </w:r>
      <w:r>
        <w:t>°</w:t>
      </w:r>
      <w:r w:rsidRPr="00E7423F">
        <w:t>), by CDS, K</w:t>
      </w:r>
      <w:r>
        <w:t>.</w:t>
      </w:r>
      <w:r w:rsidRPr="00E7423F">
        <w:t xml:space="preserve"> Wang, J</w:t>
      </w:r>
      <w:r>
        <w:t>.</w:t>
      </w:r>
      <w:r w:rsidRPr="00E7423F">
        <w:t xml:space="preserve"> Brown, E</w:t>
      </w:r>
      <w:r>
        <w:t xml:space="preserve">. </w:t>
      </w:r>
      <w:r w:rsidRPr="00E7423F">
        <w:t>D. Ellsworth, and S</w:t>
      </w:r>
      <w:r>
        <w:t xml:space="preserve">. </w:t>
      </w:r>
      <w:r w:rsidRPr="00E7423F">
        <w:t>N. Smith.</w:t>
      </w:r>
    </w:p>
    <w:p w14:paraId="7A8969B2" w14:textId="77777777" w:rsidR="00F6339D" w:rsidRDefault="00F6339D" w:rsidP="00F6339D">
      <w:pPr>
        <w:pStyle w:val="NormalWeb"/>
        <w:spacing w:before="0" w:beforeAutospacing="0" w:after="0" w:afterAutospacing="0" w:line="480" w:lineRule="auto"/>
        <w:ind w:firstLine="360"/>
      </w:pPr>
      <w:r>
        <w:rPr>
          <w:b/>
          <w:bCs/>
        </w:rPr>
        <w:t>Paratypes (</w:t>
      </w:r>
      <w:r w:rsidRPr="0096113C">
        <w:rPr>
          <w:b/>
          <w:bCs/>
        </w:rPr>
        <w:t>Paratopotypes</w:t>
      </w:r>
      <w:r>
        <w:rPr>
          <w:b/>
          <w:bCs/>
        </w:rPr>
        <w:t>)</w:t>
      </w:r>
      <w:r w:rsidRPr="0096113C">
        <w:rPr>
          <w:b/>
          <w:bCs/>
        </w:rPr>
        <w:t>.</w:t>
      </w:r>
      <w:r w:rsidRPr="00410F45">
        <w:t>—</w:t>
      </w:r>
      <w:r>
        <w:t xml:space="preserve">OMNH 46977, 46978, 46979, 46982, </w:t>
      </w:r>
      <w:r w:rsidRPr="00044194">
        <w:t>4698</w:t>
      </w:r>
      <w:r>
        <w:t xml:space="preserve">9 adult males, OMNH </w:t>
      </w:r>
      <w:r w:rsidRPr="00044194">
        <w:t>46980</w:t>
      </w:r>
      <w:r>
        <w:t xml:space="preserve">, </w:t>
      </w:r>
      <w:r w:rsidRPr="00044194">
        <w:t>4698</w:t>
      </w:r>
      <w:r>
        <w:t xml:space="preserve">1, </w:t>
      </w:r>
      <w:r w:rsidRPr="00044194">
        <w:t>4698</w:t>
      </w:r>
      <w:r>
        <w:t xml:space="preserve">3 46993, 47001 adult females collected 26 May 2018; </w:t>
      </w:r>
      <w:r w:rsidRPr="00410F45">
        <w:t>OMNH 46970</w:t>
      </w:r>
      <w:r>
        <w:t xml:space="preserve">, adult male, OMNH 46972, 46973 adult females </w:t>
      </w:r>
      <w:r w:rsidRPr="00E7423F">
        <w:t>collected 27 May 2018</w:t>
      </w:r>
      <w:r>
        <w:t xml:space="preserve">; OMNH 47002 juvenile, OMNH 46974 subadult female, OMNH </w:t>
      </w:r>
      <w:r w:rsidRPr="00044194">
        <w:t>4698</w:t>
      </w:r>
      <w:r>
        <w:t xml:space="preserve">5 adult male, OMNH 46975, OMNH 46976, </w:t>
      </w:r>
      <w:r w:rsidRPr="00044194">
        <w:t>4698</w:t>
      </w:r>
      <w:r>
        <w:t xml:space="preserve">4, </w:t>
      </w:r>
      <w:r w:rsidRPr="00044194">
        <w:t>4698</w:t>
      </w:r>
      <w:r>
        <w:t xml:space="preserve">6, </w:t>
      </w:r>
      <w:r w:rsidRPr="00044194">
        <w:t>4698</w:t>
      </w:r>
      <w:r>
        <w:t xml:space="preserve">7, </w:t>
      </w:r>
      <w:r w:rsidRPr="00044194">
        <w:t>4698</w:t>
      </w:r>
      <w:r>
        <w:t xml:space="preserve">8, adult females collected 28 May 2018; OMNH 46992 adult male, OMNH </w:t>
      </w:r>
      <w:r w:rsidRPr="00044194">
        <w:t>469</w:t>
      </w:r>
      <w:r>
        <w:t>90, 46991 adult females collected 29 May 2018; OMNH 47004 adult female collected 31 May 2018; OMNH 47005 adult female collected 31 May 2018; OMNH 47006 adult female collected 1 June 2018; OMNH 47007 subadult male collected 1 June 2018; OMNH 46994 subadult male, OMNH 47003 adult female collected 2 June 2018; OMNH 46996 subadult female,</w:t>
      </w:r>
      <w:r w:rsidRPr="002F1CAD">
        <w:t xml:space="preserve"> </w:t>
      </w:r>
      <w:r>
        <w:t>OMNH 46997, 46998, 46999, 47000, adult males,</w:t>
      </w:r>
      <w:r w:rsidRPr="002F1CAD">
        <w:t xml:space="preserve"> </w:t>
      </w:r>
      <w:r>
        <w:t xml:space="preserve">OMNH 46995 adult female collected 3 June 2018 </w:t>
      </w:r>
      <w:r w:rsidRPr="00E7423F">
        <w:t>by CDS, K</w:t>
      </w:r>
      <w:r>
        <w:t>.</w:t>
      </w:r>
      <w:r w:rsidRPr="00E7423F">
        <w:t xml:space="preserve"> Wang, J</w:t>
      </w:r>
      <w:r>
        <w:t>.</w:t>
      </w:r>
      <w:r w:rsidRPr="00E7423F">
        <w:t xml:space="preserve"> Brown, E</w:t>
      </w:r>
      <w:r>
        <w:t xml:space="preserve">. </w:t>
      </w:r>
      <w:r w:rsidRPr="00E7423F">
        <w:t>D. Ellsworth, and S</w:t>
      </w:r>
      <w:r>
        <w:t xml:space="preserve">. </w:t>
      </w:r>
      <w:r w:rsidRPr="00E7423F">
        <w:t>N. Smith.</w:t>
      </w:r>
    </w:p>
    <w:p w14:paraId="04A8B9E5" w14:textId="77777777" w:rsidR="00F6339D" w:rsidRPr="00221710" w:rsidRDefault="00F6339D" w:rsidP="00F6339D">
      <w:pPr>
        <w:pStyle w:val="NormalWeb"/>
        <w:spacing w:before="0" w:beforeAutospacing="0" w:after="0" w:afterAutospacing="0" w:line="480" w:lineRule="auto"/>
        <w:ind w:firstLine="360"/>
      </w:pPr>
      <w:r>
        <w:rPr>
          <w:b/>
          <w:bCs/>
        </w:rPr>
        <w:t>Other p</w:t>
      </w:r>
      <w:r w:rsidRPr="0033237C">
        <w:rPr>
          <w:b/>
          <w:bCs/>
        </w:rPr>
        <w:t>aratypes.</w:t>
      </w:r>
      <w:r w:rsidRPr="00221710">
        <w:t>—KU 304603 (RMB Field No. 5723)</w:t>
      </w:r>
      <w:r>
        <w:t xml:space="preserve"> subadult male, collected 6 March 2006, KU </w:t>
      </w:r>
      <w:r w:rsidRPr="00221710">
        <w:t>304713 (RMB Filed No. 5834)</w:t>
      </w:r>
      <w:r>
        <w:t xml:space="preserve"> subadult female, collected 9 March 2006 in</w:t>
      </w:r>
      <w:r w:rsidRPr="00221710">
        <w:t xml:space="preserve"> </w:t>
      </w:r>
      <w:r>
        <w:t xml:space="preserve">Barangay Balatabat, Municipality of Calayan, Cagayan Province, Camiguin Island, Philippines. KU </w:t>
      </w:r>
      <w:r w:rsidRPr="00221710">
        <w:t>306610 (RMB Field No. 6359),</w:t>
      </w:r>
      <w:r>
        <w:t xml:space="preserve"> subadult male, collected 13 September 2006, KU</w:t>
      </w:r>
      <w:r w:rsidRPr="00221710">
        <w:t xml:space="preserve"> </w:t>
      </w:r>
      <w:r>
        <w:t>3</w:t>
      </w:r>
      <w:r w:rsidRPr="00221710">
        <w:t>06755 (RMB Field No. 6388)</w:t>
      </w:r>
      <w:r>
        <w:t>, juvenile, collected 15 September 2006, at Nipa Creek, Municipality of Calayan, Cagayan Province, Dalupiri Island, Philippines by J. B. Fernandez.</w:t>
      </w:r>
    </w:p>
    <w:p w14:paraId="57F02CC7" w14:textId="77777777" w:rsidR="00F6339D" w:rsidRPr="00C208FA" w:rsidRDefault="00F6339D" w:rsidP="00F6339D">
      <w:pPr>
        <w:pStyle w:val="NormalWeb"/>
        <w:spacing w:before="0" w:beforeAutospacing="0" w:after="0" w:afterAutospacing="0" w:line="480" w:lineRule="auto"/>
        <w:ind w:firstLine="360"/>
      </w:pPr>
      <w:r w:rsidRPr="0033237C">
        <w:rPr>
          <w:b/>
          <w:bCs/>
        </w:rPr>
        <w:t>Diagnosis.</w:t>
      </w:r>
      <w:r w:rsidRPr="00056480">
        <w:t>—</w:t>
      </w:r>
      <w:r w:rsidRPr="000A05BF">
        <w:rPr>
          <w:i/>
        </w:rPr>
        <w:t>Lepidodactylus</w:t>
      </w:r>
      <w:r w:rsidRPr="000A05BF">
        <w:t xml:space="preserve"> </w:t>
      </w:r>
      <w:r w:rsidRPr="000A05BF">
        <w:rPr>
          <w:i/>
        </w:rPr>
        <w:t xml:space="preserve">babuyanensis </w:t>
      </w:r>
      <w:r w:rsidRPr="000A05BF">
        <w:t>can be distinguished from congeners by the</w:t>
      </w:r>
      <w:r w:rsidRPr="000A05BF">
        <w:softHyphen/>
        <w:t xml:space="preserve"> following combination of characters: (1) body size small (SVL 31.9–39.3 mm); (2) snout–forearm length short</w:t>
      </w:r>
      <w:r>
        <w:t xml:space="preserve">, </w:t>
      </w:r>
      <w:r w:rsidRPr="000A05BF">
        <w:t>31.0–39.8% SVL; (3) total arm length short</w:t>
      </w:r>
      <w:r>
        <w:t xml:space="preserve">, </w:t>
      </w:r>
      <w:r w:rsidRPr="000A05BF">
        <w:t>18.7–23.3% SVL; (4) total leg length short</w:t>
      </w:r>
      <w:r>
        <w:t xml:space="preserve">, </w:t>
      </w:r>
      <w:r w:rsidRPr="000A05BF">
        <w:t>23.4–31.4% SVL; (5) head length short</w:t>
      </w:r>
      <w:r>
        <w:t xml:space="preserve">, </w:t>
      </w:r>
      <w:r w:rsidRPr="000A05BF">
        <w:t>24.7–31.9% SVL;</w:t>
      </w:r>
      <w:r>
        <w:t xml:space="preserve"> (6) Finger III divided scansors 3; (7) precloacofemoral pores in males 18</w:t>
      </w:r>
      <w:r w:rsidRPr="00056480">
        <w:t>–</w:t>
      </w:r>
      <w:r>
        <w:t xml:space="preserve">23; and (8) </w:t>
      </w:r>
      <w:r w:rsidRPr="00E7423F">
        <w:t xml:space="preserve">rostral scale not </w:t>
      </w:r>
      <w:r>
        <w:t>in contact with</w:t>
      </w:r>
      <w:r w:rsidRPr="00E7423F">
        <w:t xml:space="preserve"> the n</w:t>
      </w:r>
      <w:r>
        <w:t>ostril.</w:t>
      </w:r>
    </w:p>
    <w:p w14:paraId="33F2BD0A" w14:textId="60385986" w:rsidR="00F6339D" w:rsidRDefault="00F6339D" w:rsidP="00F6339D">
      <w:pPr>
        <w:pStyle w:val="NormalWeb"/>
        <w:spacing w:before="0" w:beforeAutospacing="0" w:after="0" w:afterAutospacing="0" w:line="480" w:lineRule="auto"/>
        <w:ind w:firstLine="360"/>
      </w:pPr>
      <w:bookmarkStart w:id="14" w:name="_Hlk15913952"/>
      <w:r w:rsidRPr="0033237C">
        <w:rPr>
          <w:b/>
          <w:bCs/>
        </w:rPr>
        <w:t>Comparisons.</w:t>
      </w:r>
      <w:r w:rsidRPr="00E7423F">
        <w:t xml:space="preserve">—Characters distinguishing </w:t>
      </w:r>
      <w:r w:rsidRPr="00E7423F">
        <w:rPr>
          <w:i/>
        </w:rPr>
        <w:t>Lepidodactylus</w:t>
      </w:r>
      <w:r w:rsidRPr="00E7423F">
        <w:t xml:space="preserve"> </w:t>
      </w:r>
      <w:r w:rsidRPr="00E7423F">
        <w:rPr>
          <w:i/>
        </w:rPr>
        <w:t>babuyanensis</w:t>
      </w:r>
      <w:r w:rsidRPr="00E7423F">
        <w:t xml:space="preserve"> from all other </w:t>
      </w:r>
      <w:r>
        <w:t xml:space="preserve">Philippine </w:t>
      </w:r>
      <w:r w:rsidRPr="00E7423F">
        <w:t xml:space="preserve">species of </w:t>
      </w:r>
      <w:r w:rsidRPr="00E7423F">
        <w:rPr>
          <w:i/>
        </w:rPr>
        <w:t>Lepidodactylus</w:t>
      </w:r>
      <w:r w:rsidRPr="00E7423F">
        <w:t xml:space="preserve"> are summarized in Table 1</w:t>
      </w:r>
      <w:r w:rsidRPr="00363200">
        <w:t xml:space="preserve"> </w:t>
      </w:r>
      <w:r>
        <w:t>and additional comprehensive comparisons are available in Supplemental Table 1</w:t>
      </w:r>
      <w:r w:rsidRPr="00E7423F">
        <w:t xml:space="preserve">. </w:t>
      </w:r>
      <w:r>
        <w:rPr>
          <w:iCs/>
        </w:rPr>
        <w:t>The new species</w:t>
      </w:r>
      <w:r w:rsidRPr="00E7423F">
        <w:t xml:space="preserve"> </w:t>
      </w:r>
      <w:r>
        <w:t xml:space="preserve">appears to be quite cryptic in phenotype when compared to </w:t>
      </w:r>
      <w:r w:rsidRPr="00E7423F">
        <w:rPr>
          <w:i/>
        </w:rPr>
        <w:t>L. balioburius</w:t>
      </w:r>
      <w:r>
        <w:rPr>
          <w:iCs/>
        </w:rPr>
        <w:t xml:space="preserve">, with little distinction observed among morpholometric characters traditionally employed in systematic studies of the genus. </w:t>
      </w:r>
      <w:r w:rsidRPr="00E7423F">
        <w:t xml:space="preserve">However, </w:t>
      </w:r>
      <w:r>
        <w:t>examination of</w:t>
      </w:r>
      <w:r w:rsidRPr="00E7423F">
        <w:t xml:space="preserve"> </w:t>
      </w:r>
      <w:r>
        <w:t>robust</w:t>
      </w:r>
      <w:r w:rsidRPr="00E7423F">
        <w:t xml:space="preserve"> series of both </w:t>
      </w:r>
      <w:r w:rsidRPr="00E7423F">
        <w:rPr>
          <w:i/>
        </w:rPr>
        <w:t>L.</w:t>
      </w:r>
      <w:r w:rsidRPr="00E7423F">
        <w:t xml:space="preserve"> </w:t>
      </w:r>
      <w:r w:rsidRPr="00E7423F">
        <w:rPr>
          <w:i/>
        </w:rPr>
        <w:t xml:space="preserve">babuyanensis </w:t>
      </w:r>
      <w:r w:rsidRPr="00E7423F">
        <w:t>(</w:t>
      </w:r>
      <w:r w:rsidRPr="00863AD9">
        <w:rPr>
          <w:i/>
          <w:iCs/>
        </w:rPr>
        <w:t>n</w:t>
      </w:r>
      <w:r>
        <w:t xml:space="preserve"> </w:t>
      </w:r>
      <w:r w:rsidRPr="00E7423F">
        <w:t>=</w:t>
      </w:r>
      <w:r>
        <w:t xml:space="preserve"> </w:t>
      </w:r>
      <w:r w:rsidRPr="00E7423F">
        <w:t xml:space="preserve">40) and </w:t>
      </w:r>
      <w:r w:rsidRPr="00E7423F">
        <w:rPr>
          <w:i/>
        </w:rPr>
        <w:t>L. balioburius</w:t>
      </w:r>
      <w:r w:rsidRPr="00E7423F">
        <w:t xml:space="preserve"> (</w:t>
      </w:r>
      <w:r w:rsidRPr="00863AD9">
        <w:rPr>
          <w:i/>
          <w:iCs/>
        </w:rPr>
        <w:t>n</w:t>
      </w:r>
      <w:r>
        <w:t xml:space="preserve"> </w:t>
      </w:r>
      <w:r w:rsidRPr="00E7423F">
        <w:t>=</w:t>
      </w:r>
      <w:r>
        <w:t xml:space="preserve"> </w:t>
      </w:r>
      <w:r w:rsidRPr="00E7423F">
        <w:t>16)</w:t>
      </w:r>
      <w:r>
        <w:t xml:space="preserve"> reveal that</w:t>
      </w:r>
      <w:r w:rsidRPr="00E7423F">
        <w:t xml:space="preserve"> </w:t>
      </w:r>
      <w:r w:rsidRPr="00E7423F">
        <w:rPr>
          <w:i/>
        </w:rPr>
        <w:t>L.</w:t>
      </w:r>
      <w:r w:rsidRPr="00E7423F">
        <w:t xml:space="preserve"> </w:t>
      </w:r>
      <w:r w:rsidRPr="00E7423F">
        <w:rPr>
          <w:i/>
        </w:rPr>
        <w:t xml:space="preserve">babuyanensis </w:t>
      </w:r>
      <w:r w:rsidRPr="00E7423F">
        <w:t xml:space="preserve">has tendencies towards being a larger species compared to </w:t>
      </w:r>
      <w:r w:rsidRPr="00E7423F">
        <w:rPr>
          <w:i/>
        </w:rPr>
        <w:t>L. balioburius</w:t>
      </w:r>
      <w:r>
        <w:t>, including</w:t>
      </w:r>
      <w:r w:rsidRPr="00DE335B">
        <w:rPr>
          <w:i/>
        </w:rPr>
        <w:t xml:space="preserve"> </w:t>
      </w:r>
      <w:r w:rsidRPr="00DE335B">
        <w:t>a larger body size (max</w:t>
      </w:r>
      <w:r>
        <w:t>imum</w:t>
      </w:r>
      <w:r w:rsidRPr="00DE335B">
        <w:t xml:space="preserve"> SVL 39.3 mm, mean SVL 35.1 mm vs. 35.0 mm, 32.4 mm), a larger relative axilla–groin distance (55.4% SVL, 50.9% SVL vs. 53.2%, 48.0%), a larger axilla–groin distance relative to snout–forearm length (174.0%</w:t>
      </w:r>
      <w:r>
        <w:t xml:space="preserve"> </w:t>
      </w:r>
      <w:r w:rsidRPr="00DE335B">
        <w:t xml:space="preserve">snout–forearm length, 150.3% snout–forearm length vs. 144.3%, 129.8%), </w:t>
      </w:r>
      <w:r>
        <w:t xml:space="preserve">and </w:t>
      </w:r>
      <w:r w:rsidRPr="00DE335B">
        <w:t>a smaller eye diameter relative to head length (22% head length, 20.2% head length vs. 23.5%, 21.5%).</w:t>
      </w:r>
      <w:r>
        <w:t xml:space="preserve"> Additionally, </w:t>
      </w:r>
      <w:r w:rsidR="008707C2">
        <w:t>p</w:t>
      </w:r>
      <w:r w:rsidR="008707C2" w:rsidRPr="00E7423F">
        <w:t>rincipal</w:t>
      </w:r>
      <w:r w:rsidRPr="00E7423F">
        <w:t xml:space="preserve"> component analysis does recover some degree of separation between these lineages, primarily based on body size (</w:t>
      </w:r>
      <w:r w:rsidRPr="008707C2">
        <w:t xml:space="preserve">Fig. </w:t>
      </w:r>
      <w:r w:rsidR="008707C2" w:rsidRPr="008707C2">
        <w:t>1</w:t>
      </w:r>
      <w:r w:rsidRPr="00E7423F">
        <w:t>).</w:t>
      </w:r>
    </w:p>
    <w:p w14:paraId="024AEDF2" w14:textId="77777777" w:rsidR="00F6339D" w:rsidRDefault="00F6339D" w:rsidP="00F6339D">
      <w:pPr>
        <w:pStyle w:val="NormalWeb"/>
        <w:spacing w:before="0" w:beforeAutospacing="0" w:after="0" w:afterAutospacing="0" w:line="480" w:lineRule="auto"/>
        <w:ind w:firstLine="360"/>
      </w:pPr>
      <w:r w:rsidRPr="00A06A0B">
        <w:rPr>
          <w:iCs/>
        </w:rPr>
        <w:t xml:space="preserve">Considering all other Philippine congeners, </w:t>
      </w:r>
      <w:r w:rsidRPr="00A06A0B">
        <w:rPr>
          <w:i/>
        </w:rPr>
        <w:t>L</w:t>
      </w:r>
      <w:r w:rsidRPr="00A06A0B">
        <w:rPr>
          <w:iCs/>
        </w:rPr>
        <w:t>.</w:t>
      </w:r>
      <w:r w:rsidRPr="00A06A0B">
        <w:rPr>
          <w:i/>
        </w:rPr>
        <w:t xml:space="preserve"> </w:t>
      </w:r>
      <w:r w:rsidRPr="00E7423F">
        <w:rPr>
          <w:i/>
        </w:rPr>
        <w:t>babuyanensi</w:t>
      </w:r>
      <w:r>
        <w:rPr>
          <w:i/>
        </w:rPr>
        <w:t xml:space="preserve">s </w:t>
      </w:r>
      <w:r w:rsidRPr="00A06A0B">
        <w:t xml:space="preserve">can be distinguished </w:t>
      </w:r>
      <w:r>
        <w:t>readily</w:t>
      </w:r>
      <w:r w:rsidRPr="0002478B">
        <w:t xml:space="preserve"> </w:t>
      </w:r>
      <w:r w:rsidRPr="00E7423F">
        <w:t>from</w:t>
      </w:r>
      <w:r w:rsidRPr="000D1B7E">
        <w:rPr>
          <w:i/>
        </w:rPr>
        <w:t xml:space="preserve"> </w:t>
      </w:r>
      <w:r w:rsidRPr="00E7423F">
        <w:rPr>
          <w:i/>
        </w:rPr>
        <w:t>L</w:t>
      </w:r>
      <w:r w:rsidRPr="00E7423F">
        <w:t>.</w:t>
      </w:r>
      <w:r w:rsidRPr="00E7423F">
        <w:rPr>
          <w:i/>
        </w:rPr>
        <w:t xml:space="preserve"> </w:t>
      </w:r>
      <w:r>
        <w:rPr>
          <w:i/>
        </w:rPr>
        <w:t>aureolineatus</w:t>
      </w:r>
      <w:r w:rsidRPr="00E7423F">
        <w:t xml:space="preserve">, </w:t>
      </w:r>
      <w:r w:rsidRPr="00E7423F">
        <w:rPr>
          <w:i/>
        </w:rPr>
        <w:t>L</w:t>
      </w:r>
      <w:r w:rsidRPr="00E7423F">
        <w:t xml:space="preserve">. </w:t>
      </w:r>
      <w:r w:rsidRPr="00E7423F">
        <w:rPr>
          <w:i/>
        </w:rPr>
        <w:t>herrei</w:t>
      </w:r>
      <w:r w:rsidRPr="00E7423F">
        <w:t xml:space="preserve"> </w:t>
      </w:r>
      <w:r w:rsidRPr="00E7423F">
        <w:rPr>
          <w:i/>
        </w:rPr>
        <w:t>herrei</w:t>
      </w:r>
      <w:r w:rsidRPr="00E7423F">
        <w:t xml:space="preserve">, </w:t>
      </w:r>
      <w:r w:rsidRPr="00E7423F">
        <w:rPr>
          <w:i/>
        </w:rPr>
        <w:t>L</w:t>
      </w:r>
      <w:r w:rsidRPr="00E7423F">
        <w:t xml:space="preserve">. </w:t>
      </w:r>
      <w:r w:rsidRPr="00E7423F">
        <w:rPr>
          <w:i/>
        </w:rPr>
        <w:t>herrei</w:t>
      </w:r>
      <w:r w:rsidRPr="00E7423F">
        <w:t xml:space="preserve"> </w:t>
      </w:r>
      <w:r w:rsidRPr="00E7423F">
        <w:rPr>
          <w:i/>
        </w:rPr>
        <w:t>medianus</w:t>
      </w:r>
      <w:r w:rsidRPr="00E7423F">
        <w:t>,</w:t>
      </w:r>
      <w:r w:rsidRPr="00E7423F">
        <w:rPr>
          <w:i/>
        </w:rPr>
        <w:t xml:space="preserve"> L</w:t>
      </w:r>
      <w:r w:rsidRPr="00E7423F">
        <w:t xml:space="preserve">. </w:t>
      </w:r>
      <w:r w:rsidRPr="00E7423F">
        <w:rPr>
          <w:i/>
        </w:rPr>
        <w:t>labialis</w:t>
      </w:r>
      <w:r w:rsidRPr="00E7423F">
        <w:t xml:space="preserve">, </w:t>
      </w:r>
      <w:r w:rsidRPr="00E7423F">
        <w:rPr>
          <w:i/>
        </w:rPr>
        <w:t>L</w:t>
      </w:r>
      <w:r w:rsidRPr="00E7423F">
        <w:t xml:space="preserve">. </w:t>
      </w:r>
      <w:r w:rsidRPr="00E7423F">
        <w:rPr>
          <w:i/>
        </w:rPr>
        <w:t>lugubris</w:t>
      </w:r>
      <w:r w:rsidRPr="00E7423F">
        <w:t>,</w:t>
      </w:r>
      <w:r w:rsidRPr="00E7423F">
        <w:rPr>
          <w:i/>
        </w:rPr>
        <w:t xml:space="preserve"> </w:t>
      </w:r>
      <w:r w:rsidRPr="00E7423F">
        <w:t xml:space="preserve">and </w:t>
      </w:r>
      <w:r w:rsidRPr="00E7423F">
        <w:rPr>
          <w:i/>
        </w:rPr>
        <w:t>L</w:t>
      </w:r>
      <w:r w:rsidRPr="00E7423F">
        <w:t>.</w:t>
      </w:r>
      <w:r w:rsidRPr="00E7423F">
        <w:rPr>
          <w:i/>
        </w:rPr>
        <w:t xml:space="preserve"> planicaudus</w:t>
      </w:r>
      <w:r w:rsidRPr="00E7423F">
        <w:t xml:space="preserve"> by having a rostral scale </w:t>
      </w:r>
      <w:r>
        <w:t xml:space="preserve">separated from </w:t>
      </w:r>
      <w:r w:rsidRPr="00E7423F">
        <w:t>the n</w:t>
      </w:r>
      <w:r>
        <w:t>ostril</w:t>
      </w:r>
      <w:r w:rsidRPr="00E7423F">
        <w:t xml:space="preserve"> (vs. </w:t>
      </w:r>
      <w:r>
        <w:t>contacting</w:t>
      </w:r>
      <w:r w:rsidRPr="00E7423F">
        <w:t>);</w:t>
      </w:r>
      <w:r>
        <w:t xml:space="preserve"> </w:t>
      </w:r>
      <w:r w:rsidRPr="00E7423F">
        <w:t xml:space="preserve">from </w:t>
      </w:r>
      <w:r w:rsidRPr="00E7423F">
        <w:rPr>
          <w:i/>
        </w:rPr>
        <w:t>L</w:t>
      </w:r>
      <w:r w:rsidRPr="00E7423F">
        <w:t xml:space="preserve">. </w:t>
      </w:r>
      <w:r w:rsidRPr="00E7423F">
        <w:rPr>
          <w:i/>
        </w:rPr>
        <w:t>h</w:t>
      </w:r>
      <w:r w:rsidRPr="00E7423F">
        <w:t xml:space="preserve">. </w:t>
      </w:r>
      <w:r w:rsidRPr="00E7423F">
        <w:rPr>
          <w:i/>
        </w:rPr>
        <w:t>herrei</w:t>
      </w:r>
      <w:r w:rsidRPr="00E7423F">
        <w:t xml:space="preserve"> and </w:t>
      </w:r>
      <w:r w:rsidRPr="00E7423F">
        <w:rPr>
          <w:i/>
        </w:rPr>
        <w:t>L</w:t>
      </w:r>
      <w:r w:rsidRPr="00E7423F">
        <w:t xml:space="preserve">. </w:t>
      </w:r>
      <w:r w:rsidRPr="00E7423F">
        <w:rPr>
          <w:i/>
        </w:rPr>
        <w:t>h</w:t>
      </w:r>
      <w:r w:rsidRPr="00E7423F">
        <w:t xml:space="preserve">. </w:t>
      </w:r>
      <w:r w:rsidRPr="00E7423F">
        <w:rPr>
          <w:i/>
        </w:rPr>
        <w:t>medianus</w:t>
      </w:r>
      <w:r w:rsidRPr="00E7423F">
        <w:t xml:space="preserve"> by having more midbody dorsal scales (15–22 vs. </w:t>
      </w:r>
      <w:r>
        <w:t xml:space="preserve">&lt; </w:t>
      </w:r>
      <w:r w:rsidRPr="00E7423F">
        <w:t>15);</w:t>
      </w:r>
      <w:r>
        <w:t xml:space="preserve"> </w:t>
      </w:r>
      <w:r w:rsidRPr="00E7423F">
        <w:t xml:space="preserve">from </w:t>
      </w:r>
      <w:r w:rsidRPr="00E7423F">
        <w:rPr>
          <w:i/>
        </w:rPr>
        <w:t>L</w:t>
      </w:r>
      <w:r w:rsidRPr="00E7423F">
        <w:t xml:space="preserve">. </w:t>
      </w:r>
      <w:r w:rsidRPr="00E7423F">
        <w:rPr>
          <w:i/>
        </w:rPr>
        <w:t>h</w:t>
      </w:r>
      <w:r w:rsidRPr="00E7423F">
        <w:t xml:space="preserve">. </w:t>
      </w:r>
      <w:r w:rsidRPr="00E7423F">
        <w:rPr>
          <w:i/>
        </w:rPr>
        <w:t>herrei</w:t>
      </w:r>
      <w:r w:rsidRPr="00E7423F">
        <w:t xml:space="preserve"> </w:t>
      </w:r>
      <w:r>
        <w:t xml:space="preserve">and </w:t>
      </w:r>
      <w:r w:rsidRPr="00E7423F">
        <w:rPr>
          <w:i/>
        </w:rPr>
        <w:t xml:space="preserve">L. </w:t>
      </w:r>
      <w:r>
        <w:rPr>
          <w:i/>
        </w:rPr>
        <w:t xml:space="preserve">bisakol </w:t>
      </w:r>
      <w:r w:rsidRPr="00E7423F">
        <w:t>by having</w:t>
      </w:r>
      <w:r>
        <w:t xml:space="preserve"> a moderate number of</w:t>
      </w:r>
      <w:r w:rsidRPr="00E7423F">
        <w:t xml:space="preserve"> paravertebral scales (15–20 vs. </w:t>
      </w:r>
      <w:r>
        <w:t xml:space="preserve">&lt; </w:t>
      </w:r>
      <w:r w:rsidRPr="00E7423F">
        <w:t>13</w:t>
      </w:r>
      <w:r>
        <w:t xml:space="preserve"> [</w:t>
      </w:r>
      <w:r w:rsidRPr="00E7423F">
        <w:rPr>
          <w:i/>
        </w:rPr>
        <w:t>L</w:t>
      </w:r>
      <w:r w:rsidRPr="00E7423F">
        <w:t xml:space="preserve">. </w:t>
      </w:r>
      <w:r w:rsidRPr="00E7423F">
        <w:rPr>
          <w:i/>
        </w:rPr>
        <w:t>h</w:t>
      </w:r>
      <w:r w:rsidRPr="00E7423F">
        <w:t xml:space="preserve">. </w:t>
      </w:r>
      <w:r w:rsidRPr="00E7423F">
        <w:rPr>
          <w:i/>
        </w:rPr>
        <w:t>herrei</w:t>
      </w:r>
      <w:r>
        <w:t>], &gt; 20 [</w:t>
      </w:r>
      <w:r w:rsidRPr="00E7423F">
        <w:rPr>
          <w:i/>
        </w:rPr>
        <w:t xml:space="preserve">L. </w:t>
      </w:r>
      <w:r>
        <w:rPr>
          <w:i/>
        </w:rPr>
        <w:t>bisakol</w:t>
      </w:r>
      <w:r>
        <w:t xml:space="preserve">]); from </w:t>
      </w:r>
      <w:r w:rsidRPr="00E7423F">
        <w:rPr>
          <w:i/>
        </w:rPr>
        <w:t xml:space="preserve">L. </w:t>
      </w:r>
      <w:r>
        <w:rPr>
          <w:i/>
        </w:rPr>
        <w:t>bisakol</w:t>
      </w:r>
      <w:r>
        <w:rPr>
          <w:iCs/>
        </w:rPr>
        <w:t xml:space="preserve">, </w:t>
      </w:r>
      <w:r w:rsidRPr="00E7423F">
        <w:rPr>
          <w:i/>
        </w:rPr>
        <w:t xml:space="preserve">L. </w:t>
      </w:r>
      <w:r>
        <w:rPr>
          <w:i/>
        </w:rPr>
        <w:t>nakahiwalay</w:t>
      </w:r>
      <w:r w:rsidRPr="00E7423F">
        <w:t>,</w:t>
      </w:r>
      <w:r>
        <w:rPr>
          <w:i/>
        </w:rPr>
        <w:t xml:space="preserve"> </w:t>
      </w:r>
      <w:r w:rsidRPr="00D20641">
        <w:rPr>
          <w:iCs/>
        </w:rPr>
        <w:t>and</w:t>
      </w:r>
      <w:r>
        <w:rPr>
          <w:i/>
        </w:rPr>
        <w:t xml:space="preserve"> L</w:t>
      </w:r>
      <w:r>
        <w:rPr>
          <w:iCs/>
        </w:rPr>
        <w:t>.</w:t>
      </w:r>
      <w:r w:rsidRPr="00E7423F">
        <w:t xml:space="preserve"> </w:t>
      </w:r>
      <w:r>
        <w:rPr>
          <w:i/>
        </w:rPr>
        <w:t xml:space="preserve">bakingibut </w:t>
      </w:r>
      <w:r>
        <w:rPr>
          <w:iCs/>
        </w:rPr>
        <w:t xml:space="preserve">by having fewer midbody ventral scales (9–13 vs. &gt; 13); from </w:t>
      </w:r>
      <w:r w:rsidRPr="00E7423F">
        <w:rPr>
          <w:i/>
        </w:rPr>
        <w:t xml:space="preserve">L. </w:t>
      </w:r>
      <w:r>
        <w:rPr>
          <w:i/>
        </w:rPr>
        <w:t>bisakol</w:t>
      </w:r>
      <w:r>
        <w:rPr>
          <w:iCs/>
        </w:rPr>
        <w:t xml:space="preserve"> and </w:t>
      </w:r>
      <w:r>
        <w:rPr>
          <w:i/>
        </w:rPr>
        <w:t>L</w:t>
      </w:r>
      <w:r>
        <w:rPr>
          <w:iCs/>
        </w:rPr>
        <w:t>.</w:t>
      </w:r>
      <w:r w:rsidRPr="00E7423F">
        <w:t xml:space="preserve"> </w:t>
      </w:r>
      <w:r>
        <w:rPr>
          <w:i/>
        </w:rPr>
        <w:t xml:space="preserve">bakingibut </w:t>
      </w:r>
      <w:r>
        <w:rPr>
          <w:iCs/>
        </w:rPr>
        <w:t xml:space="preserve">by having fewer ventral scales (8–12 vs. &gt; 14); from </w:t>
      </w:r>
      <w:r w:rsidRPr="00E7423F">
        <w:rPr>
          <w:i/>
        </w:rPr>
        <w:t>L</w:t>
      </w:r>
      <w:r w:rsidRPr="00E7423F">
        <w:t xml:space="preserve">. </w:t>
      </w:r>
      <w:r w:rsidRPr="00E7423F">
        <w:rPr>
          <w:i/>
        </w:rPr>
        <w:t>lugubris</w:t>
      </w:r>
      <w:r>
        <w:t xml:space="preserve"> by having </w:t>
      </w:r>
      <w:r>
        <w:rPr>
          <w:iCs/>
        </w:rPr>
        <w:t xml:space="preserve">fewer total scansors on Finger III (7–11 vs. &gt; 11); from </w:t>
      </w:r>
      <w:r w:rsidRPr="00E7423F">
        <w:rPr>
          <w:i/>
        </w:rPr>
        <w:t>L</w:t>
      </w:r>
      <w:r w:rsidRPr="00E7423F">
        <w:t xml:space="preserve">. </w:t>
      </w:r>
      <w:r w:rsidRPr="00E7423F">
        <w:rPr>
          <w:i/>
        </w:rPr>
        <w:t>h</w:t>
      </w:r>
      <w:r>
        <w:t>.</w:t>
      </w:r>
      <w:r w:rsidRPr="00E7423F">
        <w:t xml:space="preserve"> </w:t>
      </w:r>
      <w:r w:rsidRPr="00E7423F">
        <w:rPr>
          <w:i/>
        </w:rPr>
        <w:t>herrei</w:t>
      </w:r>
      <w:r>
        <w:rPr>
          <w:iCs/>
        </w:rPr>
        <w:t xml:space="preserve"> and </w:t>
      </w:r>
      <w:r>
        <w:rPr>
          <w:i/>
          <w:iCs/>
        </w:rPr>
        <w:t xml:space="preserve">L. planicaudus </w:t>
      </w:r>
      <w:r>
        <w:t xml:space="preserve">by having fewer divided scansors on Finger III (3 vs. &gt; 3); from </w:t>
      </w:r>
      <w:r w:rsidRPr="00E7423F">
        <w:rPr>
          <w:i/>
        </w:rPr>
        <w:t>L</w:t>
      </w:r>
      <w:r w:rsidRPr="00E7423F">
        <w:t xml:space="preserve">. </w:t>
      </w:r>
      <w:r>
        <w:rPr>
          <w:i/>
        </w:rPr>
        <w:t>aureolineatus</w:t>
      </w:r>
      <w:r>
        <w:rPr>
          <w:iCs/>
        </w:rPr>
        <w:t xml:space="preserve">, </w:t>
      </w:r>
      <w:r w:rsidRPr="00E7423F">
        <w:rPr>
          <w:i/>
        </w:rPr>
        <w:t>L</w:t>
      </w:r>
      <w:r w:rsidRPr="00E7423F">
        <w:t xml:space="preserve">. </w:t>
      </w:r>
      <w:r w:rsidRPr="00E7423F">
        <w:rPr>
          <w:i/>
        </w:rPr>
        <w:t>h</w:t>
      </w:r>
      <w:r>
        <w:t>.</w:t>
      </w:r>
      <w:r>
        <w:rPr>
          <w:i/>
          <w:iCs/>
        </w:rPr>
        <w:t xml:space="preserve"> </w:t>
      </w:r>
      <w:r w:rsidRPr="00E7423F">
        <w:rPr>
          <w:i/>
        </w:rPr>
        <w:t>herrei</w:t>
      </w:r>
      <w:r>
        <w:rPr>
          <w:iCs/>
        </w:rPr>
        <w:t xml:space="preserve">, </w:t>
      </w:r>
      <w:r w:rsidRPr="00E7423F">
        <w:rPr>
          <w:i/>
        </w:rPr>
        <w:t>L</w:t>
      </w:r>
      <w:r w:rsidRPr="00E7423F">
        <w:t xml:space="preserve">. </w:t>
      </w:r>
      <w:r>
        <w:rPr>
          <w:i/>
        </w:rPr>
        <w:t>h.</w:t>
      </w:r>
      <w:r w:rsidRPr="00E7423F">
        <w:rPr>
          <w:i/>
        </w:rPr>
        <w:t>medianus</w:t>
      </w:r>
      <w:r>
        <w:rPr>
          <w:iCs/>
        </w:rPr>
        <w:t xml:space="preserve">, </w:t>
      </w:r>
      <w:r w:rsidRPr="00E7423F">
        <w:rPr>
          <w:i/>
        </w:rPr>
        <w:t>L. lugubris</w:t>
      </w:r>
      <w:r>
        <w:t>,</w:t>
      </w:r>
      <w:r w:rsidRPr="001F124E">
        <w:rPr>
          <w:i/>
        </w:rPr>
        <w:t xml:space="preserve"> </w:t>
      </w:r>
      <w:r w:rsidRPr="00E7423F">
        <w:rPr>
          <w:i/>
        </w:rPr>
        <w:t>L</w:t>
      </w:r>
      <w:r w:rsidRPr="00E7423F">
        <w:t xml:space="preserve">. </w:t>
      </w:r>
      <w:r w:rsidRPr="00E7423F">
        <w:rPr>
          <w:i/>
        </w:rPr>
        <w:t>labialis</w:t>
      </w:r>
      <w:r>
        <w:rPr>
          <w:iCs/>
        </w:rPr>
        <w:t xml:space="preserve">, and </w:t>
      </w:r>
      <w:r>
        <w:rPr>
          <w:i/>
        </w:rPr>
        <w:t>L</w:t>
      </w:r>
      <w:r>
        <w:rPr>
          <w:iCs/>
        </w:rPr>
        <w:t>.</w:t>
      </w:r>
      <w:r w:rsidRPr="00E7423F">
        <w:t xml:space="preserve"> </w:t>
      </w:r>
      <w:r>
        <w:rPr>
          <w:i/>
        </w:rPr>
        <w:t>bakingibut</w:t>
      </w:r>
      <w:r>
        <w:rPr>
          <w:iCs/>
        </w:rPr>
        <w:t xml:space="preserve"> by having </w:t>
      </w:r>
      <w:r w:rsidRPr="00E7423F">
        <w:t xml:space="preserve">a moderate number of </w:t>
      </w:r>
      <w:r>
        <w:t>precloacofemoral</w:t>
      </w:r>
      <w:r w:rsidRPr="00E7423F">
        <w:t xml:space="preserve"> pores (18–23 vs. </w:t>
      </w:r>
      <w:r>
        <w:t xml:space="preserve">&lt; </w:t>
      </w:r>
      <w:r w:rsidRPr="00E7423F">
        <w:t xml:space="preserve">14 </w:t>
      </w:r>
      <w:r>
        <w:t>[</w:t>
      </w:r>
      <w:r w:rsidRPr="00E7423F">
        <w:rPr>
          <w:i/>
        </w:rPr>
        <w:t>L</w:t>
      </w:r>
      <w:r w:rsidRPr="00E7423F">
        <w:t xml:space="preserve">. </w:t>
      </w:r>
      <w:r w:rsidRPr="00E7423F">
        <w:rPr>
          <w:i/>
        </w:rPr>
        <w:t>labialis</w:t>
      </w:r>
      <w:r>
        <w:t>]</w:t>
      </w:r>
      <w:r w:rsidRPr="00E7423F">
        <w:t xml:space="preserve">, </w:t>
      </w:r>
      <w:r>
        <w:t xml:space="preserve">&gt; </w:t>
      </w:r>
      <w:r w:rsidRPr="00E7423F">
        <w:t xml:space="preserve">24 </w:t>
      </w:r>
      <w:r>
        <w:t>[</w:t>
      </w:r>
      <w:r w:rsidRPr="00E7423F">
        <w:rPr>
          <w:i/>
        </w:rPr>
        <w:t>L</w:t>
      </w:r>
      <w:r w:rsidRPr="00E7423F">
        <w:t xml:space="preserve">. </w:t>
      </w:r>
      <w:r>
        <w:rPr>
          <w:i/>
        </w:rPr>
        <w:t>aureolineatus</w:t>
      </w:r>
      <w:r w:rsidRPr="00E7423F">
        <w:t xml:space="preserve">, </w:t>
      </w:r>
      <w:r w:rsidRPr="00E7423F">
        <w:rPr>
          <w:i/>
        </w:rPr>
        <w:t>L</w:t>
      </w:r>
      <w:r w:rsidRPr="00E7423F">
        <w:t xml:space="preserve">. </w:t>
      </w:r>
      <w:r w:rsidRPr="00E7423F">
        <w:rPr>
          <w:i/>
        </w:rPr>
        <w:t>h</w:t>
      </w:r>
      <w:r w:rsidRPr="00E7423F">
        <w:t xml:space="preserve">. </w:t>
      </w:r>
      <w:r w:rsidRPr="00E7423F">
        <w:rPr>
          <w:i/>
        </w:rPr>
        <w:t>herrei</w:t>
      </w:r>
      <w:r w:rsidRPr="00E7423F">
        <w:t xml:space="preserve">, </w:t>
      </w:r>
      <w:r w:rsidRPr="00E7423F">
        <w:rPr>
          <w:i/>
        </w:rPr>
        <w:t>L</w:t>
      </w:r>
      <w:r w:rsidRPr="00E7423F">
        <w:t xml:space="preserve">. </w:t>
      </w:r>
      <w:r w:rsidRPr="00E7423F">
        <w:rPr>
          <w:i/>
        </w:rPr>
        <w:t>h</w:t>
      </w:r>
      <w:r w:rsidRPr="00E7423F">
        <w:t xml:space="preserve">. </w:t>
      </w:r>
      <w:r w:rsidRPr="00E7423F">
        <w:rPr>
          <w:i/>
        </w:rPr>
        <w:t>medianus</w:t>
      </w:r>
      <w:r w:rsidRPr="00E7423F">
        <w:t xml:space="preserve">, </w:t>
      </w:r>
      <w:r w:rsidRPr="00E7423F">
        <w:rPr>
          <w:i/>
        </w:rPr>
        <w:t>L. lugubris</w:t>
      </w:r>
      <w:r>
        <w:t>,</w:t>
      </w:r>
      <w:r w:rsidRPr="001F124E">
        <w:rPr>
          <w:i/>
        </w:rPr>
        <w:t xml:space="preserve"> </w:t>
      </w:r>
      <w:r w:rsidRPr="00E7423F">
        <w:rPr>
          <w:i/>
        </w:rPr>
        <w:t>L.</w:t>
      </w:r>
      <w:r w:rsidRPr="00E7423F">
        <w:t xml:space="preserve"> </w:t>
      </w:r>
      <w:r>
        <w:rPr>
          <w:i/>
        </w:rPr>
        <w:t>bakingibut</w:t>
      </w:r>
      <w:r>
        <w:t xml:space="preserve">]); </w:t>
      </w:r>
      <w:r w:rsidRPr="00E7423F">
        <w:t xml:space="preserve">from </w:t>
      </w:r>
      <w:r w:rsidRPr="00E7423F">
        <w:rPr>
          <w:i/>
        </w:rPr>
        <w:t>L</w:t>
      </w:r>
      <w:r w:rsidRPr="00E7423F">
        <w:t xml:space="preserve">. </w:t>
      </w:r>
      <w:r w:rsidRPr="00E7423F">
        <w:rPr>
          <w:i/>
        </w:rPr>
        <w:t>labialis</w:t>
      </w:r>
      <w:r w:rsidRPr="00E7423F">
        <w:t xml:space="preserve"> and </w:t>
      </w:r>
      <w:r w:rsidRPr="00E7423F">
        <w:rPr>
          <w:i/>
        </w:rPr>
        <w:t>L</w:t>
      </w:r>
      <w:r w:rsidRPr="00E7423F">
        <w:t>.</w:t>
      </w:r>
      <w:r w:rsidRPr="00E7423F">
        <w:rPr>
          <w:i/>
        </w:rPr>
        <w:t xml:space="preserve"> lugubris</w:t>
      </w:r>
      <w:r w:rsidRPr="00E7423F">
        <w:t xml:space="preserve"> by having a linear pore series shape (vs. v-shaped);</w:t>
      </w:r>
      <w:r w:rsidRPr="00CE25CC">
        <w:t xml:space="preserve"> </w:t>
      </w:r>
      <w:r w:rsidRPr="00E7423F">
        <w:t>from</w:t>
      </w:r>
      <w:r w:rsidRPr="00E7423F">
        <w:rPr>
          <w:i/>
        </w:rPr>
        <w:t xml:space="preserve"> L</w:t>
      </w:r>
      <w:r w:rsidRPr="00E7423F">
        <w:t xml:space="preserve">. </w:t>
      </w:r>
      <w:r w:rsidRPr="00E7423F">
        <w:rPr>
          <w:i/>
        </w:rPr>
        <w:t>labialis</w:t>
      </w:r>
      <w:r w:rsidRPr="00E7423F">
        <w:t xml:space="preserve"> by having no cleft on the rostral scale (vs. cleft) and more webbing between Toes III and IV (1–3 vs. 0)</w:t>
      </w:r>
      <w:r>
        <w:t xml:space="preserve">; from </w:t>
      </w:r>
      <w:r>
        <w:rPr>
          <w:i/>
        </w:rPr>
        <w:t>L</w:t>
      </w:r>
      <w:r>
        <w:rPr>
          <w:iCs/>
        </w:rPr>
        <w:t>.</w:t>
      </w:r>
      <w:r w:rsidRPr="00E7423F">
        <w:t xml:space="preserve"> </w:t>
      </w:r>
      <w:r>
        <w:rPr>
          <w:i/>
        </w:rPr>
        <w:t xml:space="preserve">bakingibut </w:t>
      </w:r>
      <w:r>
        <w:rPr>
          <w:iCs/>
        </w:rPr>
        <w:t xml:space="preserve">by having a larger thigh length relative to crus length (103.8–120.8% crus length vs. 100.0–102.0%); and from </w:t>
      </w:r>
      <w:r>
        <w:rPr>
          <w:i/>
          <w:iCs/>
        </w:rPr>
        <w:t xml:space="preserve">L. christiani </w:t>
      </w:r>
      <w:r>
        <w:t>by having a larger Finger III length relative to total arm</w:t>
      </w:r>
      <w:bookmarkEnd w:id="14"/>
      <w:r>
        <w:t xml:space="preserve"> length (21.7–35.5% arm length vs. &lt; 21.4%).</w:t>
      </w:r>
    </w:p>
    <w:p w14:paraId="0F971111" w14:textId="77777777" w:rsidR="00F6339D" w:rsidRPr="00C208FA" w:rsidRDefault="00F6339D" w:rsidP="00F6339D">
      <w:pPr>
        <w:pStyle w:val="NormalWeb"/>
        <w:spacing w:before="0" w:beforeAutospacing="0" w:after="0" w:afterAutospacing="0" w:line="480" w:lineRule="auto"/>
        <w:ind w:firstLine="360"/>
      </w:pPr>
      <w:r w:rsidRPr="0033237C">
        <w:rPr>
          <w:b/>
          <w:bCs/>
        </w:rPr>
        <w:t>Description of holotype.</w:t>
      </w:r>
      <w:r w:rsidRPr="00E7423F">
        <w:t>—Adult male</w:t>
      </w:r>
      <w:r>
        <w:t xml:space="preserve"> in</w:t>
      </w:r>
      <w:r w:rsidRPr="00E7423F">
        <w:t xml:space="preserve"> good condition; large incision in ventral surface from retrieval of genetic sample. Body small, SVL 37.3 mm</w:t>
      </w:r>
      <w:r>
        <w:t>, a</w:t>
      </w:r>
      <w:r w:rsidRPr="00E7423F">
        <w:t>xilla–groin distance 50.1% SVL; limbs well developed, moderately slender; tail original; margins of limbs smooth, lacking cutaneous flaps or dermal folds; trunk lacking ventrolateral cutaneous fold.</w:t>
      </w:r>
    </w:p>
    <w:p w14:paraId="31767CD7" w14:textId="77777777" w:rsidR="00F6339D" w:rsidRPr="00E7423F" w:rsidRDefault="00F6339D" w:rsidP="00F6339D">
      <w:pPr>
        <w:pStyle w:val="NormalWeb"/>
        <w:spacing w:before="0" w:beforeAutospacing="0" w:after="0" w:afterAutospacing="0" w:line="480" w:lineRule="auto"/>
        <w:ind w:firstLine="360"/>
      </w:pPr>
      <w:r w:rsidRPr="00E7423F">
        <w:t xml:space="preserve">Head moderate in size, largely undifferentiated from neck due to hypertrophied temporal musculature; snout rounded in dorsal and lateral aspects; </w:t>
      </w:r>
      <w:r>
        <w:t>head length</w:t>
      </w:r>
      <w:r w:rsidRPr="00E7423F">
        <w:t xml:space="preserve"> 26.8% SVL</w:t>
      </w:r>
      <w:r>
        <w:t>,</w:t>
      </w:r>
      <w:r w:rsidRPr="00E7423F">
        <w:t xml:space="preserve"> 285.7% </w:t>
      </w:r>
      <w:r>
        <w:t>head height</w:t>
      </w:r>
      <w:r w:rsidRPr="00E7423F">
        <w:t xml:space="preserve">; </w:t>
      </w:r>
      <w:r>
        <w:t>head width</w:t>
      </w:r>
      <w:r w:rsidRPr="00E7423F">
        <w:t xml:space="preserve"> 70.0% </w:t>
      </w:r>
      <w:r>
        <w:t>head length</w:t>
      </w:r>
      <w:r w:rsidRPr="00E7423F">
        <w:t xml:space="preserve">, 200.0% </w:t>
      </w:r>
      <w:r>
        <w:t>head height</w:t>
      </w:r>
      <w:r w:rsidRPr="00E7423F">
        <w:t xml:space="preserve">; </w:t>
      </w:r>
      <w:r>
        <w:t>snout length</w:t>
      </w:r>
      <w:r w:rsidRPr="00E7423F">
        <w:t xml:space="preserve"> 42.0%</w:t>
      </w:r>
      <w:r>
        <w:t xml:space="preserve"> </w:t>
      </w:r>
      <w:r w:rsidRPr="004D5243">
        <w:t>head length, 60.0% head width;</w:t>
      </w:r>
      <w:r w:rsidRPr="00E7423F">
        <w:t xml:space="preserve"> dorsal surfaces of head homogeneous, prefrontal and interorbital concavities absent; auricular opening large, ovoid, angled slightly anteroventrally and posterodorsally, positioned anterior to temporal swellings on either side of head; eye small; pupil vertical, </w:t>
      </w:r>
      <w:r w:rsidRPr="00F12B24">
        <w:t>margin straight;</w:t>
      </w:r>
      <w:r w:rsidRPr="00E7423F">
        <w:t xml:space="preserve"> n</w:t>
      </w:r>
      <w:r>
        <w:t>ostril</w:t>
      </w:r>
      <w:r w:rsidRPr="00E7423F">
        <w:t xml:space="preserve"> contacting first supralabial, not contacting rostral; limbs and digits moderate in length, and moderately slender; legs longer than arms, thighs moderately thicker compared to brachium; </w:t>
      </w:r>
      <w:r>
        <w:t>thigh length</w:t>
      </w:r>
      <w:r w:rsidRPr="00E7423F">
        <w:t xml:space="preserve"> 104.1% </w:t>
      </w:r>
      <w:r>
        <w:t>crus length</w:t>
      </w:r>
      <w:r w:rsidRPr="00E7423F">
        <w:t xml:space="preserve">; </w:t>
      </w:r>
      <w:r>
        <w:t>leg length</w:t>
      </w:r>
      <w:r w:rsidRPr="00E7423F">
        <w:t xml:space="preserve"> 26.8% SVL, 128.2% </w:t>
      </w:r>
      <w:r>
        <w:t>arm length</w:t>
      </w:r>
      <w:r w:rsidRPr="00E7423F">
        <w:t>.</w:t>
      </w:r>
    </w:p>
    <w:p w14:paraId="29A00F69" w14:textId="77777777" w:rsidR="00F6339D" w:rsidRPr="00E7423F" w:rsidRDefault="00F6339D" w:rsidP="00F6339D">
      <w:pPr>
        <w:pStyle w:val="NormalWeb"/>
        <w:spacing w:before="0" w:beforeAutospacing="0" w:after="0" w:afterAutospacing="0" w:line="480" w:lineRule="auto"/>
        <w:ind w:firstLine="360"/>
      </w:pPr>
      <w:r w:rsidRPr="00E7423F">
        <w:t>Rostral pentagonal in anterior view, not cleft, bordered laterally by first supralabial</w:t>
      </w:r>
      <w:r>
        <w:t>s</w:t>
      </w:r>
      <w:r w:rsidRPr="00E7423F">
        <w:t>, posterolaterally by anterior</w:t>
      </w:r>
      <w:r>
        <w:t>-</w:t>
      </w:r>
      <w:r w:rsidRPr="00E7423F">
        <w:t>most enlarged circumnasal</w:t>
      </w:r>
      <w:r>
        <w:t>s,</w:t>
      </w:r>
      <w:r w:rsidRPr="00E7423F">
        <w:t xml:space="preserve"> and posteriorly by four heterogeneously</w:t>
      </w:r>
      <w:r>
        <w:t>-</w:t>
      </w:r>
      <w:r w:rsidRPr="00E7423F">
        <w:t xml:space="preserve">sized </w:t>
      </w:r>
      <w:r>
        <w:t>additional</w:t>
      </w:r>
      <w:r w:rsidRPr="00E7423F">
        <w:t xml:space="preserve"> scales</w:t>
      </w:r>
      <w:r>
        <w:t xml:space="preserve"> (= six snout scales)</w:t>
      </w:r>
      <w:r w:rsidRPr="00E7423F">
        <w:t>; nostril surrounded by first labial and four equally sized enlarged circumnasals</w:t>
      </w:r>
      <w:r w:rsidRPr="0018206A">
        <w:t>; supranasals separated by four homogeneously sized median scales.</w:t>
      </w:r>
    </w:p>
    <w:p w14:paraId="7C7BF7AC" w14:textId="77777777" w:rsidR="00F6339D" w:rsidRPr="00E7423F" w:rsidRDefault="00F6339D" w:rsidP="00F6339D">
      <w:pPr>
        <w:pStyle w:val="NormalWeb"/>
        <w:spacing w:before="0" w:beforeAutospacing="0" w:after="0" w:afterAutospacing="0" w:line="480" w:lineRule="auto"/>
        <w:ind w:firstLine="360"/>
      </w:pPr>
      <w:r w:rsidRPr="00E7423F">
        <w:t xml:space="preserve">Total number of differentiated supralabials 13/12; total number of differentiated infralabials 12/11, bordered ventrally by slightly enlarged chin and undifferentiated gular scales; total number of chin scales between second and third infralabials 10; number of enlarged scale rows adjacent to chin scales </w:t>
      </w:r>
      <w:r>
        <w:t>one</w:t>
      </w:r>
      <w:r w:rsidRPr="00E7423F">
        <w:t xml:space="preserve"> until second or third infralabials.</w:t>
      </w:r>
    </w:p>
    <w:p w14:paraId="3AD97B18" w14:textId="77777777" w:rsidR="00F6339D" w:rsidRPr="00E7423F" w:rsidRDefault="00F6339D" w:rsidP="00F6339D">
      <w:pPr>
        <w:pStyle w:val="NormalWeb"/>
        <w:spacing w:before="0" w:beforeAutospacing="0" w:after="0" w:afterAutospacing="0" w:line="480" w:lineRule="auto"/>
        <w:ind w:firstLine="360"/>
      </w:pPr>
      <w:r w:rsidRPr="00E7423F">
        <w:t>Dorsal cephalic scales fairly homogeneous in size, shape, disposition, and distribution; cephalic scalation slightly convex, primarily round scales; prefrontal and interorbital depressions slight; undifferentiated posterior head scales slightly convex, slightly smaller than cephalic scales; gular and throat scales small, oval, rounded, and nonimbricate, making a gradual transition in scalation towards posterior of end of neck on ventral surface, with enlarged rounded, hexagonal, non</w:t>
      </w:r>
      <w:r>
        <w:t>-</w:t>
      </w:r>
      <w:r w:rsidRPr="00E7423F">
        <w:t>overlapping scales; circumorbitals 31 (L).</w:t>
      </w:r>
      <w:r>
        <w:t xml:space="preserve"> D</w:t>
      </w:r>
      <w:r w:rsidRPr="00E7423F">
        <w:t>orsal body scales round, slightly convex, juxtaposed, relatively homogeneous in size; dorsals sharply transition to flat, non</w:t>
      </w:r>
      <w:r>
        <w:t>-</w:t>
      </w:r>
      <w:r w:rsidRPr="00E7423F">
        <w:t>overlapping ventrals along lateral body surface; midbody dorsal scales within one eye diameter 18; paravertebral scales within one eye diameter 17; midbody ventral scales within one eye diameter 10; ventral scales within one eye diameter 10; scales on dorsal surfaces of limbs undifferentiated from dorsals; scales on dorsal surfaces of hands and feet similar to dorsal limb scales; ventral body scales flat, rounded, elongated, sub</w:t>
      </w:r>
      <w:r>
        <w:t>-</w:t>
      </w:r>
      <w:r w:rsidRPr="00E7423F">
        <w:t>imbricate to non</w:t>
      </w:r>
      <w:r>
        <w:t>-</w:t>
      </w:r>
      <w:r w:rsidRPr="00E7423F">
        <w:t>overlapping, much larger than dorsal body scales, relatively homogeneous in size.</w:t>
      </w:r>
      <w:r>
        <w:t xml:space="preserve"> </w:t>
      </w:r>
      <w:r w:rsidRPr="00E7423F">
        <w:t xml:space="preserve">Enlarged </w:t>
      </w:r>
      <w:r>
        <w:t>precloacofemoral</w:t>
      </w:r>
      <w:r w:rsidRPr="00E7423F">
        <w:t xml:space="preserve"> pore</w:t>
      </w:r>
      <w:r>
        <w:t>-</w:t>
      </w:r>
      <w:r w:rsidRPr="00E7423F">
        <w:t>bearing scales in a continuous, linear row 20; triangular patch of moderately enlarged precloacal scales directly posterior to pore series and anterior to cloacal opening.</w:t>
      </w:r>
    </w:p>
    <w:p w14:paraId="44541A11" w14:textId="77777777" w:rsidR="00F6339D" w:rsidRPr="00E7423F" w:rsidRDefault="00F6339D" w:rsidP="00F6339D">
      <w:pPr>
        <w:pStyle w:val="NormalWeb"/>
        <w:spacing w:before="0" w:beforeAutospacing="0" w:after="0" w:afterAutospacing="0" w:line="480" w:lineRule="auto"/>
        <w:ind w:firstLine="360"/>
      </w:pPr>
      <w:r w:rsidRPr="00E7423F">
        <w:t xml:space="preserve">Digits moderately expanded and covered on palmar surface proximally with undivided bowed scansors and distally with divided scansors; total scansors on Finger III </w:t>
      </w:r>
      <w:r>
        <w:t>nine</w:t>
      </w:r>
      <w:r w:rsidRPr="00E7423F">
        <w:t xml:space="preserve">, first divided scansor on Finger III scansor </w:t>
      </w:r>
      <w:r>
        <w:t>seven</w:t>
      </w:r>
      <w:r w:rsidRPr="00E7423F">
        <w:t xml:space="preserve">, last divided scansor on Finger III scansor </w:t>
      </w:r>
      <w:r>
        <w:t>nine</w:t>
      </w:r>
      <w:r w:rsidRPr="00E7423F">
        <w:t xml:space="preserve">; total scansors on Toe IV </w:t>
      </w:r>
      <w:r>
        <w:t>seven,</w:t>
      </w:r>
      <w:r w:rsidRPr="00E7423F">
        <w:t xml:space="preserve"> first divided scansor on Toe IV scansor </w:t>
      </w:r>
      <w:r>
        <w:t>five</w:t>
      </w:r>
      <w:r w:rsidRPr="00E7423F">
        <w:t xml:space="preserve">, last divided scansor on Toe IV scansor </w:t>
      </w:r>
      <w:r>
        <w:t>seven</w:t>
      </w:r>
      <w:r w:rsidRPr="00E7423F">
        <w:t xml:space="preserve">; webbing between Toes II and III </w:t>
      </w:r>
      <w:r>
        <w:t>two</w:t>
      </w:r>
      <w:r w:rsidRPr="00E7423F">
        <w:t xml:space="preserve">, between Toes III and IV </w:t>
      </w:r>
      <w:r>
        <w:t>three</w:t>
      </w:r>
      <w:r w:rsidRPr="00E7423F">
        <w:t>.</w:t>
      </w:r>
    </w:p>
    <w:p w14:paraId="6978C98D" w14:textId="77777777" w:rsidR="00F6339D" w:rsidRPr="00E7423F" w:rsidRDefault="00F6339D" w:rsidP="00F6339D">
      <w:pPr>
        <w:pStyle w:val="NormalWeb"/>
        <w:spacing w:before="0" w:beforeAutospacing="0" w:after="0" w:afterAutospacing="0" w:line="480" w:lineRule="auto"/>
        <w:ind w:firstLine="360"/>
      </w:pPr>
      <w:r w:rsidRPr="00E7423F">
        <w:t xml:space="preserve">Tail </w:t>
      </w:r>
      <w:r>
        <w:t>moderately round, wide, length</w:t>
      </w:r>
      <w:r w:rsidRPr="00E7423F">
        <w:t xml:space="preserve"> long, 119.3% SVL; </w:t>
      </w:r>
      <w:r>
        <w:t>tail width</w:t>
      </w:r>
      <w:r w:rsidRPr="00E7423F">
        <w:t xml:space="preserve"> 143.3% </w:t>
      </w:r>
      <w:r>
        <w:t>tail depth</w:t>
      </w:r>
      <w:r w:rsidRPr="00E7423F">
        <w:t>; caudals slightly convex, sub</w:t>
      </w:r>
      <w:r>
        <w:t>-</w:t>
      </w:r>
      <w:r w:rsidRPr="00E7423F">
        <w:t xml:space="preserve">imbricate to overlapping, much more rectangular than dorsals, subcaudals much more rectangular than ventrals, anterior to posterior in direction; ventrolateral ridge with intermittent, enlarged, imbricate scales present; cloacal spurs at base of tail </w:t>
      </w:r>
      <w:r>
        <w:t>three</w:t>
      </w:r>
      <w:r w:rsidRPr="00E7423F">
        <w:t>.</w:t>
      </w:r>
    </w:p>
    <w:p w14:paraId="59D91C15" w14:textId="77777777" w:rsidR="00F6339D" w:rsidRDefault="00F6339D" w:rsidP="00F6339D">
      <w:pPr>
        <w:pStyle w:val="NormalWeb"/>
        <w:spacing w:before="0" w:beforeAutospacing="0" w:after="0" w:afterAutospacing="0" w:line="480" w:lineRule="auto"/>
        <w:ind w:firstLine="360"/>
      </w:pPr>
      <w:r w:rsidRPr="0033237C">
        <w:rPr>
          <w:b/>
          <w:bCs/>
        </w:rPr>
        <w:t>Coloration of holotype in preservative.</w:t>
      </w:r>
      <w:r w:rsidRPr="00F05FEF">
        <w:t>—</w:t>
      </w:r>
      <w:r>
        <w:t>Dorsal surface of body, limbs, and tail a mix of Smoke Gray (Color 266) and Grayish Horn (Color 268); dorsal surface of head similar in coloration to body except for large spot of Sepia (Color 279) extending a point in line with back of the eyes to a point in line with back of head; ventral surface of head, body, limbs, and tail all Smoky White (Color 261).</w:t>
      </w:r>
    </w:p>
    <w:p w14:paraId="7917471D" w14:textId="77777777" w:rsidR="00F6339D" w:rsidRPr="00334D29" w:rsidRDefault="00F6339D" w:rsidP="00F6339D">
      <w:pPr>
        <w:pStyle w:val="NormalWeb"/>
        <w:spacing w:before="0" w:beforeAutospacing="0" w:after="0" w:afterAutospacing="0" w:line="480" w:lineRule="auto"/>
        <w:ind w:firstLine="360"/>
        <w:rPr>
          <w:bCs/>
        </w:rPr>
      </w:pPr>
      <w:r w:rsidRPr="000B379F">
        <w:rPr>
          <w:b/>
        </w:rPr>
        <w:t>Coloration of paratype in life.</w:t>
      </w:r>
      <w:r w:rsidRPr="000B379F">
        <w:t>—Based o</w:t>
      </w:r>
      <w:r>
        <w:t>n</w:t>
      </w:r>
      <w:r w:rsidRPr="000B379F">
        <w:t xml:space="preserve"> photograph of OMNH 46977 in life</w:t>
      </w:r>
      <w:r>
        <w:t xml:space="preserve"> (Fig. 3C). </w:t>
      </w:r>
      <w:r>
        <w:rPr>
          <w:bCs/>
        </w:rPr>
        <w:t>Dorsal surface of head, body, limbs, and tail mostly Drab (Color 19) to Smoke Gray (Color 266) with minimal speckling of Olive-Brown (Color 278) and Sepia (Color 279); very faint chevron patterning present along dorsal surface; faint post orbital stripe of Cream Color (Color 12) with minimal speckling of Sepia (Color 286) extends to a point in line with the posterior end of the head.</w:t>
      </w:r>
    </w:p>
    <w:p w14:paraId="0D101C8C" w14:textId="77777777" w:rsidR="00F6339D" w:rsidRPr="00C208FA" w:rsidRDefault="00F6339D" w:rsidP="00F6339D">
      <w:pPr>
        <w:pStyle w:val="NormalWeb"/>
        <w:spacing w:before="0" w:beforeAutospacing="0" w:after="0" w:afterAutospacing="0" w:line="480" w:lineRule="auto"/>
        <w:ind w:firstLine="360"/>
      </w:pPr>
      <w:r w:rsidRPr="00C927CA">
        <w:rPr>
          <w:b/>
          <w:bCs/>
        </w:rPr>
        <w:t>Measurements and scale counts of holotype (in mm).</w:t>
      </w:r>
      <w:r w:rsidRPr="00E7423F">
        <w:t xml:space="preserve">—Snout–vent length 37.3; axilla–groin distance 18.7; tail length 44.5; tail width 4.3; tail depth 3.0; snout–forearm length 11.8; upper arm length 3.8; forearm length 4.0; </w:t>
      </w:r>
      <w:r>
        <w:t>thigh</w:t>
      </w:r>
      <w:r w:rsidRPr="00E7423F">
        <w:t xml:space="preserve"> length 5.1; crus length 4.9; Finger III length 2.4; Toe IV length 3.4; head length 10.0; head width 7.0; head height 3.5; eye–ear distance 2.6; </w:t>
      </w:r>
      <w:r>
        <w:t>eye–nostril</w:t>
      </w:r>
      <w:r w:rsidRPr="00E7423F">
        <w:t xml:space="preserve"> distance 2.9; snout length 4.2; interorbital distance 1.4; internare distance 1.4; ear diameter 0.7; </w:t>
      </w:r>
      <w:r>
        <w:t>eye</w:t>
      </w:r>
      <w:r w:rsidRPr="00E7423F">
        <w:t xml:space="preserve"> diameter 2.0; midbody dorsal scales 18; paravertebral scales 17; midbody ventral scales 10; ventral scales 10; supralabials 13; infralabials 12; circumorbital scales 31; circumnasals 4; snout scales </w:t>
      </w:r>
      <w:r>
        <w:t>6</w:t>
      </w:r>
      <w:r w:rsidRPr="00E7423F">
        <w:t>; chin scales 10; Finger III total scansors 9; Finger III divided scansors 3; Toe IV total scansors 7; Toe IV divided scansors 3;</w:t>
      </w:r>
      <w:r w:rsidRPr="00AE209B">
        <w:t xml:space="preserve"> </w:t>
      </w:r>
      <w:r>
        <w:t>precloacofemoral pores 20;</w:t>
      </w:r>
      <w:r w:rsidRPr="00E7423F">
        <w:t xml:space="preserve"> cloacal spurs 3.</w:t>
      </w:r>
    </w:p>
    <w:p w14:paraId="3E23E7D3" w14:textId="77777777" w:rsidR="00F6339D" w:rsidRDefault="00F6339D" w:rsidP="00F6339D">
      <w:pPr>
        <w:pStyle w:val="NormalWeb"/>
        <w:spacing w:before="0" w:beforeAutospacing="0" w:after="0" w:afterAutospacing="0" w:line="480" w:lineRule="auto"/>
        <w:ind w:firstLine="360"/>
      </w:pPr>
      <w:r w:rsidRPr="0033237C">
        <w:rPr>
          <w:b/>
          <w:bCs/>
        </w:rPr>
        <w:t>Variation.</w:t>
      </w:r>
      <w:r w:rsidRPr="000203E1">
        <w:t>—</w:t>
      </w:r>
      <w:r>
        <w:t xml:space="preserve">Morphometric variation within this series is summarized in Table 1. </w:t>
      </w:r>
      <w:r w:rsidRPr="000203E1">
        <w:t xml:space="preserve">Among the </w:t>
      </w:r>
      <w:r>
        <w:t>40</w:t>
      </w:r>
      <w:r w:rsidRPr="000203E1">
        <w:t xml:space="preserve"> specimens examined, we observed variation in the number of</w:t>
      </w:r>
      <w:r>
        <w:t xml:space="preserve"> </w:t>
      </w:r>
      <w:r w:rsidRPr="000203E1">
        <w:t xml:space="preserve">midbody dorsal, paravertebral, midbody ventral, ventral, </w:t>
      </w:r>
      <w:r>
        <w:t xml:space="preserve">supralabial, </w:t>
      </w:r>
      <w:r w:rsidRPr="000203E1">
        <w:t>infralabial,</w:t>
      </w:r>
      <w:r>
        <w:t xml:space="preserve"> </w:t>
      </w:r>
      <w:r w:rsidRPr="000203E1">
        <w:t>circumorbital</w:t>
      </w:r>
      <w:r>
        <w:t>, snout, and chin scales</w:t>
      </w:r>
      <w:r w:rsidRPr="000203E1">
        <w:t>, Finger III total scansors,</w:t>
      </w:r>
      <w:r>
        <w:t xml:space="preserve"> </w:t>
      </w:r>
      <w:r w:rsidRPr="000203E1">
        <w:t xml:space="preserve">Toe IV total scansors, </w:t>
      </w:r>
      <w:r>
        <w:t>and precloacofemoral pores in males (Supplemental Table 1)</w:t>
      </w:r>
      <w:r w:rsidRPr="000203E1">
        <w:t>.</w:t>
      </w:r>
    </w:p>
    <w:p w14:paraId="02814FA4" w14:textId="77777777" w:rsidR="00F6339D" w:rsidRPr="004038D3" w:rsidRDefault="00F6339D" w:rsidP="00F6339D">
      <w:pPr>
        <w:pStyle w:val="NormalWeb"/>
        <w:spacing w:before="0" w:beforeAutospacing="0" w:after="0" w:afterAutospacing="0" w:line="480" w:lineRule="auto"/>
        <w:ind w:firstLine="360"/>
      </w:pPr>
      <w:r w:rsidRPr="0051284B">
        <w:rPr>
          <w:b/>
          <w:bCs/>
        </w:rPr>
        <w:t>Distribution.</w:t>
      </w:r>
      <w:r w:rsidRPr="0051284B">
        <w:t>—</w:t>
      </w:r>
      <w:r w:rsidRPr="00E7423F">
        <w:rPr>
          <w:i/>
        </w:rPr>
        <w:t>Lepidodactylus</w:t>
      </w:r>
      <w:r w:rsidRPr="00E7423F">
        <w:t xml:space="preserve"> </w:t>
      </w:r>
      <w:r w:rsidRPr="00E7423F">
        <w:rPr>
          <w:i/>
        </w:rPr>
        <w:t>babuyanensis</w:t>
      </w:r>
      <w:r>
        <w:rPr>
          <w:i/>
        </w:rPr>
        <w:t xml:space="preserve"> </w:t>
      </w:r>
      <w:r>
        <w:t xml:space="preserve">occurs throughout the Babuyan Island Group in Cagayan Province. Individuals have been collected from Calayan, Camiguin, and </w:t>
      </w:r>
      <w:r w:rsidRPr="004038D3">
        <w:t>Dalupiri islands and we anticipate this lineage also inhabits Fuga and Babuyan islands as well.</w:t>
      </w:r>
    </w:p>
    <w:p w14:paraId="35D8ECB8" w14:textId="77777777" w:rsidR="00F6339D" w:rsidRPr="0081247F" w:rsidRDefault="00F6339D" w:rsidP="00F6339D">
      <w:pPr>
        <w:pStyle w:val="NormalWeb"/>
        <w:spacing w:before="0" w:beforeAutospacing="0" w:after="0" w:afterAutospacing="0" w:line="480" w:lineRule="auto"/>
        <w:ind w:firstLine="360"/>
      </w:pPr>
      <w:r w:rsidRPr="004038D3">
        <w:rPr>
          <w:b/>
          <w:bCs/>
        </w:rPr>
        <w:t>Ecology and natural history.</w:t>
      </w:r>
      <w:r w:rsidRPr="004038D3">
        <w:t>—</w:t>
      </w:r>
      <w:r w:rsidRPr="004038D3">
        <w:rPr>
          <w:i/>
          <w:iCs/>
        </w:rPr>
        <w:t xml:space="preserve">Lepidodactylus babuyanensis </w:t>
      </w:r>
      <w:r w:rsidRPr="004038D3">
        <w:t>has been found in patchwork secondary</w:t>
      </w:r>
      <w:r>
        <w:t>-</w:t>
      </w:r>
      <w:r w:rsidRPr="004038D3">
        <w:t>growth rainforest habitat on multiple islands in the Babuyan Island Group. This species appears to be common in secondary</w:t>
      </w:r>
      <w:r>
        <w:t>-</w:t>
      </w:r>
      <w:r w:rsidRPr="004038D3">
        <w:t>growth habitats, particularly on Calayan Island, where a large series of individuals were observed during our recent biodiversity surveys.</w:t>
      </w:r>
      <w:r>
        <w:t xml:space="preserve"> </w:t>
      </w:r>
      <w:bookmarkStart w:id="15" w:name="_Hlk50757205"/>
      <w:r>
        <w:rPr>
          <w:i/>
          <w:iCs/>
        </w:rPr>
        <w:t xml:space="preserve">Lycodon alcalai </w:t>
      </w:r>
      <w:r>
        <w:t>is a known predator of this species at least on Calayan Island (Griffing et al. 2019).</w:t>
      </w:r>
      <w:bookmarkEnd w:id="15"/>
    </w:p>
    <w:p w14:paraId="5DFE13C7" w14:textId="77777777" w:rsidR="00F6339D" w:rsidRDefault="00F6339D" w:rsidP="00F6339D">
      <w:pPr>
        <w:pStyle w:val="NormalWeb"/>
        <w:spacing w:before="0" w:beforeAutospacing="0" w:after="0" w:afterAutospacing="0" w:line="480" w:lineRule="auto"/>
        <w:ind w:firstLine="360"/>
      </w:pPr>
      <w:r w:rsidRPr="00375658">
        <w:rPr>
          <w:b/>
          <w:bCs/>
        </w:rPr>
        <w:t>Etymology.</w:t>
      </w:r>
      <w:r w:rsidRPr="00375658">
        <w:t>—</w:t>
      </w:r>
      <w:r w:rsidRPr="005B2F7F">
        <w:t xml:space="preserve">The specific epithet is chosen in reference to the biogeographically </w:t>
      </w:r>
      <w:r>
        <w:t xml:space="preserve">unique Babuyan Island Group of the northern Philippines, located in the Luzon Strait. The small archipelago is composed of five major islands (Babuyan Claro, Calayan, Camiguin Norte, Dalupiri, and Fuga), as well as associated small islets (Fig. 8). The Babuyan Island Group is surrounded by deep-ocean channels and believed to have never been in historical contact with surrounding paleoisland landmasses. As such, the island group is home to a number of endemic vertebrate species. </w:t>
      </w:r>
      <w:r w:rsidRPr="005B2F7F">
        <w:t xml:space="preserve">Suggested common name: </w:t>
      </w:r>
      <w:r>
        <w:t xml:space="preserve">Babuyan </w:t>
      </w:r>
      <w:r w:rsidRPr="002A34DE">
        <w:t>Scaly</w:t>
      </w:r>
      <w:r>
        <w:t>-</w:t>
      </w:r>
      <w:r w:rsidRPr="002A34DE">
        <w:t xml:space="preserve">toed </w:t>
      </w:r>
      <w:r>
        <w:t>G</w:t>
      </w:r>
      <w:r w:rsidRPr="002A34DE">
        <w:t>ecko</w:t>
      </w:r>
      <w:r>
        <w:t>s</w:t>
      </w:r>
      <w:r w:rsidRPr="00917B1F">
        <w:t>.</w:t>
      </w:r>
    </w:p>
    <w:p w14:paraId="7749AE54" w14:textId="77777777" w:rsidR="00F6339D" w:rsidRPr="00C208FA" w:rsidRDefault="00F6339D" w:rsidP="00F6339D">
      <w:pPr>
        <w:pStyle w:val="NormalWeb"/>
        <w:spacing w:before="0" w:beforeAutospacing="0" w:after="0" w:afterAutospacing="0" w:line="480" w:lineRule="auto"/>
        <w:ind w:firstLine="360"/>
      </w:pPr>
    </w:p>
    <w:p w14:paraId="60B1C214" w14:textId="77777777" w:rsidR="00F6339D" w:rsidRPr="00B44947" w:rsidRDefault="00F6339D" w:rsidP="00F6339D">
      <w:pPr>
        <w:spacing w:line="480" w:lineRule="auto"/>
        <w:jc w:val="center"/>
        <w:rPr>
          <w:rFonts w:cs="Times New Roman"/>
          <w:bCs/>
          <w:smallCaps/>
        </w:rPr>
      </w:pPr>
      <w:r w:rsidRPr="0096113C">
        <w:rPr>
          <w:rFonts w:cs="Times New Roman"/>
          <w:bCs/>
          <w:smallCaps/>
        </w:rPr>
        <w:t>Discussion</w:t>
      </w:r>
    </w:p>
    <w:p w14:paraId="1E6F52F5" w14:textId="77777777" w:rsidR="00F6339D" w:rsidRPr="00DC0938" w:rsidRDefault="00F6339D" w:rsidP="00F6339D">
      <w:pPr>
        <w:spacing w:line="480" w:lineRule="auto"/>
        <w:ind w:firstLine="360"/>
        <w:rPr>
          <w:rFonts w:cs="Times New Roman"/>
        </w:rPr>
      </w:pPr>
      <w:r w:rsidRPr="00E7423F">
        <w:rPr>
          <w:rFonts w:cs="Times New Roman"/>
        </w:rPr>
        <w:t xml:space="preserve">The four species </w:t>
      </w:r>
      <w:r>
        <w:rPr>
          <w:rFonts w:cs="Times New Roman"/>
        </w:rPr>
        <w:t>described here</w:t>
      </w:r>
      <w:r w:rsidRPr="00043970">
        <w:t xml:space="preserve"> </w:t>
      </w:r>
      <w:r w:rsidRPr="00E7423F">
        <w:rPr>
          <w:rFonts w:cs="Times New Roman"/>
        </w:rPr>
        <w:t xml:space="preserve">bring the total number of </w:t>
      </w:r>
      <w:r>
        <w:rPr>
          <w:rFonts w:cs="Times New Roman"/>
        </w:rPr>
        <w:t>recognized</w:t>
      </w:r>
      <w:r w:rsidRPr="00E7423F">
        <w:rPr>
          <w:rFonts w:cs="Times New Roman"/>
        </w:rPr>
        <w:t xml:space="preserve"> </w:t>
      </w:r>
      <w:r>
        <w:rPr>
          <w:rFonts w:cs="Times New Roman"/>
        </w:rPr>
        <w:t>S</w:t>
      </w:r>
      <w:r w:rsidRPr="00E7423F">
        <w:rPr>
          <w:rFonts w:cs="Times New Roman"/>
        </w:rPr>
        <w:t>caly</w:t>
      </w:r>
      <w:r>
        <w:rPr>
          <w:rFonts w:cs="Times New Roman"/>
        </w:rPr>
        <w:t>-</w:t>
      </w:r>
      <w:r w:rsidRPr="00E7423F">
        <w:rPr>
          <w:rFonts w:cs="Times New Roman"/>
        </w:rPr>
        <w:t xml:space="preserve">toed </w:t>
      </w:r>
      <w:r>
        <w:rPr>
          <w:rFonts w:cs="Times New Roman"/>
        </w:rPr>
        <w:t>G</w:t>
      </w:r>
      <w:r w:rsidRPr="00E7423F">
        <w:rPr>
          <w:rFonts w:cs="Times New Roman"/>
        </w:rPr>
        <w:t>eckos endemic to the Philippines to 1</w:t>
      </w:r>
      <w:r>
        <w:rPr>
          <w:rFonts w:cs="Times New Roman"/>
        </w:rPr>
        <w:t xml:space="preserve">1. Interestingly, </w:t>
      </w:r>
      <w:r>
        <w:rPr>
          <w:rFonts w:cs="Times New Roman"/>
          <w:i/>
          <w:iCs/>
        </w:rPr>
        <w:t xml:space="preserve">Lepidodactylus bisakol </w:t>
      </w:r>
      <w:r>
        <w:rPr>
          <w:rFonts w:cs="Times New Roman"/>
        </w:rPr>
        <w:t xml:space="preserve">and </w:t>
      </w:r>
      <w:r>
        <w:rPr>
          <w:rFonts w:cs="Times New Roman"/>
          <w:i/>
          <w:iCs/>
        </w:rPr>
        <w:t>L. bakingibut</w:t>
      </w:r>
      <w:r>
        <w:rPr>
          <w:rFonts w:cs="Times New Roman"/>
        </w:rPr>
        <w:t xml:space="preserve"> represent the first endemic species described from Luzon Island proper, with </w:t>
      </w:r>
      <w:r>
        <w:rPr>
          <w:rFonts w:cs="Times New Roman"/>
          <w:i/>
          <w:iCs/>
        </w:rPr>
        <w:t xml:space="preserve">L. babuyanensis </w:t>
      </w:r>
      <w:r>
        <w:rPr>
          <w:rFonts w:cs="Times New Roman"/>
        </w:rPr>
        <w:t xml:space="preserve">and </w:t>
      </w:r>
      <w:r>
        <w:rPr>
          <w:rFonts w:cs="Times New Roman"/>
          <w:i/>
          <w:iCs/>
        </w:rPr>
        <w:t xml:space="preserve">L. nakahiwalay </w:t>
      </w:r>
      <w:r>
        <w:rPr>
          <w:rFonts w:cs="Times New Roman"/>
        </w:rPr>
        <w:t>described from small, peripheral, deep-water islands in close proximity to the Luzon PAIC (Calayan, Camiguin Norte, and Dalupiri islands, to the north in the Babuyan Island Complex or Lubang Island to the southwest). In addition to the Batan-Sabtang endemic (</w:t>
      </w:r>
      <w:r>
        <w:rPr>
          <w:rFonts w:cs="Times New Roman"/>
          <w:i/>
          <w:iCs/>
        </w:rPr>
        <w:t xml:space="preserve">L. </w:t>
      </w:r>
      <w:r w:rsidRPr="00E60507">
        <w:rPr>
          <w:rFonts w:cs="Times New Roman"/>
          <w:i/>
          <w:iCs/>
        </w:rPr>
        <w:t>balioburius</w:t>
      </w:r>
      <w:r>
        <w:rPr>
          <w:rFonts w:cs="Times New Roman"/>
        </w:rPr>
        <w:t>), the Orchid Island population (</w:t>
      </w:r>
      <w:r>
        <w:rPr>
          <w:rFonts w:cs="Times New Roman"/>
          <w:i/>
          <w:iCs/>
        </w:rPr>
        <w:t xml:space="preserve">L. </w:t>
      </w:r>
      <w:r w:rsidRPr="00E60507">
        <w:rPr>
          <w:rFonts w:cs="Times New Roman"/>
          <w:i/>
          <w:iCs/>
        </w:rPr>
        <w:t>yami</w:t>
      </w:r>
      <w:r>
        <w:rPr>
          <w:rFonts w:cs="Times New Roman"/>
        </w:rPr>
        <w:t xml:space="preserve">), plus probable species </w:t>
      </w:r>
      <w:r>
        <w:rPr>
          <w:rFonts w:cs="Times New Roman"/>
          <w:i/>
          <w:iCs/>
        </w:rPr>
        <w:t xml:space="preserve">L. </w:t>
      </w:r>
      <w:r>
        <w:rPr>
          <w:rFonts w:cs="Times New Roman"/>
        </w:rPr>
        <w:t xml:space="preserve">sp. 6 and </w:t>
      </w:r>
      <w:r>
        <w:rPr>
          <w:rFonts w:cs="Times New Roman"/>
          <w:i/>
          <w:iCs/>
        </w:rPr>
        <w:t xml:space="preserve">L. </w:t>
      </w:r>
      <w:r>
        <w:rPr>
          <w:rFonts w:cs="Times New Roman"/>
        </w:rPr>
        <w:t xml:space="preserve">sp. 7, this entire clade of as many as eight species has gone nearly unstudied for over the last half century (Brown and Alcala 1978; Ota 1987; Ota and Crombie 1989). </w:t>
      </w:r>
      <w:r w:rsidRPr="00E60507">
        <w:rPr>
          <w:rFonts w:cs="Times New Roman"/>
        </w:rPr>
        <w:t>These</w:t>
      </w:r>
      <w:r>
        <w:rPr>
          <w:rFonts w:cs="Times New Roman"/>
        </w:rPr>
        <w:t xml:space="preserve"> findings, of endemic Luzon PAIC taxa, stand in contrast to the earlier characterization of the Luzon fauna region as a biogeographic entity with no native </w:t>
      </w:r>
      <w:r>
        <w:rPr>
          <w:rFonts w:cs="Times New Roman"/>
          <w:i/>
          <w:iCs/>
        </w:rPr>
        <w:t xml:space="preserve">Lepidodactylus </w:t>
      </w:r>
      <w:r>
        <w:rPr>
          <w:rFonts w:cs="Times New Roman"/>
        </w:rPr>
        <w:t xml:space="preserve">fauna (Brown and Alcala 1978). In addition to the members of this novel clade characterized here we anticipate that, with targeted field work (Brown et al. 2012b, 2013; Devon-Song and Brown 2012) focused on </w:t>
      </w:r>
      <w:r>
        <w:rPr>
          <w:rFonts w:cs="Times New Roman"/>
          <w:i/>
          <w:iCs/>
        </w:rPr>
        <w:t xml:space="preserve">Lepidodactylus </w:t>
      </w:r>
      <w:r>
        <w:rPr>
          <w:rFonts w:cs="Times New Roman"/>
        </w:rPr>
        <w:t>microhabitats, and collection of genetic and phenotypic data, the large, geographically complex island of Luzon will eventually be recognized as home to greater—as of yet unsampled and unrecognized—species diversity (Siler et al. 2011; Brown et al. 2011b, 2013, 2020; Siler et al. 2014a).</w:t>
      </w:r>
    </w:p>
    <w:p w14:paraId="2FCE44BE" w14:textId="77777777" w:rsidR="00F6339D" w:rsidRDefault="00F6339D" w:rsidP="00F6339D">
      <w:pPr>
        <w:spacing w:line="480" w:lineRule="auto"/>
        <w:ind w:firstLine="360"/>
        <w:rPr>
          <w:rFonts w:cs="Times New Roman"/>
          <w:iCs/>
        </w:rPr>
      </w:pPr>
      <w:r>
        <w:rPr>
          <w:rFonts w:cs="Times New Roman"/>
        </w:rPr>
        <w:t xml:space="preserve">Phylogenetic studies suggest that all four species described here are members of Brown and Parker’s morphological Group III (1977), and two distinct phenotypic groups of </w:t>
      </w:r>
      <w:r>
        <w:rPr>
          <w:rFonts w:cs="Times New Roman"/>
          <w:i/>
          <w:iCs/>
        </w:rPr>
        <w:t xml:space="preserve">Lepidodactylus </w:t>
      </w:r>
      <w:r>
        <w:rPr>
          <w:rFonts w:cs="Times New Roman"/>
        </w:rPr>
        <w:t xml:space="preserve">do exist in the archipelago, as first recognized by Brown and Alcala (1978). However, phylogenetic evidence suggests that splitting Philippine </w:t>
      </w:r>
      <w:r>
        <w:rPr>
          <w:rFonts w:cs="Times New Roman"/>
          <w:i/>
        </w:rPr>
        <w:t xml:space="preserve">Lepidodactylus </w:t>
      </w:r>
      <w:r>
        <w:rPr>
          <w:rFonts w:cs="Times New Roman"/>
        </w:rPr>
        <w:t>into two sections, based on morphological characters alone, may lead to erroneous understandings of relationships. As opposed to retaining the sections “A” and “B” of Brown and Alcala (1978), we recognize instead the</w:t>
      </w:r>
      <w:r>
        <w:rPr>
          <w:rFonts w:cs="Times New Roman"/>
          <w:i/>
          <w:iCs/>
        </w:rPr>
        <w:t xml:space="preserve"> L. lugubris</w:t>
      </w:r>
      <w:r>
        <w:rPr>
          <w:rFonts w:cs="Times New Roman"/>
        </w:rPr>
        <w:t xml:space="preserve"> and </w:t>
      </w:r>
      <w:r>
        <w:rPr>
          <w:rFonts w:cs="Times New Roman"/>
          <w:i/>
          <w:iCs/>
        </w:rPr>
        <w:t xml:space="preserve">L. yami-balioburius </w:t>
      </w:r>
      <w:r>
        <w:rPr>
          <w:rFonts w:cs="Times New Roman"/>
        </w:rPr>
        <w:t xml:space="preserve">clades. Based on our phylogenetic results, the </w:t>
      </w:r>
      <w:r>
        <w:rPr>
          <w:rFonts w:cs="Times New Roman"/>
          <w:i/>
          <w:iCs/>
        </w:rPr>
        <w:t xml:space="preserve">L. lugubris </w:t>
      </w:r>
      <w:r>
        <w:rPr>
          <w:rFonts w:cs="Times New Roman"/>
        </w:rPr>
        <w:t xml:space="preserve">clade contains </w:t>
      </w:r>
      <w:r>
        <w:rPr>
          <w:rFonts w:cs="Times New Roman"/>
          <w:i/>
          <w:iCs/>
        </w:rPr>
        <w:t>L. aureolineatus,</w:t>
      </w:r>
      <w:r>
        <w:rPr>
          <w:rFonts w:cs="Times New Roman"/>
        </w:rPr>
        <w:t xml:space="preserve"> </w:t>
      </w:r>
      <w:r w:rsidRPr="00E7423F">
        <w:rPr>
          <w:rFonts w:cs="Times New Roman"/>
          <w:i/>
        </w:rPr>
        <w:t>L</w:t>
      </w:r>
      <w:r w:rsidRPr="00E7423F">
        <w:rPr>
          <w:rFonts w:cs="Times New Roman"/>
        </w:rPr>
        <w:t xml:space="preserve">. </w:t>
      </w:r>
      <w:r w:rsidRPr="00E7423F">
        <w:rPr>
          <w:rFonts w:cs="Times New Roman"/>
          <w:i/>
        </w:rPr>
        <w:t>herrei</w:t>
      </w:r>
      <w:r>
        <w:rPr>
          <w:rFonts w:cs="Times New Roman"/>
          <w:iCs/>
        </w:rPr>
        <w:t xml:space="preserve">, </w:t>
      </w:r>
      <w:r>
        <w:rPr>
          <w:rFonts w:cs="Times New Roman"/>
          <w:i/>
          <w:iCs/>
        </w:rPr>
        <w:t>L. lugubris</w:t>
      </w:r>
      <w:r>
        <w:rPr>
          <w:rFonts w:cs="Times New Roman"/>
        </w:rPr>
        <w:t xml:space="preserve">, and </w:t>
      </w:r>
      <w:r>
        <w:rPr>
          <w:rFonts w:cs="Times New Roman"/>
          <w:i/>
          <w:iCs/>
        </w:rPr>
        <w:t>L. planicaudus</w:t>
      </w:r>
      <w:r>
        <w:rPr>
          <w:rFonts w:cs="Times New Roman"/>
        </w:rPr>
        <w:t>, whereas</w:t>
      </w:r>
      <w:r>
        <w:rPr>
          <w:rFonts w:cs="Times New Roman"/>
          <w:iCs/>
        </w:rPr>
        <w:t xml:space="preserve"> the </w:t>
      </w:r>
      <w:r>
        <w:rPr>
          <w:rFonts w:cs="Times New Roman"/>
          <w:i/>
        </w:rPr>
        <w:t xml:space="preserve">L. yami-balioburius </w:t>
      </w:r>
      <w:r>
        <w:rPr>
          <w:rFonts w:cs="Times New Roman"/>
          <w:iCs/>
        </w:rPr>
        <w:t xml:space="preserve">clade contains the two namesake species, </w:t>
      </w:r>
      <w:r>
        <w:rPr>
          <w:rFonts w:cs="Times New Roman"/>
          <w:i/>
          <w:iCs/>
        </w:rPr>
        <w:t>L. christiani</w:t>
      </w:r>
      <w:r>
        <w:rPr>
          <w:rFonts w:cs="Times New Roman"/>
          <w:iCs/>
        </w:rPr>
        <w:t>, and</w:t>
      </w:r>
      <w:r>
        <w:rPr>
          <w:rFonts w:cs="Times New Roman"/>
          <w:i/>
          <w:iCs/>
        </w:rPr>
        <w:t xml:space="preserve"> </w:t>
      </w:r>
      <w:r>
        <w:rPr>
          <w:rFonts w:cs="Times New Roman"/>
          <w:iCs/>
        </w:rPr>
        <w:t>all four lineages described here. We ab</w:t>
      </w:r>
      <w:r w:rsidRPr="007339BA">
        <w:rPr>
          <w:rFonts w:cs="Times New Roman"/>
          <w:iCs/>
        </w:rPr>
        <w:t>stain</w:t>
      </w:r>
      <w:r>
        <w:rPr>
          <w:rFonts w:cs="Times New Roman"/>
          <w:iCs/>
        </w:rPr>
        <w:t xml:space="preserve"> from placing of </w:t>
      </w:r>
      <w:r>
        <w:rPr>
          <w:rFonts w:cs="Times New Roman"/>
          <w:i/>
        </w:rPr>
        <w:t xml:space="preserve">L. labialis </w:t>
      </w:r>
      <w:r>
        <w:rPr>
          <w:rFonts w:cs="Times New Roman"/>
          <w:iCs/>
        </w:rPr>
        <w:t>into either clade, pending future availability of vouchered genetic material (Sanguila et al. 2016).</w:t>
      </w:r>
    </w:p>
    <w:p w14:paraId="172FE84B" w14:textId="6D2E3B80" w:rsidR="00F6339D" w:rsidRDefault="00F6339D" w:rsidP="00F6339D">
      <w:pPr>
        <w:spacing w:line="480" w:lineRule="auto"/>
        <w:ind w:firstLine="360"/>
        <w:rPr>
          <w:rFonts w:cs="Times New Roman"/>
        </w:rPr>
      </w:pPr>
      <w:r>
        <w:rPr>
          <w:rFonts w:cs="Times New Roman"/>
        </w:rPr>
        <w:t xml:space="preserve">Although phylogenetic relationships within the </w:t>
      </w:r>
      <w:r>
        <w:rPr>
          <w:rFonts w:cs="Times New Roman"/>
          <w:i/>
        </w:rPr>
        <w:t>L</w:t>
      </w:r>
      <w:bookmarkStart w:id="16" w:name="_Hlk16526264"/>
      <w:r>
        <w:rPr>
          <w:rFonts w:cs="Times New Roman"/>
          <w:i/>
        </w:rPr>
        <w:t xml:space="preserve">. yami-balioburius </w:t>
      </w:r>
      <w:bookmarkEnd w:id="16"/>
      <w:r>
        <w:rPr>
          <w:rFonts w:cs="Times New Roman"/>
          <w:iCs/>
        </w:rPr>
        <w:t xml:space="preserve">clade are clearer following this study, several uncertainties remain; these warrant further investigation. </w:t>
      </w:r>
      <w:r>
        <w:rPr>
          <w:rFonts w:cs="Times New Roman"/>
        </w:rPr>
        <w:t>O</w:t>
      </w:r>
      <w:r w:rsidRPr="00E7423F">
        <w:rPr>
          <w:rFonts w:cs="Times New Roman"/>
        </w:rPr>
        <w:t>liver et al. (2018) provided genetic evidence for additional lineages in the</w:t>
      </w:r>
      <w:r>
        <w:rPr>
          <w:rFonts w:cs="Times New Roman"/>
        </w:rPr>
        <w:t xml:space="preserve"> </w:t>
      </w:r>
      <w:r>
        <w:rPr>
          <w:rFonts w:cs="Times New Roman"/>
          <w:i/>
          <w:iCs/>
        </w:rPr>
        <w:t xml:space="preserve">L. </w:t>
      </w:r>
      <w:r w:rsidRPr="00EA445F">
        <w:rPr>
          <w:rFonts w:cs="Times New Roman"/>
          <w:i/>
          <w:iCs/>
        </w:rPr>
        <w:t>yami</w:t>
      </w:r>
      <w:r>
        <w:rPr>
          <w:rFonts w:cs="Times New Roman"/>
          <w:i/>
          <w:iCs/>
        </w:rPr>
        <w:t xml:space="preserve">-balioburius </w:t>
      </w:r>
      <w:r>
        <w:rPr>
          <w:rFonts w:cs="Times New Roman"/>
        </w:rPr>
        <w:t xml:space="preserve">clade </w:t>
      </w:r>
      <w:r w:rsidRPr="00E7423F">
        <w:rPr>
          <w:rFonts w:cs="Times New Roman"/>
        </w:rPr>
        <w:t>(</w:t>
      </w:r>
      <w:r w:rsidRPr="00E7423F">
        <w:rPr>
          <w:rFonts w:cs="Times New Roman"/>
          <w:i/>
        </w:rPr>
        <w:t xml:space="preserve">L. </w:t>
      </w:r>
      <w:r w:rsidRPr="00E7423F">
        <w:rPr>
          <w:rFonts w:cs="Times New Roman"/>
        </w:rPr>
        <w:t>sp</w:t>
      </w:r>
      <w:r>
        <w:rPr>
          <w:rFonts w:cs="Times New Roman"/>
        </w:rPr>
        <w:t xml:space="preserve">. </w:t>
      </w:r>
      <w:r w:rsidRPr="00E7423F">
        <w:rPr>
          <w:rFonts w:cs="Times New Roman"/>
        </w:rPr>
        <w:t>6)</w:t>
      </w:r>
      <w:r>
        <w:rPr>
          <w:rFonts w:cs="Times New Roman"/>
        </w:rPr>
        <w:t xml:space="preserve"> and even from other nearby and distant insular nations (</w:t>
      </w:r>
      <w:r w:rsidRPr="008707C2">
        <w:rPr>
          <w:rFonts w:cs="Times New Roman"/>
        </w:rPr>
        <w:t xml:space="preserve">Fig. </w:t>
      </w:r>
      <w:r w:rsidR="008707C2" w:rsidRPr="008707C2">
        <w:rPr>
          <w:rFonts w:cs="Times New Roman"/>
        </w:rPr>
        <w:t>2</w:t>
      </w:r>
      <w:r>
        <w:rPr>
          <w:rFonts w:cs="Times New Roman"/>
        </w:rPr>
        <w:t xml:space="preserve">). </w:t>
      </w:r>
      <w:bookmarkStart w:id="17" w:name="_Hlk50757815"/>
      <w:r>
        <w:rPr>
          <w:rFonts w:cs="Times New Roman"/>
          <w:i/>
          <w:iCs/>
        </w:rPr>
        <w:t xml:space="preserve">Lepidodactylus </w:t>
      </w:r>
      <w:r>
        <w:rPr>
          <w:rFonts w:cs="Times New Roman"/>
        </w:rPr>
        <w:t xml:space="preserve">sp. 6, for example, from </w:t>
      </w:r>
      <w:r w:rsidRPr="0077444D">
        <w:rPr>
          <w:rFonts w:cs="Times New Roman"/>
        </w:rPr>
        <w:t>B</w:t>
      </w:r>
      <w:r>
        <w:rPr>
          <w:rFonts w:cs="Times New Roman"/>
        </w:rPr>
        <w:t>u</w:t>
      </w:r>
      <w:r w:rsidRPr="0077444D">
        <w:rPr>
          <w:rFonts w:cs="Times New Roman"/>
        </w:rPr>
        <w:t xml:space="preserve">lacan </w:t>
      </w:r>
      <w:r>
        <w:rPr>
          <w:rFonts w:cs="Times New Roman"/>
        </w:rPr>
        <w:t xml:space="preserve">Province likely represents yet another distinct lineage from Luzon. </w:t>
      </w:r>
      <w:bookmarkEnd w:id="17"/>
      <w:r>
        <w:rPr>
          <w:rFonts w:cs="Times New Roman"/>
        </w:rPr>
        <w:t>However, a</w:t>
      </w:r>
      <w:r w:rsidRPr="00E7423F">
        <w:rPr>
          <w:rFonts w:cs="Times New Roman"/>
        </w:rPr>
        <w:t>t the time of this study</w:t>
      </w:r>
      <w:r>
        <w:rPr>
          <w:rFonts w:cs="Times New Roman"/>
        </w:rPr>
        <w:t>,</w:t>
      </w:r>
      <w:r w:rsidRPr="00E7423F">
        <w:rPr>
          <w:rFonts w:cs="Times New Roman"/>
        </w:rPr>
        <w:t xml:space="preserve"> we were unable to obtain specimens of th</w:t>
      </w:r>
      <w:r>
        <w:rPr>
          <w:rFonts w:cs="Times New Roman"/>
        </w:rPr>
        <w:t>e</w:t>
      </w:r>
      <w:r w:rsidRPr="00E7423F">
        <w:rPr>
          <w:rFonts w:cs="Times New Roman"/>
        </w:rPr>
        <w:t>se putative lineages for examination</w:t>
      </w:r>
      <w:r>
        <w:rPr>
          <w:rFonts w:cs="Times New Roman"/>
        </w:rPr>
        <w:t xml:space="preserve"> of phenotypic variation and, therefore, cannot draw conclusions on their validity as potential species.</w:t>
      </w:r>
    </w:p>
    <w:p w14:paraId="23EF52B9" w14:textId="77777777" w:rsidR="00F6339D" w:rsidRDefault="00F6339D" w:rsidP="00F6339D">
      <w:pPr>
        <w:spacing w:line="480" w:lineRule="auto"/>
        <w:ind w:firstLine="360"/>
        <w:rPr>
          <w:rFonts w:cs="Times New Roman"/>
        </w:rPr>
      </w:pPr>
      <w:r>
        <w:rPr>
          <w:rFonts w:cs="Times New Roman"/>
        </w:rPr>
        <w:t xml:space="preserve">Additionally, one individual previously assigned to </w:t>
      </w:r>
      <w:r>
        <w:rPr>
          <w:rFonts w:cs="Times New Roman"/>
          <w:i/>
        </w:rPr>
        <w:t xml:space="preserve">L. </w:t>
      </w:r>
      <w:r>
        <w:rPr>
          <w:rFonts w:cs="Times New Roman"/>
        </w:rPr>
        <w:t>sp. 3 (</w:t>
      </w:r>
      <w:r w:rsidRPr="00E9412D">
        <w:rPr>
          <w:rFonts w:cs="Times New Roman"/>
        </w:rPr>
        <w:t>KU</w:t>
      </w:r>
      <w:r>
        <w:rPr>
          <w:rFonts w:cs="Times New Roman"/>
        </w:rPr>
        <w:t xml:space="preserve"> </w:t>
      </w:r>
      <w:r w:rsidRPr="00E9412D">
        <w:rPr>
          <w:rFonts w:cs="Times New Roman"/>
        </w:rPr>
        <w:t>327768</w:t>
      </w:r>
      <w:r>
        <w:rPr>
          <w:rFonts w:cs="Times New Roman"/>
        </w:rPr>
        <w:t xml:space="preserve">; Oliver et al. 2018) from Subic Bay on Luzon Island shows ~13% sequence divergence at the mitochondrial ND2 gene from the two </w:t>
      </w:r>
      <w:r>
        <w:rPr>
          <w:rFonts w:cs="Times New Roman"/>
          <w:i/>
        </w:rPr>
        <w:t>L. nakahiwalay</w:t>
      </w:r>
      <w:r>
        <w:rPr>
          <w:rFonts w:cs="Times New Roman"/>
        </w:rPr>
        <w:t xml:space="preserve"> type specimens. Furthermore, phylogenetic analyses failed to show strong support for the Subic Bay and Lubang Island populations as a monophyletic group. Unfortunately, due to the availability of a single specimen only from the Subic Bay population, we are not able to evaluate fully the distinctiveness of this lineage and reference it as </w:t>
      </w:r>
      <w:r>
        <w:rPr>
          <w:rFonts w:cs="Times New Roman"/>
          <w:i/>
          <w:iCs/>
        </w:rPr>
        <w:t xml:space="preserve">L. </w:t>
      </w:r>
      <w:r>
        <w:rPr>
          <w:rFonts w:cs="Times New Roman"/>
        </w:rPr>
        <w:t>sp. 7 pending the collection of additional vouchered material. Given this individual’s genetic divergence and the recognized biogeographic distinctiveness of this region of Luzon Island from the deep-ocean island of Lubang (Brown and Diesmos, 2009; Devon-Song and Brown 2012), it would not be surprising if the population from Subic is a distinct species.</w:t>
      </w:r>
    </w:p>
    <w:p w14:paraId="2F455601" w14:textId="2992EABE" w:rsidR="00F6339D" w:rsidRDefault="00F6339D" w:rsidP="00F6339D">
      <w:pPr>
        <w:spacing w:line="480" w:lineRule="auto"/>
        <w:ind w:firstLine="360"/>
        <w:rPr>
          <w:rFonts w:cs="Times New Roman"/>
        </w:rPr>
      </w:pPr>
      <w:r>
        <w:rPr>
          <w:rFonts w:cs="Times New Roman"/>
        </w:rPr>
        <w:t xml:space="preserve">Finally, although </w:t>
      </w:r>
      <w:r>
        <w:rPr>
          <w:rFonts w:cs="Times New Roman"/>
          <w:i/>
        </w:rPr>
        <w:t>L. babuyanensis</w:t>
      </w:r>
      <w:r>
        <w:rPr>
          <w:rFonts w:cs="Times New Roman"/>
        </w:rPr>
        <w:t xml:space="preserve"> is genetically distinct from both </w:t>
      </w:r>
      <w:r>
        <w:rPr>
          <w:rFonts w:cs="Times New Roman"/>
          <w:i/>
        </w:rPr>
        <w:t xml:space="preserve">L. yami </w:t>
      </w:r>
      <w:r>
        <w:rPr>
          <w:rFonts w:cs="Times New Roman"/>
        </w:rPr>
        <w:t xml:space="preserve">and </w:t>
      </w:r>
      <w:r>
        <w:rPr>
          <w:rFonts w:cs="Times New Roman"/>
          <w:i/>
        </w:rPr>
        <w:t>L. balioburius</w:t>
      </w:r>
      <w:r>
        <w:rPr>
          <w:rFonts w:cs="Times New Roman"/>
        </w:rPr>
        <w:t xml:space="preserve">, the latter two species show limited genetic differentiation from each other (&lt; 2.7%). Further complicating this situation, two individuals from </w:t>
      </w:r>
      <w:r w:rsidRPr="000C2D34">
        <w:rPr>
          <w:rFonts w:cs="Times New Roman"/>
        </w:rPr>
        <w:t xml:space="preserve">Sabtang </w:t>
      </w:r>
      <w:r>
        <w:rPr>
          <w:rFonts w:cs="Times New Roman"/>
        </w:rPr>
        <w:t xml:space="preserve">Island in the Batanes Island chain, assigned to </w:t>
      </w:r>
      <w:r>
        <w:rPr>
          <w:rFonts w:cs="Times New Roman"/>
          <w:i/>
        </w:rPr>
        <w:t>L. balioburius</w:t>
      </w:r>
      <w:r>
        <w:rPr>
          <w:rFonts w:cs="Times New Roman"/>
        </w:rPr>
        <w:t xml:space="preserve"> (</w:t>
      </w:r>
      <w:r w:rsidRPr="00E9412D">
        <w:rPr>
          <w:rFonts w:cs="Times New Roman"/>
        </w:rPr>
        <w:t>KU</w:t>
      </w:r>
      <w:r>
        <w:rPr>
          <w:rFonts w:cs="Times New Roman"/>
        </w:rPr>
        <w:t xml:space="preserve"> </w:t>
      </w:r>
      <w:r w:rsidRPr="00E9412D">
        <w:rPr>
          <w:rFonts w:cs="Times New Roman"/>
        </w:rPr>
        <w:t>314011</w:t>
      </w:r>
      <w:r>
        <w:rPr>
          <w:rFonts w:cs="Times New Roman"/>
        </w:rPr>
        <w:t xml:space="preserve">, 314012), exhibit less genetic distance from </w:t>
      </w:r>
      <w:r>
        <w:rPr>
          <w:rFonts w:cs="Times New Roman"/>
          <w:i/>
        </w:rPr>
        <w:t>L. yami</w:t>
      </w:r>
      <w:r>
        <w:rPr>
          <w:rFonts w:cs="Times New Roman"/>
        </w:rPr>
        <w:t xml:space="preserve"> (~2.0–2.1%) than they do from other members of </w:t>
      </w:r>
      <w:r>
        <w:rPr>
          <w:rFonts w:cs="Times New Roman"/>
          <w:i/>
        </w:rPr>
        <w:t>L. balioburius</w:t>
      </w:r>
      <w:r>
        <w:rPr>
          <w:rFonts w:cs="Times New Roman"/>
        </w:rPr>
        <w:t xml:space="preserve"> from Batan Island (~3.0–3.9%; </w:t>
      </w:r>
      <w:r w:rsidRPr="008707C2">
        <w:rPr>
          <w:rFonts w:cs="Times New Roman"/>
        </w:rPr>
        <w:t xml:space="preserve">Fig. </w:t>
      </w:r>
      <w:r w:rsidR="008707C2" w:rsidRPr="008707C2">
        <w:rPr>
          <w:rFonts w:cs="Times New Roman"/>
        </w:rPr>
        <w:t>2</w:t>
      </w:r>
      <w:r>
        <w:rPr>
          <w:rFonts w:cs="Times New Roman"/>
        </w:rPr>
        <w:t xml:space="preserve">). This is particularly puzzling because Sabtang is located less than 5 km away from Batan (the type locality of </w:t>
      </w:r>
      <w:r>
        <w:rPr>
          <w:rFonts w:cs="Times New Roman"/>
          <w:i/>
        </w:rPr>
        <w:t>L. balioburius</w:t>
      </w:r>
      <w:r>
        <w:rPr>
          <w:rFonts w:cs="Times New Roman"/>
        </w:rPr>
        <w:t xml:space="preserve">) and is over 170 km away from Lanyu (the type locality of </w:t>
      </w:r>
      <w:r>
        <w:rPr>
          <w:rFonts w:cs="Times New Roman"/>
          <w:i/>
        </w:rPr>
        <w:t>L. yami</w:t>
      </w:r>
      <w:r>
        <w:rPr>
          <w:rFonts w:cs="Times New Roman"/>
          <w:iCs/>
        </w:rPr>
        <w:t xml:space="preserve">; </w:t>
      </w:r>
      <w:r w:rsidRPr="004537CC">
        <w:rPr>
          <w:rFonts w:cs="Times New Roman"/>
          <w:iCs/>
        </w:rPr>
        <w:t>Fig. 7</w:t>
      </w:r>
      <w:r w:rsidRPr="004537CC">
        <w:rPr>
          <w:rFonts w:cs="Times New Roman"/>
        </w:rPr>
        <w:t>).</w:t>
      </w:r>
      <w:r>
        <w:rPr>
          <w:rFonts w:cs="Times New Roman"/>
        </w:rPr>
        <w:t xml:space="preserve"> Ota and Crombie (1989) struggled to find a single morphological trait to distinguish the two species and, instead, relied on a suite of traits for their diagnosis of </w:t>
      </w:r>
      <w:r>
        <w:rPr>
          <w:rFonts w:cs="Times New Roman"/>
          <w:i/>
        </w:rPr>
        <w:t>L. balioburius</w:t>
      </w:r>
      <w:r>
        <w:rPr>
          <w:rFonts w:cs="Times New Roman"/>
        </w:rPr>
        <w:t xml:space="preserve">. Now with phylogenetic evidence, the distinction between </w:t>
      </w:r>
      <w:r>
        <w:rPr>
          <w:rFonts w:cs="Times New Roman"/>
          <w:i/>
        </w:rPr>
        <w:t xml:space="preserve">L. yami </w:t>
      </w:r>
      <w:r>
        <w:rPr>
          <w:rFonts w:cs="Times New Roman"/>
        </w:rPr>
        <w:t xml:space="preserve">and </w:t>
      </w:r>
      <w:r>
        <w:rPr>
          <w:rFonts w:cs="Times New Roman"/>
          <w:i/>
        </w:rPr>
        <w:t xml:space="preserve">L. balioburius </w:t>
      </w:r>
      <w:r>
        <w:rPr>
          <w:rFonts w:cs="Times New Roman"/>
        </w:rPr>
        <w:t xml:space="preserve">is even less clear. In the description of </w:t>
      </w:r>
      <w:r>
        <w:rPr>
          <w:rFonts w:cs="Times New Roman"/>
          <w:i/>
        </w:rPr>
        <w:t xml:space="preserve">L. balioburius </w:t>
      </w:r>
      <w:r>
        <w:rPr>
          <w:rFonts w:cs="Times New Roman"/>
        </w:rPr>
        <w:t xml:space="preserve">(Ota and Crombie, 1989), type specimens were examined from Batan Island only; our expanded sampling and examinations of </w:t>
      </w:r>
      <w:r w:rsidRPr="00521A3A">
        <w:rPr>
          <w:rFonts w:cs="Times New Roman"/>
          <w:iCs/>
        </w:rPr>
        <w:t>specimens</w:t>
      </w:r>
      <w:r>
        <w:rPr>
          <w:rFonts w:cs="Times New Roman"/>
        </w:rPr>
        <w:t xml:space="preserve"> from throughout the Batanes and Babuyan Islands may find the two to be conspecific.</w:t>
      </w:r>
      <w:r w:rsidRPr="00566891">
        <w:rPr>
          <w:rFonts w:cs="Times New Roman"/>
        </w:rPr>
        <w:t xml:space="preserve"> </w:t>
      </w:r>
      <w:r>
        <w:rPr>
          <w:rFonts w:cs="Times New Roman"/>
        </w:rPr>
        <w:t xml:space="preserve">Due to our limited sample size for </w:t>
      </w:r>
      <w:r>
        <w:rPr>
          <w:rFonts w:cs="Times New Roman"/>
          <w:i/>
        </w:rPr>
        <w:t>L. yami</w:t>
      </w:r>
      <w:r>
        <w:rPr>
          <w:rFonts w:cs="Times New Roman"/>
        </w:rPr>
        <w:t xml:space="preserve">, we could not address the validity of </w:t>
      </w:r>
      <w:r>
        <w:rPr>
          <w:rFonts w:cs="Times New Roman"/>
          <w:i/>
        </w:rPr>
        <w:t xml:space="preserve">L. balioburius </w:t>
      </w:r>
      <w:r>
        <w:rPr>
          <w:rFonts w:cs="Times New Roman"/>
        </w:rPr>
        <w:t xml:space="preserve">and </w:t>
      </w:r>
      <w:r>
        <w:rPr>
          <w:rFonts w:cs="Times New Roman"/>
          <w:i/>
        </w:rPr>
        <w:t xml:space="preserve">L. yami </w:t>
      </w:r>
      <w:r>
        <w:rPr>
          <w:rFonts w:cs="Times New Roman"/>
        </w:rPr>
        <w:t>as distinct entities at this time.</w:t>
      </w:r>
    </w:p>
    <w:p w14:paraId="12013331" w14:textId="77777777" w:rsidR="00F6339D" w:rsidRDefault="00F6339D" w:rsidP="00F6339D">
      <w:pPr>
        <w:spacing w:line="480" w:lineRule="auto"/>
        <w:ind w:firstLine="360"/>
        <w:rPr>
          <w:rFonts w:cs="Times New Roman"/>
        </w:rPr>
      </w:pPr>
      <w:r>
        <w:rPr>
          <w:rFonts w:cs="Times New Roman"/>
        </w:rPr>
        <w:t>A biogeographic link between Luzon and Lanyu herpetofauna has been documented previously in skinks (</w:t>
      </w:r>
      <w:r w:rsidRPr="00566891">
        <w:rPr>
          <w:rFonts w:cs="Times New Roman"/>
        </w:rPr>
        <w:t xml:space="preserve">Ota </w:t>
      </w:r>
      <w:r>
        <w:rPr>
          <w:rFonts w:cs="Times New Roman"/>
        </w:rPr>
        <w:t>and</w:t>
      </w:r>
      <w:r w:rsidRPr="00566891">
        <w:rPr>
          <w:rFonts w:cs="Times New Roman"/>
        </w:rPr>
        <w:t xml:space="preserve"> Huang, 2000</w:t>
      </w:r>
      <w:r>
        <w:rPr>
          <w:rFonts w:cs="Times New Roman"/>
        </w:rPr>
        <w:t xml:space="preserve">) and even another gekkonid species in </w:t>
      </w:r>
      <w:r w:rsidRPr="00566891">
        <w:rPr>
          <w:rFonts w:cs="Times New Roman"/>
          <w:i/>
          <w:iCs/>
        </w:rPr>
        <w:t>G</w:t>
      </w:r>
      <w:r>
        <w:rPr>
          <w:rFonts w:cs="Times New Roman"/>
          <w:i/>
          <w:iCs/>
        </w:rPr>
        <w:t>ekko</w:t>
      </w:r>
      <w:r w:rsidRPr="00566891">
        <w:rPr>
          <w:rFonts w:cs="Times New Roman"/>
          <w:i/>
          <w:iCs/>
        </w:rPr>
        <w:t xml:space="preserve"> kikuchii</w:t>
      </w:r>
      <w:r>
        <w:rPr>
          <w:rFonts w:cs="Times New Roman"/>
        </w:rPr>
        <w:t xml:space="preserve"> (Siler et al. 2014c). Interestingly, both examples are believed to be conspecific with individuals from Luzon Island and possible recent introductions (</w:t>
      </w:r>
      <w:r w:rsidRPr="00566891">
        <w:rPr>
          <w:rFonts w:cs="Times New Roman"/>
        </w:rPr>
        <w:t xml:space="preserve">Ota </w:t>
      </w:r>
      <w:r>
        <w:rPr>
          <w:rFonts w:cs="Times New Roman"/>
        </w:rPr>
        <w:t>and</w:t>
      </w:r>
      <w:r w:rsidRPr="00566891">
        <w:rPr>
          <w:rFonts w:cs="Times New Roman"/>
        </w:rPr>
        <w:t xml:space="preserve"> Huang, 2000</w:t>
      </w:r>
      <w:r>
        <w:rPr>
          <w:rFonts w:cs="Times New Roman"/>
        </w:rPr>
        <w:t xml:space="preserve">; Siler et al. 2014c). The presence of </w:t>
      </w:r>
      <w:r>
        <w:rPr>
          <w:rFonts w:cs="Times New Roman"/>
          <w:i/>
          <w:iCs/>
        </w:rPr>
        <w:t>L. yami</w:t>
      </w:r>
      <w:r>
        <w:rPr>
          <w:rFonts w:cs="Times New Roman"/>
        </w:rPr>
        <w:t xml:space="preserve"> on Lanyu Island, a potential conspecific in </w:t>
      </w:r>
      <w:r>
        <w:rPr>
          <w:rFonts w:cs="Times New Roman"/>
          <w:i/>
          <w:iCs/>
        </w:rPr>
        <w:t xml:space="preserve">L. balioburius </w:t>
      </w:r>
      <w:r>
        <w:rPr>
          <w:rFonts w:cs="Times New Roman"/>
        </w:rPr>
        <w:t xml:space="preserve">in the Batanes Islands, and a discreet species in </w:t>
      </w:r>
      <w:r>
        <w:rPr>
          <w:rFonts w:cs="Times New Roman"/>
          <w:i/>
          <w:iCs/>
        </w:rPr>
        <w:t xml:space="preserve">L. babuyanensis </w:t>
      </w:r>
      <w:r>
        <w:rPr>
          <w:rFonts w:cs="Times New Roman"/>
        </w:rPr>
        <w:t xml:space="preserve">in the Babuyan Island chain provides an intriguing opportunity to study the dispersal and speciation of herpetofauna across deep ocean barriers in this intervening biogeographic region </w:t>
      </w:r>
      <w:r w:rsidRPr="004537CC">
        <w:rPr>
          <w:rFonts w:cs="Times New Roman"/>
        </w:rPr>
        <w:t>(Fig. 7).</w:t>
      </w:r>
      <w:r>
        <w:rPr>
          <w:rFonts w:cs="Times New Roman"/>
        </w:rPr>
        <w:t xml:space="preserve"> Along with untangling taxonomic relationships between </w:t>
      </w:r>
      <w:r>
        <w:rPr>
          <w:rFonts w:cs="Times New Roman"/>
          <w:i/>
          <w:iCs/>
        </w:rPr>
        <w:t xml:space="preserve">L. yami </w:t>
      </w:r>
      <w:r>
        <w:rPr>
          <w:rFonts w:cs="Times New Roman"/>
        </w:rPr>
        <w:t xml:space="preserve">and </w:t>
      </w:r>
      <w:r>
        <w:rPr>
          <w:rFonts w:cs="Times New Roman"/>
          <w:i/>
          <w:iCs/>
        </w:rPr>
        <w:t>L. balioburius</w:t>
      </w:r>
      <w:r>
        <w:rPr>
          <w:rFonts w:cs="Times New Roman"/>
        </w:rPr>
        <w:t>, future studies could examine the directionality with which gekkonid species have moved historically between the Philippines and Taiwan and investigate modalities of faunal exchange between deep-oceanic geographic barriers (Siler et al. 2014c).</w:t>
      </w:r>
    </w:p>
    <w:p w14:paraId="53159593" w14:textId="77777777" w:rsidR="00F6339D" w:rsidRDefault="00F6339D" w:rsidP="00F6339D">
      <w:pPr>
        <w:spacing w:line="480" w:lineRule="auto"/>
        <w:ind w:firstLine="360"/>
        <w:rPr>
          <w:rFonts w:cs="Times New Roman"/>
        </w:rPr>
      </w:pPr>
      <w:r>
        <w:rPr>
          <w:rFonts w:cs="Times New Roman"/>
        </w:rPr>
        <w:t xml:space="preserve">Despite this investigation, clarifying a small number of taxonomic uncertainties among Philippine </w:t>
      </w:r>
      <w:r>
        <w:rPr>
          <w:rFonts w:cs="Times New Roman"/>
          <w:i/>
          <w:iCs/>
        </w:rPr>
        <w:t>Lepidodactylus</w:t>
      </w:r>
      <w:r>
        <w:rPr>
          <w:rFonts w:cs="Times New Roman"/>
        </w:rPr>
        <w:t xml:space="preserve">, new systematic issues need further scrutiny to comprehend fully the relationships among Scaly-toed Geckos in the Philippines. Currently recognized taxa need further validation, and putative, novel lineages suggested by genetic data, should be explored. With over 20 gekkonid species having been described from the Philippines in the past decade alone </w:t>
      </w:r>
      <w:r w:rsidRPr="002A34DE">
        <w:rPr>
          <w:rFonts w:cs="Times New Roman"/>
        </w:rPr>
        <w:t xml:space="preserve">(Uetz </w:t>
      </w:r>
      <w:r>
        <w:rPr>
          <w:rFonts w:cs="Times New Roman"/>
        </w:rPr>
        <w:t>et al.</w:t>
      </w:r>
      <w:r w:rsidRPr="002A34DE">
        <w:rPr>
          <w:rFonts w:cs="Times New Roman"/>
        </w:rPr>
        <w:t xml:space="preserve"> 20</w:t>
      </w:r>
      <w:r>
        <w:rPr>
          <w:rFonts w:cs="Times New Roman"/>
        </w:rPr>
        <w:t>20</w:t>
      </w:r>
      <w:r w:rsidRPr="002A34DE">
        <w:rPr>
          <w:rFonts w:cs="Times New Roman"/>
        </w:rPr>
        <w:t>)</w:t>
      </w:r>
      <w:r>
        <w:rPr>
          <w:rFonts w:cs="Times New Roman"/>
        </w:rPr>
        <w:t xml:space="preserve">, our understanding of species diversity is improving rapidly, but still leaves many questions (Brown et al. 2020). Greater insight into Philippine gekkonid evolutionary lineage diversity will allow for novel, higher-level phylogenetic analyses </w:t>
      </w:r>
      <w:r w:rsidRPr="003B2D46">
        <w:rPr>
          <w:rFonts w:cs="Times New Roman"/>
        </w:rPr>
        <w:t>(Wood et al. 2020)</w:t>
      </w:r>
      <w:r>
        <w:rPr>
          <w:rFonts w:cs="Times New Roman"/>
        </w:rPr>
        <w:t xml:space="preserve"> which must further explore relationships among the genera </w:t>
      </w:r>
      <w:r>
        <w:rPr>
          <w:rFonts w:cs="Times New Roman"/>
          <w:i/>
        </w:rPr>
        <w:t>Lepidodactylus</w:t>
      </w:r>
      <w:r>
        <w:rPr>
          <w:rFonts w:cs="Times New Roman"/>
        </w:rPr>
        <w:t xml:space="preserve">, </w:t>
      </w:r>
      <w:r>
        <w:rPr>
          <w:rFonts w:cs="Times New Roman"/>
          <w:i/>
        </w:rPr>
        <w:t>Luperosaurus</w:t>
      </w:r>
      <w:r>
        <w:rPr>
          <w:rFonts w:cs="Times New Roman"/>
        </w:rPr>
        <w:t xml:space="preserve">, and </w:t>
      </w:r>
      <w:r>
        <w:rPr>
          <w:rFonts w:cs="Times New Roman"/>
          <w:i/>
        </w:rPr>
        <w:t>Pseudogekko</w:t>
      </w:r>
      <w:r>
        <w:rPr>
          <w:rFonts w:cs="Times New Roman"/>
        </w:rPr>
        <w:t>. In depth, densely sampled future studies of these focal clades provide particularly promising opportunities for improving our understanding of reptile diversification patterns across the complex landscape of the Philippine archipelago.</w:t>
      </w:r>
    </w:p>
    <w:p w14:paraId="7E17F9C5" w14:textId="77777777" w:rsidR="00F6339D" w:rsidRPr="004A5D1C" w:rsidRDefault="00F6339D" w:rsidP="00F6339D">
      <w:pPr>
        <w:spacing w:line="480" w:lineRule="auto"/>
        <w:ind w:firstLine="360"/>
        <w:rPr>
          <w:rFonts w:cs="Times New Roman"/>
        </w:rPr>
      </w:pPr>
    </w:p>
    <w:p w14:paraId="78D604CE" w14:textId="77777777" w:rsidR="00F6339D" w:rsidRPr="00B44947" w:rsidRDefault="00F6339D" w:rsidP="00F6339D">
      <w:pPr>
        <w:spacing w:line="480" w:lineRule="auto"/>
        <w:jc w:val="center"/>
        <w:rPr>
          <w:rFonts w:cs="Times New Roman"/>
          <w:smallCaps/>
        </w:rPr>
      </w:pPr>
      <w:r>
        <w:rPr>
          <w:rFonts w:cs="Times New Roman"/>
          <w:smallCaps/>
        </w:rPr>
        <w:t>Acknowledgements</w:t>
      </w:r>
    </w:p>
    <w:p w14:paraId="458357FC" w14:textId="77777777" w:rsidR="00F6339D" w:rsidRPr="00C25DCB" w:rsidRDefault="00F6339D" w:rsidP="00F6339D">
      <w:pPr>
        <w:spacing w:line="480" w:lineRule="auto"/>
        <w:ind w:firstLine="360"/>
        <w:rPr>
          <w:rFonts w:cs="Times New Roman"/>
        </w:rPr>
      </w:pPr>
      <w:r w:rsidRPr="00633D04">
        <w:rPr>
          <w:rFonts w:cs="Times New Roman"/>
        </w:rPr>
        <w:t xml:space="preserve">We thank the Biodiversity Management Bureau of the Philippine Department of Environment and Natural Resources for facilitating collecting and export permits necessary for this and related studies; we are particularly grateful to </w:t>
      </w:r>
      <w:r>
        <w:rPr>
          <w:rFonts w:cs="Times New Roman"/>
        </w:rPr>
        <w:t xml:space="preserve">R. L. Calderon, T. M. Tenazas, </w:t>
      </w:r>
      <w:r w:rsidRPr="00633D04">
        <w:rPr>
          <w:rFonts w:cs="Times New Roman"/>
        </w:rPr>
        <w:t>M. Lim, C. Custodio, J. de Leon, and A. Tagtag.</w:t>
      </w:r>
      <w:r>
        <w:rPr>
          <w:rFonts w:cs="Times New Roman"/>
        </w:rPr>
        <w:t xml:space="preserve"> </w:t>
      </w:r>
      <w:r w:rsidRPr="00633D04">
        <w:rPr>
          <w:rFonts w:cs="Times New Roman"/>
        </w:rPr>
        <w:t>Fieldwork was conducted under the Sam Noble Museum’s</w:t>
      </w:r>
      <w:r>
        <w:rPr>
          <w:rFonts w:cs="Times New Roman"/>
        </w:rPr>
        <w:t xml:space="preserve"> and KU Biodiversity Institute’s</w:t>
      </w:r>
      <w:r w:rsidRPr="00633D04">
        <w:rPr>
          <w:rFonts w:cs="Times New Roman"/>
        </w:rPr>
        <w:t xml:space="preserve"> existing Memorandum</w:t>
      </w:r>
      <w:r>
        <w:rPr>
          <w:rFonts w:cs="Times New Roman"/>
        </w:rPr>
        <w:t>s</w:t>
      </w:r>
      <w:r w:rsidRPr="00633D04">
        <w:rPr>
          <w:rFonts w:cs="Times New Roman"/>
        </w:rPr>
        <w:t xml:space="preserve"> of Agreement with the Biodiversity Management Bureau of the Philippines (20</w:t>
      </w:r>
      <w:r>
        <w:rPr>
          <w:rFonts w:cs="Times New Roman"/>
        </w:rPr>
        <w:t>1</w:t>
      </w:r>
      <w:r w:rsidRPr="00633D04">
        <w:rPr>
          <w:rFonts w:cs="Times New Roman"/>
        </w:rPr>
        <w:t>5–2020)</w:t>
      </w:r>
      <w:r>
        <w:rPr>
          <w:rFonts w:cs="Times New Roman"/>
        </w:rPr>
        <w:t xml:space="preserve"> and previous </w:t>
      </w:r>
      <w:r w:rsidRPr="00633D04">
        <w:rPr>
          <w:rFonts w:cs="Times New Roman"/>
        </w:rPr>
        <w:t>Memorandum</w:t>
      </w:r>
      <w:r>
        <w:rPr>
          <w:rFonts w:cs="Times New Roman"/>
        </w:rPr>
        <w:t>s</w:t>
      </w:r>
      <w:r w:rsidRPr="00633D04">
        <w:rPr>
          <w:rFonts w:cs="Times New Roman"/>
        </w:rPr>
        <w:t xml:space="preserve"> of Agreement</w:t>
      </w:r>
      <w:r>
        <w:rPr>
          <w:rFonts w:cs="Times New Roman"/>
        </w:rPr>
        <w:t xml:space="preserve"> between the </w:t>
      </w:r>
      <w:r w:rsidRPr="00633D04">
        <w:rPr>
          <w:rFonts w:cs="Times New Roman"/>
        </w:rPr>
        <w:t>Biodiversity Management Bureau</w:t>
      </w:r>
      <w:r>
        <w:rPr>
          <w:rFonts w:cs="Times New Roman"/>
        </w:rPr>
        <w:t xml:space="preserve"> and KU (2005–2014)</w:t>
      </w:r>
      <w:r w:rsidRPr="00633D04">
        <w:rPr>
          <w:rFonts w:cs="Times New Roman"/>
        </w:rPr>
        <w:t xml:space="preserve">, Gratuitous Permits to Collect </w:t>
      </w:r>
      <w:r>
        <w:rPr>
          <w:rFonts w:cs="Times New Roman"/>
        </w:rPr>
        <w:t xml:space="preserve">(OU: </w:t>
      </w:r>
      <w:r w:rsidRPr="00633D04">
        <w:rPr>
          <w:rFonts w:cs="Times New Roman"/>
        </w:rPr>
        <w:t xml:space="preserve">No. 247 </w:t>
      </w:r>
      <w:r>
        <w:rPr>
          <w:rFonts w:cs="Times New Roman"/>
        </w:rPr>
        <w:t>[</w:t>
      </w:r>
      <w:r w:rsidRPr="00633D04">
        <w:rPr>
          <w:rFonts w:cs="Times New Roman"/>
        </w:rPr>
        <w:t>2016</w:t>
      </w:r>
      <w:r>
        <w:rPr>
          <w:rFonts w:cs="Times New Roman"/>
        </w:rPr>
        <w:t xml:space="preserve">], </w:t>
      </w:r>
      <w:r w:rsidRPr="00633D04">
        <w:rPr>
          <w:rFonts w:cs="Times New Roman"/>
        </w:rPr>
        <w:t xml:space="preserve">260 </w:t>
      </w:r>
      <w:r>
        <w:rPr>
          <w:rFonts w:cs="Times New Roman"/>
        </w:rPr>
        <w:t>[</w:t>
      </w:r>
      <w:r w:rsidRPr="00633D04">
        <w:rPr>
          <w:rFonts w:cs="Times New Roman"/>
        </w:rPr>
        <w:t>Renewal</w:t>
      </w:r>
      <w:r>
        <w:rPr>
          <w:rFonts w:cs="Times New Roman"/>
        </w:rPr>
        <w:t>,</w:t>
      </w:r>
      <w:r w:rsidRPr="00633D04">
        <w:rPr>
          <w:rFonts w:cs="Times New Roman"/>
        </w:rPr>
        <w:t xml:space="preserve"> 2017</w:t>
      </w:r>
      <w:r>
        <w:rPr>
          <w:rFonts w:cs="Times New Roman"/>
        </w:rPr>
        <w:t xml:space="preserve">], 273 [Renewal, 2018]; KU: </w:t>
      </w:r>
      <w:r w:rsidRPr="004F2D86">
        <w:rPr>
          <w:rFonts w:cs="Times New Roman"/>
        </w:rPr>
        <w:t>Nos. 181 and 181</w:t>
      </w:r>
      <w:r>
        <w:rPr>
          <w:rFonts w:cs="Times New Roman"/>
        </w:rPr>
        <w:t>–</w:t>
      </w:r>
      <w:r w:rsidRPr="004F2D86">
        <w:rPr>
          <w:rFonts w:cs="Times New Roman"/>
        </w:rPr>
        <w:t>renewal [2006–2008], 185 [2009–2010], 187 [2011–2012] and 187 [2012–2013], 228 [2013–2014], 246 [2014–2015], 258 [2015–2016] and 270 [2016–2017] and 270</w:t>
      </w:r>
      <w:r>
        <w:rPr>
          <w:rFonts w:cs="Times New Roman"/>
        </w:rPr>
        <w:t>–</w:t>
      </w:r>
      <w:r w:rsidRPr="004F2D86">
        <w:rPr>
          <w:rFonts w:cs="Times New Roman"/>
        </w:rPr>
        <w:t>renewal [2017–2018])</w:t>
      </w:r>
      <w:r>
        <w:rPr>
          <w:rFonts w:cs="Times New Roman"/>
        </w:rPr>
        <w:t xml:space="preserve"> and </w:t>
      </w:r>
      <w:r w:rsidRPr="00633D04">
        <w:rPr>
          <w:rFonts w:cs="Times New Roman"/>
        </w:rPr>
        <w:t>Institutional Animal Care and Use Committee approved protocols R13</w:t>
      </w:r>
      <w:r>
        <w:rPr>
          <w:rFonts w:cs="Times New Roman"/>
        </w:rPr>
        <w:t>–</w:t>
      </w:r>
      <w:r w:rsidRPr="00633D04">
        <w:rPr>
          <w:rFonts w:cs="Times New Roman"/>
        </w:rPr>
        <w:t>012 and R17</w:t>
      </w:r>
      <w:r>
        <w:rPr>
          <w:rFonts w:cs="Times New Roman"/>
        </w:rPr>
        <w:t>–</w:t>
      </w:r>
      <w:r w:rsidRPr="00633D04">
        <w:rPr>
          <w:rFonts w:cs="Times New Roman"/>
        </w:rPr>
        <w:t>019</w:t>
      </w:r>
      <w:r>
        <w:rPr>
          <w:rFonts w:cs="Times New Roman"/>
        </w:rPr>
        <w:t xml:space="preserve"> (OU) and</w:t>
      </w:r>
      <w:r w:rsidRPr="004F2D86">
        <w:rPr>
          <w:rFonts w:cs="Times New Roman"/>
        </w:rPr>
        <w:t xml:space="preserve"> 158</w:t>
      </w:r>
      <w:r>
        <w:rPr>
          <w:rFonts w:cs="Times New Roman"/>
        </w:rPr>
        <w:t>–</w:t>
      </w:r>
      <w:r w:rsidRPr="004F2D86">
        <w:rPr>
          <w:rFonts w:cs="Times New Roman"/>
        </w:rPr>
        <w:t>04</w:t>
      </w:r>
      <w:r>
        <w:rPr>
          <w:rFonts w:cs="Times New Roman"/>
        </w:rPr>
        <w:t xml:space="preserve"> (KU)</w:t>
      </w:r>
      <w:r w:rsidRPr="00633D04">
        <w:rPr>
          <w:rFonts w:cs="Times New Roman"/>
        </w:rPr>
        <w:t xml:space="preserve">. </w:t>
      </w:r>
      <w:r w:rsidRPr="00C44127">
        <w:rPr>
          <w:rFonts w:cs="Times New Roman"/>
        </w:rPr>
        <w:t xml:space="preserve">Fieldwork and lab </w:t>
      </w:r>
      <w:r w:rsidRPr="00FE2FB7">
        <w:rPr>
          <w:rFonts w:cs="Times New Roman"/>
        </w:rPr>
        <w:t>work were sup</w:t>
      </w:r>
      <w:r w:rsidRPr="00CE7040">
        <w:rPr>
          <w:rFonts w:cs="Times New Roman"/>
        </w:rPr>
        <w:t>por</w:t>
      </w:r>
      <w:r w:rsidRPr="0064161F">
        <w:rPr>
          <w:rFonts w:cs="Times New Roman"/>
        </w:rPr>
        <w:t>te</w:t>
      </w:r>
      <w:r w:rsidRPr="00AF0FB3">
        <w:rPr>
          <w:rFonts w:cs="Times New Roman"/>
        </w:rPr>
        <w:t>d by National Science Foundation grants to CDS (</w:t>
      </w:r>
      <w:r w:rsidRPr="00CE7040">
        <w:rPr>
          <w:rFonts w:cs="Times New Roman"/>
        </w:rPr>
        <w:t>IOS 1353683 and DEB 1657648</w:t>
      </w:r>
      <w:r>
        <w:rPr>
          <w:rFonts w:cs="Times New Roman"/>
        </w:rPr>
        <w:t xml:space="preserve">, </w:t>
      </w:r>
      <w:r w:rsidRPr="00CE7040">
        <w:rPr>
          <w:rFonts w:cs="Times New Roman"/>
        </w:rPr>
        <w:t>0804115</w:t>
      </w:r>
      <w:r w:rsidRPr="00AF0FB3">
        <w:rPr>
          <w:rFonts w:cs="Times New Roman"/>
        </w:rPr>
        <w:t xml:space="preserve">) and RMB (DEB </w:t>
      </w:r>
      <w:r w:rsidRPr="00CE7040">
        <w:rPr>
          <w:rFonts w:cs="Times New Roman"/>
        </w:rPr>
        <w:t>0073199, 0743491, 0640737, 1418895, 1654388</w:t>
      </w:r>
      <w:r w:rsidRPr="00AF0FB3">
        <w:rPr>
          <w:rFonts w:cs="Times New Roman"/>
        </w:rPr>
        <w:t>).</w:t>
      </w:r>
      <w:r>
        <w:rPr>
          <w:rFonts w:cs="Times New Roman"/>
        </w:rPr>
        <w:t xml:space="preserve"> </w:t>
      </w:r>
      <w:r w:rsidRPr="00C44127">
        <w:rPr>
          <w:rFonts w:cs="Times New Roman"/>
        </w:rPr>
        <w:t>We thank the Philippine</w:t>
      </w:r>
      <w:r>
        <w:rPr>
          <w:rFonts w:cs="Times New Roman"/>
        </w:rPr>
        <w:t>-</w:t>
      </w:r>
      <w:r w:rsidRPr="00C44127">
        <w:rPr>
          <w:rFonts w:cs="Times New Roman"/>
        </w:rPr>
        <w:t xml:space="preserve">American Education Foundation for its continued support of student research initiatives. </w:t>
      </w:r>
      <w:r w:rsidRPr="00633D04">
        <w:rPr>
          <w:rFonts w:cs="Times New Roman"/>
        </w:rPr>
        <w:t xml:space="preserve">For access to the Sam Noble Museum Invertebrate Paleontology Stacking Photography Lab, S. Westrop and R. Burkhalter are appreciated. </w:t>
      </w:r>
      <w:r>
        <w:rPr>
          <w:rFonts w:cs="Times New Roman"/>
        </w:rPr>
        <w:t>We thank</w:t>
      </w:r>
      <w:r w:rsidRPr="00633D04">
        <w:rPr>
          <w:rFonts w:cs="Times New Roman"/>
        </w:rPr>
        <w:t xml:space="preserve"> </w:t>
      </w:r>
      <w:r>
        <w:rPr>
          <w:rFonts w:cs="Times New Roman"/>
        </w:rPr>
        <w:t>J.</w:t>
      </w:r>
      <w:r w:rsidRPr="00633D04">
        <w:rPr>
          <w:rFonts w:cs="Times New Roman"/>
        </w:rPr>
        <w:t xml:space="preserve"> Fernandez and the Philippine Field Team for </w:t>
      </w:r>
      <w:r>
        <w:rPr>
          <w:rFonts w:cs="Times New Roman"/>
        </w:rPr>
        <w:t xml:space="preserve">assistance in conducting </w:t>
      </w:r>
      <w:r w:rsidRPr="00633D04">
        <w:rPr>
          <w:rFonts w:cs="Times New Roman"/>
        </w:rPr>
        <w:t xml:space="preserve">faunal surveys. </w:t>
      </w:r>
      <w:r w:rsidRPr="00AF0FB3">
        <w:rPr>
          <w:rFonts w:cs="Times New Roman"/>
        </w:rPr>
        <w:t xml:space="preserve">For the loans of </w:t>
      </w:r>
      <w:r w:rsidRPr="00B31C4D">
        <w:rPr>
          <w:rFonts w:cs="Times New Roman"/>
        </w:rPr>
        <w:t>specimens</w:t>
      </w:r>
      <w:r>
        <w:rPr>
          <w:rFonts w:cs="Times New Roman"/>
        </w:rPr>
        <w:t>,</w:t>
      </w:r>
      <w:r w:rsidRPr="00AF0FB3">
        <w:rPr>
          <w:rFonts w:cs="Times New Roman"/>
        </w:rPr>
        <w:t xml:space="preserve"> we thank J. Vindum and A. Leviton (C</w:t>
      </w:r>
      <w:r>
        <w:rPr>
          <w:rFonts w:cs="Times New Roman"/>
        </w:rPr>
        <w:t>A</w:t>
      </w:r>
      <w:r w:rsidRPr="00AF0FB3">
        <w:rPr>
          <w:rFonts w:cs="Times New Roman"/>
        </w:rPr>
        <w:t>S)</w:t>
      </w:r>
      <w:r>
        <w:rPr>
          <w:rFonts w:cs="Times New Roman"/>
        </w:rPr>
        <w:t>, J. Hanken and J. Rosado (MCZ), T. LaDuc (TNHC), and K. de Queiroz (USNM)</w:t>
      </w:r>
      <w:r w:rsidRPr="00AF0FB3">
        <w:rPr>
          <w:rFonts w:cs="Times New Roman"/>
        </w:rPr>
        <w:t>. Helpful comments on this manuscript were provided by the Siler lab group</w:t>
      </w:r>
      <w:r>
        <w:rPr>
          <w:rFonts w:cs="Times New Roman"/>
        </w:rPr>
        <w:t>. We thank Michael Harvey and two anonymous reviewers whose suggestions improved this manuscript.</w:t>
      </w:r>
    </w:p>
    <w:p w14:paraId="5AD32FD8" w14:textId="77777777" w:rsidR="00F6339D" w:rsidRPr="00E7423F" w:rsidRDefault="00F6339D" w:rsidP="00F6339D">
      <w:pPr>
        <w:spacing w:line="480" w:lineRule="auto"/>
        <w:rPr>
          <w:rFonts w:cs="Times New Roman"/>
        </w:rPr>
      </w:pPr>
    </w:p>
    <w:p w14:paraId="72DF4E61" w14:textId="77777777" w:rsidR="00F6339D" w:rsidRPr="00BC5E90" w:rsidRDefault="00F6339D" w:rsidP="00F6339D">
      <w:pPr>
        <w:spacing w:line="480" w:lineRule="auto"/>
        <w:jc w:val="center"/>
        <w:rPr>
          <w:rFonts w:cs="Times New Roman"/>
          <w:bCs/>
          <w:smallCaps/>
          <w:color w:val="000000" w:themeColor="text1"/>
        </w:rPr>
      </w:pPr>
      <w:r w:rsidRPr="00BC5E90">
        <w:rPr>
          <w:rFonts w:cs="Times New Roman"/>
          <w:bCs/>
          <w:smallCaps/>
          <w:color w:val="000000" w:themeColor="text1"/>
        </w:rPr>
        <w:t>Literature Cited</w:t>
      </w:r>
    </w:p>
    <w:p w14:paraId="7BCEC211" w14:textId="77777777" w:rsidR="00F6339D" w:rsidRPr="00BC5E90" w:rsidRDefault="00F6339D" w:rsidP="00F6339D">
      <w:pPr>
        <w:spacing w:line="480" w:lineRule="auto"/>
        <w:ind w:left="360" w:hanging="360"/>
        <w:rPr>
          <w:rFonts w:cs="Times New Roman"/>
          <w:color w:val="000000" w:themeColor="text1"/>
        </w:rPr>
      </w:pPr>
      <w:r w:rsidRPr="00BC5E90">
        <w:rPr>
          <w:rFonts w:cs="Times New Roman"/>
          <w:color w:val="000000" w:themeColor="text1"/>
        </w:rPr>
        <w:t>Bauer, A.M., and K.H. Henle. 1994. Gekkonidae (Reptilia, Sauria) Part I Australia and Oceania. Das Tierreich 109, De Gruyter, Germany.</w:t>
      </w:r>
    </w:p>
    <w:p w14:paraId="45F7F67E" w14:textId="77777777" w:rsidR="00F6339D" w:rsidRPr="002D5891" w:rsidRDefault="00F6339D" w:rsidP="00F6339D">
      <w:pPr>
        <w:spacing w:line="480" w:lineRule="auto"/>
        <w:ind w:left="360" w:hanging="360"/>
        <w:rPr>
          <w:rFonts w:cs="Times New Roman"/>
          <w:color w:val="000000" w:themeColor="text1"/>
          <w:lang w:val="de-DE"/>
        </w:rPr>
      </w:pPr>
      <w:r w:rsidRPr="002D5891">
        <w:rPr>
          <w:rFonts w:cs="Times New Roman"/>
          <w:color w:val="000000" w:themeColor="text1"/>
          <w:lang w:val="de-DE"/>
        </w:rPr>
        <w:t>Boettger, O. 1897. Neue reptilien und batrachier von den Philippinen. Zoologischer Anzeiger 20:161–166.</w:t>
      </w:r>
    </w:p>
    <w:p w14:paraId="54B82467" w14:textId="77777777" w:rsidR="00F6339D" w:rsidRDefault="00F6339D" w:rsidP="00F6339D">
      <w:pPr>
        <w:spacing w:line="480" w:lineRule="auto"/>
        <w:ind w:left="360" w:hanging="360"/>
        <w:rPr>
          <w:rFonts w:cs="Times New Roman"/>
          <w:color w:val="000000" w:themeColor="text1"/>
        </w:rPr>
      </w:pPr>
      <w:r w:rsidRPr="002D5891">
        <w:rPr>
          <w:rFonts w:cs="Times New Roman"/>
          <w:color w:val="000000" w:themeColor="text1"/>
          <w:lang w:val="de-DE"/>
        </w:rPr>
        <w:t xml:space="preserve">Boulenger, G.A. 1885. Catalogue of the Lizards in the British Museum (Natural History), Volume 1, Geckonidae, Eublepharidae, Uroplatidae, Pygopodidae, Agamidae. </w:t>
      </w:r>
      <w:r w:rsidRPr="00B502DD">
        <w:rPr>
          <w:rFonts w:cs="Times New Roman"/>
          <w:color w:val="000000" w:themeColor="text1"/>
        </w:rPr>
        <w:t>Order of the Trustees, UK.</w:t>
      </w:r>
    </w:p>
    <w:p w14:paraId="37595B16" w14:textId="77777777" w:rsidR="00F6339D" w:rsidRPr="00B502DD" w:rsidRDefault="00F6339D" w:rsidP="00F6339D">
      <w:pPr>
        <w:spacing w:line="480" w:lineRule="auto"/>
        <w:ind w:left="360" w:hanging="360"/>
        <w:rPr>
          <w:rFonts w:cs="Times New Roman"/>
          <w:color w:val="000000" w:themeColor="text1"/>
        </w:rPr>
      </w:pPr>
      <w:r w:rsidRPr="00B502DD">
        <w:rPr>
          <w:rFonts w:cs="Times New Roman"/>
          <w:color w:val="000000" w:themeColor="text1"/>
        </w:rPr>
        <w:t xml:space="preserve">Boulenger, G.A. 1887. Second contribution to the herpetology of the Solomon </w:t>
      </w:r>
      <w:r>
        <w:rPr>
          <w:rFonts w:cs="Times New Roman"/>
          <w:color w:val="000000" w:themeColor="text1"/>
        </w:rPr>
        <w:t>I</w:t>
      </w:r>
      <w:r w:rsidRPr="00B502DD">
        <w:rPr>
          <w:rFonts w:cs="Times New Roman"/>
          <w:color w:val="000000" w:themeColor="text1"/>
        </w:rPr>
        <w:t>slands. Proc</w:t>
      </w:r>
      <w:r>
        <w:rPr>
          <w:rFonts w:cs="Times New Roman"/>
          <w:color w:val="000000" w:themeColor="text1"/>
        </w:rPr>
        <w:t xml:space="preserve">eedings of the </w:t>
      </w:r>
      <w:r w:rsidRPr="00B502DD">
        <w:rPr>
          <w:rFonts w:cs="Times New Roman"/>
          <w:color w:val="000000" w:themeColor="text1"/>
        </w:rPr>
        <w:t>Zool</w:t>
      </w:r>
      <w:r>
        <w:rPr>
          <w:rFonts w:cs="Times New Roman"/>
          <w:color w:val="000000" w:themeColor="text1"/>
        </w:rPr>
        <w:t>ogical</w:t>
      </w:r>
      <w:r w:rsidRPr="00B502DD">
        <w:rPr>
          <w:rFonts w:cs="Times New Roman"/>
          <w:color w:val="000000" w:themeColor="text1"/>
        </w:rPr>
        <w:t xml:space="preserve"> Soc</w:t>
      </w:r>
      <w:r>
        <w:rPr>
          <w:rFonts w:cs="Times New Roman"/>
          <w:color w:val="000000" w:themeColor="text1"/>
        </w:rPr>
        <w:t>iety of</w:t>
      </w:r>
      <w:r w:rsidRPr="00B502DD">
        <w:rPr>
          <w:rFonts w:cs="Times New Roman"/>
          <w:color w:val="000000" w:themeColor="text1"/>
        </w:rPr>
        <w:t xml:space="preserve"> London 1887:333</w:t>
      </w:r>
      <w:r>
        <w:rPr>
          <w:rFonts w:cs="Times New Roman"/>
          <w:color w:val="000000" w:themeColor="text1"/>
        </w:rPr>
        <w:t>–</w:t>
      </w:r>
      <w:r w:rsidRPr="00B502DD">
        <w:rPr>
          <w:rFonts w:cs="Times New Roman"/>
          <w:color w:val="000000" w:themeColor="text1"/>
        </w:rPr>
        <w:t>340.</w:t>
      </w:r>
    </w:p>
    <w:p w14:paraId="7A082265" w14:textId="77777777" w:rsidR="00F6339D" w:rsidRPr="00B502DD" w:rsidRDefault="00F6339D" w:rsidP="00F6339D">
      <w:pPr>
        <w:spacing w:line="480" w:lineRule="auto"/>
        <w:ind w:left="360" w:hanging="360"/>
        <w:rPr>
          <w:rFonts w:cs="Times New Roman"/>
          <w:color w:val="000000" w:themeColor="text1"/>
        </w:rPr>
      </w:pPr>
      <w:r w:rsidRPr="00B502DD">
        <w:rPr>
          <w:rFonts w:cs="Times New Roman"/>
          <w:color w:val="000000" w:themeColor="text1"/>
        </w:rPr>
        <w:t>Brown, R</w:t>
      </w:r>
      <w:r>
        <w:rPr>
          <w:rFonts w:cs="Times New Roman"/>
          <w:color w:val="000000" w:themeColor="text1"/>
        </w:rPr>
        <w:t>.</w:t>
      </w:r>
      <w:r w:rsidRPr="00B502DD">
        <w:rPr>
          <w:rFonts w:cs="Times New Roman"/>
          <w:color w:val="000000" w:themeColor="text1"/>
        </w:rPr>
        <w:t>M., and S</w:t>
      </w:r>
      <w:r>
        <w:rPr>
          <w:rFonts w:cs="Times New Roman"/>
          <w:color w:val="000000" w:themeColor="text1"/>
        </w:rPr>
        <w:t>.</w:t>
      </w:r>
      <w:r w:rsidRPr="00B502DD">
        <w:rPr>
          <w:rFonts w:cs="Times New Roman"/>
          <w:color w:val="000000" w:themeColor="text1"/>
        </w:rPr>
        <w:t xml:space="preserve">I. Guttman. </w:t>
      </w:r>
      <w:r>
        <w:rPr>
          <w:rFonts w:cs="Times New Roman"/>
          <w:color w:val="000000" w:themeColor="text1"/>
        </w:rPr>
        <w:t xml:space="preserve">2002. </w:t>
      </w:r>
      <w:r w:rsidRPr="00B502DD">
        <w:rPr>
          <w:rFonts w:cs="Times New Roman"/>
          <w:color w:val="000000" w:themeColor="text1"/>
        </w:rPr>
        <w:t xml:space="preserve">Phylogenetic systematics of the </w:t>
      </w:r>
      <w:r w:rsidRPr="00580021">
        <w:rPr>
          <w:rFonts w:cs="Times New Roman"/>
          <w:i/>
          <w:color w:val="000000" w:themeColor="text1"/>
        </w:rPr>
        <w:t>Rana signata</w:t>
      </w:r>
      <w:r w:rsidRPr="00B502DD">
        <w:rPr>
          <w:rFonts w:cs="Times New Roman"/>
          <w:color w:val="000000" w:themeColor="text1"/>
        </w:rPr>
        <w:t xml:space="preserve"> complex of Philippine and Bornean stream frogs: </w:t>
      </w:r>
      <w:r>
        <w:rPr>
          <w:rFonts w:cs="Times New Roman"/>
          <w:color w:val="000000" w:themeColor="text1"/>
        </w:rPr>
        <w:t>R</w:t>
      </w:r>
      <w:r w:rsidRPr="00B502DD">
        <w:rPr>
          <w:rFonts w:cs="Times New Roman"/>
          <w:color w:val="000000" w:themeColor="text1"/>
        </w:rPr>
        <w:t>econsideration of Huxley's modification of Wallace's Line at the Oriental</w:t>
      </w:r>
      <w:r>
        <w:rPr>
          <w:rFonts w:cs="Times New Roman"/>
          <w:color w:val="000000" w:themeColor="text1"/>
        </w:rPr>
        <w:t>-</w:t>
      </w:r>
      <w:r w:rsidRPr="00B502DD">
        <w:rPr>
          <w:rFonts w:cs="Times New Roman"/>
          <w:color w:val="000000" w:themeColor="text1"/>
        </w:rPr>
        <w:t>Australian faunal zone interface.</w:t>
      </w:r>
      <w:r w:rsidRPr="00580021">
        <w:rPr>
          <w:rFonts w:cs="Times New Roman"/>
          <w:iCs/>
          <w:color w:val="000000" w:themeColor="text1"/>
        </w:rPr>
        <w:t xml:space="preserve"> Biological Journal of the Linnean Society</w:t>
      </w:r>
      <w:r>
        <w:rPr>
          <w:rFonts w:cs="Times New Roman"/>
          <w:color w:val="000000" w:themeColor="text1"/>
        </w:rPr>
        <w:t xml:space="preserve"> </w:t>
      </w:r>
      <w:r w:rsidRPr="00B502DD">
        <w:rPr>
          <w:rFonts w:cs="Times New Roman"/>
          <w:color w:val="000000" w:themeColor="text1"/>
        </w:rPr>
        <w:t>76:393</w:t>
      </w:r>
      <w:r>
        <w:rPr>
          <w:rFonts w:cs="Times New Roman"/>
          <w:color w:val="000000" w:themeColor="text1"/>
        </w:rPr>
        <w:t>–</w:t>
      </w:r>
      <w:r w:rsidRPr="00B502DD">
        <w:rPr>
          <w:rFonts w:cs="Times New Roman"/>
          <w:color w:val="000000" w:themeColor="text1"/>
        </w:rPr>
        <w:t>461.</w:t>
      </w:r>
    </w:p>
    <w:p w14:paraId="251C80DE" w14:textId="77777777" w:rsidR="00F6339D" w:rsidRDefault="00F6339D" w:rsidP="00F6339D">
      <w:pPr>
        <w:spacing w:line="480" w:lineRule="auto"/>
        <w:ind w:left="360" w:hanging="360"/>
        <w:rPr>
          <w:rFonts w:cs="Times New Roman"/>
          <w:color w:val="000000" w:themeColor="text1"/>
        </w:rPr>
      </w:pPr>
      <w:r w:rsidRPr="00B502DD">
        <w:rPr>
          <w:rFonts w:cs="Times New Roman"/>
          <w:color w:val="000000" w:themeColor="text1"/>
        </w:rPr>
        <w:t>Brown, R.M., A.C. Diesmos and M.V. Duya</w:t>
      </w:r>
      <w:r>
        <w:rPr>
          <w:rFonts w:cs="Times New Roman"/>
          <w:color w:val="000000" w:themeColor="text1"/>
        </w:rPr>
        <w:t>.</w:t>
      </w:r>
      <w:r w:rsidRPr="00B502DD">
        <w:rPr>
          <w:rFonts w:cs="Times New Roman"/>
          <w:color w:val="000000" w:themeColor="text1"/>
        </w:rPr>
        <w:t xml:space="preserve"> 2007. A new </w:t>
      </w:r>
      <w:r w:rsidRPr="00DC1DFB">
        <w:rPr>
          <w:rFonts w:cs="Times New Roman"/>
          <w:i/>
          <w:color w:val="000000" w:themeColor="text1"/>
        </w:rPr>
        <w:t>Luperosaurus</w:t>
      </w:r>
      <w:r w:rsidRPr="00B502DD">
        <w:rPr>
          <w:rFonts w:cs="Times New Roman"/>
          <w:color w:val="000000" w:themeColor="text1"/>
        </w:rPr>
        <w:t xml:space="preserve"> (Squamata: Gekkonidae) from the Sierra Madre of Luzon Island, Philippines.</w:t>
      </w:r>
      <w:r>
        <w:rPr>
          <w:rFonts w:cs="Times New Roman"/>
          <w:color w:val="000000" w:themeColor="text1"/>
        </w:rPr>
        <w:t xml:space="preserve"> </w:t>
      </w:r>
      <w:r w:rsidRPr="00DC1DFB">
        <w:rPr>
          <w:rFonts w:cs="Times New Roman"/>
          <w:iCs/>
          <w:color w:val="000000" w:themeColor="text1"/>
        </w:rPr>
        <w:t>Raffles Bulletin of Zoology</w:t>
      </w:r>
      <w:r>
        <w:rPr>
          <w:rFonts w:cs="Times New Roman"/>
          <w:color w:val="000000" w:themeColor="text1"/>
        </w:rPr>
        <w:t xml:space="preserve"> 55:</w:t>
      </w:r>
      <w:r w:rsidRPr="00B502DD">
        <w:rPr>
          <w:rFonts w:cs="Times New Roman"/>
          <w:color w:val="000000" w:themeColor="text1"/>
        </w:rPr>
        <w:t>167</w:t>
      </w:r>
      <w:r>
        <w:rPr>
          <w:rFonts w:cs="Times New Roman"/>
          <w:color w:val="000000" w:themeColor="text1"/>
        </w:rPr>
        <w:t>–</w:t>
      </w:r>
      <w:r w:rsidRPr="00B502DD">
        <w:rPr>
          <w:rFonts w:cs="Times New Roman"/>
          <w:color w:val="000000" w:themeColor="text1"/>
        </w:rPr>
        <w:t>174</w:t>
      </w:r>
      <w:r>
        <w:rPr>
          <w:rFonts w:cs="Times New Roman"/>
          <w:color w:val="000000" w:themeColor="text1"/>
        </w:rPr>
        <w:t>.</w:t>
      </w:r>
    </w:p>
    <w:p w14:paraId="51888802" w14:textId="77777777" w:rsidR="00F6339D" w:rsidRPr="00E00D5E" w:rsidRDefault="00F6339D" w:rsidP="00F6339D">
      <w:pPr>
        <w:spacing w:line="480" w:lineRule="auto"/>
        <w:ind w:left="360" w:hanging="360"/>
        <w:rPr>
          <w:rFonts w:cs="Times New Roman"/>
          <w:color w:val="000000" w:themeColor="text1"/>
        </w:rPr>
      </w:pPr>
      <w:r w:rsidRPr="00E00D5E">
        <w:rPr>
          <w:rFonts w:cs="Times New Roman"/>
          <w:color w:val="000000" w:themeColor="text1"/>
        </w:rPr>
        <w:t xml:space="preserve">Brown, R.M., C.H. Oliveros, C.D. Siler and A.C. Diesmos. 2008. A new </w:t>
      </w:r>
      <w:r w:rsidRPr="00E00D5E">
        <w:rPr>
          <w:rFonts w:cs="Times New Roman"/>
          <w:i/>
          <w:color w:val="000000" w:themeColor="text1"/>
        </w:rPr>
        <w:t>Gekko</w:t>
      </w:r>
      <w:r w:rsidRPr="00E00D5E">
        <w:rPr>
          <w:rFonts w:cs="Times New Roman"/>
          <w:color w:val="000000" w:themeColor="text1"/>
        </w:rPr>
        <w:t xml:space="preserve"> from the Babuyan Islands, northern Philippines.</w:t>
      </w:r>
      <w:r>
        <w:rPr>
          <w:rFonts w:cs="Times New Roman"/>
          <w:color w:val="000000" w:themeColor="text1"/>
        </w:rPr>
        <w:t xml:space="preserve"> </w:t>
      </w:r>
      <w:r w:rsidRPr="00E00D5E">
        <w:rPr>
          <w:rFonts w:cs="Times New Roman"/>
          <w:iCs/>
          <w:color w:val="000000" w:themeColor="text1"/>
        </w:rPr>
        <w:t>Herpetologica</w:t>
      </w:r>
      <w:r w:rsidRPr="00E00D5E">
        <w:rPr>
          <w:rFonts w:cs="Times New Roman"/>
          <w:color w:val="000000" w:themeColor="text1"/>
        </w:rPr>
        <w:t xml:space="preserve"> 64:305–320.</w:t>
      </w:r>
    </w:p>
    <w:p w14:paraId="7DD699E0" w14:textId="77777777" w:rsidR="00F6339D" w:rsidRPr="00E00D5E" w:rsidRDefault="00F6339D" w:rsidP="00F6339D">
      <w:pPr>
        <w:spacing w:line="480" w:lineRule="auto"/>
        <w:ind w:left="360" w:hanging="360"/>
        <w:rPr>
          <w:rFonts w:cs="Times New Roman"/>
          <w:color w:val="000000" w:themeColor="text1"/>
        </w:rPr>
      </w:pPr>
      <w:r w:rsidRPr="00D54410">
        <w:rPr>
          <w:rFonts w:cs="Times New Roman"/>
          <w:color w:val="000000" w:themeColor="text1"/>
        </w:rPr>
        <w:t>Brown, R.M., and A.C. Diesmos. 2009. Philippines, biology. Pp. 723–732 in Encyclopedia of Islands (R. Gillespie and D. Clague, eds.). University of California Press, USA.</w:t>
      </w:r>
    </w:p>
    <w:p w14:paraId="2CDA2ED2" w14:textId="77777777" w:rsidR="00F6339D" w:rsidRDefault="00F6339D" w:rsidP="00F6339D">
      <w:pPr>
        <w:spacing w:line="480" w:lineRule="auto"/>
        <w:ind w:left="360" w:hanging="360"/>
        <w:rPr>
          <w:rFonts w:cs="Times New Roman"/>
          <w:color w:val="000000" w:themeColor="text1"/>
        </w:rPr>
      </w:pPr>
      <w:r w:rsidRPr="00E00D5E">
        <w:rPr>
          <w:rFonts w:cs="Times New Roman"/>
          <w:color w:val="000000" w:themeColor="text1"/>
        </w:rPr>
        <w:t xml:space="preserve">Brown, R.M., C. Oliveros, C.D. Siler and A.C. Diesmos. 2009. Phylogeny of </w:t>
      </w:r>
      <w:r w:rsidRPr="00E00D5E">
        <w:rPr>
          <w:rFonts w:cs="Times New Roman"/>
          <w:i/>
          <w:color w:val="000000" w:themeColor="text1"/>
        </w:rPr>
        <w:t>Gekko</w:t>
      </w:r>
      <w:r w:rsidRPr="00E00D5E">
        <w:rPr>
          <w:rFonts w:cs="Times New Roman"/>
          <w:color w:val="000000" w:themeColor="text1"/>
        </w:rPr>
        <w:t xml:space="preserve"> from the northern Philippines, and description</w:t>
      </w:r>
      <w:r w:rsidRPr="00B502DD">
        <w:rPr>
          <w:rFonts w:cs="Times New Roman"/>
          <w:color w:val="000000" w:themeColor="text1"/>
        </w:rPr>
        <w:t xml:space="preserve"> of a new species from Calayan Island.</w:t>
      </w:r>
      <w:r>
        <w:rPr>
          <w:rFonts w:cs="Times New Roman"/>
          <w:color w:val="000000" w:themeColor="text1"/>
        </w:rPr>
        <w:t xml:space="preserve"> </w:t>
      </w:r>
      <w:r w:rsidRPr="00C16E2C">
        <w:rPr>
          <w:rFonts w:cs="Times New Roman"/>
          <w:iCs/>
          <w:color w:val="000000" w:themeColor="text1"/>
        </w:rPr>
        <w:t>Journal of Herpetology</w:t>
      </w:r>
      <w:r w:rsidRPr="00B502DD">
        <w:rPr>
          <w:rFonts w:cs="Times New Roman"/>
          <w:color w:val="000000" w:themeColor="text1"/>
        </w:rPr>
        <w:t xml:space="preserve"> </w:t>
      </w:r>
      <w:r>
        <w:rPr>
          <w:rFonts w:cs="Times New Roman"/>
          <w:color w:val="000000" w:themeColor="text1"/>
        </w:rPr>
        <w:t>43:</w:t>
      </w:r>
      <w:r w:rsidRPr="00B502DD">
        <w:rPr>
          <w:rFonts w:cs="Times New Roman"/>
          <w:color w:val="000000" w:themeColor="text1"/>
        </w:rPr>
        <w:t>620</w:t>
      </w:r>
      <w:r>
        <w:rPr>
          <w:rFonts w:cs="Times New Roman"/>
          <w:color w:val="000000" w:themeColor="text1"/>
        </w:rPr>
        <w:t>–</w:t>
      </w:r>
      <w:r w:rsidRPr="00B502DD">
        <w:rPr>
          <w:rFonts w:cs="Times New Roman"/>
          <w:color w:val="000000" w:themeColor="text1"/>
        </w:rPr>
        <w:t>635</w:t>
      </w:r>
      <w:r>
        <w:rPr>
          <w:rFonts w:cs="Times New Roman"/>
          <w:color w:val="000000" w:themeColor="text1"/>
        </w:rPr>
        <w:t>.</w:t>
      </w:r>
    </w:p>
    <w:p w14:paraId="4942FF49" w14:textId="77777777" w:rsidR="00F6339D" w:rsidRDefault="00F6339D" w:rsidP="00F6339D">
      <w:pPr>
        <w:spacing w:line="480" w:lineRule="auto"/>
        <w:ind w:left="360" w:hanging="360"/>
        <w:rPr>
          <w:rFonts w:cs="Times New Roman"/>
          <w:color w:val="000000" w:themeColor="text1"/>
        </w:rPr>
      </w:pPr>
      <w:r w:rsidRPr="00B502DD">
        <w:rPr>
          <w:rFonts w:cs="Times New Roman"/>
          <w:color w:val="000000" w:themeColor="text1"/>
        </w:rPr>
        <w:t>Brown, R.M., C.D.</w:t>
      </w:r>
      <w:r>
        <w:rPr>
          <w:rFonts w:cs="Times New Roman"/>
          <w:color w:val="000000" w:themeColor="text1"/>
        </w:rPr>
        <w:t xml:space="preserve"> </w:t>
      </w:r>
      <w:r w:rsidRPr="00B502DD">
        <w:rPr>
          <w:rFonts w:cs="Times New Roman"/>
          <w:color w:val="000000" w:themeColor="text1"/>
        </w:rPr>
        <w:t>Siler, C.H.</w:t>
      </w:r>
      <w:r>
        <w:rPr>
          <w:rFonts w:cs="Times New Roman"/>
          <w:color w:val="000000" w:themeColor="text1"/>
        </w:rPr>
        <w:t xml:space="preserve"> </w:t>
      </w:r>
      <w:r w:rsidRPr="00B502DD">
        <w:rPr>
          <w:rFonts w:cs="Times New Roman"/>
          <w:color w:val="000000" w:themeColor="text1"/>
        </w:rPr>
        <w:t>Oliveros, A.C.</w:t>
      </w:r>
      <w:r>
        <w:rPr>
          <w:rFonts w:cs="Times New Roman"/>
          <w:color w:val="000000" w:themeColor="text1"/>
        </w:rPr>
        <w:t xml:space="preserve"> </w:t>
      </w:r>
      <w:r w:rsidRPr="00B502DD">
        <w:rPr>
          <w:rFonts w:cs="Times New Roman"/>
          <w:color w:val="000000" w:themeColor="text1"/>
        </w:rPr>
        <w:t>Diesmos and A.C. Alcala</w:t>
      </w:r>
      <w:r>
        <w:rPr>
          <w:rFonts w:cs="Times New Roman"/>
          <w:color w:val="000000" w:themeColor="text1"/>
        </w:rPr>
        <w:t>.</w:t>
      </w:r>
      <w:r w:rsidRPr="00B502DD">
        <w:rPr>
          <w:rFonts w:cs="Times New Roman"/>
          <w:color w:val="000000" w:themeColor="text1"/>
        </w:rPr>
        <w:t xml:space="preserve"> 2011</w:t>
      </w:r>
      <w:r>
        <w:rPr>
          <w:rFonts w:cs="Times New Roman"/>
          <w:color w:val="000000" w:themeColor="text1"/>
        </w:rPr>
        <w:t>a</w:t>
      </w:r>
      <w:r w:rsidRPr="00B502DD">
        <w:rPr>
          <w:rFonts w:cs="Times New Roman"/>
          <w:color w:val="000000" w:themeColor="text1"/>
        </w:rPr>
        <w:t xml:space="preserve">. A new </w:t>
      </w:r>
      <w:r w:rsidRPr="00F857BE">
        <w:rPr>
          <w:rFonts w:cs="Times New Roman"/>
          <w:i/>
          <w:color w:val="000000" w:themeColor="text1"/>
        </w:rPr>
        <w:t>Gekko</w:t>
      </w:r>
      <w:r w:rsidRPr="00B502DD">
        <w:rPr>
          <w:rFonts w:cs="Times New Roman"/>
          <w:color w:val="000000" w:themeColor="text1"/>
        </w:rPr>
        <w:t xml:space="preserve"> from Sibuyan Island, central Philippines.</w:t>
      </w:r>
      <w:r>
        <w:rPr>
          <w:rFonts w:cs="Times New Roman"/>
          <w:color w:val="000000" w:themeColor="text1"/>
        </w:rPr>
        <w:t xml:space="preserve"> </w:t>
      </w:r>
      <w:r w:rsidRPr="00F857BE">
        <w:rPr>
          <w:rFonts w:cs="Times New Roman"/>
          <w:iCs/>
          <w:color w:val="000000" w:themeColor="text1"/>
        </w:rPr>
        <w:t>Herpetologica</w:t>
      </w:r>
      <w:r>
        <w:rPr>
          <w:rFonts w:cs="Times New Roman"/>
          <w:color w:val="000000" w:themeColor="text1"/>
        </w:rPr>
        <w:t xml:space="preserve"> </w:t>
      </w:r>
      <w:r w:rsidRPr="00F857BE">
        <w:rPr>
          <w:rFonts w:cs="Times New Roman"/>
          <w:iCs/>
          <w:color w:val="000000" w:themeColor="text1"/>
        </w:rPr>
        <w:t>67</w:t>
      </w:r>
      <w:r>
        <w:rPr>
          <w:rFonts w:cs="Times New Roman"/>
          <w:color w:val="000000" w:themeColor="text1"/>
        </w:rPr>
        <w:t>:</w:t>
      </w:r>
      <w:r w:rsidRPr="00B502DD">
        <w:rPr>
          <w:rFonts w:cs="Times New Roman"/>
          <w:color w:val="000000" w:themeColor="text1"/>
        </w:rPr>
        <w:t>460</w:t>
      </w:r>
      <w:r>
        <w:rPr>
          <w:rFonts w:cs="Times New Roman"/>
          <w:color w:val="000000" w:themeColor="text1"/>
        </w:rPr>
        <w:t>–</w:t>
      </w:r>
      <w:r w:rsidRPr="00B502DD">
        <w:rPr>
          <w:rFonts w:cs="Times New Roman"/>
          <w:color w:val="000000" w:themeColor="text1"/>
        </w:rPr>
        <w:t>476.</w:t>
      </w:r>
    </w:p>
    <w:p w14:paraId="2A487AEC" w14:textId="77777777" w:rsidR="00F6339D" w:rsidRDefault="00F6339D" w:rsidP="00F6339D">
      <w:pPr>
        <w:spacing w:line="480" w:lineRule="auto"/>
        <w:ind w:left="360" w:hanging="360"/>
        <w:rPr>
          <w:rFonts w:cs="Times New Roman"/>
          <w:color w:val="000000" w:themeColor="text1"/>
        </w:rPr>
      </w:pPr>
      <w:r w:rsidRPr="00B502DD">
        <w:rPr>
          <w:rFonts w:cs="Times New Roman"/>
          <w:color w:val="000000" w:themeColor="text1"/>
        </w:rPr>
        <w:t>Brown, R.M., A.C. Diesmos and C.H. Oliveros</w:t>
      </w:r>
      <w:r>
        <w:rPr>
          <w:rFonts w:cs="Times New Roman"/>
          <w:color w:val="000000" w:themeColor="text1"/>
        </w:rPr>
        <w:t>.</w:t>
      </w:r>
      <w:r w:rsidRPr="00B502DD">
        <w:rPr>
          <w:rFonts w:cs="Times New Roman"/>
          <w:color w:val="000000" w:themeColor="text1"/>
        </w:rPr>
        <w:t xml:space="preserve"> 2011</w:t>
      </w:r>
      <w:r>
        <w:rPr>
          <w:rFonts w:cs="Times New Roman"/>
          <w:color w:val="000000" w:themeColor="text1"/>
        </w:rPr>
        <w:t>b</w:t>
      </w:r>
      <w:r w:rsidRPr="00B502DD">
        <w:rPr>
          <w:rFonts w:cs="Times New Roman"/>
          <w:color w:val="000000" w:themeColor="text1"/>
        </w:rPr>
        <w:t>. New flap</w:t>
      </w:r>
      <w:r>
        <w:rPr>
          <w:rFonts w:cs="Times New Roman"/>
          <w:color w:val="000000" w:themeColor="text1"/>
        </w:rPr>
        <w:t>-</w:t>
      </w:r>
      <w:r w:rsidRPr="00B502DD">
        <w:rPr>
          <w:rFonts w:cs="Times New Roman"/>
          <w:color w:val="000000" w:themeColor="text1"/>
        </w:rPr>
        <w:t xml:space="preserve">legged forest gecko (genus </w:t>
      </w:r>
      <w:r w:rsidRPr="00F857BE">
        <w:rPr>
          <w:rFonts w:cs="Times New Roman"/>
          <w:i/>
          <w:color w:val="000000" w:themeColor="text1"/>
        </w:rPr>
        <w:t>Luperosaurus</w:t>
      </w:r>
      <w:r w:rsidRPr="00B502DD">
        <w:rPr>
          <w:rFonts w:cs="Times New Roman"/>
          <w:color w:val="000000" w:themeColor="text1"/>
        </w:rPr>
        <w:t>) from the northern Philippines.</w:t>
      </w:r>
      <w:r>
        <w:rPr>
          <w:rFonts w:cs="Times New Roman"/>
          <w:color w:val="000000" w:themeColor="text1"/>
        </w:rPr>
        <w:t xml:space="preserve"> </w:t>
      </w:r>
      <w:r w:rsidRPr="00F857BE">
        <w:rPr>
          <w:rFonts w:cs="Times New Roman"/>
          <w:iCs/>
          <w:color w:val="000000" w:themeColor="text1"/>
        </w:rPr>
        <w:t>Journal of Herpetology</w:t>
      </w:r>
      <w:r>
        <w:rPr>
          <w:rFonts w:cs="Times New Roman"/>
          <w:color w:val="000000" w:themeColor="text1"/>
        </w:rPr>
        <w:t xml:space="preserve"> 45:</w:t>
      </w:r>
      <w:r w:rsidRPr="00B502DD">
        <w:rPr>
          <w:rFonts w:cs="Times New Roman"/>
          <w:color w:val="000000" w:themeColor="text1"/>
        </w:rPr>
        <w:t>202</w:t>
      </w:r>
      <w:r>
        <w:rPr>
          <w:rFonts w:cs="Times New Roman"/>
          <w:color w:val="000000" w:themeColor="text1"/>
        </w:rPr>
        <w:t>–</w:t>
      </w:r>
      <w:r w:rsidRPr="00B502DD">
        <w:rPr>
          <w:rFonts w:cs="Times New Roman"/>
          <w:color w:val="000000" w:themeColor="text1"/>
        </w:rPr>
        <w:t>210.</w:t>
      </w:r>
    </w:p>
    <w:p w14:paraId="39A07CB0" w14:textId="77777777" w:rsidR="00F6339D" w:rsidRDefault="00F6339D" w:rsidP="00F6339D">
      <w:pPr>
        <w:spacing w:line="480" w:lineRule="auto"/>
        <w:ind w:left="360" w:hanging="360"/>
        <w:rPr>
          <w:rFonts w:cs="Times New Roman"/>
          <w:color w:val="000000" w:themeColor="text1"/>
        </w:rPr>
      </w:pPr>
      <w:r w:rsidRPr="007479AC">
        <w:rPr>
          <w:rFonts w:cs="Times New Roman"/>
          <w:color w:val="000000" w:themeColor="text1"/>
        </w:rPr>
        <w:t xml:space="preserve">Brown, R.M., </w:t>
      </w:r>
      <w:r>
        <w:rPr>
          <w:rFonts w:cs="Times New Roman"/>
          <w:color w:val="000000" w:themeColor="text1"/>
        </w:rPr>
        <w:t xml:space="preserve">C.D. </w:t>
      </w:r>
      <w:r w:rsidRPr="007479AC">
        <w:rPr>
          <w:rFonts w:cs="Times New Roman"/>
          <w:color w:val="000000" w:themeColor="text1"/>
        </w:rPr>
        <w:t>Siler,</w:t>
      </w:r>
      <w:r>
        <w:rPr>
          <w:rFonts w:cs="Times New Roman"/>
          <w:color w:val="000000" w:themeColor="text1"/>
        </w:rPr>
        <w:t xml:space="preserve"> I.</w:t>
      </w:r>
      <w:r w:rsidRPr="007479AC">
        <w:rPr>
          <w:rFonts w:cs="Times New Roman"/>
          <w:color w:val="000000" w:themeColor="text1"/>
        </w:rPr>
        <w:t xml:space="preserve"> Das and </w:t>
      </w:r>
      <w:r>
        <w:rPr>
          <w:rFonts w:cs="Times New Roman"/>
          <w:color w:val="000000" w:themeColor="text1"/>
        </w:rPr>
        <w:t xml:space="preserve">Y. </w:t>
      </w:r>
      <w:r w:rsidRPr="007479AC">
        <w:rPr>
          <w:rFonts w:cs="Times New Roman"/>
          <w:color w:val="000000" w:themeColor="text1"/>
        </w:rPr>
        <w:t>Min</w:t>
      </w:r>
      <w:r>
        <w:rPr>
          <w:rFonts w:cs="Times New Roman"/>
          <w:color w:val="000000" w:themeColor="text1"/>
        </w:rPr>
        <w:t>.</w:t>
      </w:r>
      <w:r w:rsidRPr="007479AC">
        <w:rPr>
          <w:rFonts w:cs="Times New Roman"/>
          <w:color w:val="000000" w:themeColor="text1"/>
        </w:rPr>
        <w:t xml:space="preserve"> 2012</w:t>
      </w:r>
      <w:r>
        <w:rPr>
          <w:rFonts w:cs="Times New Roman"/>
          <w:color w:val="000000" w:themeColor="text1"/>
        </w:rPr>
        <w:t>a</w:t>
      </w:r>
      <w:r w:rsidRPr="007479AC">
        <w:rPr>
          <w:rFonts w:cs="Times New Roman"/>
          <w:color w:val="000000" w:themeColor="text1"/>
        </w:rPr>
        <w:t>. Testing the phylogenetic affinities of Southeast Asia’s rarest geckos: Flap</w:t>
      </w:r>
      <w:r>
        <w:rPr>
          <w:rFonts w:cs="Times New Roman"/>
          <w:color w:val="000000" w:themeColor="text1"/>
        </w:rPr>
        <w:t>-</w:t>
      </w:r>
      <w:r w:rsidRPr="007479AC">
        <w:rPr>
          <w:rFonts w:cs="Times New Roman"/>
          <w:color w:val="000000" w:themeColor="text1"/>
        </w:rPr>
        <w:t>legged geckos (</w:t>
      </w:r>
      <w:r w:rsidRPr="007479AC">
        <w:rPr>
          <w:rFonts w:cs="Times New Roman"/>
          <w:i/>
          <w:color w:val="000000" w:themeColor="text1"/>
        </w:rPr>
        <w:t>Luperosaurus</w:t>
      </w:r>
      <w:r w:rsidRPr="007479AC">
        <w:rPr>
          <w:rFonts w:cs="Times New Roman"/>
          <w:color w:val="000000" w:themeColor="text1"/>
        </w:rPr>
        <w:t>), Flying geckos (</w:t>
      </w:r>
      <w:r w:rsidRPr="007479AC">
        <w:rPr>
          <w:rFonts w:cs="Times New Roman"/>
          <w:i/>
          <w:color w:val="000000" w:themeColor="text1"/>
        </w:rPr>
        <w:t>Ptychozoon</w:t>
      </w:r>
      <w:r w:rsidRPr="007479AC">
        <w:rPr>
          <w:rFonts w:cs="Times New Roman"/>
          <w:color w:val="000000" w:themeColor="text1"/>
        </w:rPr>
        <w:t>) and their relationship to the pan</w:t>
      </w:r>
      <w:r>
        <w:rPr>
          <w:rFonts w:cs="Times New Roman"/>
          <w:color w:val="000000" w:themeColor="text1"/>
        </w:rPr>
        <w:t>-</w:t>
      </w:r>
      <w:r w:rsidRPr="007479AC">
        <w:rPr>
          <w:rFonts w:cs="Times New Roman"/>
          <w:color w:val="000000" w:themeColor="text1"/>
        </w:rPr>
        <w:t xml:space="preserve">Asian genus </w:t>
      </w:r>
      <w:r w:rsidRPr="007479AC">
        <w:rPr>
          <w:rFonts w:cs="Times New Roman"/>
          <w:i/>
          <w:color w:val="000000" w:themeColor="text1"/>
        </w:rPr>
        <w:t>Gekko</w:t>
      </w:r>
      <w:r w:rsidRPr="007479AC">
        <w:rPr>
          <w:rFonts w:cs="Times New Roman"/>
          <w:color w:val="000000" w:themeColor="text1"/>
        </w:rPr>
        <w:t xml:space="preserve">. Molecular </w:t>
      </w:r>
      <w:r>
        <w:rPr>
          <w:rFonts w:cs="Times New Roman"/>
          <w:color w:val="000000" w:themeColor="text1"/>
        </w:rPr>
        <w:t>P</w:t>
      </w:r>
      <w:r w:rsidRPr="007479AC">
        <w:rPr>
          <w:rFonts w:cs="Times New Roman"/>
          <w:color w:val="000000" w:themeColor="text1"/>
        </w:rPr>
        <w:t xml:space="preserve">hylogenetics and </w:t>
      </w:r>
      <w:r>
        <w:rPr>
          <w:rFonts w:cs="Times New Roman"/>
          <w:color w:val="000000" w:themeColor="text1"/>
        </w:rPr>
        <w:t>E</w:t>
      </w:r>
      <w:r w:rsidRPr="007479AC">
        <w:rPr>
          <w:rFonts w:cs="Times New Roman"/>
          <w:color w:val="000000" w:themeColor="text1"/>
        </w:rPr>
        <w:t>volution 63</w:t>
      </w:r>
      <w:r>
        <w:rPr>
          <w:rFonts w:cs="Times New Roman"/>
          <w:color w:val="000000" w:themeColor="text1"/>
        </w:rPr>
        <w:t>:</w:t>
      </w:r>
      <w:r w:rsidRPr="007479AC">
        <w:rPr>
          <w:rFonts w:cs="Times New Roman"/>
          <w:color w:val="000000" w:themeColor="text1"/>
        </w:rPr>
        <w:t>915</w:t>
      </w:r>
      <w:r>
        <w:rPr>
          <w:rFonts w:cs="Times New Roman"/>
          <w:color w:val="000000" w:themeColor="text1"/>
        </w:rPr>
        <w:t>–</w:t>
      </w:r>
      <w:r w:rsidRPr="007479AC">
        <w:rPr>
          <w:rFonts w:cs="Times New Roman"/>
          <w:color w:val="000000" w:themeColor="text1"/>
        </w:rPr>
        <w:t>921.</w:t>
      </w:r>
    </w:p>
    <w:p w14:paraId="5CDC3451" w14:textId="77777777" w:rsidR="00F6339D" w:rsidRPr="00A70DAD" w:rsidRDefault="00F6339D" w:rsidP="00F6339D">
      <w:pPr>
        <w:spacing w:line="480" w:lineRule="auto"/>
        <w:ind w:left="360" w:hanging="360"/>
        <w:rPr>
          <w:rFonts w:cs="Times New Roman"/>
          <w:color w:val="000000" w:themeColor="text1"/>
        </w:rPr>
      </w:pPr>
      <w:r w:rsidRPr="001F0081">
        <w:rPr>
          <w:rFonts w:cs="Times New Roman"/>
        </w:rPr>
        <w:t>Brown, R.M., C.H. Oliveros, C.D. Siler, J.B. Fernandez, L.J. Welton, P.A.C. Buenavente, M.L. D. Diesmos and A.C. Diesmos. 2012b. Amphibians and reptiles of Luzon Island (Philippines), VII: Herpetofauna of Ilocos Norte Province, northern Cordillera Mountain Range. Check List 8:469–490.</w:t>
      </w:r>
    </w:p>
    <w:p w14:paraId="06CFF31A" w14:textId="77777777" w:rsidR="00F6339D" w:rsidRDefault="00F6339D" w:rsidP="00F6339D">
      <w:pPr>
        <w:spacing w:line="480" w:lineRule="auto"/>
        <w:ind w:left="360" w:hanging="360"/>
        <w:rPr>
          <w:rFonts w:cs="Times New Roman"/>
          <w:color w:val="000000" w:themeColor="text1"/>
        </w:rPr>
      </w:pPr>
      <w:r w:rsidRPr="005171B6">
        <w:rPr>
          <w:rFonts w:cs="Times New Roman"/>
          <w:color w:val="000000" w:themeColor="text1"/>
        </w:rPr>
        <w:t xml:space="preserve">Brown, R.M., C.D. Siler, C.H. Oliveros, … A.C. Diesmos. 2013. The amphibians and reptiles of Luzon Island, Philippines, VIII: </w:t>
      </w:r>
      <w:r>
        <w:rPr>
          <w:rFonts w:cs="Times New Roman"/>
          <w:color w:val="000000" w:themeColor="text1"/>
        </w:rPr>
        <w:t>T</w:t>
      </w:r>
      <w:r w:rsidRPr="005171B6">
        <w:rPr>
          <w:rFonts w:cs="Times New Roman"/>
          <w:color w:val="000000" w:themeColor="text1"/>
        </w:rPr>
        <w:t xml:space="preserve">he herpetofauna of Cagayan and Isabela Provinces, northern Sierra Madre mountain range. </w:t>
      </w:r>
      <w:r w:rsidRPr="005171B6">
        <w:rPr>
          <w:rFonts w:cs="Times New Roman"/>
          <w:iCs/>
          <w:color w:val="000000" w:themeColor="text1"/>
        </w:rPr>
        <w:t>ZooKeys</w:t>
      </w:r>
      <w:r w:rsidRPr="005171B6">
        <w:rPr>
          <w:rFonts w:cs="Times New Roman"/>
          <w:color w:val="000000" w:themeColor="text1"/>
        </w:rPr>
        <w:t xml:space="preserve"> 266:1–120.</w:t>
      </w:r>
    </w:p>
    <w:p w14:paraId="72ADE098" w14:textId="77777777" w:rsidR="00F6339D" w:rsidRDefault="00F6339D" w:rsidP="00F6339D">
      <w:pPr>
        <w:spacing w:line="480" w:lineRule="auto"/>
        <w:ind w:left="360" w:hanging="360"/>
        <w:rPr>
          <w:rFonts w:cs="Times New Roman"/>
          <w:color w:val="000000" w:themeColor="text1"/>
        </w:rPr>
      </w:pPr>
      <w:r w:rsidRPr="007C3A3C">
        <w:rPr>
          <w:rFonts w:cs="Times New Roman"/>
          <w:color w:val="000000" w:themeColor="text1"/>
        </w:rPr>
        <w:t>Brown, R.M., C.G. Meneses, P.L. Wood, J.B. Fernandez, M.A. Cuesta, M.A. Clores, C. Tracy, M</w:t>
      </w:r>
      <w:r>
        <w:rPr>
          <w:rFonts w:cs="Times New Roman"/>
          <w:color w:val="000000" w:themeColor="text1"/>
        </w:rPr>
        <w:t>.</w:t>
      </w:r>
      <w:r w:rsidRPr="007C3A3C">
        <w:rPr>
          <w:rFonts w:cs="Times New Roman"/>
          <w:color w:val="000000" w:themeColor="text1"/>
        </w:rPr>
        <w:t xml:space="preserve"> Buehler and C.D. Siler</w:t>
      </w:r>
      <w:r>
        <w:rPr>
          <w:rFonts w:cs="Times New Roman"/>
          <w:color w:val="000000" w:themeColor="text1"/>
        </w:rPr>
        <w:t>.</w:t>
      </w:r>
      <w:r w:rsidRPr="007C3A3C">
        <w:rPr>
          <w:rFonts w:cs="Times New Roman"/>
          <w:color w:val="000000" w:themeColor="text1"/>
        </w:rPr>
        <w:t xml:space="preserve"> 2020. Unexpected </w:t>
      </w:r>
      <w:r>
        <w:rPr>
          <w:rFonts w:cs="Times New Roman"/>
          <w:color w:val="000000" w:themeColor="text1"/>
        </w:rPr>
        <w:t>d</w:t>
      </w:r>
      <w:r w:rsidRPr="007C3A3C">
        <w:rPr>
          <w:rFonts w:cs="Times New Roman"/>
          <w:color w:val="000000" w:themeColor="text1"/>
        </w:rPr>
        <w:t xml:space="preserve">iscovery of </w:t>
      </w:r>
      <w:r>
        <w:rPr>
          <w:rFonts w:cs="Times New Roman"/>
          <w:color w:val="000000" w:themeColor="text1"/>
        </w:rPr>
        <w:t>a</w:t>
      </w:r>
      <w:r w:rsidRPr="007C3A3C">
        <w:rPr>
          <w:rFonts w:cs="Times New Roman"/>
          <w:color w:val="000000" w:themeColor="text1"/>
        </w:rPr>
        <w:t xml:space="preserve">nother </w:t>
      </w:r>
      <w:r>
        <w:rPr>
          <w:rFonts w:cs="Times New Roman"/>
          <w:color w:val="000000" w:themeColor="text1"/>
        </w:rPr>
        <w:t>s</w:t>
      </w:r>
      <w:r w:rsidRPr="007C3A3C">
        <w:rPr>
          <w:rFonts w:cs="Times New Roman"/>
          <w:color w:val="000000" w:themeColor="text1"/>
        </w:rPr>
        <w:t xml:space="preserve">pecies of Philippine False Gecko (Gekkonidae; </w:t>
      </w:r>
      <w:r w:rsidRPr="007C3A3C">
        <w:rPr>
          <w:rFonts w:cs="Times New Roman"/>
          <w:i/>
          <w:iCs/>
          <w:color w:val="000000" w:themeColor="text1"/>
        </w:rPr>
        <w:t>Pseudogekko</w:t>
      </w:r>
      <w:r w:rsidRPr="007C3A3C">
        <w:rPr>
          <w:rFonts w:cs="Times New Roman"/>
          <w:color w:val="000000" w:themeColor="text1"/>
        </w:rPr>
        <w:t>) from the Bicol Peninsula of Luzon Island. Herpetologica</w:t>
      </w:r>
      <w:r>
        <w:rPr>
          <w:rFonts w:cs="Times New Roman"/>
          <w:color w:val="000000" w:themeColor="text1"/>
        </w:rPr>
        <w:t xml:space="preserve"> </w:t>
      </w:r>
      <w:r w:rsidRPr="007C3A3C">
        <w:rPr>
          <w:rFonts w:cs="Times New Roman"/>
          <w:color w:val="000000" w:themeColor="text1"/>
        </w:rPr>
        <w:t>76</w:t>
      </w:r>
      <w:r>
        <w:rPr>
          <w:rFonts w:cs="Times New Roman"/>
          <w:color w:val="000000" w:themeColor="text1"/>
        </w:rPr>
        <w:t>:</w:t>
      </w:r>
      <w:r w:rsidRPr="007C3A3C">
        <w:rPr>
          <w:rFonts w:cs="Times New Roman"/>
          <w:color w:val="000000" w:themeColor="text1"/>
        </w:rPr>
        <w:t>315–329</w:t>
      </w:r>
      <w:r>
        <w:rPr>
          <w:rFonts w:cs="Times New Roman"/>
          <w:color w:val="000000" w:themeColor="text1"/>
        </w:rPr>
        <w:t>.</w:t>
      </w:r>
    </w:p>
    <w:p w14:paraId="138E113F" w14:textId="77777777" w:rsidR="00F6339D" w:rsidRDefault="00F6339D" w:rsidP="00F6339D">
      <w:pPr>
        <w:spacing w:line="480" w:lineRule="auto"/>
        <w:ind w:left="360" w:hanging="360"/>
        <w:rPr>
          <w:rFonts w:cs="Times New Roman"/>
          <w:color w:val="000000" w:themeColor="text1"/>
        </w:rPr>
      </w:pPr>
      <w:r w:rsidRPr="00802DF4">
        <w:rPr>
          <w:rFonts w:cs="Times New Roman"/>
          <w:color w:val="000000" w:themeColor="text1"/>
        </w:rPr>
        <w:t>Brown, W.C., and A.C. Alcala. 1978. Philippine Lizards of the Family Gekkonidae. Silliman University Press, Philippines.</w:t>
      </w:r>
    </w:p>
    <w:p w14:paraId="4C385243" w14:textId="77777777" w:rsidR="00F6339D" w:rsidRDefault="00F6339D" w:rsidP="00F6339D">
      <w:pPr>
        <w:spacing w:line="480" w:lineRule="auto"/>
        <w:ind w:left="360" w:hanging="360"/>
        <w:rPr>
          <w:rFonts w:cs="Times New Roman"/>
          <w:color w:val="000000" w:themeColor="text1"/>
        </w:rPr>
      </w:pPr>
      <w:r w:rsidRPr="0004336F">
        <w:rPr>
          <w:rFonts w:cs="Times New Roman"/>
          <w:color w:val="000000" w:themeColor="text1"/>
        </w:rPr>
        <w:t>Brown, W.C.</w:t>
      </w:r>
      <w:r>
        <w:rPr>
          <w:rFonts w:cs="Times New Roman"/>
          <w:color w:val="000000" w:themeColor="text1"/>
        </w:rPr>
        <w:t>,</w:t>
      </w:r>
      <w:r w:rsidRPr="0004336F">
        <w:rPr>
          <w:rFonts w:cs="Times New Roman"/>
          <w:color w:val="000000" w:themeColor="text1"/>
        </w:rPr>
        <w:t xml:space="preserve"> and </w:t>
      </w:r>
      <w:r>
        <w:rPr>
          <w:rFonts w:cs="Times New Roman"/>
          <w:color w:val="000000" w:themeColor="text1"/>
        </w:rPr>
        <w:t xml:space="preserve">F. </w:t>
      </w:r>
      <w:r w:rsidRPr="0004336F">
        <w:rPr>
          <w:rFonts w:cs="Times New Roman"/>
          <w:color w:val="000000" w:themeColor="text1"/>
        </w:rPr>
        <w:t xml:space="preserve">Parker. 1977. Lizards of the genus </w:t>
      </w:r>
      <w:r w:rsidRPr="006A0189">
        <w:rPr>
          <w:rFonts w:cs="Times New Roman"/>
          <w:i/>
          <w:color w:val="000000" w:themeColor="text1"/>
        </w:rPr>
        <w:t>Lepidodactylus</w:t>
      </w:r>
      <w:r w:rsidRPr="0004336F">
        <w:rPr>
          <w:rFonts w:cs="Times New Roman"/>
          <w:color w:val="000000" w:themeColor="text1"/>
        </w:rPr>
        <w:t xml:space="preserve"> (Gekkonidae) from the Indo</w:t>
      </w:r>
      <w:r>
        <w:rPr>
          <w:rFonts w:cs="Times New Roman"/>
          <w:color w:val="000000" w:themeColor="text1"/>
        </w:rPr>
        <w:t>-</w:t>
      </w:r>
      <w:r w:rsidRPr="0004336F">
        <w:rPr>
          <w:rFonts w:cs="Times New Roman"/>
          <w:color w:val="000000" w:themeColor="text1"/>
        </w:rPr>
        <w:t>Australian Archipelago and the islands of the Pacific, with description of new species</w:t>
      </w:r>
      <w:r>
        <w:rPr>
          <w:rFonts w:cs="Times New Roman"/>
          <w:color w:val="000000" w:themeColor="text1"/>
        </w:rPr>
        <w:t>. Proceedings of the California Academy of Sciences 41:253–265.</w:t>
      </w:r>
    </w:p>
    <w:p w14:paraId="27B8ACE8" w14:textId="77777777" w:rsidR="00F6339D" w:rsidRPr="00B502DD" w:rsidRDefault="00F6339D" w:rsidP="00F6339D">
      <w:pPr>
        <w:spacing w:line="480" w:lineRule="auto"/>
        <w:ind w:left="360" w:hanging="360"/>
        <w:rPr>
          <w:rFonts w:cs="Times New Roman"/>
          <w:color w:val="000000" w:themeColor="text1"/>
        </w:rPr>
      </w:pPr>
      <w:r w:rsidRPr="00B502DD">
        <w:rPr>
          <w:rFonts w:cs="Times New Roman"/>
          <w:color w:val="000000" w:themeColor="text1"/>
        </w:rPr>
        <w:t>Cantor, T. 1847</w:t>
      </w:r>
      <w:r>
        <w:rPr>
          <w:rFonts w:cs="Times New Roman"/>
          <w:color w:val="000000" w:themeColor="text1"/>
        </w:rPr>
        <w:t>.</w:t>
      </w:r>
      <w:r w:rsidRPr="00B502DD">
        <w:rPr>
          <w:rFonts w:cs="Times New Roman"/>
          <w:color w:val="000000" w:themeColor="text1"/>
        </w:rPr>
        <w:t xml:space="preserve"> Catalogue of reptiles inhabiting the Malayan peninsula and islands. Journal of the Asiatic Society of Bengal</w:t>
      </w:r>
      <w:r>
        <w:rPr>
          <w:rFonts w:cs="Times New Roman"/>
          <w:color w:val="000000" w:themeColor="text1"/>
        </w:rPr>
        <w:t xml:space="preserve"> </w:t>
      </w:r>
      <w:r w:rsidRPr="00B502DD">
        <w:rPr>
          <w:rFonts w:cs="Times New Roman"/>
          <w:color w:val="000000" w:themeColor="text1"/>
        </w:rPr>
        <w:t>16</w:t>
      </w:r>
      <w:r>
        <w:rPr>
          <w:rFonts w:cs="Times New Roman"/>
          <w:color w:val="000000" w:themeColor="text1"/>
        </w:rPr>
        <w:t>:</w:t>
      </w:r>
      <w:r w:rsidRPr="00B502DD">
        <w:rPr>
          <w:rFonts w:cs="Times New Roman"/>
          <w:color w:val="000000" w:themeColor="text1"/>
        </w:rPr>
        <w:t>607–656, 897–952, 1026–1078.</w:t>
      </w:r>
    </w:p>
    <w:p w14:paraId="72CE0E94" w14:textId="77777777" w:rsidR="00F6339D" w:rsidRPr="00E00D5E" w:rsidRDefault="00F6339D" w:rsidP="00F6339D">
      <w:pPr>
        <w:spacing w:line="480" w:lineRule="auto"/>
        <w:ind w:left="360" w:hanging="360"/>
        <w:rPr>
          <w:rFonts w:cs="Times New Roman"/>
          <w:color w:val="000000" w:themeColor="text1"/>
        </w:rPr>
      </w:pPr>
      <w:r w:rsidRPr="00B502DD">
        <w:rPr>
          <w:rFonts w:cs="Times New Roman"/>
          <w:color w:val="000000" w:themeColor="text1"/>
        </w:rPr>
        <w:t xml:space="preserve">Davis, D.R., J.L. Watters, </w:t>
      </w:r>
      <w:r>
        <w:rPr>
          <w:rFonts w:cs="Times New Roman"/>
          <w:color w:val="000000" w:themeColor="text1"/>
        </w:rPr>
        <w:t xml:space="preserve">G. </w:t>
      </w:r>
      <w:r w:rsidRPr="00B502DD">
        <w:rPr>
          <w:rFonts w:cs="Times New Roman"/>
          <w:color w:val="000000" w:themeColor="text1"/>
        </w:rPr>
        <w:t>Koehler,</w:t>
      </w:r>
      <w:r>
        <w:rPr>
          <w:rFonts w:cs="Times New Roman"/>
          <w:color w:val="000000" w:themeColor="text1"/>
        </w:rPr>
        <w:t xml:space="preserve"> C.</w:t>
      </w:r>
      <w:r w:rsidRPr="00B502DD">
        <w:rPr>
          <w:rFonts w:cs="Times New Roman"/>
          <w:color w:val="000000" w:themeColor="text1"/>
        </w:rPr>
        <w:t xml:space="preserve"> Whitsett, </w:t>
      </w:r>
      <w:r>
        <w:rPr>
          <w:rFonts w:cs="Times New Roman"/>
          <w:color w:val="000000" w:themeColor="text1"/>
        </w:rPr>
        <w:t>N.A.</w:t>
      </w:r>
      <w:r w:rsidRPr="00B502DD">
        <w:rPr>
          <w:rFonts w:cs="Times New Roman"/>
          <w:color w:val="000000" w:themeColor="text1"/>
        </w:rPr>
        <w:t xml:space="preserve"> Huron, </w:t>
      </w:r>
      <w:r>
        <w:rPr>
          <w:rFonts w:cs="Times New Roman"/>
          <w:color w:val="000000" w:themeColor="text1"/>
        </w:rPr>
        <w:t>R.M.</w:t>
      </w:r>
      <w:r w:rsidRPr="00B502DD">
        <w:rPr>
          <w:rFonts w:cs="Times New Roman"/>
          <w:color w:val="000000" w:themeColor="text1"/>
        </w:rPr>
        <w:t xml:space="preserve"> Brown, </w:t>
      </w:r>
      <w:r>
        <w:rPr>
          <w:rFonts w:cs="Times New Roman"/>
          <w:color w:val="000000" w:themeColor="text1"/>
        </w:rPr>
        <w:t xml:space="preserve">A.C. </w:t>
      </w:r>
      <w:r w:rsidRPr="00B502DD">
        <w:rPr>
          <w:rFonts w:cs="Times New Roman"/>
          <w:color w:val="000000" w:themeColor="text1"/>
        </w:rPr>
        <w:t xml:space="preserve">Diesmos and </w:t>
      </w:r>
      <w:r>
        <w:rPr>
          <w:rFonts w:cs="Times New Roman"/>
          <w:color w:val="000000" w:themeColor="text1"/>
        </w:rPr>
        <w:t xml:space="preserve">C.D. </w:t>
      </w:r>
      <w:r w:rsidRPr="00B502DD">
        <w:rPr>
          <w:rFonts w:cs="Times New Roman"/>
          <w:color w:val="000000" w:themeColor="text1"/>
        </w:rPr>
        <w:t>Siler</w:t>
      </w:r>
      <w:r>
        <w:rPr>
          <w:rFonts w:cs="Times New Roman"/>
          <w:color w:val="000000" w:themeColor="text1"/>
        </w:rPr>
        <w:t>.</w:t>
      </w:r>
      <w:r w:rsidRPr="00B502DD">
        <w:rPr>
          <w:rFonts w:cs="Times New Roman"/>
          <w:color w:val="000000" w:themeColor="text1"/>
        </w:rPr>
        <w:t xml:space="preserve"> 2015. Redescription of the rare Philippine false gecko </w:t>
      </w:r>
      <w:r w:rsidRPr="00657BE9">
        <w:rPr>
          <w:rFonts w:cs="Times New Roman"/>
          <w:i/>
          <w:color w:val="000000" w:themeColor="text1"/>
        </w:rPr>
        <w:t>Pseudogekko brevipes</w:t>
      </w:r>
      <w:r w:rsidRPr="00B502DD">
        <w:rPr>
          <w:rFonts w:cs="Times New Roman"/>
          <w:color w:val="000000" w:themeColor="text1"/>
        </w:rPr>
        <w:t xml:space="preserve"> (</w:t>
      </w:r>
      <w:r w:rsidRPr="00E00D5E">
        <w:rPr>
          <w:rFonts w:cs="Times New Roman"/>
          <w:color w:val="000000" w:themeColor="text1"/>
        </w:rPr>
        <w:t>Reptilia: Squamata: Gekkonidae) and description of a new species.</w:t>
      </w:r>
      <w:r>
        <w:rPr>
          <w:rFonts w:cs="Times New Roman"/>
          <w:color w:val="000000" w:themeColor="text1"/>
        </w:rPr>
        <w:t xml:space="preserve"> </w:t>
      </w:r>
      <w:r w:rsidRPr="00E00D5E">
        <w:rPr>
          <w:rFonts w:cs="Times New Roman"/>
          <w:iCs/>
          <w:color w:val="000000" w:themeColor="text1"/>
        </w:rPr>
        <w:t>Zootaxa</w:t>
      </w:r>
      <w:r>
        <w:rPr>
          <w:rFonts w:cs="Times New Roman"/>
          <w:color w:val="000000" w:themeColor="text1"/>
        </w:rPr>
        <w:t xml:space="preserve"> </w:t>
      </w:r>
      <w:r w:rsidRPr="00E00D5E">
        <w:rPr>
          <w:rFonts w:cs="Times New Roman"/>
          <w:iCs/>
          <w:color w:val="000000" w:themeColor="text1"/>
        </w:rPr>
        <w:t>4020:</w:t>
      </w:r>
      <w:r w:rsidRPr="00E00D5E">
        <w:rPr>
          <w:rFonts w:cs="Times New Roman"/>
          <w:color w:val="000000" w:themeColor="text1"/>
        </w:rPr>
        <w:t>357–374.</w:t>
      </w:r>
    </w:p>
    <w:p w14:paraId="66123CD9" w14:textId="77777777" w:rsidR="00F6339D" w:rsidRDefault="00F6339D" w:rsidP="00F6339D">
      <w:pPr>
        <w:spacing w:line="480" w:lineRule="auto"/>
        <w:ind w:left="360" w:hanging="360"/>
        <w:rPr>
          <w:rFonts w:cs="Times New Roman"/>
          <w:color w:val="000000" w:themeColor="text1"/>
        </w:rPr>
      </w:pPr>
      <w:r w:rsidRPr="00D54410">
        <w:rPr>
          <w:rFonts w:cs="Times New Roman"/>
          <w:color w:val="000000" w:themeColor="text1"/>
        </w:rPr>
        <w:t xml:space="preserve">de Queiroz, K. 1998. The general lineage concept of species, species criteria, and the process of speciation. Pp. 57–75 </w:t>
      </w:r>
      <w:r w:rsidRPr="00D54410">
        <w:rPr>
          <w:rFonts w:cs="Times New Roman"/>
          <w:iCs/>
          <w:color w:val="000000" w:themeColor="text1"/>
        </w:rPr>
        <w:t xml:space="preserve">in </w:t>
      </w:r>
      <w:r w:rsidRPr="00D54410">
        <w:rPr>
          <w:rFonts w:cs="Times New Roman"/>
          <w:color w:val="000000" w:themeColor="text1"/>
        </w:rPr>
        <w:t>Endless Forms: Species and Speciation (D.J. Howard and S.H. Berlocher, eds.). Oxford University Press, USA.</w:t>
      </w:r>
    </w:p>
    <w:p w14:paraId="64B53F0D" w14:textId="77777777" w:rsidR="00F6339D" w:rsidRPr="00E00D5E" w:rsidRDefault="00F6339D" w:rsidP="00F6339D">
      <w:pPr>
        <w:spacing w:line="480" w:lineRule="auto"/>
        <w:ind w:left="360" w:hanging="360"/>
        <w:rPr>
          <w:rFonts w:cs="Times New Roman"/>
          <w:color w:val="000000" w:themeColor="text1"/>
        </w:rPr>
      </w:pPr>
      <w:r w:rsidRPr="001F0081">
        <w:rPr>
          <w:rFonts w:cs="Times New Roman"/>
          <w:color w:val="000000" w:themeColor="text1"/>
        </w:rPr>
        <w:t>Devan</w:t>
      </w:r>
      <w:r>
        <w:rPr>
          <w:rFonts w:cs="Times New Roman"/>
          <w:color w:val="000000" w:themeColor="text1"/>
        </w:rPr>
        <w:t>-</w:t>
      </w:r>
      <w:r w:rsidRPr="001F0081">
        <w:rPr>
          <w:rFonts w:cs="Times New Roman"/>
          <w:color w:val="000000" w:themeColor="text1"/>
        </w:rPr>
        <w:t>Song, A., and R.M. Brown. 2012. Amphibians and reptiles of Luzon Island, Philippines, VI: The herpetofauna of the Subic Bay area. Asian Herpetological Research 3:1–20.</w:t>
      </w:r>
    </w:p>
    <w:p w14:paraId="1840B6FB" w14:textId="77777777" w:rsidR="00F6339D" w:rsidRPr="00E00D5E" w:rsidRDefault="00F6339D" w:rsidP="00F6339D">
      <w:pPr>
        <w:spacing w:line="480" w:lineRule="auto"/>
        <w:ind w:left="360" w:hanging="360"/>
        <w:rPr>
          <w:rFonts w:cs="Times New Roman"/>
          <w:color w:val="000000" w:themeColor="text1"/>
        </w:rPr>
      </w:pPr>
      <w:r w:rsidRPr="00E00D5E">
        <w:rPr>
          <w:rFonts w:cs="Times New Roman"/>
          <w:color w:val="000000" w:themeColor="text1"/>
        </w:rPr>
        <w:t xml:space="preserve">Duméril, A.M.C., and G. Bibron. </w:t>
      </w:r>
      <w:r w:rsidRPr="002D5891">
        <w:rPr>
          <w:rFonts w:cs="Times New Roman"/>
          <w:color w:val="000000" w:themeColor="text1"/>
          <w:lang w:val="fr-FR"/>
        </w:rPr>
        <w:t xml:space="preserve">1836. Erpetologie Générale ou Histoire Naturelle Complete des Reptiles. </w:t>
      </w:r>
      <w:r w:rsidRPr="00E00D5E">
        <w:rPr>
          <w:rFonts w:cs="Times New Roman"/>
          <w:color w:val="000000" w:themeColor="text1"/>
        </w:rPr>
        <w:t xml:space="preserve">Vol. 3. Libraire Encyclopédique Roret, </w:t>
      </w:r>
      <w:r>
        <w:rPr>
          <w:rFonts w:cs="Times New Roman"/>
          <w:color w:val="000000" w:themeColor="text1"/>
        </w:rPr>
        <w:t>France</w:t>
      </w:r>
      <w:r w:rsidRPr="00E00D5E">
        <w:rPr>
          <w:rFonts w:cs="Times New Roman"/>
          <w:color w:val="000000" w:themeColor="text1"/>
        </w:rPr>
        <w:t>.</w:t>
      </w:r>
    </w:p>
    <w:p w14:paraId="05B88C2F" w14:textId="77777777" w:rsidR="00F6339D" w:rsidRDefault="00F6339D" w:rsidP="00F6339D">
      <w:pPr>
        <w:widowControl w:val="0"/>
        <w:autoSpaceDE w:val="0"/>
        <w:autoSpaceDN w:val="0"/>
        <w:adjustRightInd w:val="0"/>
        <w:spacing w:line="480" w:lineRule="auto"/>
        <w:ind w:left="360" w:hanging="360"/>
        <w:rPr>
          <w:rFonts w:cs="Times New Roman"/>
          <w:color w:val="000000"/>
        </w:rPr>
      </w:pPr>
      <w:r w:rsidRPr="00E00D5E">
        <w:rPr>
          <w:rFonts w:cs="Times New Roman"/>
          <w:color w:val="000000"/>
        </w:rPr>
        <w:t xml:space="preserve">Edgar, R.C. 2004. MUSCLE: </w:t>
      </w:r>
      <w:r>
        <w:rPr>
          <w:rFonts w:cs="Times New Roman"/>
          <w:color w:val="000000"/>
        </w:rPr>
        <w:t>M</w:t>
      </w:r>
      <w:r w:rsidRPr="00E00D5E">
        <w:rPr>
          <w:rFonts w:cs="Times New Roman"/>
          <w:color w:val="000000"/>
        </w:rPr>
        <w:t>ultiple sequence alignment with high accuracy and high throughput.</w:t>
      </w:r>
      <w:r>
        <w:rPr>
          <w:rFonts w:cs="Times New Roman"/>
          <w:color w:val="000000"/>
        </w:rPr>
        <w:t xml:space="preserve"> </w:t>
      </w:r>
      <w:r w:rsidRPr="00E00D5E">
        <w:rPr>
          <w:rFonts w:cs="Times New Roman"/>
          <w:iCs/>
          <w:color w:val="000000"/>
        </w:rPr>
        <w:t>Nucleic</w:t>
      </w:r>
      <w:r w:rsidRPr="00657BE9">
        <w:rPr>
          <w:rFonts w:cs="Times New Roman"/>
          <w:iCs/>
          <w:color w:val="000000"/>
        </w:rPr>
        <w:t xml:space="preserve"> </w:t>
      </w:r>
      <w:r>
        <w:rPr>
          <w:rFonts w:cs="Times New Roman"/>
          <w:iCs/>
          <w:color w:val="000000"/>
        </w:rPr>
        <w:t>A</w:t>
      </w:r>
      <w:r w:rsidRPr="00657BE9">
        <w:rPr>
          <w:rFonts w:cs="Times New Roman"/>
          <w:iCs/>
          <w:color w:val="000000"/>
        </w:rPr>
        <w:t xml:space="preserve">cids </w:t>
      </w:r>
      <w:r>
        <w:rPr>
          <w:rFonts w:cs="Times New Roman"/>
          <w:iCs/>
          <w:color w:val="000000"/>
        </w:rPr>
        <w:t>R</w:t>
      </w:r>
      <w:r w:rsidRPr="00657BE9">
        <w:rPr>
          <w:rFonts w:cs="Times New Roman"/>
          <w:iCs/>
          <w:color w:val="000000"/>
        </w:rPr>
        <w:t>esearch</w:t>
      </w:r>
      <w:r>
        <w:rPr>
          <w:rFonts w:cs="Times New Roman"/>
          <w:color w:val="000000"/>
        </w:rPr>
        <w:t xml:space="preserve"> </w:t>
      </w:r>
      <w:r w:rsidRPr="00657BE9">
        <w:rPr>
          <w:rFonts w:cs="Times New Roman"/>
          <w:iCs/>
          <w:color w:val="000000"/>
        </w:rPr>
        <w:t>32</w:t>
      </w:r>
      <w:r>
        <w:rPr>
          <w:rFonts w:cs="Times New Roman"/>
          <w:color w:val="000000"/>
        </w:rPr>
        <w:t>:</w:t>
      </w:r>
      <w:r w:rsidRPr="00B502DD">
        <w:rPr>
          <w:rFonts w:cs="Times New Roman"/>
          <w:color w:val="000000"/>
        </w:rPr>
        <w:t>1792</w:t>
      </w:r>
      <w:r>
        <w:rPr>
          <w:rFonts w:cs="Times New Roman"/>
          <w:color w:val="000000"/>
        </w:rPr>
        <w:t>–</w:t>
      </w:r>
      <w:r w:rsidRPr="00B502DD">
        <w:rPr>
          <w:rFonts w:cs="Times New Roman"/>
          <w:color w:val="000000"/>
        </w:rPr>
        <w:t>1797.</w:t>
      </w:r>
    </w:p>
    <w:p w14:paraId="13E6A81D" w14:textId="77777777" w:rsidR="00F6339D" w:rsidRPr="00B502DD" w:rsidRDefault="00F6339D" w:rsidP="00F6339D">
      <w:pPr>
        <w:widowControl w:val="0"/>
        <w:autoSpaceDE w:val="0"/>
        <w:autoSpaceDN w:val="0"/>
        <w:adjustRightInd w:val="0"/>
        <w:spacing w:line="480" w:lineRule="auto"/>
        <w:ind w:left="360" w:hanging="360"/>
        <w:rPr>
          <w:rFonts w:cs="Times New Roman"/>
          <w:color w:val="000000"/>
        </w:rPr>
      </w:pPr>
      <w:r w:rsidRPr="00CE29EB">
        <w:rPr>
          <w:rFonts w:cs="Times New Roman"/>
          <w:color w:val="000000"/>
        </w:rPr>
        <w:t>Eliades, S.J., S. Phimmachak, N. Sivongxay, C.D. Siler and B.L. Stuart</w:t>
      </w:r>
      <w:r>
        <w:rPr>
          <w:rFonts w:cs="Times New Roman"/>
          <w:color w:val="000000"/>
        </w:rPr>
        <w:t xml:space="preserve">. </w:t>
      </w:r>
      <w:r w:rsidRPr="00CE29EB">
        <w:rPr>
          <w:rFonts w:cs="Times New Roman"/>
          <w:color w:val="000000"/>
        </w:rPr>
        <w:t xml:space="preserve">2019. Two new species of </w:t>
      </w:r>
      <w:r w:rsidRPr="00CE29EB">
        <w:rPr>
          <w:rFonts w:cs="Times New Roman"/>
          <w:i/>
          <w:iCs/>
          <w:color w:val="000000"/>
        </w:rPr>
        <w:t>Hemiphyllodactylus</w:t>
      </w:r>
      <w:r w:rsidRPr="00CE29EB">
        <w:rPr>
          <w:rFonts w:cs="Times New Roman"/>
          <w:color w:val="000000"/>
        </w:rPr>
        <w:t xml:space="preserve"> (Reptilia: Gekkonidae) from Laos. Zootaxa 4577</w:t>
      </w:r>
      <w:r>
        <w:rPr>
          <w:rFonts w:cs="Times New Roman"/>
          <w:color w:val="000000"/>
        </w:rPr>
        <w:t>:</w:t>
      </w:r>
      <w:r w:rsidRPr="00CE29EB">
        <w:rPr>
          <w:rFonts w:cs="Times New Roman"/>
          <w:color w:val="000000"/>
        </w:rPr>
        <w:t>131</w:t>
      </w:r>
      <w:r>
        <w:rPr>
          <w:rFonts w:cs="Times New Roman"/>
          <w:color w:val="000000"/>
        </w:rPr>
        <w:t>–</w:t>
      </w:r>
      <w:r w:rsidRPr="00CE29EB">
        <w:rPr>
          <w:rFonts w:cs="Times New Roman"/>
          <w:color w:val="000000"/>
        </w:rPr>
        <w:t>147.</w:t>
      </w:r>
    </w:p>
    <w:p w14:paraId="12CC2D7D" w14:textId="77777777" w:rsidR="00F6339D" w:rsidRDefault="00F6339D" w:rsidP="00F6339D">
      <w:pPr>
        <w:widowControl w:val="0"/>
        <w:autoSpaceDE w:val="0"/>
        <w:autoSpaceDN w:val="0"/>
        <w:adjustRightInd w:val="0"/>
        <w:spacing w:line="480" w:lineRule="auto"/>
        <w:ind w:left="360" w:hanging="360"/>
        <w:rPr>
          <w:rFonts w:cs="Times New Roman"/>
          <w:color w:val="000000"/>
        </w:rPr>
      </w:pPr>
      <w:r w:rsidRPr="002D5891">
        <w:rPr>
          <w:rFonts w:cs="Times New Roman"/>
          <w:color w:val="000000"/>
          <w:lang w:val="sv-SE"/>
        </w:rPr>
        <w:t xml:space="preserve">Erixon, P., B. Svennblad, T. Britton and B. Oxelman. </w:t>
      </w:r>
      <w:r w:rsidRPr="00B502DD">
        <w:rPr>
          <w:rFonts w:cs="Times New Roman"/>
          <w:color w:val="000000"/>
        </w:rPr>
        <w:t>2003</w:t>
      </w:r>
      <w:r>
        <w:rPr>
          <w:rFonts w:cs="Times New Roman"/>
          <w:color w:val="000000"/>
        </w:rPr>
        <w:t>.</w:t>
      </w:r>
      <w:r w:rsidRPr="00B502DD">
        <w:rPr>
          <w:rFonts w:cs="Times New Roman"/>
          <w:color w:val="000000"/>
        </w:rPr>
        <w:t xml:space="preserve"> Reliability of Bayesian posterior probabilities and bootstrap frequencies in phylogenetics. Systematic Biology 52</w:t>
      </w:r>
      <w:r>
        <w:rPr>
          <w:rFonts w:cs="Times New Roman"/>
          <w:color w:val="000000"/>
        </w:rPr>
        <w:t>:</w:t>
      </w:r>
      <w:r w:rsidRPr="00B502DD">
        <w:rPr>
          <w:rFonts w:cs="Times New Roman"/>
          <w:color w:val="000000"/>
        </w:rPr>
        <w:t>665–673.</w:t>
      </w:r>
    </w:p>
    <w:p w14:paraId="3DF9DCCB" w14:textId="77777777" w:rsidR="00F6339D" w:rsidRDefault="00F6339D" w:rsidP="00F6339D">
      <w:pPr>
        <w:spacing w:line="480" w:lineRule="auto"/>
        <w:ind w:left="360" w:hanging="360"/>
        <w:rPr>
          <w:rFonts w:cs="Times New Roman"/>
          <w:color w:val="000000"/>
        </w:rPr>
      </w:pPr>
      <w:r w:rsidRPr="00313A78">
        <w:rPr>
          <w:rFonts w:cs="Times New Roman"/>
          <w:color w:val="000000"/>
        </w:rPr>
        <w:t>Fitzinger, L. 1843. Systema Reptilium, Fasciculus Primus, Amblyglossae. Braumüller et Seidel, Austria</w:t>
      </w:r>
      <w:r>
        <w:rPr>
          <w:rFonts w:cs="Times New Roman"/>
          <w:color w:val="000000"/>
        </w:rPr>
        <w:t>.</w:t>
      </w:r>
    </w:p>
    <w:p w14:paraId="35981D0E" w14:textId="77777777" w:rsidR="00F6339D" w:rsidRDefault="00F6339D" w:rsidP="00F6339D">
      <w:pPr>
        <w:spacing w:line="480" w:lineRule="auto"/>
        <w:ind w:left="360" w:hanging="360"/>
        <w:rPr>
          <w:rFonts w:cs="Times New Roman"/>
          <w:color w:val="000000" w:themeColor="text1"/>
        </w:rPr>
      </w:pPr>
      <w:r w:rsidRPr="0023327A">
        <w:rPr>
          <w:rFonts w:cs="Times New Roman"/>
          <w:color w:val="000000" w:themeColor="text1"/>
        </w:rPr>
        <w:t>Gray, J.E. 1845. Catalogue of the Specimens of Lizards in the Collection of the British Museum. Order of the British Museum Trustees, UK.</w:t>
      </w:r>
    </w:p>
    <w:p w14:paraId="279F7C9A" w14:textId="77777777" w:rsidR="00F6339D" w:rsidRPr="00B502DD" w:rsidRDefault="00F6339D" w:rsidP="00F6339D">
      <w:pPr>
        <w:spacing w:line="480" w:lineRule="auto"/>
        <w:ind w:left="360" w:hanging="360"/>
        <w:rPr>
          <w:rFonts w:cs="Times New Roman"/>
          <w:color w:val="000000" w:themeColor="text1"/>
        </w:rPr>
      </w:pPr>
      <w:r w:rsidRPr="0077444D">
        <w:rPr>
          <w:rFonts w:cs="Times New Roman"/>
          <w:color w:val="000000" w:themeColor="text1"/>
        </w:rPr>
        <w:t xml:space="preserve">Griffing, A.H., T. Gamble, M.P. Heinicke, J.C. Brown and C.D. Siler. 2019. </w:t>
      </w:r>
      <w:r w:rsidRPr="0077444D">
        <w:rPr>
          <w:rFonts w:cs="Times New Roman"/>
          <w:i/>
          <w:iCs/>
          <w:color w:val="000000" w:themeColor="text1"/>
        </w:rPr>
        <w:t>Lycodon alcalai</w:t>
      </w:r>
      <w:r w:rsidRPr="0077444D">
        <w:rPr>
          <w:rFonts w:cs="Times New Roman"/>
          <w:color w:val="000000" w:themeColor="text1"/>
        </w:rPr>
        <w:t xml:space="preserve"> (Alcala’s Wolf Snake). Diet. Herpetological Review 50:595.</w:t>
      </w:r>
    </w:p>
    <w:p w14:paraId="2C7BE39B" w14:textId="77777777" w:rsidR="00F6339D" w:rsidRDefault="00F6339D" w:rsidP="00F6339D">
      <w:pPr>
        <w:spacing w:line="480" w:lineRule="auto"/>
        <w:ind w:left="360" w:hanging="360"/>
        <w:rPr>
          <w:rFonts w:cs="Times New Roman"/>
          <w:color w:val="000000" w:themeColor="text1"/>
        </w:rPr>
      </w:pPr>
      <w:r w:rsidRPr="00450671">
        <w:rPr>
          <w:rFonts w:cs="Times New Roman"/>
          <w:color w:val="000000" w:themeColor="text1"/>
        </w:rPr>
        <w:t xml:space="preserve">Grismer, L.L., P.L. Wood Jr, </w:t>
      </w:r>
      <w:r>
        <w:rPr>
          <w:rFonts w:cs="Times New Roman"/>
          <w:color w:val="000000" w:themeColor="text1"/>
        </w:rPr>
        <w:t xml:space="preserve">S. </w:t>
      </w:r>
      <w:r w:rsidRPr="00450671">
        <w:rPr>
          <w:rFonts w:cs="Times New Roman"/>
          <w:color w:val="000000" w:themeColor="text1"/>
        </w:rPr>
        <w:t xml:space="preserve">Anuar, </w:t>
      </w:r>
      <w:r>
        <w:rPr>
          <w:rFonts w:cs="Times New Roman"/>
          <w:color w:val="000000" w:themeColor="text1"/>
        </w:rPr>
        <w:t>M.A.</w:t>
      </w:r>
      <w:r w:rsidRPr="00450671">
        <w:rPr>
          <w:rFonts w:cs="Times New Roman"/>
          <w:color w:val="000000" w:themeColor="text1"/>
        </w:rPr>
        <w:t xml:space="preserve"> Muin, </w:t>
      </w:r>
      <w:r>
        <w:rPr>
          <w:rFonts w:cs="Times New Roman"/>
          <w:color w:val="000000" w:themeColor="text1"/>
        </w:rPr>
        <w:t>E.S.</w:t>
      </w:r>
      <w:r w:rsidRPr="00450671">
        <w:rPr>
          <w:rFonts w:cs="Times New Roman"/>
          <w:color w:val="000000" w:themeColor="text1"/>
        </w:rPr>
        <w:t xml:space="preserve"> Quah, </w:t>
      </w:r>
      <w:r>
        <w:rPr>
          <w:rFonts w:cs="Times New Roman"/>
          <w:color w:val="000000" w:themeColor="text1"/>
        </w:rPr>
        <w:t>J.A.</w:t>
      </w:r>
      <w:r w:rsidRPr="00450671">
        <w:rPr>
          <w:rFonts w:cs="Times New Roman"/>
          <w:color w:val="000000" w:themeColor="text1"/>
        </w:rPr>
        <w:t xml:space="preserve"> McGuire, </w:t>
      </w:r>
      <w:r>
        <w:rPr>
          <w:rFonts w:cs="Times New Roman"/>
          <w:color w:val="000000" w:themeColor="text1"/>
        </w:rPr>
        <w:t>R.M.</w:t>
      </w:r>
      <w:r w:rsidRPr="00450671">
        <w:rPr>
          <w:rFonts w:cs="Times New Roman"/>
          <w:color w:val="000000" w:themeColor="text1"/>
        </w:rPr>
        <w:t xml:space="preserve"> Brown, </w:t>
      </w:r>
      <w:r>
        <w:rPr>
          <w:rFonts w:cs="Times New Roman"/>
          <w:color w:val="000000" w:themeColor="text1"/>
        </w:rPr>
        <w:t xml:space="preserve">N. </w:t>
      </w:r>
      <w:r w:rsidRPr="00450671">
        <w:rPr>
          <w:rFonts w:cs="Times New Roman"/>
          <w:color w:val="000000" w:themeColor="text1"/>
        </w:rPr>
        <w:t xml:space="preserve">Van Tri and </w:t>
      </w:r>
      <w:r>
        <w:rPr>
          <w:rFonts w:cs="Times New Roman"/>
          <w:color w:val="000000" w:themeColor="text1"/>
        </w:rPr>
        <w:t xml:space="preserve">P. </w:t>
      </w:r>
      <w:r w:rsidRPr="00450671">
        <w:rPr>
          <w:rFonts w:cs="Times New Roman"/>
          <w:color w:val="000000" w:themeColor="text1"/>
        </w:rPr>
        <w:t xml:space="preserve">Hong Thai. 2013. Integrative taxonomy uncovers high levels of cryptic species diversity in </w:t>
      </w:r>
      <w:r w:rsidRPr="00450671">
        <w:rPr>
          <w:rFonts w:cs="Times New Roman"/>
          <w:i/>
          <w:color w:val="000000" w:themeColor="text1"/>
        </w:rPr>
        <w:t>Hemiphyllodactylus</w:t>
      </w:r>
      <w:r w:rsidRPr="00450671">
        <w:rPr>
          <w:rFonts w:cs="Times New Roman"/>
          <w:color w:val="000000" w:themeColor="text1"/>
        </w:rPr>
        <w:t xml:space="preserve"> Bleeker, 1860 (Squamata: Gekkonidae) and the description of a new species from Peninsular Malaysia. Zoological Journal of the Linnean Society</w:t>
      </w:r>
      <w:r>
        <w:rPr>
          <w:rFonts w:cs="Times New Roman"/>
          <w:color w:val="000000" w:themeColor="text1"/>
        </w:rPr>
        <w:t xml:space="preserve"> </w:t>
      </w:r>
      <w:r w:rsidRPr="00450671">
        <w:rPr>
          <w:rFonts w:cs="Times New Roman"/>
          <w:color w:val="000000" w:themeColor="text1"/>
        </w:rPr>
        <w:t>169</w:t>
      </w:r>
      <w:r>
        <w:rPr>
          <w:rFonts w:cs="Times New Roman"/>
          <w:color w:val="000000" w:themeColor="text1"/>
        </w:rPr>
        <w:t>:</w:t>
      </w:r>
      <w:r w:rsidRPr="00450671">
        <w:rPr>
          <w:rFonts w:cs="Times New Roman"/>
          <w:color w:val="000000" w:themeColor="text1"/>
        </w:rPr>
        <w:t>849</w:t>
      </w:r>
      <w:r>
        <w:rPr>
          <w:rFonts w:cs="Times New Roman"/>
          <w:color w:val="000000" w:themeColor="text1"/>
        </w:rPr>
        <w:t>–</w:t>
      </w:r>
      <w:r w:rsidRPr="00450671">
        <w:rPr>
          <w:rFonts w:cs="Times New Roman"/>
          <w:color w:val="000000" w:themeColor="text1"/>
        </w:rPr>
        <w:t>880.</w:t>
      </w:r>
    </w:p>
    <w:p w14:paraId="27D78BF9" w14:textId="77777777" w:rsidR="00F6339D" w:rsidRDefault="00F6339D" w:rsidP="00F6339D">
      <w:pPr>
        <w:spacing w:line="480" w:lineRule="auto"/>
        <w:ind w:left="360" w:hanging="360"/>
        <w:rPr>
          <w:rFonts w:cs="Times New Roman"/>
          <w:color w:val="000000" w:themeColor="text1"/>
        </w:rPr>
      </w:pPr>
      <w:r w:rsidRPr="00B502DD">
        <w:rPr>
          <w:rFonts w:cs="Times New Roman"/>
          <w:color w:val="000000" w:themeColor="text1"/>
        </w:rPr>
        <w:t xml:space="preserve">Heinicke, M.P., </w:t>
      </w:r>
      <w:r>
        <w:rPr>
          <w:rFonts w:cs="Times New Roman"/>
          <w:color w:val="000000" w:themeColor="text1"/>
        </w:rPr>
        <w:t xml:space="preserve">E. </w:t>
      </w:r>
      <w:r w:rsidRPr="00B502DD">
        <w:rPr>
          <w:rFonts w:cs="Times New Roman"/>
          <w:color w:val="000000" w:themeColor="text1"/>
        </w:rPr>
        <w:t xml:space="preserve">Greenbaum, </w:t>
      </w:r>
      <w:r>
        <w:rPr>
          <w:rFonts w:cs="Times New Roman"/>
          <w:color w:val="000000" w:themeColor="text1"/>
        </w:rPr>
        <w:t>T.R.</w:t>
      </w:r>
      <w:r w:rsidRPr="00B502DD">
        <w:rPr>
          <w:rFonts w:cs="Times New Roman"/>
          <w:color w:val="000000" w:themeColor="text1"/>
        </w:rPr>
        <w:t xml:space="preserve"> Jackman and </w:t>
      </w:r>
      <w:r>
        <w:rPr>
          <w:rFonts w:cs="Times New Roman"/>
          <w:color w:val="000000" w:themeColor="text1"/>
        </w:rPr>
        <w:t xml:space="preserve">A.M. </w:t>
      </w:r>
      <w:r w:rsidRPr="00B502DD">
        <w:rPr>
          <w:rFonts w:cs="Times New Roman"/>
          <w:color w:val="000000" w:themeColor="text1"/>
        </w:rPr>
        <w:t>Bauer. 2012. Evolution of gliding in Southeast Asian geckos and other vertebrates is temporally congruent with dipterocarp forest development.</w:t>
      </w:r>
      <w:r>
        <w:rPr>
          <w:rFonts w:cs="Times New Roman"/>
          <w:color w:val="000000" w:themeColor="text1"/>
        </w:rPr>
        <w:t xml:space="preserve"> </w:t>
      </w:r>
      <w:r w:rsidRPr="00C82D3C">
        <w:rPr>
          <w:rFonts w:cs="Times New Roman"/>
          <w:iCs/>
          <w:color w:val="000000" w:themeColor="text1"/>
        </w:rPr>
        <w:t xml:space="preserve">Biology </w:t>
      </w:r>
      <w:r>
        <w:rPr>
          <w:rFonts w:cs="Times New Roman"/>
          <w:iCs/>
          <w:color w:val="000000" w:themeColor="text1"/>
        </w:rPr>
        <w:t>L</w:t>
      </w:r>
      <w:r w:rsidRPr="00C82D3C">
        <w:rPr>
          <w:rFonts w:cs="Times New Roman"/>
          <w:iCs/>
          <w:color w:val="000000" w:themeColor="text1"/>
        </w:rPr>
        <w:t>etters</w:t>
      </w:r>
      <w:r>
        <w:rPr>
          <w:rFonts w:cs="Times New Roman"/>
          <w:iCs/>
          <w:color w:val="000000" w:themeColor="text1"/>
        </w:rPr>
        <w:t xml:space="preserve"> 8:994</w:t>
      </w:r>
      <w:r>
        <w:rPr>
          <w:rFonts w:cs="Times New Roman"/>
          <w:color w:val="000000" w:themeColor="text1"/>
        </w:rPr>
        <w:t>–997.</w:t>
      </w:r>
    </w:p>
    <w:p w14:paraId="1321A10F" w14:textId="77777777" w:rsidR="00F6339D" w:rsidRDefault="00F6339D" w:rsidP="00F6339D">
      <w:pPr>
        <w:spacing w:line="480" w:lineRule="auto"/>
        <w:ind w:left="360" w:hanging="360"/>
        <w:rPr>
          <w:rFonts w:cs="Times New Roman"/>
          <w:color w:val="000000" w:themeColor="text1"/>
        </w:rPr>
      </w:pPr>
      <w:r w:rsidRPr="00B502DD">
        <w:rPr>
          <w:rFonts w:cs="Times New Roman"/>
          <w:color w:val="000000" w:themeColor="text1"/>
        </w:rPr>
        <w:t xml:space="preserve">Kluge, A.G. 1968. Phylogenetic relationships of the gekkonid lizard genera </w:t>
      </w:r>
      <w:r w:rsidRPr="0014267F">
        <w:rPr>
          <w:rFonts w:cs="Times New Roman"/>
          <w:i/>
          <w:color w:val="000000" w:themeColor="text1"/>
        </w:rPr>
        <w:t>Lepidodactylus</w:t>
      </w:r>
      <w:r w:rsidRPr="00B502DD">
        <w:rPr>
          <w:rFonts w:cs="Times New Roman"/>
          <w:color w:val="000000" w:themeColor="text1"/>
        </w:rPr>
        <w:t xml:space="preserve"> Fitzinger, </w:t>
      </w:r>
      <w:r w:rsidRPr="0014267F">
        <w:rPr>
          <w:rFonts w:cs="Times New Roman"/>
          <w:i/>
          <w:color w:val="000000" w:themeColor="text1"/>
        </w:rPr>
        <w:t>Hemiphyllodactylus</w:t>
      </w:r>
      <w:r w:rsidRPr="00B502DD">
        <w:rPr>
          <w:rFonts w:cs="Times New Roman"/>
          <w:color w:val="000000" w:themeColor="text1"/>
        </w:rPr>
        <w:t xml:space="preserve"> Bleeker, and </w:t>
      </w:r>
      <w:r w:rsidRPr="0014267F">
        <w:rPr>
          <w:rFonts w:cs="Times New Roman"/>
          <w:i/>
          <w:color w:val="000000" w:themeColor="text1"/>
        </w:rPr>
        <w:t>Pseudogekko</w:t>
      </w:r>
      <w:r w:rsidRPr="00B502DD">
        <w:rPr>
          <w:rFonts w:cs="Times New Roman"/>
          <w:color w:val="000000" w:themeColor="text1"/>
        </w:rPr>
        <w:t xml:space="preserve"> Taylor.</w:t>
      </w:r>
      <w:r>
        <w:rPr>
          <w:rFonts w:cs="Times New Roman"/>
          <w:color w:val="000000" w:themeColor="text1"/>
        </w:rPr>
        <w:t xml:space="preserve"> </w:t>
      </w:r>
      <w:r w:rsidRPr="0014267F">
        <w:rPr>
          <w:rFonts w:cs="Times New Roman"/>
          <w:iCs/>
          <w:color w:val="000000" w:themeColor="text1"/>
        </w:rPr>
        <w:t>The Philippine Journal of Science</w:t>
      </w:r>
      <w:r>
        <w:rPr>
          <w:rFonts w:cs="Times New Roman"/>
          <w:color w:val="000000" w:themeColor="text1"/>
        </w:rPr>
        <w:t xml:space="preserve"> </w:t>
      </w:r>
      <w:r w:rsidRPr="0014267F">
        <w:rPr>
          <w:rFonts w:cs="Times New Roman"/>
          <w:iCs/>
          <w:color w:val="000000" w:themeColor="text1"/>
        </w:rPr>
        <w:t>95</w:t>
      </w:r>
      <w:r>
        <w:rPr>
          <w:rFonts w:cs="Times New Roman"/>
          <w:iCs/>
          <w:color w:val="000000" w:themeColor="text1"/>
        </w:rPr>
        <w:t>:</w:t>
      </w:r>
      <w:r w:rsidRPr="00B502DD">
        <w:rPr>
          <w:rFonts w:cs="Times New Roman"/>
          <w:color w:val="000000" w:themeColor="text1"/>
        </w:rPr>
        <w:t>331</w:t>
      </w:r>
      <w:r>
        <w:rPr>
          <w:rFonts w:cs="Times New Roman"/>
          <w:color w:val="000000" w:themeColor="text1"/>
        </w:rPr>
        <w:t>–</w:t>
      </w:r>
      <w:r w:rsidRPr="00B502DD">
        <w:rPr>
          <w:rFonts w:cs="Times New Roman"/>
          <w:color w:val="000000" w:themeColor="text1"/>
        </w:rPr>
        <w:t>352.</w:t>
      </w:r>
    </w:p>
    <w:p w14:paraId="0C2C6883" w14:textId="77777777" w:rsidR="00F6339D" w:rsidRPr="00B502DD" w:rsidRDefault="00F6339D" w:rsidP="00F6339D">
      <w:pPr>
        <w:spacing w:line="480" w:lineRule="auto"/>
        <w:ind w:left="360" w:hanging="360"/>
        <w:rPr>
          <w:rFonts w:cs="Times New Roman"/>
          <w:color w:val="000000" w:themeColor="text1"/>
        </w:rPr>
      </w:pPr>
      <w:r w:rsidRPr="0023327A">
        <w:rPr>
          <w:rFonts w:cs="Times New Roman"/>
          <w:color w:val="000000" w:themeColor="text1"/>
        </w:rPr>
        <w:t>Köhler, G. 2012. Color Catalogue for Field Biologists. Herpeton, Germany.</w:t>
      </w:r>
    </w:p>
    <w:p w14:paraId="1EB21593" w14:textId="77777777" w:rsidR="00F6339D" w:rsidRDefault="00F6339D" w:rsidP="00F6339D">
      <w:pPr>
        <w:spacing w:line="480" w:lineRule="auto"/>
        <w:ind w:left="360" w:hanging="360"/>
        <w:rPr>
          <w:rFonts w:cs="Times New Roman"/>
          <w:color w:val="000000" w:themeColor="text1"/>
        </w:rPr>
      </w:pPr>
      <w:r w:rsidRPr="00B502DD">
        <w:rPr>
          <w:rFonts w:cs="Times New Roman"/>
          <w:color w:val="000000" w:themeColor="text1"/>
        </w:rPr>
        <w:t xml:space="preserve">Linkem, C.W., </w:t>
      </w:r>
      <w:r>
        <w:rPr>
          <w:rFonts w:cs="Times New Roman"/>
          <w:color w:val="000000" w:themeColor="text1"/>
        </w:rPr>
        <w:t xml:space="preserve">C.D. </w:t>
      </w:r>
      <w:r w:rsidRPr="00B502DD">
        <w:rPr>
          <w:rFonts w:cs="Times New Roman"/>
          <w:color w:val="000000" w:themeColor="text1"/>
        </w:rPr>
        <w:t xml:space="preserve">Siler, </w:t>
      </w:r>
      <w:r>
        <w:rPr>
          <w:rFonts w:cs="Times New Roman"/>
          <w:color w:val="000000" w:themeColor="text1"/>
        </w:rPr>
        <w:t>A.C.</w:t>
      </w:r>
      <w:r w:rsidRPr="00B502DD">
        <w:rPr>
          <w:rFonts w:cs="Times New Roman"/>
          <w:color w:val="000000" w:themeColor="text1"/>
        </w:rPr>
        <w:t xml:space="preserve"> Diesmos and </w:t>
      </w:r>
      <w:r>
        <w:rPr>
          <w:rFonts w:cs="Times New Roman"/>
          <w:color w:val="000000" w:themeColor="text1"/>
        </w:rPr>
        <w:t xml:space="preserve">R.M. </w:t>
      </w:r>
      <w:r w:rsidRPr="00B502DD">
        <w:rPr>
          <w:rFonts w:cs="Times New Roman"/>
          <w:color w:val="000000" w:themeColor="text1"/>
        </w:rPr>
        <w:t xml:space="preserve">Brown. 2010. A new species of </w:t>
      </w:r>
      <w:r w:rsidRPr="0014267F">
        <w:rPr>
          <w:rFonts w:cs="Times New Roman"/>
          <w:i/>
          <w:color w:val="000000" w:themeColor="text1"/>
        </w:rPr>
        <w:t>Gekko</w:t>
      </w:r>
      <w:r w:rsidRPr="00B502DD">
        <w:rPr>
          <w:rFonts w:cs="Times New Roman"/>
          <w:color w:val="000000" w:themeColor="text1"/>
        </w:rPr>
        <w:t xml:space="preserve"> (Squamata: Gekkonidae) from central Luzon Island, Philippines.</w:t>
      </w:r>
      <w:r>
        <w:rPr>
          <w:rFonts w:cs="Times New Roman"/>
          <w:color w:val="000000" w:themeColor="text1"/>
        </w:rPr>
        <w:t xml:space="preserve"> </w:t>
      </w:r>
      <w:r w:rsidRPr="0014267F">
        <w:rPr>
          <w:rFonts w:cs="Times New Roman"/>
          <w:iCs/>
          <w:color w:val="000000" w:themeColor="text1"/>
        </w:rPr>
        <w:t>Zootaxa</w:t>
      </w:r>
      <w:r>
        <w:rPr>
          <w:rFonts w:cs="Times New Roman"/>
          <w:color w:val="000000" w:themeColor="text1"/>
        </w:rPr>
        <w:t xml:space="preserve"> </w:t>
      </w:r>
      <w:r w:rsidRPr="0014267F">
        <w:rPr>
          <w:rFonts w:cs="Times New Roman"/>
          <w:iCs/>
          <w:color w:val="000000" w:themeColor="text1"/>
        </w:rPr>
        <w:t>2396</w:t>
      </w:r>
      <w:r>
        <w:rPr>
          <w:rFonts w:cs="Times New Roman"/>
          <w:iCs/>
          <w:color w:val="000000" w:themeColor="text1"/>
        </w:rPr>
        <w:t>:</w:t>
      </w:r>
      <w:r w:rsidRPr="00B502DD">
        <w:rPr>
          <w:rFonts w:cs="Times New Roman"/>
          <w:color w:val="000000" w:themeColor="text1"/>
        </w:rPr>
        <w:t>37</w:t>
      </w:r>
      <w:r>
        <w:rPr>
          <w:rFonts w:cs="Times New Roman"/>
          <w:color w:val="000000" w:themeColor="text1"/>
        </w:rPr>
        <w:t>–</w:t>
      </w:r>
      <w:r w:rsidRPr="00B502DD">
        <w:rPr>
          <w:rFonts w:cs="Times New Roman"/>
          <w:color w:val="000000" w:themeColor="text1"/>
        </w:rPr>
        <w:t>49.</w:t>
      </w:r>
    </w:p>
    <w:p w14:paraId="30F273C8" w14:textId="77777777" w:rsidR="00F6339D" w:rsidRPr="00B502DD" w:rsidRDefault="00F6339D" w:rsidP="00F6339D">
      <w:pPr>
        <w:widowControl w:val="0"/>
        <w:autoSpaceDE w:val="0"/>
        <w:autoSpaceDN w:val="0"/>
        <w:adjustRightInd w:val="0"/>
        <w:spacing w:line="480" w:lineRule="auto"/>
        <w:ind w:left="360" w:hanging="360"/>
        <w:rPr>
          <w:rFonts w:cs="Times New Roman"/>
          <w:color w:val="000000"/>
        </w:rPr>
      </w:pPr>
      <w:r w:rsidRPr="00B502DD">
        <w:rPr>
          <w:rFonts w:cs="Times New Roman"/>
          <w:color w:val="000000"/>
        </w:rPr>
        <w:t xml:space="preserve">Macey, J.R., </w:t>
      </w:r>
      <w:r>
        <w:rPr>
          <w:rFonts w:cs="Times New Roman"/>
          <w:color w:val="000000"/>
        </w:rPr>
        <w:t xml:space="preserve">Y. </w:t>
      </w:r>
      <w:r w:rsidRPr="00B502DD">
        <w:rPr>
          <w:rFonts w:cs="Times New Roman"/>
          <w:color w:val="000000"/>
        </w:rPr>
        <w:t xml:space="preserve">Wang, </w:t>
      </w:r>
      <w:r>
        <w:rPr>
          <w:rFonts w:cs="Times New Roman"/>
          <w:color w:val="000000"/>
        </w:rPr>
        <w:t>N.B.</w:t>
      </w:r>
      <w:r w:rsidRPr="00B502DD">
        <w:rPr>
          <w:rFonts w:cs="Times New Roman"/>
          <w:color w:val="000000"/>
        </w:rPr>
        <w:t xml:space="preserve"> Ananjeva, </w:t>
      </w:r>
      <w:r>
        <w:rPr>
          <w:rFonts w:cs="Times New Roman"/>
          <w:color w:val="000000"/>
        </w:rPr>
        <w:t>A.</w:t>
      </w:r>
      <w:r w:rsidRPr="00B502DD">
        <w:rPr>
          <w:rFonts w:cs="Times New Roman"/>
          <w:color w:val="000000"/>
        </w:rPr>
        <w:t xml:space="preserve"> Larson and </w:t>
      </w:r>
      <w:r>
        <w:rPr>
          <w:rFonts w:cs="Times New Roman"/>
          <w:color w:val="000000"/>
        </w:rPr>
        <w:t xml:space="preserve">T.J. </w:t>
      </w:r>
      <w:r w:rsidRPr="00B502DD">
        <w:rPr>
          <w:rFonts w:cs="Times New Roman"/>
          <w:color w:val="000000"/>
        </w:rPr>
        <w:t>Papenfuss</w:t>
      </w:r>
      <w:r>
        <w:rPr>
          <w:rFonts w:cs="Times New Roman"/>
          <w:color w:val="000000"/>
        </w:rPr>
        <w:t>.</w:t>
      </w:r>
      <w:r w:rsidRPr="00B502DD">
        <w:rPr>
          <w:rFonts w:cs="Times New Roman"/>
          <w:color w:val="000000"/>
        </w:rPr>
        <w:t xml:space="preserve"> 1999. Vicariant patterns of fragmentation among gekkonid lizards of the genus </w:t>
      </w:r>
      <w:r w:rsidRPr="0014267F">
        <w:rPr>
          <w:rFonts w:cs="Times New Roman"/>
          <w:i/>
          <w:color w:val="000000"/>
        </w:rPr>
        <w:t>Teratoscincus</w:t>
      </w:r>
      <w:r w:rsidRPr="00B502DD">
        <w:rPr>
          <w:rFonts w:cs="Times New Roman"/>
          <w:color w:val="000000"/>
        </w:rPr>
        <w:t xml:space="preserve"> produced by the Indian collision: </w:t>
      </w:r>
      <w:r>
        <w:rPr>
          <w:rFonts w:cs="Times New Roman"/>
          <w:color w:val="000000"/>
        </w:rPr>
        <w:t>A</w:t>
      </w:r>
      <w:r w:rsidRPr="00B502DD">
        <w:rPr>
          <w:rFonts w:cs="Times New Roman"/>
          <w:color w:val="000000"/>
        </w:rPr>
        <w:t xml:space="preserve"> molecular phylogenetic perspective and an area cladogram for Central Asia.</w:t>
      </w:r>
      <w:r w:rsidRPr="0014267F">
        <w:rPr>
          <w:rFonts w:cs="Times New Roman"/>
          <w:iCs/>
          <w:color w:val="000000"/>
        </w:rPr>
        <w:t>Molecular Phylogenetics and Evolutio</w:t>
      </w:r>
      <w:r w:rsidRPr="004C18E7">
        <w:rPr>
          <w:rFonts w:cs="Times New Roman"/>
          <w:iCs/>
          <w:color w:val="000000"/>
        </w:rPr>
        <w:t>n</w:t>
      </w:r>
      <w:r>
        <w:rPr>
          <w:rFonts w:cs="Times New Roman"/>
          <w:color w:val="000000"/>
        </w:rPr>
        <w:t xml:space="preserve"> </w:t>
      </w:r>
      <w:r w:rsidRPr="0014267F">
        <w:rPr>
          <w:rFonts w:cs="Times New Roman"/>
          <w:iCs/>
          <w:color w:val="000000"/>
        </w:rPr>
        <w:t>12</w:t>
      </w:r>
      <w:r>
        <w:rPr>
          <w:rFonts w:cs="Times New Roman"/>
          <w:color w:val="000000"/>
        </w:rPr>
        <w:t>:</w:t>
      </w:r>
      <w:r w:rsidRPr="00B502DD">
        <w:rPr>
          <w:rFonts w:cs="Times New Roman"/>
          <w:color w:val="000000"/>
        </w:rPr>
        <w:t>320</w:t>
      </w:r>
      <w:r>
        <w:rPr>
          <w:rFonts w:cs="Times New Roman"/>
          <w:color w:val="000000"/>
        </w:rPr>
        <w:t>–</w:t>
      </w:r>
      <w:r w:rsidRPr="00B502DD">
        <w:rPr>
          <w:rFonts w:cs="Times New Roman"/>
          <w:color w:val="000000"/>
        </w:rPr>
        <w:t>332.</w:t>
      </w:r>
    </w:p>
    <w:p w14:paraId="60508F27" w14:textId="77777777" w:rsidR="00F6339D" w:rsidRPr="00E00D5E" w:rsidRDefault="00F6339D" w:rsidP="00F6339D">
      <w:pPr>
        <w:widowControl w:val="0"/>
        <w:autoSpaceDE w:val="0"/>
        <w:autoSpaceDN w:val="0"/>
        <w:adjustRightInd w:val="0"/>
        <w:spacing w:line="480" w:lineRule="auto"/>
        <w:ind w:left="360" w:hanging="360"/>
        <w:rPr>
          <w:rFonts w:cs="Times New Roman"/>
          <w:color w:val="000000"/>
        </w:rPr>
      </w:pPr>
      <w:r w:rsidRPr="00D54410">
        <w:rPr>
          <w:rFonts w:cs="Times New Roman"/>
          <w:color w:val="000000"/>
        </w:rPr>
        <w:t>Miller, M.A., W. Pfeiffer and T. Schwartz. 2010. Creating the CIPRES Science Gateway for inference of large phylogenetic trees. Proceedings of the Gateway Computing Environments Workshop 2010:1–8.</w:t>
      </w:r>
    </w:p>
    <w:p w14:paraId="0D90C0A9" w14:textId="77777777" w:rsidR="00F6339D" w:rsidRPr="00E00D5E" w:rsidRDefault="00F6339D" w:rsidP="00F6339D">
      <w:pPr>
        <w:spacing w:line="480" w:lineRule="auto"/>
        <w:ind w:left="360" w:hanging="360"/>
        <w:rPr>
          <w:rFonts w:cs="Times New Roman"/>
          <w:color w:val="000000" w:themeColor="text1"/>
        </w:rPr>
      </w:pPr>
      <w:r w:rsidRPr="00E00D5E">
        <w:rPr>
          <w:rFonts w:cs="Times New Roman"/>
          <w:color w:val="000000" w:themeColor="text1"/>
        </w:rPr>
        <w:t xml:space="preserve">Oliver, P.M., R.M. Brown, F. Kraus, E. Rittmeyer, S.L. Travers and C.D. Siler. 2018. Lizards of the lost arcs: </w:t>
      </w:r>
      <w:r>
        <w:rPr>
          <w:rFonts w:cs="Times New Roman"/>
          <w:color w:val="000000" w:themeColor="text1"/>
        </w:rPr>
        <w:t>M</w:t>
      </w:r>
      <w:r w:rsidRPr="00E00D5E">
        <w:rPr>
          <w:rFonts w:cs="Times New Roman"/>
          <w:color w:val="000000" w:themeColor="text1"/>
        </w:rPr>
        <w:t>id</w:t>
      </w:r>
      <w:r>
        <w:rPr>
          <w:rFonts w:cs="Times New Roman"/>
          <w:color w:val="000000" w:themeColor="text1"/>
        </w:rPr>
        <w:t>-</w:t>
      </w:r>
      <w:r w:rsidRPr="00E00D5E">
        <w:rPr>
          <w:rFonts w:cs="Times New Roman"/>
          <w:color w:val="000000" w:themeColor="text1"/>
        </w:rPr>
        <w:t>Cenozoic diversification, persistence and ecological marginalization in the West Pacific. Proceedings of the Royal Society B: Biological Sciences 285:20171760.</w:t>
      </w:r>
    </w:p>
    <w:p w14:paraId="053BBFAE" w14:textId="77777777" w:rsidR="00F6339D" w:rsidRDefault="00F6339D" w:rsidP="00F6339D">
      <w:pPr>
        <w:spacing w:line="480" w:lineRule="auto"/>
        <w:ind w:left="360" w:hanging="360"/>
        <w:rPr>
          <w:rFonts w:cs="Times New Roman"/>
          <w:color w:val="000000" w:themeColor="text1"/>
        </w:rPr>
      </w:pPr>
      <w:r w:rsidRPr="00E00D5E">
        <w:rPr>
          <w:rFonts w:cs="Times New Roman"/>
          <w:color w:val="000000" w:themeColor="text1"/>
        </w:rPr>
        <w:t xml:space="preserve">Ota, H. 1987. A new species of </w:t>
      </w:r>
      <w:r w:rsidRPr="00E00D5E">
        <w:rPr>
          <w:rFonts w:cs="Times New Roman"/>
          <w:i/>
          <w:color w:val="000000" w:themeColor="text1"/>
        </w:rPr>
        <w:t>Lepidodactylus</w:t>
      </w:r>
      <w:r w:rsidRPr="00E00D5E">
        <w:rPr>
          <w:rFonts w:cs="Times New Roman"/>
          <w:color w:val="000000" w:themeColor="text1"/>
        </w:rPr>
        <w:t xml:space="preserve"> (Gekkonidae: Reptilia) from Lanyu Island, Taiwan. Copeia 1987:164–169.</w:t>
      </w:r>
    </w:p>
    <w:p w14:paraId="60353719" w14:textId="77777777" w:rsidR="00F6339D" w:rsidRDefault="00F6339D" w:rsidP="00F6339D">
      <w:pPr>
        <w:spacing w:line="480" w:lineRule="auto"/>
        <w:ind w:left="360" w:hanging="360"/>
        <w:rPr>
          <w:rFonts w:cs="Times New Roman"/>
          <w:color w:val="000000" w:themeColor="text1"/>
        </w:rPr>
      </w:pPr>
      <w:r w:rsidRPr="00B502DD">
        <w:rPr>
          <w:rFonts w:cs="Times New Roman"/>
          <w:color w:val="000000" w:themeColor="text1"/>
        </w:rPr>
        <w:t>Ota, H.</w:t>
      </w:r>
      <w:r>
        <w:rPr>
          <w:rFonts w:cs="Times New Roman"/>
          <w:color w:val="000000" w:themeColor="text1"/>
        </w:rPr>
        <w:t>,</w:t>
      </w:r>
      <w:r w:rsidRPr="00B502DD">
        <w:rPr>
          <w:rFonts w:cs="Times New Roman"/>
          <w:color w:val="000000" w:themeColor="text1"/>
        </w:rPr>
        <w:t xml:space="preserve"> and </w:t>
      </w:r>
      <w:r>
        <w:rPr>
          <w:rFonts w:cs="Times New Roman"/>
          <w:color w:val="000000" w:themeColor="text1"/>
        </w:rPr>
        <w:t xml:space="preserve">R.I. </w:t>
      </w:r>
      <w:r w:rsidRPr="00B502DD">
        <w:rPr>
          <w:rFonts w:cs="Times New Roman"/>
          <w:color w:val="000000" w:themeColor="text1"/>
        </w:rPr>
        <w:t>Crombie.</w:t>
      </w:r>
      <w:r>
        <w:rPr>
          <w:rFonts w:cs="Times New Roman"/>
          <w:color w:val="000000" w:themeColor="text1"/>
        </w:rPr>
        <w:t xml:space="preserve"> </w:t>
      </w:r>
      <w:r w:rsidRPr="00B502DD">
        <w:rPr>
          <w:rFonts w:cs="Times New Roman"/>
          <w:color w:val="000000" w:themeColor="text1"/>
        </w:rPr>
        <w:t xml:space="preserve">1989. A new lizard of the genus </w:t>
      </w:r>
      <w:r w:rsidRPr="00C16E2C">
        <w:rPr>
          <w:rFonts w:cs="Times New Roman"/>
          <w:i/>
          <w:color w:val="000000" w:themeColor="text1"/>
        </w:rPr>
        <w:t>Lepidodactylus</w:t>
      </w:r>
      <w:r w:rsidRPr="00B502DD">
        <w:rPr>
          <w:rFonts w:cs="Times New Roman"/>
          <w:color w:val="000000" w:themeColor="text1"/>
        </w:rPr>
        <w:t xml:space="preserve"> (Reptilia, Gekkonidae) from Batan Island, Philippines. </w:t>
      </w:r>
      <w:r w:rsidRPr="00C16E2C">
        <w:rPr>
          <w:rFonts w:cs="Times New Roman"/>
          <w:color w:val="000000" w:themeColor="text1"/>
        </w:rPr>
        <w:t xml:space="preserve">Proceedings of the Biological Society of Washington </w:t>
      </w:r>
      <w:r w:rsidRPr="00B502DD">
        <w:rPr>
          <w:rFonts w:cs="Times New Roman"/>
          <w:color w:val="000000" w:themeColor="text1"/>
        </w:rPr>
        <w:t>102</w:t>
      </w:r>
      <w:r>
        <w:rPr>
          <w:rFonts w:cs="Times New Roman"/>
          <w:color w:val="000000" w:themeColor="text1"/>
        </w:rPr>
        <w:t>:</w:t>
      </w:r>
      <w:r w:rsidRPr="00B502DD">
        <w:rPr>
          <w:rFonts w:cs="Times New Roman"/>
          <w:color w:val="000000" w:themeColor="text1"/>
        </w:rPr>
        <w:t>559</w:t>
      </w:r>
      <w:r>
        <w:rPr>
          <w:rFonts w:cs="Times New Roman"/>
          <w:color w:val="000000" w:themeColor="text1"/>
        </w:rPr>
        <w:t>–</w:t>
      </w:r>
      <w:r w:rsidRPr="00B502DD">
        <w:rPr>
          <w:rFonts w:cs="Times New Roman"/>
          <w:color w:val="000000" w:themeColor="text1"/>
        </w:rPr>
        <w:t>567.</w:t>
      </w:r>
    </w:p>
    <w:p w14:paraId="748F9F75" w14:textId="77777777" w:rsidR="00F6339D" w:rsidRPr="00B502DD" w:rsidRDefault="00F6339D" w:rsidP="00F6339D">
      <w:pPr>
        <w:spacing w:line="480" w:lineRule="auto"/>
        <w:ind w:left="360" w:hanging="360"/>
        <w:rPr>
          <w:rFonts w:cs="Times New Roman"/>
          <w:color w:val="000000" w:themeColor="text1"/>
        </w:rPr>
      </w:pPr>
      <w:r w:rsidRPr="00B502DD">
        <w:rPr>
          <w:rFonts w:cs="Times New Roman"/>
          <w:color w:val="000000" w:themeColor="text1"/>
        </w:rPr>
        <w:t xml:space="preserve">Ota, H., </w:t>
      </w:r>
      <w:r>
        <w:rPr>
          <w:rFonts w:cs="Times New Roman"/>
          <w:color w:val="000000" w:themeColor="text1"/>
        </w:rPr>
        <w:t xml:space="preserve">R.N. </w:t>
      </w:r>
      <w:r w:rsidRPr="00B502DD">
        <w:rPr>
          <w:rFonts w:cs="Times New Roman"/>
          <w:color w:val="000000" w:themeColor="text1"/>
        </w:rPr>
        <w:t xml:space="preserve">Fisher, </w:t>
      </w:r>
      <w:r>
        <w:rPr>
          <w:rFonts w:cs="Times New Roman"/>
          <w:color w:val="000000" w:themeColor="text1"/>
        </w:rPr>
        <w:t>I.</w:t>
      </w:r>
      <w:r w:rsidRPr="00B502DD">
        <w:rPr>
          <w:rFonts w:cs="Times New Roman"/>
          <w:color w:val="000000" w:themeColor="text1"/>
        </w:rPr>
        <w:t xml:space="preserve"> Ineich and </w:t>
      </w:r>
      <w:r>
        <w:rPr>
          <w:rFonts w:cs="Times New Roman"/>
          <w:color w:val="000000" w:themeColor="text1"/>
        </w:rPr>
        <w:t xml:space="preserve">T.J. </w:t>
      </w:r>
      <w:r w:rsidRPr="00B502DD">
        <w:rPr>
          <w:rFonts w:cs="Times New Roman"/>
          <w:color w:val="000000" w:themeColor="text1"/>
        </w:rPr>
        <w:t xml:space="preserve">Case. 1995. Geckos of the genus </w:t>
      </w:r>
      <w:r w:rsidRPr="000F7F63">
        <w:rPr>
          <w:rFonts w:cs="Times New Roman"/>
          <w:i/>
          <w:color w:val="000000" w:themeColor="text1"/>
        </w:rPr>
        <w:t>Lepidodactylus</w:t>
      </w:r>
      <w:r w:rsidRPr="00B502DD">
        <w:rPr>
          <w:rFonts w:cs="Times New Roman"/>
          <w:color w:val="000000" w:themeColor="text1"/>
        </w:rPr>
        <w:t xml:space="preserve"> (Squamata: Reptilia) in Micronesia: </w:t>
      </w:r>
      <w:r>
        <w:rPr>
          <w:rFonts w:cs="Times New Roman"/>
          <w:color w:val="000000" w:themeColor="text1"/>
        </w:rPr>
        <w:t>D</w:t>
      </w:r>
      <w:r w:rsidRPr="00B502DD">
        <w:rPr>
          <w:rFonts w:cs="Times New Roman"/>
          <w:color w:val="000000" w:themeColor="text1"/>
        </w:rPr>
        <w:t xml:space="preserve">escription of a new species and reevaluation of the status of </w:t>
      </w:r>
      <w:r w:rsidRPr="000F7F63">
        <w:rPr>
          <w:rFonts w:cs="Times New Roman"/>
          <w:i/>
          <w:color w:val="000000" w:themeColor="text1"/>
        </w:rPr>
        <w:t>Gecko moestus</w:t>
      </w:r>
      <w:r w:rsidRPr="00B502DD">
        <w:rPr>
          <w:rFonts w:cs="Times New Roman"/>
          <w:color w:val="000000" w:themeColor="text1"/>
        </w:rPr>
        <w:t xml:space="preserve"> Peters, 1867</w:t>
      </w:r>
      <w:r>
        <w:rPr>
          <w:rFonts w:cs="Times New Roman"/>
          <w:color w:val="000000" w:themeColor="text1"/>
        </w:rPr>
        <w:t xml:space="preserve">. </w:t>
      </w:r>
      <w:r w:rsidRPr="000F7F63">
        <w:rPr>
          <w:rFonts w:cs="Times New Roman"/>
          <w:iCs/>
          <w:color w:val="000000" w:themeColor="text1"/>
        </w:rPr>
        <w:t>Copeia</w:t>
      </w:r>
      <w:r>
        <w:rPr>
          <w:rFonts w:cs="Times New Roman"/>
          <w:color w:val="000000" w:themeColor="text1"/>
        </w:rPr>
        <w:t xml:space="preserve"> 1995:</w:t>
      </w:r>
      <w:r w:rsidRPr="00B502DD">
        <w:rPr>
          <w:rFonts w:cs="Times New Roman"/>
          <w:color w:val="000000" w:themeColor="text1"/>
        </w:rPr>
        <w:t>183</w:t>
      </w:r>
      <w:r>
        <w:rPr>
          <w:rFonts w:cs="Times New Roman"/>
          <w:color w:val="000000" w:themeColor="text1"/>
        </w:rPr>
        <w:t>–</w:t>
      </w:r>
      <w:r w:rsidRPr="00B502DD">
        <w:rPr>
          <w:rFonts w:cs="Times New Roman"/>
          <w:color w:val="000000" w:themeColor="text1"/>
        </w:rPr>
        <w:t>195.</w:t>
      </w:r>
    </w:p>
    <w:p w14:paraId="44E5427D" w14:textId="77777777" w:rsidR="00F6339D" w:rsidRDefault="00F6339D" w:rsidP="00F6339D">
      <w:pPr>
        <w:spacing w:line="480" w:lineRule="auto"/>
        <w:ind w:left="360" w:hanging="360"/>
        <w:rPr>
          <w:rFonts w:cs="Times New Roman"/>
          <w:color w:val="000000" w:themeColor="text1"/>
        </w:rPr>
      </w:pPr>
      <w:r w:rsidRPr="006C4014">
        <w:rPr>
          <w:rFonts w:cs="Times New Roman"/>
          <w:color w:val="000000" w:themeColor="text1"/>
        </w:rPr>
        <w:t xml:space="preserve">Ota, H., </w:t>
      </w:r>
      <w:r>
        <w:rPr>
          <w:rFonts w:cs="Times New Roman"/>
          <w:color w:val="000000" w:themeColor="text1"/>
        </w:rPr>
        <w:t xml:space="preserve">R.N. </w:t>
      </w:r>
      <w:r w:rsidRPr="006C4014">
        <w:rPr>
          <w:rFonts w:cs="Times New Roman"/>
          <w:color w:val="000000" w:themeColor="text1"/>
        </w:rPr>
        <w:t xml:space="preserve">Fisher, </w:t>
      </w:r>
      <w:r>
        <w:rPr>
          <w:rFonts w:cs="Times New Roman"/>
          <w:color w:val="000000" w:themeColor="text1"/>
        </w:rPr>
        <w:t>I.</w:t>
      </w:r>
      <w:r w:rsidRPr="006C4014">
        <w:rPr>
          <w:rFonts w:cs="Times New Roman"/>
          <w:color w:val="000000" w:themeColor="text1"/>
        </w:rPr>
        <w:t xml:space="preserve"> Ineich, </w:t>
      </w:r>
      <w:r>
        <w:rPr>
          <w:rFonts w:cs="Times New Roman"/>
          <w:color w:val="000000" w:themeColor="text1"/>
        </w:rPr>
        <w:t>T.J.</w:t>
      </w:r>
      <w:r w:rsidRPr="006C4014">
        <w:rPr>
          <w:rFonts w:cs="Times New Roman"/>
          <w:color w:val="000000" w:themeColor="text1"/>
        </w:rPr>
        <w:t xml:space="preserve"> Case, </w:t>
      </w:r>
      <w:r>
        <w:rPr>
          <w:rFonts w:cs="Times New Roman"/>
          <w:color w:val="000000" w:themeColor="text1"/>
        </w:rPr>
        <w:t>R.R.</w:t>
      </w:r>
      <w:r w:rsidRPr="006C4014">
        <w:rPr>
          <w:rFonts w:cs="Times New Roman"/>
          <w:color w:val="000000" w:themeColor="text1"/>
        </w:rPr>
        <w:t xml:space="preserve"> Radtkey </w:t>
      </w:r>
      <w:r>
        <w:rPr>
          <w:rFonts w:cs="Times New Roman"/>
          <w:color w:val="000000" w:themeColor="text1"/>
        </w:rPr>
        <w:t>and G.R.</w:t>
      </w:r>
      <w:r w:rsidRPr="006C4014">
        <w:rPr>
          <w:rFonts w:cs="Times New Roman"/>
          <w:color w:val="000000" w:themeColor="text1"/>
        </w:rPr>
        <w:t xml:space="preserve"> Zug.</w:t>
      </w:r>
      <w:r>
        <w:rPr>
          <w:rFonts w:cs="Times New Roman"/>
          <w:color w:val="000000" w:themeColor="text1"/>
        </w:rPr>
        <w:t xml:space="preserve"> </w:t>
      </w:r>
      <w:r w:rsidRPr="006C4014">
        <w:rPr>
          <w:rFonts w:cs="Times New Roman"/>
          <w:color w:val="000000" w:themeColor="text1"/>
        </w:rPr>
        <w:t xml:space="preserve">1998. A new </w:t>
      </w:r>
      <w:r w:rsidRPr="006C4014">
        <w:rPr>
          <w:rFonts w:cs="Times New Roman"/>
          <w:i/>
          <w:color w:val="000000" w:themeColor="text1"/>
        </w:rPr>
        <w:t>Lepidodactylus</w:t>
      </w:r>
      <w:r w:rsidRPr="006C4014">
        <w:rPr>
          <w:rFonts w:cs="Times New Roman"/>
          <w:color w:val="000000" w:themeColor="text1"/>
        </w:rPr>
        <w:t xml:space="preserve"> (Squamata: Gekkonidae) from Vanuatu. Herpetologica</w:t>
      </w:r>
      <w:r>
        <w:rPr>
          <w:rFonts w:cs="Times New Roman"/>
          <w:color w:val="000000" w:themeColor="text1"/>
        </w:rPr>
        <w:t xml:space="preserve"> 54:</w:t>
      </w:r>
      <w:r w:rsidRPr="006C4014">
        <w:rPr>
          <w:rFonts w:cs="Times New Roman"/>
          <w:color w:val="000000" w:themeColor="text1"/>
        </w:rPr>
        <w:t>325</w:t>
      </w:r>
      <w:r w:rsidRPr="00B502DD">
        <w:rPr>
          <w:rFonts w:cs="Times New Roman"/>
          <w:color w:val="000000" w:themeColor="text1"/>
        </w:rPr>
        <w:t>–</w:t>
      </w:r>
      <w:r w:rsidRPr="006C4014">
        <w:rPr>
          <w:rFonts w:cs="Times New Roman"/>
          <w:color w:val="000000" w:themeColor="text1"/>
        </w:rPr>
        <w:t>332.</w:t>
      </w:r>
    </w:p>
    <w:p w14:paraId="2A34A056" w14:textId="77777777" w:rsidR="00F6339D" w:rsidRPr="002D5891" w:rsidRDefault="00F6339D" w:rsidP="00F6339D">
      <w:pPr>
        <w:spacing w:line="480" w:lineRule="auto"/>
        <w:ind w:left="360" w:hanging="360"/>
        <w:rPr>
          <w:rFonts w:cs="Times New Roman"/>
          <w:color w:val="000000" w:themeColor="text1"/>
          <w:lang w:val="de-DE"/>
        </w:rPr>
      </w:pPr>
      <w:r w:rsidRPr="00566891">
        <w:rPr>
          <w:rFonts w:cs="Times New Roman"/>
          <w:color w:val="000000" w:themeColor="text1"/>
        </w:rPr>
        <w:t>Ota, H.</w:t>
      </w:r>
      <w:r>
        <w:rPr>
          <w:rFonts w:cs="Times New Roman"/>
          <w:color w:val="000000" w:themeColor="text1"/>
        </w:rPr>
        <w:t>,</w:t>
      </w:r>
      <w:r w:rsidRPr="00566891">
        <w:rPr>
          <w:rFonts w:cs="Times New Roman"/>
          <w:color w:val="000000" w:themeColor="text1"/>
        </w:rPr>
        <w:t xml:space="preserve"> </w:t>
      </w:r>
      <w:r>
        <w:rPr>
          <w:rFonts w:cs="Times New Roman"/>
          <w:color w:val="000000" w:themeColor="text1"/>
        </w:rPr>
        <w:t>and W.S.</w:t>
      </w:r>
      <w:r w:rsidRPr="00566891">
        <w:rPr>
          <w:rFonts w:cs="Times New Roman"/>
          <w:color w:val="000000" w:themeColor="text1"/>
        </w:rPr>
        <w:t xml:space="preserve"> Huang</w:t>
      </w:r>
      <w:r>
        <w:rPr>
          <w:rFonts w:cs="Times New Roman"/>
          <w:color w:val="000000" w:themeColor="text1"/>
        </w:rPr>
        <w:t>.</w:t>
      </w:r>
      <w:r w:rsidRPr="00566891">
        <w:rPr>
          <w:rFonts w:cs="Times New Roman"/>
          <w:color w:val="000000" w:themeColor="text1"/>
        </w:rPr>
        <w:t xml:space="preserve"> 2000</w:t>
      </w:r>
      <w:r>
        <w:rPr>
          <w:rFonts w:cs="Times New Roman"/>
          <w:color w:val="000000" w:themeColor="text1"/>
        </w:rPr>
        <w:t>.</w:t>
      </w:r>
      <w:r w:rsidRPr="00566891">
        <w:rPr>
          <w:rFonts w:cs="Times New Roman"/>
          <w:color w:val="000000" w:themeColor="text1"/>
        </w:rPr>
        <w:t xml:space="preserve"> </w:t>
      </w:r>
      <w:r w:rsidRPr="00566891">
        <w:rPr>
          <w:rFonts w:cs="Times New Roman"/>
          <w:i/>
          <w:iCs/>
          <w:color w:val="000000" w:themeColor="text1"/>
        </w:rPr>
        <w:t>Mabuya cumingi</w:t>
      </w:r>
      <w:r w:rsidRPr="00566891">
        <w:rPr>
          <w:rFonts w:cs="Times New Roman"/>
          <w:color w:val="000000" w:themeColor="text1"/>
        </w:rPr>
        <w:t xml:space="preserve"> (Reptilia: Scincidae): </w:t>
      </w:r>
      <w:r>
        <w:rPr>
          <w:rFonts w:cs="Times New Roman"/>
          <w:color w:val="000000" w:themeColor="text1"/>
        </w:rPr>
        <w:t>A</w:t>
      </w:r>
      <w:r w:rsidRPr="00566891">
        <w:rPr>
          <w:rFonts w:cs="Times New Roman"/>
          <w:color w:val="000000" w:themeColor="text1"/>
        </w:rPr>
        <w:t xml:space="preserve">n addition to the herpetofauna of Lanyu Island, Taiwan. </w:t>
      </w:r>
      <w:r w:rsidRPr="002D5891">
        <w:rPr>
          <w:rFonts w:cs="Times New Roman"/>
          <w:color w:val="000000" w:themeColor="text1"/>
          <w:lang w:val="de-DE"/>
        </w:rPr>
        <w:t>Current Herpetology 19:57–61.</w:t>
      </w:r>
    </w:p>
    <w:p w14:paraId="3FF7BE70" w14:textId="77777777" w:rsidR="00F6339D" w:rsidRPr="002D5891" w:rsidRDefault="00F6339D" w:rsidP="00F6339D">
      <w:pPr>
        <w:spacing w:line="480" w:lineRule="auto"/>
        <w:ind w:left="360" w:hanging="360"/>
        <w:rPr>
          <w:rFonts w:cs="Times New Roman"/>
          <w:color w:val="000000" w:themeColor="text1"/>
          <w:lang w:val="de-DE"/>
        </w:rPr>
      </w:pPr>
      <w:r w:rsidRPr="002D5891">
        <w:rPr>
          <w:rFonts w:cs="Times New Roman"/>
          <w:color w:val="000000" w:themeColor="text1"/>
          <w:lang w:val="de-DE"/>
        </w:rPr>
        <w:t>Peters, W. 1867. Herpetologische notizen. Monatsbericht der Königlich Preussischen Akademie der Wissenschaften zu Berlin 1867:13–37.</w:t>
      </w:r>
    </w:p>
    <w:p w14:paraId="1E519533" w14:textId="77777777" w:rsidR="00F6339D" w:rsidRDefault="00F6339D" w:rsidP="00F6339D">
      <w:pPr>
        <w:widowControl w:val="0"/>
        <w:autoSpaceDE w:val="0"/>
        <w:autoSpaceDN w:val="0"/>
        <w:adjustRightInd w:val="0"/>
        <w:spacing w:line="480" w:lineRule="auto"/>
        <w:ind w:left="360" w:hanging="360"/>
        <w:rPr>
          <w:rFonts w:cs="Times New Roman"/>
          <w:color w:val="000000"/>
        </w:rPr>
      </w:pPr>
      <w:r w:rsidRPr="00B502DD">
        <w:rPr>
          <w:rFonts w:cs="Times New Roman"/>
          <w:color w:val="000000"/>
        </w:rPr>
        <w:t xml:space="preserve">Posada, D. 2008. jModelTest: </w:t>
      </w:r>
      <w:r>
        <w:rPr>
          <w:rFonts w:cs="Times New Roman"/>
          <w:color w:val="000000"/>
        </w:rPr>
        <w:t>P</w:t>
      </w:r>
      <w:r w:rsidRPr="00B502DD">
        <w:rPr>
          <w:rFonts w:cs="Times New Roman"/>
          <w:color w:val="000000"/>
        </w:rPr>
        <w:t>hylogenetic model averaging.</w:t>
      </w:r>
      <w:r>
        <w:rPr>
          <w:rFonts w:cs="Times New Roman"/>
          <w:color w:val="000000"/>
        </w:rPr>
        <w:t xml:space="preserve"> </w:t>
      </w:r>
      <w:r w:rsidRPr="000F7F63">
        <w:rPr>
          <w:rFonts w:cs="Times New Roman"/>
          <w:iCs/>
          <w:color w:val="000000"/>
        </w:rPr>
        <w:t xml:space="preserve">Molecular </w:t>
      </w:r>
      <w:r>
        <w:rPr>
          <w:rFonts w:cs="Times New Roman"/>
          <w:iCs/>
          <w:color w:val="000000"/>
        </w:rPr>
        <w:t>B</w:t>
      </w:r>
      <w:r w:rsidRPr="000F7F63">
        <w:rPr>
          <w:rFonts w:cs="Times New Roman"/>
          <w:iCs/>
          <w:color w:val="000000"/>
        </w:rPr>
        <w:t xml:space="preserve">iology and </w:t>
      </w:r>
      <w:r>
        <w:rPr>
          <w:rFonts w:cs="Times New Roman"/>
          <w:iCs/>
          <w:color w:val="000000"/>
        </w:rPr>
        <w:t>E</w:t>
      </w:r>
      <w:r w:rsidRPr="000F7F63">
        <w:rPr>
          <w:rFonts w:cs="Times New Roman"/>
          <w:iCs/>
          <w:color w:val="000000"/>
        </w:rPr>
        <w:t>volution</w:t>
      </w:r>
      <w:r>
        <w:rPr>
          <w:rFonts w:cs="Times New Roman"/>
          <w:color w:val="000000"/>
        </w:rPr>
        <w:t xml:space="preserve"> </w:t>
      </w:r>
      <w:r w:rsidRPr="000F7F63">
        <w:rPr>
          <w:rFonts w:cs="Times New Roman"/>
          <w:iCs/>
          <w:color w:val="000000"/>
        </w:rPr>
        <w:t>25</w:t>
      </w:r>
      <w:r>
        <w:rPr>
          <w:rFonts w:cs="Times New Roman"/>
          <w:color w:val="000000"/>
        </w:rPr>
        <w:t>:</w:t>
      </w:r>
      <w:r w:rsidRPr="00B502DD">
        <w:rPr>
          <w:rFonts w:cs="Times New Roman"/>
          <w:color w:val="000000"/>
        </w:rPr>
        <w:t>1253</w:t>
      </w:r>
      <w:r>
        <w:rPr>
          <w:rFonts w:cs="Times New Roman"/>
          <w:color w:val="000000"/>
        </w:rPr>
        <w:t>–</w:t>
      </w:r>
      <w:r w:rsidRPr="00B502DD">
        <w:rPr>
          <w:rFonts w:cs="Times New Roman"/>
          <w:color w:val="000000"/>
        </w:rPr>
        <w:t>1256.</w:t>
      </w:r>
    </w:p>
    <w:p w14:paraId="3AD57615" w14:textId="77777777" w:rsidR="00F6339D" w:rsidRPr="00B502DD" w:rsidRDefault="00F6339D" w:rsidP="00F6339D">
      <w:pPr>
        <w:widowControl w:val="0"/>
        <w:autoSpaceDE w:val="0"/>
        <w:autoSpaceDN w:val="0"/>
        <w:adjustRightInd w:val="0"/>
        <w:spacing w:line="480" w:lineRule="auto"/>
        <w:ind w:left="360" w:hanging="360"/>
        <w:rPr>
          <w:rFonts w:cs="Times New Roman"/>
          <w:color w:val="000000"/>
        </w:rPr>
      </w:pPr>
      <w:r w:rsidRPr="000B72CB">
        <w:rPr>
          <w:rFonts w:cs="Times New Roman"/>
          <w:color w:val="000000"/>
        </w:rPr>
        <w:t>R Core Team</w:t>
      </w:r>
      <w:r>
        <w:rPr>
          <w:rFonts w:cs="Times New Roman"/>
          <w:color w:val="000000"/>
        </w:rPr>
        <w:t xml:space="preserve">. </w:t>
      </w:r>
      <w:r w:rsidRPr="000B72CB">
        <w:rPr>
          <w:rFonts w:cs="Times New Roman"/>
          <w:color w:val="000000"/>
        </w:rPr>
        <w:t>2019. R: A language and environment for statistical computing.</w:t>
      </w:r>
      <w:r>
        <w:rPr>
          <w:rFonts w:cs="Times New Roman"/>
          <w:color w:val="000000"/>
        </w:rPr>
        <w:t xml:space="preserve"> Version 3.6.2.</w:t>
      </w:r>
      <w:r w:rsidRPr="000B72CB">
        <w:rPr>
          <w:rFonts w:cs="Times New Roman"/>
          <w:color w:val="000000"/>
        </w:rPr>
        <w:t xml:space="preserve"> </w:t>
      </w:r>
      <w:r>
        <w:rPr>
          <w:rFonts w:cs="Times New Roman"/>
          <w:color w:val="000000"/>
        </w:rPr>
        <w:t>Available at:</w:t>
      </w:r>
      <w:r w:rsidRPr="000B72CB">
        <w:rPr>
          <w:rFonts w:cs="Times New Roman"/>
          <w:color w:val="000000"/>
        </w:rPr>
        <w:t xml:space="preserve"> https://www.R</w:t>
      </w:r>
      <w:r>
        <w:rPr>
          <w:rFonts w:cs="Times New Roman"/>
          <w:color w:val="000000"/>
        </w:rPr>
        <w:t>-</w:t>
      </w:r>
      <w:r w:rsidRPr="000B72CB">
        <w:rPr>
          <w:rFonts w:cs="Times New Roman"/>
          <w:color w:val="000000"/>
        </w:rPr>
        <w:t>project.org/.</w:t>
      </w:r>
    </w:p>
    <w:p w14:paraId="2A1FD215" w14:textId="77777777" w:rsidR="00F6339D" w:rsidRPr="00E00D5E" w:rsidRDefault="00F6339D" w:rsidP="00F6339D">
      <w:pPr>
        <w:spacing w:line="480" w:lineRule="auto"/>
        <w:ind w:left="360" w:hanging="360"/>
        <w:rPr>
          <w:rFonts w:cs="Times New Roman"/>
          <w:color w:val="000000" w:themeColor="text1"/>
        </w:rPr>
      </w:pPr>
      <w:r w:rsidRPr="00B502DD">
        <w:rPr>
          <w:rFonts w:cs="Times New Roman"/>
          <w:color w:val="000000" w:themeColor="text1"/>
        </w:rPr>
        <w:t xml:space="preserve">Radtkey, R.R., </w:t>
      </w:r>
      <w:r>
        <w:rPr>
          <w:rFonts w:cs="Times New Roman"/>
          <w:color w:val="000000" w:themeColor="text1"/>
        </w:rPr>
        <w:t xml:space="preserve">S.C. </w:t>
      </w:r>
      <w:r w:rsidRPr="00B502DD">
        <w:rPr>
          <w:rFonts w:cs="Times New Roman"/>
          <w:color w:val="000000" w:themeColor="text1"/>
        </w:rPr>
        <w:t>Donnellan,</w:t>
      </w:r>
      <w:r>
        <w:rPr>
          <w:rFonts w:cs="Times New Roman"/>
          <w:color w:val="000000" w:themeColor="text1"/>
        </w:rPr>
        <w:t xml:space="preserve"> R.N.</w:t>
      </w:r>
      <w:r w:rsidRPr="00B502DD">
        <w:rPr>
          <w:rFonts w:cs="Times New Roman"/>
          <w:color w:val="000000" w:themeColor="text1"/>
        </w:rPr>
        <w:t xml:space="preserve"> Fisher, </w:t>
      </w:r>
      <w:r>
        <w:rPr>
          <w:rFonts w:cs="Times New Roman"/>
          <w:color w:val="000000" w:themeColor="text1"/>
        </w:rPr>
        <w:t>C.</w:t>
      </w:r>
      <w:r w:rsidRPr="00B502DD">
        <w:rPr>
          <w:rFonts w:cs="Times New Roman"/>
          <w:color w:val="000000" w:themeColor="text1"/>
        </w:rPr>
        <w:t xml:space="preserve"> Moritz, </w:t>
      </w:r>
      <w:r>
        <w:rPr>
          <w:rFonts w:cs="Times New Roman"/>
          <w:color w:val="000000" w:themeColor="text1"/>
        </w:rPr>
        <w:t>K.A.</w:t>
      </w:r>
      <w:r w:rsidRPr="00B502DD">
        <w:rPr>
          <w:rFonts w:cs="Times New Roman"/>
          <w:color w:val="000000" w:themeColor="text1"/>
        </w:rPr>
        <w:t xml:space="preserve"> Hanley and </w:t>
      </w:r>
      <w:r>
        <w:rPr>
          <w:rFonts w:cs="Times New Roman"/>
          <w:color w:val="000000" w:themeColor="text1"/>
        </w:rPr>
        <w:t xml:space="preserve">T.J. </w:t>
      </w:r>
      <w:r w:rsidRPr="00B502DD">
        <w:rPr>
          <w:rFonts w:cs="Times New Roman"/>
          <w:color w:val="000000" w:themeColor="text1"/>
        </w:rPr>
        <w:t xml:space="preserve">Case. 1995. When </w:t>
      </w:r>
      <w:r w:rsidRPr="00E00D5E">
        <w:rPr>
          <w:rFonts w:cs="Times New Roman"/>
          <w:color w:val="000000" w:themeColor="text1"/>
        </w:rPr>
        <w:t xml:space="preserve">species collide: </w:t>
      </w:r>
      <w:r>
        <w:rPr>
          <w:rFonts w:cs="Times New Roman"/>
          <w:color w:val="000000" w:themeColor="text1"/>
        </w:rPr>
        <w:t>T</w:t>
      </w:r>
      <w:r w:rsidRPr="00E00D5E">
        <w:rPr>
          <w:rFonts w:cs="Times New Roman"/>
          <w:color w:val="000000" w:themeColor="text1"/>
        </w:rPr>
        <w:t>he origin and spread of an asexual species of gecko. Proceedings of the Royal Society of London B: Biological Sciences 259:145–152.</w:t>
      </w:r>
    </w:p>
    <w:p w14:paraId="21CB29ED" w14:textId="77777777" w:rsidR="00F6339D" w:rsidRPr="00E00D5E" w:rsidRDefault="00F6339D" w:rsidP="00F6339D">
      <w:pPr>
        <w:widowControl w:val="0"/>
        <w:autoSpaceDE w:val="0"/>
        <w:autoSpaceDN w:val="0"/>
        <w:adjustRightInd w:val="0"/>
        <w:spacing w:line="480" w:lineRule="auto"/>
        <w:ind w:left="360" w:hanging="360"/>
        <w:rPr>
          <w:rFonts w:cs="Times New Roman"/>
          <w:color w:val="000000"/>
        </w:rPr>
      </w:pPr>
      <w:r w:rsidRPr="00E00D5E">
        <w:rPr>
          <w:rFonts w:cs="Times New Roman"/>
          <w:color w:val="000000"/>
        </w:rPr>
        <w:t xml:space="preserve">Rambaut A., M.A. Suchard, D. Xie and A.J. Drummond. 2014. Tracer. Version 1.6. Available </w:t>
      </w:r>
      <w:r>
        <w:rPr>
          <w:rFonts w:cs="Times New Roman"/>
          <w:color w:val="000000"/>
        </w:rPr>
        <w:t>at</w:t>
      </w:r>
      <w:r w:rsidRPr="00E00D5E">
        <w:rPr>
          <w:rFonts w:cs="Times New Roman"/>
          <w:color w:val="000000"/>
        </w:rPr>
        <w:t>: http://tree.bio.ed.ac.uk/ software/tracer/.</w:t>
      </w:r>
    </w:p>
    <w:p w14:paraId="0A1428B7" w14:textId="77777777" w:rsidR="00F6339D" w:rsidRDefault="00F6339D" w:rsidP="00F6339D">
      <w:pPr>
        <w:widowControl w:val="0"/>
        <w:autoSpaceDE w:val="0"/>
        <w:autoSpaceDN w:val="0"/>
        <w:adjustRightInd w:val="0"/>
        <w:spacing w:line="480" w:lineRule="auto"/>
        <w:ind w:left="360" w:hanging="360"/>
        <w:rPr>
          <w:rFonts w:cs="Times New Roman"/>
          <w:color w:val="000000"/>
        </w:rPr>
      </w:pPr>
      <w:r w:rsidRPr="00E00D5E">
        <w:rPr>
          <w:rFonts w:cs="Times New Roman"/>
          <w:color w:val="000000"/>
        </w:rPr>
        <w:t xml:space="preserve">Ronquist, F., M. Teslenko, P. van der Mark, D.L. Ayres, A. Darling, S. Höhna, B. Larget, L. Liu, M.A. Suchard and J.P. Huelsenbeck. 2012. MrBayes 3.2: </w:t>
      </w:r>
      <w:r>
        <w:rPr>
          <w:rFonts w:cs="Times New Roman"/>
          <w:color w:val="000000"/>
        </w:rPr>
        <w:t>E</w:t>
      </w:r>
      <w:r w:rsidRPr="00E00D5E">
        <w:rPr>
          <w:rFonts w:cs="Times New Roman"/>
          <w:color w:val="000000"/>
        </w:rPr>
        <w:t>fficient Bayesian phylogenetic inference and model</w:t>
      </w:r>
      <w:r w:rsidRPr="00B502DD">
        <w:rPr>
          <w:rFonts w:cs="Times New Roman"/>
          <w:color w:val="000000"/>
        </w:rPr>
        <w:t xml:space="preserve"> choice across a large model space. Systematic Biology 61</w:t>
      </w:r>
      <w:r>
        <w:rPr>
          <w:rFonts w:cs="Times New Roman"/>
          <w:color w:val="000000"/>
        </w:rPr>
        <w:t>:</w:t>
      </w:r>
      <w:r w:rsidRPr="00B502DD">
        <w:rPr>
          <w:rFonts w:cs="Times New Roman"/>
          <w:color w:val="000000"/>
        </w:rPr>
        <w:t>1–4.</w:t>
      </w:r>
    </w:p>
    <w:p w14:paraId="426AB020" w14:textId="77777777" w:rsidR="00F6339D" w:rsidRDefault="00F6339D" w:rsidP="00F6339D">
      <w:pPr>
        <w:widowControl w:val="0"/>
        <w:autoSpaceDE w:val="0"/>
        <w:autoSpaceDN w:val="0"/>
        <w:adjustRightInd w:val="0"/>
        <w:spacing w:line="480" w:lineRule="auto"/>
        <w:ind w:left="360" w:hanging="360"/>
        <w:rPr>
          <w:rFonts w:cs="Times New Roman"/>
          <w:color w:val="000000"/>
        </w:rPr>
      </w:pPr>
      <w:r w:rsidRPr="004C18E7">
        <w:rPr>
          <w:rFonts w:cs="Times New Roman"/>
          <w:color w:val="000000"/>
        </w:rPr>
        <w:t xml:space="preserve">Sabaj, M.H. 2016. Standard symbolic codes for institutional resource collections in herpetology and ichthyology: An online reference (v6.5). American Society of Ichthyologists and Herpetologists, USA. Available at http://www.asih.org/resources. Archived by WebCite at </w:t>
      </w:r>
      <w:r w:rsidRPr="005D4381">
        <w:rPr>
          <w:rFonts w:cs="Times New Roman"/>
          <w:color w:val="000000"/>
        </w:rPr>
        <w:t>http://www.webcitation.org/6lkBdh0EO on 3 November 2016</w:t>
      </w:r>
      <w:r w:rsidRPr="004C18E7">
        <w:rPr>
          <w:rFonts w:cs="Times New Roman"/>
          <w:color w:val="000000"/>
        </w:rPr>
        <w:t>.</w:t>
      </w:r>
    </w:p>
    <w:p w14:paraId="11F38595" w14:textId="77777777" w:rsidR="00F6339D" w:rsidRPr="002D5891" w:rsidRDefault="00F6339D" w:rsidP="00F6339D">
      <w:pPr>
        <w:widowControl w:val="0"/>
        <w:autoSpaceDE w:val="0"/>
        <w:autoSpaceDN w:val="0"/>
        <w:adjustRightInd w:val="0"/>
        <w:spacing w:line="480" w:lineRule="auto"/>
        <w:ind w:left="360" w:hanging="360"/>
        <w:rPr>
          <w:rFonts w:cs="Times New Roman"/>
          <w:color w:val="000000"/>
          <w:lang w:val="fr-FR"/>
        </w:rPr>
      </w:pPr>
      <w:r w:rsidRPr="00B9449A">
        <w:rPr>
          <w:rFonts w:cs="Times New Roman"/>
          <w:color w:val="000000"/>
        </w:rPr>
        <w:t xml:space="preserve">Sanguila, M.B., KA. Cobb, C.D. Siler, A.C. Diesmos, A.C. Alcala and R.M. Brown. 2016. The amphibians and reptiles of Mindanao Island, southern Philippines, II: The herpetofauna of northeast Mindanao and adjacent islands. </w:t>
      </w:r>
      <w:r w:rsidRPr="00B9449A">
        <w:rPr>
          <w:rFonts w:cs="Times New Roman"/>
          <w:color w:val="000000"/>
          <w:lang w:val="fr-FR"/>
        </w:rPr>
        <w:t>Zookeys 624:1–132.</w:t>
      </w:r>
    </w:p>
    <w:p w14:paraId="46586352" w14:textId="77777777" w:rsidR="00F6339D" w:rsidRPr="002D5891" w:rsidRDefault="00F6339D" w:rsidP="00F6339D">
      <w:pPr>
        <w:widowControl w:val="0"/>
        <w:autoSpaceDE w:val="0"/>
        <w:autoSpaceDN w:val="0"/>
        <w:adjustRightInd w:val="0"/>
        <w:spacing w:line="480" w:lineRule="auto"/>
        <w:ind w:left="360" w:hanging="360"/>
        <w:rPr>
          <w:rFonts w:cs="Times New Roman"/>
          <w:color w:val="000000"/>
          <w:lang w:val="fr-FR"/>
        </w:rPr>
      </w:pPr>
      <w:r w:rsidRPr="002D5891">
        <w:rPr>
          <w:rFonts w:cs="Times New Roman"/>
          <w:lang w:val="fr-FR"/>
        </w:rPr>
        <w:t>Sauvage, H.E. 1879. Description de quelques poissons d’espèces nouvelles de la collection du Muséum d’histoire naturelle. Bulletin de la Société philomathique de Paris 3:204–209.</w:t>
      </w:r>
    </w:p>
    <w:p w14:paraId="47E7117D" w14:textId="77777777" w:rsidR="00F6339D" w:rsidRPr="00694321" w:rsidRDefault="00F6339D" w:rsidP="00F6339D">
      <w:pPr>
        <w:spacing w:line="480" w:lineRule="auto"/>
        <w:ind w:left="360" w:hanging="360"/>
        <w:rPr>
          <w:rFonts w:eastAsia="Times New Roman" w:cs="Times New Roman"/>
          <w:bCs/>
          <w:lang w:bidi="en-US"/>
        </w:rPr>
      </w:pPr>
      <w:r w:rsidRPr="00BC5E90">
        <w:rPr>
          <w:rFonts w:eastAsia="Times New Roman" w:cs="Times New Roman"/>
          <w:bCs/>
          <w:lang w:val="fr-FR" w:bidi="en-US"/>
        </w:rPr>
        <w:t xml:space="preserve">Siler, C.D., L.J. Welton, J.M. Siler, J. Brown, A. Bucol, A.C. Diesmos and R.M. Brown. </w:t>
      </w:r>
      <w:r w:rsidRPr="001F0081">
        <w:rPr>
          <w:rFonts w:cs="Times New Roman"/>
          <w:bCs/>
        </w:rPr>
        <w:t>2011.</w:t>
      </w:r>
      <w:r w:rsidRPr="001F0081">
        <w:rPr>
          <w:rFonts w:eastAsia="Times New Roman" w:cs="Times New Roman"/>
          <w:bCs/>
          <w:lang w:bidi="en-US"/>
        </w:rPr>
        <w:t xml:space="preserve"> Amphibians and reptiles, Luzon Island, Aurora Province and Aurora Memorial National Park, northern Philippines: New island distribution records. Check List 7:182–195.</w:t>
      </w:r>
    </w:p>
    <w:p w14:paraId="0696B3F1" w14:textId="77777777" w:rsidR="00F6339D" w:rsidRDefault="00F6339D" w:rsidP="00F6339D">
      <w:pPr>
        <w:spacing w:line="480" w:lineRule="auto"/>
        <w:ind w:left="360" w:hanging="360"/>
        <w:rPr>
          <w:rFonts w:cs="Times New Roman"/>
          <w:color w:val="000000" w:themeColor="text1"/>
        </w:rPr>
      </w:pPr>
      <w:r w:rsidRPr="00BC5E90">
        <w:rPr>
          <w:rFonts w:cs="Times New Roman"/>
          <w:color w:val="000000" w:themeColor="text1"/>
        </w:rPr>
        <w:t xml:space="preserve">Siler, C.D., L.J. Welton, D.R. Davis, J.L. Watters, C.S. Davey, A.C. Diesmos, M.L. Diesmos and R.M. Brown. </w:t>
      </w:r>
      <w:r w:rsidRPr="00DA3488">
        <w:rPr>
          <w:rFonts w:cs="Times New Roman"/>
          <w:color w:val="000000" w:themeColor="text1"/>
        </w:rPr>
        <w:t>2014</w:t>
      </w:r>
      <w:r>
        <w:rPr>
          <w:rFonts w:cs="Times New Roman"/>
          <w:color w:val="000000" w:themeColor="text1"/>
        </w:rPr>
        <w:t>a</w:t>
      </w:r>
      <w:r w:rsidRPr="00DA3488">
        <w:rPr>
          <w:rFonts w:cs="Times New Roman"/>
          <w:color w:val="000000" w:themeColor="text1"/>
        </w:rPr>
        <w:t xml:space="preserve">. Taxonomic revision of the </w:t>
      </w:r>
      <w:r w:rsidRPr="0070767E">
        <w:rPr>
          <w:rFonts w:cs="Times New Roman"/>
          <w:i/>
          <w:color w:val="000000" w:themeColor="text1"/>
        </w:rPr>
        <w:t xml:space="preserve">Pseudogekko compresicorpus </w:t>
      </w:r>
      <w:r w:rsidRPr="00DA3488">
        <w:rPr>
          <w:rFonts w:cs="Times New Roman"/>
          <w:color w:val="000000" w:themeColor="text1"/>
        </w:rPr>
        <w:t>Complex (Reptilia: Squamata: Gekkonidae), with descriptions of three new species. Herpetological Monographs 28</w:t>
      </w:r>
      <w:r>
        <w:rPr>
          <w:rFonts w:cs="Times New Roman"/>
          <w:color w:val="000000" w:themeColor="text1"/>
        </w:rPr>
        <w:t>:</w:t>
      </w:r>
      <w:r w:rsidRPr="00DA3488">
        <w:rPr>
          <w:rFonts w:cs="Times New Roman"/>
          <w:color w:val="000000" w:themeColor="text1"/>
        </w:rPr>
        <w:t>110</w:t>
      </w:r>
      <w:r>
        <w:rPr>
          <w:rFonts w:cs="Times New Roman"/>
          <w:color w:val="000000" w:themeColor="text1"/>
        </w:rPr>
        <w:t>–</w:t>
      </w:r>
      <w:r w:rsidRPr="00DA3488">
        <w:rPr>
          <w:rFonts w:cs="Times New Roman"/>
          <w:color w:val="000000" w:themeColor="text1"/>
        </w:rPr>
        <w:t>139.</w:t>
      </w:r>
    </w:p>
    <w:p w14:paraId="5E81DB9F" w14:textId="77777777" w:rsidR="00F6339D" w:rsidRDefault="00F6339D" w:rsidP="00F6339D">
      <w:pPr>
        <w:spacing w:line="480" w:lineRule="auto"/>
        <w:ind w:left="360" w:hanging="360"/>
        <w:rPr>
          <w:rFonts w:cs="Times New Roman"/>
          <w:color w:val="000000" w:themeColor="text1"/>
        </w:rPr>
      </w:pPr>
      <w:r w:rsidRPr="00B502DD">
        <w:rPr>
          <w:rFonts w:cs="Times New Roman"/>
          <w:color w:val="000000" w:themeColor="text1"/>
        </w:rPr>
        <w:t xml:space="preserve">Siler, C.D., </w:t>
      </w:r>
      <w:r>
        <w:rPr>
          <w:rFonts w:cs="Times New Roman"/>
          <w:color w:val="000000" w:themeColor="text1"/>
        </w:rPr>
        <w:t xml:space="preserve">T.A. </w:t>
      </w:r>
      <w:r w:rsidRPr="00B502DD">
        <w:rPr>
          <w:rFonts w:cs="Times New Roman"/>
          <w:color w:val="000000" w:themeColor="text1"/>
        </w:rPr>
        <w:t>Dececchi,</w:t>
      </w:r>
      <w:r>
        <w:rPr>
          <w:rFonts w:cs="Times New Roman"/>
          <w:color w:val="000000" w:themeColor="text1"/>
        </w:rPr>
        <w:t xml:space="preserve"> C.L.</w:t>
      </w:r>
      <w:r w:rsidRPr="00B502DD">
        <w:rPr>
          <w:rFonts w:cs="Times New Roman"/>
          <w:color w:val="000000" w:themeColor="text1"/>
        </w:rPr>
        <w:t xml:space="preserve"> Merkord,</w:t>
      </w:r>
      <w:r>
        <w:rPr>
          <w:rFonts w:cs="Times New Roman"/>
          <w:color w:val="000000" w:themeColor="text1"/>
        </w:rPr>
        <w:t xml:space="preserve"> D.R.</w:t>
      </w:r>
      <w:r w:rsidRPr="00B502DD">
        <w:rPr>
          <w:rFonts w:cs="Times New Roman"/>
          <w:color w:val="000000" w:themeColor="text1"/>
        </w:rPr>
        <w:t xml:space="preserve"> Davis, </w:t>
      </w:r>
      <w:r>
        <w:rPr>
          <w:rFonts w:cs="Times New Roman"/>
          <w:color w:val="000000" w:themeColor="text1"/>
        </w:rPr>
        <w:t>T.J.</w:t>
      </w:r>
      <w:r w:rsidRPr="00B502DD">
        <w:rPr>
          <w:rFonts w:cs="Times New Roman"/>
          <w:color w:val="000000" w:themeColor="text1"/>
        </w:rPr>
        <w:t xml:space="preserve"> Christiani and </w:t>
      </w:r>
      <w:r>
        <w:rPr>
          <w:rFonts w:cs="Times New Roman"/>
          <w:color w:val="000000" w:themeColor="text1"/>
        </w:rPr>
        <w:t xml:space="preserve">R.M. </w:t>
      </w:r>
      <w:r w:rsidRPr="00B502DD">
        <w:rPr>
          <w:rFonts w:cs="Times New Roman"/>
          <w:color w:val="000000" w:themeColor="text1"/>
        </w:rPr>
        <w:t>Brown. 2014</w:t>
      </w:r>
      <w:r>
        <w:rPr>
          <w:rFonts w:cs="Times New Roman"/>
          <w:color w:val="000000" w:themeColor="text1"/>
        </w:rPr>
        <w:t>b</w:t>
      </w:r>
      <w:r w:rsidRPr="00B502DD">
        <w:rPr>
          <w:rFonts w:cs="Times New Roman"/>
          <w:color w:val="000000" w:themeColor="text1"/>
        </w:rPr>
        <w:t>. Cryptic diversity and population genetic structure in the rare, endemic, forest</w:t>
      </w:r>
      <w:r>
        <w:rPr>
          <w:rFonts w:cs="Times New Roman"/>
          <w:color w:val="000000" w:themeColor="text1"/>
        </w:rPr>
        <w:t>-</w:t>
      </w:r>
      <w:r w:rsidRPr="00B502DD">
        <w:rPr>
          <w:rFonts w:cs="Times New Roman"/>
          <w:color w:val="000000" w:themeColor="text1"/>
        </w:rPr>
        <w:t>obligate, slender geckos of the Philippines.</w:t>
      </w:r>
      <w:r>
        <w:rPr>
          <w:rFonts w:cs="Times New Roman"/>
          <w:color w:val="000000" w:themeColor="text1"/>
        </w:rPr>
        <w:t xml:space="preserve"> </w:t>
      </w:r>
      <w:r w:rsidRPr="00DA3488">
        <w:rPr>
          <w:rFonts w:cs="Times New Roman"/>
          <w:iCs/>
          <w:color w:val="000000" w:themeColor="text1"/>
        </w:rPr>
        <w:t>Molecular Phylogenetics and Evolution</w:t>
      </w:r>
      <w:r>
        <w:rPr>
          <w:rFonts w:cs="Times New Roman"/>
          <w:color w:val="000000" w:themeColor="text1"/>
        </w:rPr>
        <w:t xml:space="preserve"> </w:t>
      </w:r>
      <w:r w:rsidRPr="00DA3488">
        <w:rPr>
          <w:rFonts w:cs="Times New Roman"/>
          <w:iCs/>
          <w:color w:val="000000" w:themeColor="text1"/>
        </w:rPr>
        <w:t>70</w:t>
      </w:r>
      <w:r>
        <w:rPr>
          <w:rFonts w:cs="Times New Roman"/>
          <w:color w:val="000000" w:themeColor="text1"/>
        </w:rPr>
        <w:t>:</w:t>
      </w:r>
      <w:r w:rsidRPr="00B502DD">
        <w:rPr>
          <w:rFonts w:cs="Times New Roman"/>
          <w:color w:val="000000" w:themeColor="text1"/>
        </w:rPr>
        <w:t>204</w:t>
      </w:r>
      <w:r>
        <w:rPr>
          <w:rFonts w:cs="Times New Roman"/>
          <w:color w:val="000000" w:themeColor="text1"/>
        </w:rPr>
        <w:t>–</w:t>
      </w:r>
      <w:r w:rsidRPr="00B502DD">
        <w:rPr>
          <w:rFonts w:cs="Times New Roman"/>
          <w:color w:val="000000" w:themeColor="text1"/>
        </w:rPr>
        <w:t>209.</w:t>
      </w:r>
    </w:p>
    <w:p w14:paraId="36D35002" w14:textId="77777777" w:rsidR="00F6339D" w:rsidRPr="009744F3" w:rsidRDefault="00F6339D" w:rsidP="00F6339D">
      <w:pPr>
        <w:spacing w:line="480" w:lineRule="auto"/>
        <w:ind w:left="360" w:hanging="360"/>
        <w:rPr>
          <w:rFonts w:cs="Times New Roman"/>
          <w:color w:val="000000" w:themeColor="text1"/>
        </w:rPr>
      </w:pPr>
      <w:r w:rsidRPr="009744F3">
        <w:rPr>
          <w:rFonts w:cs="Times New Roman"/>
          <w:color w:val="000000" w:themeColor="text1"/>
        </w:rPr>
        <w:t xml:space="preserve">Siler, C.D., J.R. Oaks, K. Cobb, </w:t>
      </w:r>
      <w:r>
        <w:rPr>
          <w:rFonts w:cs="Times New Roman"/>
          <w:color w:val="000000" w:themeColor="text1"/>
        </w:rPr>
        <w:t xml:space="preserve">H. </w:t>
      </w:r>
      <w:r w:rsidRPr="009744F3">
        <w:rPr>
          <w:rFonts w:cs="Times New Roman"/>
          <w:color w:val="000000" w:themeColor="text1"/>
        </w:rPr>
        <w:t>Ota</w:t>
      </w:r>
      <w:r>
        <w:rPr>
          <w:rFonts w:cs="Times New Roman"/>
          <w:color w:val="000000" w:themeColor="text1"/>
        </w:rPr>
        <w:t xml:space="preserve"> </w:t>
      </w:r>
      <w:r w:rsidRPr="009744F3">
        <w:rPr>
          <w:rFonts w:cs="Times New Roman"/>
          <w:color w:val="000000" w:themeColor="text1"/>
        </w:rPr>
        <w:t xml:space="preserve">and </w:t>
      </w:r>
      <w:r>
        <w:rPr>
          <w:rFonts w:cs="Times New Roman"/>
          <w:color w:val="000000" w:themeColor="text1"/>
        </w:rPr>
        <w:t xml:space="preserve">R.M. </w:t>
      </w:r>
      <w:r w:rsidRPr="009744F3">
        <w:rPr>
          <w:rFonts w:cs="Times New Roman"/>
          <w:color w:val="000000" w:themeColor="text1"/>
        </w:rPr>
        <w:t>Brown</w:t>
      </w:r>
      <w:r>
        <w:rPr>
          <w:rFonts w:cs="Times New Roman"/>
          <w:color w:val="000000" w:themeColor="text1"/>
        </w:rPr>
        <w:t>.</w:t>
      </w:r>
      <w:r w:rsidRPr="009744F3">
        <w:rPr>
          <w:rFonts w:cs="Times New Roman"/>
          <w:color w:val="000000" w:themeColor="text1"/>
        </w:rPr>
        <w:t xml:space="preserve"> 2014</w:t>
      </w:r>
      <w:r>
        <w:rPr>
          <w:rFonts w:cs="Times New Roman"/>
          <w:color w:val="000000" w:themeColor="text1"/>
        </w:rPr>
        <w:t>c</w:t>
      </w:r>
      <w:r w:rsidRPr="009744F3">
        <w:rPr>
          <w:rFonts w:cs="Times New Roman"/>
          <w:color w:val="000000" w:themeColor="text1"/>
        </w:rPr>
        <w:t>. Critically endangered island endemic or peripheral population of a widespread species? Conservation genetics of Kikuchi's gecko and the global challenge of protecting peripheral oceanic island endemic vertebrates.</w:t>
      </w:r>
      <w:r>
        <w:rPr>
          <w:rFonts w:cs="Times New Roman"/>
          <w:color w:val="000000" w:themeColor="text1"/>
        </w:rPr>
        <w:t xml:space="preserve"> </w:t>
      </w:r>
      <w:r w:rsidRPr="009744F3">
        <w:rPr>
          <w:rFonts w:cs="Times New Roman"/>
          <w:color w:val="000000" w:themeColor="text1"/>
        </w:rPr>
        <w:t xml:space="preserve">Diversity </w:t>
      </w:r>
      <w:r>
        <w:rPr>
          <w:rFonts w:cs="Times New Roman"/>
          <w:color w:val="000000" w:themeColor="text1"/>
        </w:rPr>
        <w:t>a</w:t>
      </w:r>
      <w:r w:rsidRPr="009744F3">
        <w:rPr>
          <w:rFonts w:cs="Times New Roman"/>
          <w:color w:val="000000" w:themeColor="text1"/>
        </w:rPr>
        <w:t>nd Distributions</w:t>
      </w:r>
      <w:r>
        <w:rPr>
          <w:rFonts w:cs="Times New Roman"/>
          <w:color w:val="000000" w:themeColor="text1"/>
        </w:rPr>
        <w:t xml:space="preserve"> </w:t>
      </w:r>
      <w:r w:rsidRPr="009744F3">
        <w:rPr>
          <w:rFonts w:cs="Times New Roman"/>
          <w:color w:val="000000" w:themeColor="text1"/>
        </w:rPr>
        <w:t>20</w:t>
      </w:r>
      <w:r>
        <w:rPr>
          <w:rFonts w:cs="Times New Roman"/>
          <w:color w:val="000000" w:themeColor="text1"/>
        </w:rPr>
        <w:t>:</w:t>
      </w:r>
      <w:r w:rsidRPr="009744F3">
        <w:rPr>
          <w:rFonts w:cs="Times New Roman"/>
          <w:color w:val="000000" w:themeColor="text1"/>
        </w:rPr>
        <w:t>756</w:t>
      </w:r>
      <w:r>
        <w:rPr>
          <w:rFonts w:cs="Times New Roman"/>
          <w:color w:val="000000" w:themeColor="text1"/>
        </w:rPr>
        <w:t>–</w:t>
      </w:r>
      <w:r w:rsidRPr="009744F3">
        <w:rPr>
          <w:rFonts w:cs="Times New Roman"/>
          <w:color w:val="000000" w:themeColor="text1"/>
        </w:rPr>
        <w:t>772.</w:t>
      </w:r>
    </w:p>
    <w:p w14:paraId="63B1301F" w14:textId="77777777" w:rsidR="00F6339D" w:rsidRPr="00AD5A99" w:rsidRDefault="00F6339D" w:rsidP="00F6339D">
      <w:pPr>
        <w:spacing w:line="480" w:lineRule="auto"/>
        <w:ind w:left="360" w:hanging="360"/>
        <w:rPr>
          <w:rFonts w:cs="Times New Roman"/>
          <w:color w:val="000000" w:themeColor="text1"/>
        </w:rPr>
      </w:pPr>
      <w:r w:rsidRPr="00B502DD">
        <w:rPr>
          <w:rFonts w:cs="Times New Roman"/>
          <w:color w:val="000000" w:themeColor="text1"/>
        </w:rPr>
        <w:t xml:space="preserve">Siler, C.D., </w:t>
      </w:r>
      <w:r>
        <w:rPr>
          <w:rFonts w:cs="Times New Roman"/>
          <w:color w:val="000000" w:themeColor="text1"/>
        </w:rPr>
        <w:t xml:space="preserve">D.R. </w:t>
      </w:r>
      <w:r w:rsidRPr="00B502DD">
        <w:rPr>
          <w:rFonts w:cs="Times New Roman"/>
          <w:color w:val="000000" w:themeColor="text1"/>
        </w:rPr>
        <w:t>Davis,</w:t>
      </w:r>
      <w:r>
        <w:rPr>
          <w:rFonts w:cs="Times New Roman"/>
          <w:color w:val="000000" w:themeColor="text1"/>
        </w:rPr>
        <w:t xml:space="preserve"> A.C.</w:t>
      </w:r>
      <w:r w:rsidRPr="00B502DD">
        <w:rPr>
          <w:rFonts w:cs="Times New Roman"/>
          <w:color w:val="000000" w:themeColor="text1"/>
        </w:rPr>
        <w:t xml:space="preserve"> Diesmos, </w:t>
      </w:r>
      <w:r>
        <w:rPr>
          <w:rFonts w:cs="Times New Roman"/>
          <w:color w:val="000000" w:themeColor="text1"/>
        </w:rPr>
        <w:t>F</w:t>
      </w:r>
      <w:r w:rsidRPr="00B502DD">
        <w:rPr>
          <w:rFonts w:cs="Times New Roman"/>
          <w:color w:val="000000" w:themeColor="text1"/>
        </w:rPr>
        <w:t xml:space="preserve">. Guinto, </w:t>
      </w:r>
      <w:r>
        <w:rPr>
          <w:rFonts w:cs="Times New Roman"/>
          <w:color w:val="000000" w:themeColor="text1"/>
        </w:rPr>
        <w:t>C.</w:t>
      </w:r>
      <w:r w:rsidRPr="00B502DD">
        <w:rPr>
          <w:rFonts w:cs="Times New Roman"/>
          <w:color w:val="000000" w:themeColor="text1"/>
        </w:rPr>
        <w:t xml:space="preserve"> Whitsett and </w:t>
      </w:r>
      <w:r>
        <w:rPr>
          <w:rFonts w:cs="Times New Roman"/>
          <w:color w:val="000000" w:themeColor="text1"/>
        </w:rPr>
        <w:t xml:space="preserve">R.M. </w:t>
      </w:r>
      <w:r w:rsidRPr="00B502DD">
        <w:rPr>
          <w:rFonts w:cs="Times New Roman"/>
          <w:color w:val="000000" w:themeColor="text1"/>
        </w:rPr>
        <w:t>Brown. 2016</w:t>
      </w:r>
      <w:r>
        <w:rPr>
          <w:rFonts w:cs="Times New Roman"/>
          <w:color w:val="000000" w:themeColor="text1"/>
        </w:rPr>
        <w:t>a</w:t>
      </w:r>
      <w:r w:rsidRPr="00B502DD">
        <w:rPr>
          <w:rFonts w:cs="Times New Roman"/>
          <w:color w:val="000000" w:themeColor="text1"/>
        </w:rPr>
        <w:t xml:space="preserve">. A new species of </w:t>
      </w:r>
      <w:r w:rsidRPr="00DA3488">
        <w:rPr>
          <w:rFonts w:cs="Times New Roman"/>
          <w:i/>
          <w:color w:val="000000" w:themeColor="text1"/>
        </w:rPr>
        <w:t>Pseudogekko</w:t>
      </w:r>
      <w:r w:rsidRPr="00B502DD">
        <w:rPr>
          <w:rFonts w:cs="Times New Roman"/>
          <w:color w:val="000000" w:themeColor="text1"/>
        </w:rPr>
        <w:t xml:space="preserve"> (Squamata: Gekkonidae) from the Romblon Island Group, </w:t>
      </w:r>
      <w:r>
        <w:rPr>
          <w:rFonts w:cs="Times New Roman"/>
          <w:color w:val="000000" w:themeColor="text1"/>
        </w:rPr>
        <w:t>c</w:t>
      </w:r>
      <w:r w:rsidRPr="00B502DD">
        <w:rPr>
          <w:rFonts w:cs="Times New Roman"/>
          <w:color w:val="000000" w:themeColor="text1"/>
        </w:rPr>
        <w:t xml:space="preserve">entral </w:t>
      </w:r>
      <w:r w:rsidRPr="00AD5A99">
        <w:rPr>
          <w:rFonts w:cs="Times New Roman"/>
          <w:color w:val="000000" w:themeColor="text1"/>
        </w:rPr>
        <w:t>Philippines.</w:t>
      </w:r>
      <w:r>
        <w:rPr>
          <w:rFonts w:cs="Times New Roman"/>
          <w:color w:val="000000" w:themeColor="text1"/>
        </w:rPr>
        <w:t xml:space="preserve"> </w:t>
      </w:r>
      <w:r w:rsidRPr="00AD5A99">
        <w:rPr>
          <w:rFonts w:cs="Times New Roman"/>
          <w:iCs/>
          <w:color w:val="000000" w:themeColor="text1"/>
        </w:rPr>
        <w:t>Zootaxa</w:t>
      </w:r>
      <w:r>
        <w:rPr>
          <w:rFonts w:cs="Times New Roman"/>
          <w:color w:val="000000" w:themeColor="text1"/>
        </w:rPr>
        <w:t xml:space="preserve"> </w:t>
      </w:r>
      <w:r w:rsidRPr="00AD5A99">
        <w:rPr>
          <w:rFonts w:cs="Times New Roman"/>
          <w:iCs/>
          <w:color w:val="000000" w:themeColor="text1"/>
        </w:rPr>
        <w:t>4139</w:t>
      </w:r>
      <w:r w:rsidRPr="00AD5A99">
        <w:rPr>
          <w:rFonts w:cs="Times New Roman"/>
          <w:color w:val="000000" w:themeColor="text1"/>
        </w:rPr>
        <w:t>:248–260.</w:t>
      </w:r>
    </w:p>
    <w:p w14:paraId="1F8FF579" w14:textId="77777777" w:rsidR="00F6339D" w:rsidRPr="00602634" w:rsidRDefault="00F6339D" w:rsidP="00F6339D">
      <w:pPr>
        <w:spacing w:line="480" w:lineRule="auto"/>
        <w:ind w:left="360" w:hanging="360"/>
        <w:rPr>
          <w:rFonts w:cs="Times New Roman"/>
          <w:color w:val="222222"/>
          <w:shd w:val="clear" w:color="auto" w:fill="FFFFFF"/>
        </w:rPr>
      </w:pPr>
      <w:r w:rsidRPr="00AD5A99">
        <w:rPr>
          <w:rFonts w:cs="Times New Roman"/>
          <w:color w:val="222222"/>
          <w:shd w:val="clear" w:color="auto" w:fill="FFFFFF"/>
        </w:rPr>
        <w:t>Siler, C.D., D.R.</w:t>
      </w:r>
      <w:r w:rsidRPr="00602634">
        <w:rPr>
          <w:rFonts w:cs="Times New Roman"/>
          <w:color w:val="222222"/>
          <w:shd w:val="clear" w:color="auto" w:fill="FFFFFF"/>
        </w:rPr>
        <w:t xml:space="preserve"> </w:t>
      </w:r>
      <w:r w:rsidRPr="00AD5A99">
        <w:rPr>
          <w:rFonts w:cs="Times New Roman"/>
          <w:color w:val="222222"/>
          <w:shd w:val="clear" w:color="auto" w:fill="FFFFFF"/>
        </w:rPr>
        <w:t>Davis, E.S.</w:t>
      </w:r>
      <w:r>
        <w:rPr>
          <w:rFonts w:cs="Times New Roman"/>
          <w:color w:val="222222"/>
          <w:shd w:val="clear" w:color="auto" w:fill="FFFFFF"/>
        </w:rPr>
        <w:t xml:space="preserve"> </w:t>
      </w:r>
      <w:r w:rsidRPr="00AD5A99">
        <w:rPr>
          <w:rFonts w:cs="Times New Roman"/>
          <w:color w:val="222222"/>
          <w:shd w:val="clear" w:color="auto" w:fill="FFFFFF"/>
        </w:rPr>
        <w:t xml:space="preserve">Freitas, </w:t>
      </w:r>
      <w:r>
        <w:rPr>
          <w:rFonts w:cs="Times New Roman"/>
          <w:color w:val="222222"/>
          <w:shd w:val="clear" w:color="auto" w:fill="FFFFFF"/>
        </w:rPr>
        <w:t>…</w:t>
      </w:r>
      <w:r w:rsidRPr="00602634">
        <w:rPr>
          <w:rFonts w:cs="Times New Roman"/>
          <w:color w:val="222222"/>
          <w:shd w:val="clear" w:color="auto" w:fill="FFFFFF"/>
        </w:rPr>
        <w:t xml:space="preserve"> </w:t>
      </w:r>
      <w:r w:rsidRPr="00AD5A99">
        <w:rPr>
          <w:rFonts w:cs="Times New Roman"/>
          <w:color w:val="222222"/>
          <w:shd w:val="clear" w:color="auto" w:fill="FFFFFF"/>
        </w:rPr>
        <w:t>D.</w:t>
      </w:r>
      <w:r>
        <w:rPr>
          <w:rFonts w:cs="Times New Roman"/>
          <w:color w:val="222222"/>
          <w:shd w:val="clear" w:color="auto" w:fill="FFFFFF"/>
        </w:rPr>
        <w:t xml:space="preserve"> </w:t>
      </w:r>
      <w:r w:rsidRPr="00AD5A99">
        <w:rPr>
          <w:rFonts w:cs="Times New Roman"/>
          <w:color w:val="222222"/>
          <w:shd w:val="clear" w:color="auto" w:fill="FFFFFF"/>
        </w:rPr>
        <w:t>Cooper</w:t>
      </w:r>
      <w:r>
        <w:rPr>
          <w:rFonts w:cs="Times New Roman"/>
          <w:color w:val="222222"/>
          <w:shd w:val="clear" w:color="auto" w:fill="FFFFFF"/>
        </w:rPr>
        <w:t>.</w:t>
      </w:r>
      <w:r w:rsidRPr="00AD5A99">
        <w:rPr>
          <w:rFonts w:cs="Times New Roman"/>
          <w:color w:val="222222"/>
          <w:shd w:val="clear" w:color="auto" w:fill="FFFFFF"/>
        </w:rPr>
        <w:t xml:space="preserve"> 2016b. Additions to Philippine slender skinks of the </w:t>
      </w:r>
      <w:r w:rsidRPr="00602634">
        <w:rPr>
          <w:rFonts w:cs="Times New Roman"/>
          <w:i/>
          <w:color w:val="222222"/>
          <w:shd w:val="clear" w:color="auto" w:fill="FFFFFF"/>
        </w:rPr>
        <w:t>Brachymeles bonitae</w:t>
      </w:r>
      <w:r w:rsidRPr="00AD5A99">
        <w:rPr>
          <w:rFonts w:cs="Times New Roman"/>
          <w:color w:val="222222"/>
          <w:shd w:val="clear" w:color="auto" w:fill="FFFFFF"/>
        </w:rPr>
        <w:t xml:space="preserve"> Complex (Reptilia: Squamata: Scincidae) II: </w:t>
      </w:r>
      <w:r>
        <w:rPr>
          <w:rFonts w:cs="Times New Roman"/>
          <w:color w:val="222222"/>
          <w:shd w:val="clear" w:color="auto" w:fill="FFFFFF"/>
        </w:rPr>
        <w:t>A</w:t>
      </w:r>
      <w:r w:rsidRPr="00AD5A99">
        <w:rPr>
          <w:rFonts w:cs="Times New Roman"/>
          <w:color w:val="222222"/>
          <w:shd w:val="clear" w:color="auto" w:fill="FFFFFF"/>
        </w:rPr>
        <w:t xml:space="preserve"> new species from the northern Philippines.</w:t>
      </w:r>
      <w:r>
        <w:rPr>
          <w:rFonts w:cs="Times New Roman"/>
          <w:color w:val="222222"/>
          <w:shd w:val="clear" w:color="auto" w:fill="FFFFFF"/>
        </w:rPr>
        <w:t xml:space="preserve"> </w:t>
      </w:r>
      <w:r w:rsidRPr="00602634">
        <w:rPr>
          <w:rFonts w:cs="Times New Roman"/>
          <w:iCs/>
          <w:color w:val="222222"/>
          <w:shd w:val="clear" w:color="auto" w:fill="FFFFFF"/>
        </w:rPr>
        <w:t>Zootaxa</w:t>
      </w:r>
      <w:r w:rsidRPr="00602634">
        <w:rPr>
          <w:rFonts w:cs="Times New Roman"/>
          <w:color w:val="222222"/>
          <w:shd w:val="clear" w:color="auto" w:fill="FFFFFF"/>
        </w:rPr>
        <w:t>,</w:t>
      </w:r>
      <w:r>
        <w:rPr>
          <w:rFonts w:cs="Times New Roman"/>
          <w:color w:val="222222"/>
          <w:shd w:val="clear" w:color="auto" w:fill="FFFFFF"/>
        </w:rPr>
        <w:t xml:space="preserve"> </w:t>
      </w:r>
      <w:r w:rsidRPr="00602634">
        <w:rPr>
          <w:rFonts w:cs="Times New Roman"/>
          <w:iCs/>
          <w:color w:val="222222"/>
          <w:shd w:val="clear" w:color="auto" w:fill="FFFFFF"/>
        </w:rPr>
        <w:t>4132</w:t>
      </w:r>
      <w:r>
        <w:rPr>
          <w:rFonts w:cs="Times New Roman"/>
          <w:color w:val="222222"/>
          <w:shd w:val="clear" w:color="auto" w:fill="FFFFFF"/>
        </w:rPr>
        <w:t>:</w:t>
      </w:r>
      <w:r w:rsidRPr="00602634">
        <w:rPr>
          <w:rFonts w:cs="Times New Roman"/>
          <w:color w:val="222222"/>
          <w:shd w:val="clear" w:color="auto" w:fill="FFFFFF"/>
        </w:rPr>
        <w:t>15</w:t>
      </w:r>
      <w:r w:rsidRPr="00AD5A99">
        <w:rPr>
          <w:rFonts w:cs="Times New Roman"/>
          <w:color w:val="000000" w:themeColor="text1"/>
        </w:rPr>
        <w:t>–</w:t>
      </w:r>
      <w:r w:rsidRPr="00602634">
        <w:rPr>
          <w:rFonts w:cs="Times New Roman"/>
          <w:color w:val="222222"/>
          <w:shd w:val="clear" w:color="auto" w:fill="FFFFFF"/>
        </w:rPr>
        <w:t>29.</w:t>
      </w:r>
    </w:p>
    <w:p w14:paraId="70C8DF1F" w14:textId="77777777" w:rsidR="00F6339D" w:rsidRPr="00B502DD" w:rsidRDefault="00F6339D" w:rsidP="00F6339D">
      <w:pPr>
        <w:spacing w:line="480" w:lineRule="auto"/>
        <w:ind w:left="360" w:hanging="360"/>
        <w:rPr>
          <w:rFonts w:cs="Times New Roman"/>
          <w:color w:val="000000" w:themeColor="text1"/>
        </w:rPr>
      </w:pPr>
      <w:r w:rsidRPr="00B502DD">
        <w:rPr>
          <w:rFonts w:cs="Times New Roman"/>
          <w:color w:val="000000" w:themeColor="text1"/>
        </w:rPr>
        <w:t xml:space="preserve">Siler, C.D., </w:t>
      </w:r>
      <w:r>
        <w:rPr>
          <w:rFonts w:cs="Times New Roman"/>
          <w:color w:val="000000" w:themeColor="text1"/>
        </w:rPr>
        <w:t xml:space="preserve">D.R. </w:t>
      </w:r>
      <w:r w:rsidRPr="00B502DD">
        <w:rPr>
          <w:rFonts w:cs="Times New Roman"/>
          <w:color w:val="000000" w:themeColor="text1"/>
        </w:rPr>
        <w:t xml:space="preserve">Davis, </w:t>
      </w:r>
      <w:r>
        <w:rPr>
          <w:rFonts w:cs="Times New Roman"/>
          <w:color w:val="000000" w:themeColor="text1"/>
        </w:rPr>
        <w:t xml:space="preserve">J.L. </w:t>
      </w:r>
      <w:r w:rsidRPr="00B502DD">
        <w:rPr>
          <w:rFonts w:cs="Times New Roman"/>
          <w:color w:val="000000" w:themeColor="text1"/>
        </w:rPr>
        <w:t xml:space="preserve">Watters, </w:t>
      </w:r>
      <w:r>
        <w:rPr>
          <w:rFonts w:cs="Times New Roman"/>
          <w:color w:val="000000" w:themeColor="text1"/>
        </w:rPr>
        <w:t>E.S.</w:t>
      </w:r>
      <w:r w:rsidRPr="00B502DD">
        <w:rPr>
          <w:rFonts w:cs="Times New Roman"/>
          <w:color w:val="000000" w:themeColor="text1"/>
        </w:rPr>
        <w:t xml:space="preserve"> Freitas,</w:t>
      </w:r>
      <w:r>
        <w:rPr>
          <w:rFonts w:cs="Times New Roman"/>
          <w:color w:val="000000" w:themeColor="text1"/>
        </w:rPr>
        <w:t xml:space="preserve"> O.W.</w:t>
      </w:r>
      <w:r w:rsidRPr="00B502DD">
        <w:rPr>
          <w:rFonts w:cs="Times New Roman"/>
          <w:color w:val="000000" w:themeColor="text1"/>
        </w:rPr>
        <w:t xml:space="preserve"> Griffith,</w:t>
      </w:r>
      <w:r>
        <w:rPr>
          <w:rFonts w:cs="Times New Roman"/>
          <w:color w:val="000000" w:themeColor="text1"/>
        </w:rPr>
        <w:t xml:space="preserve"> J.W.B</w:t>
      </w:r>
      <w:r w:rsidRPr="00B502DD">
        <w:rPr>
          <w:rFonts w:cs="Times New Roman"/>
          <w:color w:val="000000" w:themeColor="text1"/>
        </w:rPr>
        <w:t xml:space="preserve"> Binaday, </w:t>
      </w:r>
      <w:r>
        <w:rPr>
          <w:rFonts w:cs="Times New Roman"/>
          <w:color w:val="000000" w:themeColor="text1"/>
        </w:rPr>
        <w:t xml:space="preserve">A.H.T. </w:t>
      </w:r>
      <w:r w:rsidRPr="00B502DD">
        <w:rPr>
          <w:rFonts w:cs="Times New Roman"/>
          <w:color w:val="000000" w:themeColor="text1"/>
        </w:rPr>
        <w:t xml:space="preserve">Lobos, </w:t>
      </w:r>
      <w:r>
        <w:rPr>
          <w:rFonts w:cs="Times New Roman"/>
          <w:color w:val="000000" w:themeColor="text1"/>
        </w:rPr>
        <w:t>A.K.S.</w:t>
      </w:r>
      <w:r w:rsidRPr="00B502DD">
        <w:rPr>
          <w:rFonts w:cs="Times New Roman"/>
          <w:color w:val="000000" w:themeColor="text1"/>
        </w:rPr>
        <w:t xml:space="preserve"> Amarga and </w:t>
      </w:r>
      <w:r>
        <w:rPr>
          <w:rFonts w:cs="Times New Roman"/>
          <w:color w:val="000000" w:themeColor="text1"/>
        </w:rPr>
        <w:t xml:space="preserve">R.M. </w:t>
      </w:r>
      <w:r w:rsidRPr="00B502DD">
        <w:rPr>
          <w:rFonts w:cs="Times New Roman"/>
          <w:color w:val="000000" w:themeColor="text1"/>
        </w:rPr>
        <w:t xml:space="preserve">Brown. 2017. First record of the </w:t>
      </w:r>
      <w:r w:rsidRPr="0070767E">
        <w:rPr>
          <w:rFonts w:cs="Times New Roman"/>
          <w:i/>
          <w:color w:val="000000" w:themeColor="text1"/>
        </w:rPr>
        <w:t xml:space="preserve">Pseudogekko brevipes </w:t>
      </w:r>
      <w:r>
        <w:rPr>
          <w:rFonts w:cs="Times New Roman"/>
          <w:color w:val="000000" w:themeColor="text1"/>
        </w:rPr>
        <w:t>c</w:t>
      </w:r>
      <w:r w:rsidRPr="00B502DD">
        <w:rPr>
          <w:rFonts w:cs="Times New Roman"/>
          <w:color w:val="000000" w:themeColor="text1"/>
        </w:rPr>
        <w:t xml:space="preserve">omplex from the </w:t>
      </w:r>
      <w:r>
        <w:rPr>
          <w:rFonts w:cs="Times New Roman"/>
          <w:color w:val="000000" w:themeColor="text1"/>
        </w:rPr>
        <w:t>n</w:t>
      </w:r>
      <w:r w:rsidRPr="00B502DD">
        <w:rPr>
          <w:rFonts w:cs="Times New Roman"/>
          <w:color w:val="000000" w:themeColor="text1"/>
        </w:rPr>
        <w:t>orthern Philippines, with description of a n</w:t>
      </w:r>
      <w:r>
        <w:rPr>
          <w:rFonts w:cs="Times New Roman"/>
          <w:color w:val="000000" w:themeColor="text1"/>
        </w:rPr>
        <w:t xml:space="preserve">ew </w:t>
      </w:r>
      <w:r w:rsidRPr="00B502DD">
        <w:rPr>
          <w:rFonts w:cs="Times New Roman"/>
          <w:color w:val="000000" w:themeColor="text1"/>
        </w:rPr>
        <w:t>species.</w:t>
      </w:r>
      <w:r>
        <w:rPr>
          <w:rFonts w:cs="Times New Roman"/>
          <w:color w:val="000000" w:themeColor="text1"/>
        </w:rPr>
        <w:t xml:space="preserve"> </w:t>
      </w:r>
      <w:r w:rsidRPr="0070767E">
        <w:rPr>
          <w:rFonts w:cs="Times New Roman"/>
          <w:iCs/>
          <w:color w:val="000000" w:themeColor="text1"/>
        </w:rPr>
        <w:t>Herpetologica</w:t>
      </w:r>
      <w:r>
        <w:rPr>
          <w:rFonts w:cs="Times New Roman"/>
          <w:color w:val="000000" w:themeColor="text1"/>
        </w:rPr>
        <w:t xml:space="preserve"> </w:t>
      </w:r>
      <w:r w:rsidRPr="0070767E">
        <w:rPr>
          <w:rFonts w:cs="Times New Roman"/>
          <w:iCs/>
          <w:color w:val="000000" w:themeColor="text1"/>
        </w:rPr>
        <w:t>73</w:t>
      </w:r>
      <w:r>
        <w:rPr>
          <w:rFonts w:cs="Times New Roman"/>
          <w:iCs/>
          <w:color w:val="000000" w:themeColor="text1"/>
        </w:rPr>
        <w:t>:</w:t>
      </w:r>
      <w:r w:rsidRPr="00B502DD">
        <w:rPr>
          <w:rFonts w:cs="Times New Roman"/>
          <w:color w:val="000000" w:themeColor="text1"/>
        </w:rPr>
        <w:t>162</w:t>
      </w:r>
      <w:r>
        <w:rPr>
          <w:rFonts w:cs="Times New Roman"/>
          <w:color w:val="000000" w:themeColor="text1"/>
        </w:rPr>
        <w:t>–</w:t>
      </w:r>
      <w:r w:rsidRPr="00B502DD">
        <w:rPr>
          <w:rFonts w:cs="Times New Roman"/>
          <w:color w:val="000000" w:themeColor="text1"/>
        </w:rPr>
        <w:t>175.</w:t>
      </w:r>
    </w:p>
    <w:p w14:paraId="6524A2FE" w14:textId="77777777" w:rsidR="00F6339D" w:rsidRPr="00B502DD" w:rsidRDefault="00F6339D" w:rsidP="00F6339D">
      <w:pPr>
        <w:spacing w:line="480" w:lineRule="auto"/>
        <w:ind w:left="360" w:hanging="360"/>
        <w:rPr>
          <w:rFonts w:cs="Times New Roman"/>
          <w:color w:val="000000" w:themeColor="text1"/>
        </w:rPr>
      </w:pPr>
      <w:r w:rsidRPr="00B502DD">
        <w:rPr>
          <w:rFonts w:cs="Times New Roman"/>
          <w:color w:val="000000" w:themeColor="text1"/>
        </w:rPr>
        <w:t>Simpson, G.G. 1951. The species concept.</w:t>
      </w:r>
      <w:r>
        <w:rPr>
          <w:rFonts w:cs="Times New Roman"/>
          <w:color w:val="000000" w:themeColor="text1"/>
        </w:rPr>
        <w:t xml:space="preserve"> </w:t>
      </w:r>
      <w:r w:rsidRPr="00856935">
        <w:rPr>
          <w:rFonts w:cs="Times New Roman"/>
          <w:iCs/>
          <w:color w:val="000000" w:themeColor="text1"/>
        </w:rPr>
        <w:t>Evolution</w:t>
      </w:r>
      <w:r>
        <w:rPr>
          <w:rFonts w:cs="Times New Roman"/>
          <w:color w:val="000000" w:themeColor="text1"/>
        </w:rPr>
        <w:t xml:space="preserve"> </w:t>
      </w:r>
      <w:r w:rsidRPr="00856935">
        <w:rPr>
          <w:rFonts w:cs="Times New Roman"/>
          <w:iCs/>
          <w:color w:val="000000" w:themeColor="text1"/>
        </w:rPr>
        <w:t>5</w:t>
      </w:r>
      <w:r>
        <w:rPr>
          <w:rFonts w:cs="Times New Roman"/>
          <w:iCs/>
          <w:color w:val="000000" w:themeColor="text1"/>
        </w:rPr>
        <w:t>:</w:t>
      </w:r>
      <w:r w:rsidRPr="00B502DD">
        <w:rPr>
          <w:rFonts w:cs="Times New Roman"/>
          <w:color w:val="000000" w:themeColor="text1"/>
        </w:rPr>
        <w:t>285</w:t>
      </w:r>
      <w:r>
        <w:rPr>
          <w:rFonts w:cs="Times New Roman"/>
          <w:color w:val="000000" w:themeColor="text1"/>
        </w:rPr>
        <w:t>–</w:t>
      </w:r>
      <w:r w:rsidRPr="00B502DD">
        <w:rPr>
          <w:rFonts w:cs="Times New Roman"/>
          <w:color w:val="000000" w:themeColor="text1"/>
        </w:rPr>
        <w:t>298.</w:t>
      </w:r>
    </w:p>
    <w:p w14:paraId="498DD87E" w14:textId="77777777" w:rsidR="00F6339D" w:rsidRPr="003A22D8" w:rsidRDefault="00F6339D" w:rsidP="00F6339D">
      <w:pPr>
        <w:spacing w:line="480" w:lineRule="auto"/>
        <w:ind w:left="360" w:hanging="360"/>
        <w:rPr>
          <w:rFonts w:cs="Times New Roman"/>
          <w:color w:val="000000" w:themeColor="text1"/>
        </w:rPr>
      </w:pPr>
      <w:r w:rsidRPr="003A22D8">
        <w:rPr>
          <w:rFonts w:cs="Times New Roman"/>
          <w:color w:val="000000" w:themeColor="text1"/>
        </w:rPr>
        <w:t>Simpson, G.G. 1961. Principles of animal taxonomy. Columbia University Press, USA.</w:t>
      </w:r>
    </w:p>
    <w:p w14:paraId="61B73B07" w14:textId="77777777" w:rsidR="00F6339D" w:rsidRPr="00B502DD" w:rsidRDefault="00F6339D" w:rsidP="00F6339D">
      <w:pPr>
        <w:spacing w:line="480" w:lineRule="auto"/>
        <w:ind w:left="360" w:hanging="360"/>
        <w:rPr>
          <w:rFonts w:cs="Times New Roman"/>
          <w:color w:val="000000" w:themeColor="text1"/>
        </w:rPr>
      </w:pPr>
      <w:r w:rsidRPr="003A22D8">
        <w:rPr>
          <w:rFonts w:cs="Times New Roman"/>
          <w:color w:val="000000" w:themeColor="text1"/>
        </w:rPr>
        <w:t>Smith, M.A. 1935. The fauna of British India including Ceylon and Burma. Reptilia and Amphibia Vol. II</w:t>
      </w:r>
      <w:r>
        <w:rPr>
          <w:rFonts w:cs="Times New Roman"/>
          <w:color w:val="000000" w:themeColor="text1"/>
        </w:rPr>
        <w:t>-</w:t>
      </w:r>
      <w:r w:rsidRPr="003A22D8">
        <w:rPr>
          <w:rFonts w:cs="Times New Roman"/>
          <w:color w:val="000000" w:themeColor="text1"/>
        </w:rPr>
        <w:t>Sauria. Taylor and Francis, UK.</w:t>
      </w:r>
    </w:p>
    <w:p w14:paraId="4D6072E7" w14:textId="77777777" w:rsidR="00F6339D" w:rsidRPr="002D5891" w:rsidRDefault="00F6339D" w:rsidP="00F6339D">
      <w:pPr>
        <w:spacing w:line="480" w:lineRule="auto"/>
        <w:ind w:left="360" w:hanging="360"/>
        <w:rPr>
          <w:rFonts w:cs="Times New Roman"/>
          <w:lang w:val="de-DE"/>
        </w:rPr>
      </w:pPr>
      <w:r w:rsidRPr="002D5891">
        <w:rPr>
          <w:rFonts w:cs="Times New Roman"/>
          <w:color w:val="000000" w:themeColor="text1"/>
          <w:lang w:val="de-DE"/>
        </w:rPr>
        <w:t>Steindachner, F. 1867. In: Reise der Österreichischen Fregatte Novara um die Erde in den Jahren 1857, 1858, 1859 unter den Befehlen des Commodore B. von Wüllerstorf</w:t>
      </w:r>
      <w:r>
        <w:rPr>
          <w:rFonts w:cs="Times New Roman"/>
          <w:color w:val="000000" w:themeColor="text1"/>
          <w:lang w:val="de-DE"/>
        </w:rPr>
        <w:t>-</w:t>
      </w:r>
      <w:r w:rsidRPr="002D5891">
        <w:rPr>
          <w:rFonts w:cs="Times New Roman"/>
          <w:color w:val="000000" w:themeColor="text1"/>
          <w:lang w:val="de-DE"/>
        </w:rPr>
        <w:t>Urbair (Zoologie), 1:1–98.</w:t>
      </w:r>
    </w:p>
    <w:p w14:paraId="0824EF53" w14:textId="77777777" w:rsidR="00F6339D" w:rsidRPr="00E00D5E" w:rsidRDefault="00F6339D" w:rsidP="00F6339D">
      <w:pPr>
        <w:spacing w:line="480" w:lineRule="auto"/>
        <w:ind w:left="360" w:hanging="360"/>
        <w:rPr>
          <w:rFonts w:cs="Times New Roman"/>
          <w:color w:val="000000" w:themeColor="text1"/>
        </w:rPr>
      </w:pPr>
      <w:r w:rsidRPr="00B502DD">
        <w:rPr>
          <w:rFonts w:cs="Times New Roman"/>
          <w:color w:val="000000" w:themeColor="text1"/>
        </w:rPr>
        <w:t xml:space="preserve">Stejneger, L. </w:t>
      </w:r>
      <w:r w:rsidRPr="00E00D5E">
        <w:rPr>
          <w:rFonts w:cs="Times New Roman"/>
          <w:color w:val="000000" w:themeColor="text1"/>
        </w:rPr>
        <w:t>1905. Three new frogs and one new gecko from the Philippine Islands. Proceedings of the United States National Museum</w:t>
      </w:r>
      <w:r w:rsidRPr="00E00D5E">
        <w:rPr>
          <w:rFonts w:cs="Times New Roman"/>
          <w:i/>
          <w:color w:val="000000" w:themeColor="text1"/>
        </w:rPr>
        <w:t xml:space="preserve"> </w:t>
      </w:r>
      <w:r w:rsidRPr="00E00D5E">
        <w:rPr>
          <w:rFonts w:cs="Times New Roman"/>
          <w:color w:val="000000" w:themeColor="text1"/>
        </w:rPr>
        <w:t>28:343</w:t>
      </w:r>
      <w:r>
        <w:rPr>
          <w:rFonts w:cs="Times New Roman"/>
          <w:color w:val="000000" w:themeColor="text1"/>
        </w:rPr>
        <w:t>–</w:t>
      </w:r>
      <w:r w:rsidRPr="00E00D5E">
        <w:rPr>
          <w:rFonts w:cs="Times New Roman"/>
          <w:color w:val="000000" w:themeColor="text1"/>
        </w:rPr>
        <w:t>348.</w:t>
      </w:r>
    </w:p>
    <w:p w14:paraId="0BFDE9BE" w14:textId="77777777" w:rsidR="00F6339D" w:rsidRPr="00E00D5E" w:rsidRDefault="00F6339D" w:rsidP="00F6339D">
      <w:pPr>
        <w:widowControl w:val="0"/>
        <w:autoSpaceDE w:val="0"/>
        <w:autoSpaceDN w:val="0"/>
        <w:adjustRightInd w:val="0"/>
        <w:spacing w:line="480" w:lineRule="auto"/>
        <w:ind w:left="360" w:hanging="360"/>
        <w:rPr>
          <w:rFonts w:cs="Times New Roman"/>
          <w:color w:val="000000"/>
        </w:rPr>
      </w:pPr>
      <w:r w:rsidRPr="00E00D5E">
        <w:rPr>
          <w:rFonts w:cs="Times New Roman"/>
          <w:color w:val="000000"/>
        </w:rPr>
        <w:t xml:space="preserve">Swofford, D.L. 2002. PAUP*: (Phylogenetic Analysis Using Parsimony* and other methods). Version 4.0b10. Sinauer Associates, Sunderland, Massachusetts, USA. Available </w:t>
      </w:r>
      <w:r>
        <w:rPr>
          <w:rFonts w:cs="Times New Roman"/>
          <w:color w:val="000000"/>
        </w:rPr>
        <w:t>at</w:t>
      </w:r>
      <w:r w:rsidRPr="00E00D5E">
        <w:rPr>
          <w:rFonts w:cs="Times New Roman"/>
          <w:color w:val="000000"/>
        </w:rPr>
        <w:t>: http://paup.phylosolutions.com.</w:t>
      </w:r>
    </w:p>
    <w:p w14:paraId="26FCE668" w14:textId="77777777" w:rsidR="00F6339D" w:rsidRPr="00E00D5E" w:rsidRDefault="00F6339D" w:rsidP="00F6339D">
      <w:pPr>
        <w:spacing w:line="480" w:lineRule="auto"/>
        <w:ind w:left="360" w:hanging="360"/>
        <w:rPr>
          <w:rFonts w:cs="Times New Roman"/>
          <w:color w:val="000000" w:themeColor="text1"/>
        </w:rPr>
      </w:pPr>
      <w:r w:rsidRPr="00E00D5E">
        <w:rPr>
          <w:rFonts w:cs="Times New Roman"/>
          <w:color w:val="000000" w:themeColor="text1"/>
        </w:rPr>
        <w:t xml:space="preserve">Taylor, E.H. 1915. New species of Philippine lizards. Philippine Journal of Science 10:89–109. </w:t>
      </w:r>
    </w:p>
    <w:p w14:paraId="4F1FE917" w14:textId="77777777" w:rsidR="00F6339D" w:rsidRPr="00E00D5E" w:rsidRDefault="00F6339D" w:rsidP="00F6339D">
      <w:pPr>
        <w:spacing w:line="480" w:lineRule="auto"/>
        <w:ind w:left="360" w:hanging="360"/>
        <w:rPr>
          <w:rFonts w:cs="Times New Roman"/>
          <w:color w:val="000000" w:themeColor="text1"/>
        </w:rPr>
      </w:pPr>
      <w:r w:rsidRPr="00E00D5E">
        <w:rPr>
          <w:rFonts w:cs="Times New Roman"/>
          <w:color w:val="000000" w:themeColor="text1"/>
        </w:rPr>
        <w:t>Taylor, E.H. 1917. Snakes and lizards known from Negros, with descriptions of new species and subspecies. Philippine Journal of Science 12:353–381.</w:t>
      </w:r>
    </w:p>
    <w:p w14:paraId="163DF1DF" w14:textId="77777777" w:rsidR="00F6339D" w:rsidRPr="00133046" w:rsidRDefault="00F6339D" w:rsidP="00F6339D">
      <w:pPr>
        <w:spacing w:line="480" w:lineRule="auto"/>
        <w:ind w:left="360" w:hanging="360"/>
        <w:rPr>
          <w:rFonts w:cs="Times New Roman"/>
          <w:color w:val="000000" w:themeColor="text1"/>
        </w:rPr>
      </w:pPr>
      <w:r w:rsidRPr="00E00D5E">
        <w:rPr>
          <w:rFonts w:cs="Times New Roman"/>
          <w:color w:val="000000" w:themeColor="text1"/>
        </w:rPr>
        <w:t>Taylor, E.H. 1918. Reptiles of the Sulu Archipelago</w:t>
      </w:r>
      <w:r w:rsidRPr="00B502DD">
        <w:rPr>
          <w:rFonts w:cs="Times New Roman"/>
          <w:color w:val="000000" w:themeColor="text1"/>
        </w:rPr>
        <w:t xml:space="preserve">. </w:t>
      </w:r>
      <w:r w:rsidRPr="00133046">
        <w:rPr>
          <w:rFonts w:cs="Times New Roman"/>
          <w:color w:val="000000" w:themeColor="text1"/>
        </w:rPr>
        <w:t>Philippine Journal of Science 13</w:t>
      </w:r>
      <w:r>
        <w:rPr>
          <w:rFonts w:cs="Times New Roman"/>
          <w:color w:val="000000" w:themeColor="text1"/>
        </w:rPr>
        <w:t>:</w:t>
      </w:r>
      <w:r w:rsidRPr="00133046">
        <w:rPr>
          <w:rFonts w:cs="Times New Roman"/>
          <w:color w:val="000000" w:themeColor="text1"/>
        </w:rPr>
        <w:t>233–267.</w:t>
      </w:r>
    </w:p>
    <w:p w14:paraId="6174BBAC" w14:textId="77777777" w:rsidR="00F6339D" w:rsidRDefault="00F6339D" w:rsidP="00F6339D">
      <w:pPr>
        <w:spacing w:line="480" w:lineRule="auto"/>
        <w:ind w:left="360" w:hanging="360"/>
        <w:rPr>
          <w:rFonts w:cs="Times New Roman"/>
          <w:color w:val="000000" w:themeColor="text1"/>
        </w:rPr>
      </w:pPr>
      <w:r w:rsidRPr="00133046">
        <w:rPr>
          <w:rFonts w:cs="Times New Roman"/>
          <w:color w:val="000000" w:themeColor="text1"/>
        </w:rPr>
        <w:t>Taylor, E.H. 1919. New or rare Philippine reptiles. Philippine Journal of Science. 14</w:t>
      </w:r>
      <w:r>
        <w:rPr>
          <w:rFonts w:cs="Times New Roman"/>
          <w:color w:val="000000" w:themeColor="text1"/>
        </w:rPr>
        <w:t>:</w:t>
      </w:r>
      <w:r w:rsidRPr="00133046">
        <w:rPr>
          <w:rFonts w:cs="Times New Roman"/>
          <w:color w:val="000000" w:themeColor="text1"/>
        </w:rPr>
        <w:t xml:space="preserve">105–125. </w:t>
      </w:r>
    </w:p>
    <w:p w14:paraId="56509026" w14:textId="77777777" w:rsidR="00F6339D" w:rsidRPr="00133046" w:rsidRDefault="00F6339D" w:rsidP="00F6339D">
      <w:pPr>
        <w:spacing w:line="480" w:lineRule="auto"/>
        <w:ind w:left="360" w:hanging="360"/>
        <w:rPr>
          <w:rFonts w:cs="Times New Roman"/>
          <w:color w:val="000000" w:themeColor="text1"/>
        </w:rPr>
      </w:pPr>
      <w:r w:rsidRPr="00133046">
        <w:rPr>
          <w:rFonts w:cs="Times New Roman"/>
          <w:color w:val="000000" w:themeColor="text1"/>
        </w:rPr>
        <w:t xml:space="preserve">Taylor, E.H. 1922. The lizards of the Philippine Islands. Philippine Bureau of Science 17:1–269. </w:t>
      </w:r>
    </w:p>
    <w:p w14:paraId="6BB6D366" w14:textId="77777777" w:rsidR="00F6339D" w:rsidRPr="00E00D5E" w:rsidRDefault="00F6339D" w:rsidP="00F6339D">
      <w:pPr>
        <w:spacing w:line="480" w:lineRule="auto"/>
        <w:ind w:left="360" w:hanging="360"/>
        <w:rPr>
          <w:rFonts w:cs="Times New Roman"/>
          <w:color w:val="000000" w:themeColor="text1"/>
        </w:rPr>
      </w:pPr>
      <w:r w:rsidRPr="00B502DD">
        <w:rPr>
          <w:rFonts w:cs="Times New Roman"/>
          <w:color w:val="000000" w:themeColor="text1"/>
        </w:rPr>
        <w:t>Taylor, E.H. 1923.</w:t>
      </w:r>
      <w:r>
        <w:rPr>
          <w:rFonts w:cs="Times New Roman"/>
          <w:color w:val="000000" w:themeColor="text1"/>
        </w:rPr>
        <w:t xml:space="preserve"> </w:t>
      </w:r>
      <w:r w:rsidRPr="00B502DD">
        <w:rPr>
          <w:rFonts w:cs="Times New Roman"/>
          <w:color w:val="000000" w:themeColor="text1"/>
        </w:rPr>
        <w:t>Additions to the herpetological fauna of the Philippine Islands, I</w:t>
      </w:r>
      <w:r>
        <w:rPr>
          <w:rFonts w:cs="Times New Roman"/>
          <w:color w:val="000000" w:themeColor="text1"/>
        </w:rPr>
        <w:t>II</w:t>
      </w:r>
      <w:r w:rsidRPr="00B502DD">
        <w:rPr>
          <w:rFonts w:cs="Times New Roman"/>
          <w:color w:val="000000" w:themeColor="text1"/>
        </w:rPr>
        <w:t xml:space="preserve">. </w:t>
      </w:r>
      <w:r w:rsidRPr="00133046">
        <w:rPr>
          <w:rFonts w:cs="Times New Roman"/>
          <w:color w:val="000000" w:themeColor="text1"/>
        </w:rPr>
        <w:t xml:space="preserve">Philippine </w:t>
      </w:r>
      <w:r w:rsidRPr="00E00D5E">
        <w:rPr>
          <w:rFonts w:cs="Times New Roman"/>
          <w:color w:val="000000" w:themeColor="text1"/>
        </w:rPr>
        <w:t>Journal of Science 22:515–557.</w:t>
      </w:r>
    </w:p>
    <w:p w14:paraId="5FD8E8D6" w14:textId="77777777" w:rsidR="00F6339D" w:rsidRPr="00E00D5E" w:rsidRDefault="00F6339D" w:rsidP="00F6339D">
      <w:pPr>
        <w:spacing w:line="480" w:lineRule="auto"/>
        <w:ind w:left="360" w:hanging="360"/>
        <w:rPr>
          <w:rFonts w:cs="Times New Roman"/>
          <w:color w:val="000000" w:themeColor="text1"/>
        </w:rPr>
      </w:pPr>
      <w:r w:rsidRPr="00E00D5E">
        <w:rPr>
          <w:rFonts w:cs="Times New Roman"/>
          <w:color w:val="000000" w:themeColor="text1"/>
        </w:rPr>
        <w:t>Uetz, P., P. Freed and J. Hošek (</w:t>
      </w:r>
      <w:r>
        <w:rPr>
          <w:rFonts w:cs="Times New Roman"/>
          <w:color w:val="000000" w:themeColor="text1"/>
        </w:rPr>
        <w:t>e</w:t>
      </w:r>
      <w:r w:rsidRPr="00E00D5E">
        <w:rPr>
          <w:rFonts w:cs="Times New Roman"/>
          <w:color w:val="000000" w:themeColor="text1"/>
        </w:rPr>
        <w:t>ds.). 20</w:t>
      </w:r>
      <w:r>
        <w:rPr>
          <w:rFonts w:cs="Times New Roman"/>
          <w:color w:val="000000" w:themeColor="text1"/>
        </w:rPr>
        <w:t>20</w:t>
      </w:r>
      <w:r w:rsidRPr="00E00D5E">
        <w:rPr>
          <w:rFonts w:cs="Times New Roman"/>
          <w:color w:val="000000" w:themeColor="text1"/>
        </w:rPr>
        <w:t>. The Reptile Database.</w:t>
      </w:r>
      <w:r>
        <w:rPr>
          <w:rFonts w:cs="Times New Roman"/>
          <w:color w:val="000000" w:themeColor="text1"/>
        </w:rPr>
        <w:t xml:space="preserve"> </w:t>
      </w:r>
      <w:r w:rsidRPr="00E00D5E">
        <w:rPr>
          <w:rFonts w:cs="Times New Roman"/>
        </w:rPr>
        <w:t>http://www.reptile</w:t>
      </w:r>
      <w:r>
        <w:rPr>
          <w:rFonts w:cs="Times New Roman"/>
        </w:rPr>
        <w:t>-</w:t>
      </w:r>
      <w:r w:rsidRPr="00E00D5E">
        <w:rPr>
          <w:rFonts w:cs="Times New Roman"/>
        </w:rPr>
        <w:t xml:space="preserve">database.org </w:t>
      </w:r>
      <w:r w:rsidRPr="00E00D5E">
        <w:rPr>
          <w:rFonts w:cs="Times New Roman"/>
          <w:color w:val="000000" w:themeColor="text1"/>
        </w:rPr>
        <w:t xml:space="preserve">(accessed </w:t>
      </w:r>
      <w:r>
        <w:rPr>
          <w:rFonts w:cs="Times New Roman"/>
          <w:color w:val="000000" w:themeColor="text1"/>
        </w:rPr>
        <w:t>10</w:t>
      </w:r>
      <w:r w:rsidRPr="00E00D5E">
        <w:rPr>
          <w:rFonts w:cs="Times New Roman"/>
          <w:color w:val="000000" w:themeColor="text1"/>
        </w:rPr>
        <w:t xml:space="preserve"> </w:t>
      </w:r>
      <w:r>
        <w:rPr>
          <w:rFonts w:cs="Times New Roman"/>
          <w:color w:val="000000" w:themeColor="text1"/>
        </w:rPr>
        <w:t>September</w:t>
      </w:r>
      <w:r w:rsidRPr="00E00D5E">
        <w:rPr>
          <w:rFonts w:cs="Times New Roman"/>
          <w:color w:val="000000" w:themeColor="text1"/>
        </w:rPr>
        <w:t xml:space="preserve"> 20</w:t>
      </w:r>
      <w:r>
        <w:rPr>
          <w:rFonts w:cs="Times New Roman"/>
          <w:color w:val="000000" w:themeColor="text1"/>
        </w:rPr>
        <w:t>20</w:t>
      </w:r>
      <w:r w:rsidRPr="00E00D5E">
        <w:rPr>
          <w:rFonts w:cs="Times New Roman"/>
          <w:color w:val="000000" w:themeColor="text1"/>
        </w:rPr>
        <w:t>).</w:t>
      </w:r>
    </w:p>
    <w:p w14:paraId="1F695274" w14:textId="77777777" w:rsidR="00F6339D" w:rsidRPr="00C57130" w:rsidRDefault="00F6339D" w:rsidP="00F6339D">
      <w:pPr>
        <w:spacing w:line="480" w:lineRule="auto"/>
        <w:ind w:left="360" w:hanging="360"/>
        <w:rPr>
          <w:rFonts w:cs="Times New Roman"/>
          <w:color w:val="000000"/>
        </w:rPr>
      </w:pPr>
      <w:r w:rsidRPr="00E00D5E">
        <w:rPr>
          <w:rFonts w:cs="Times New Roman"/>
          <w:color w:val="000000" w:themeColor="text1"/>
        </w:rPr>
        <w:t>Welton, L.J., C.D. Siler, A.</w:t>
      </w:r>
      <w:r>
        <w:rPr>
          <w:rFonts w:cs="Times New Roman"/>
          <w:color w:val="000000" w:themeColor="text1"/>
        </w:rPr>
        <w:t xml:space="preserve">C. </w:t>
      </w:r>
      <w:r w:rsidRPr="00B502DD">
        <w:rPr>
          <w:rFonts w:cs="Times New Roman"/>
          <w:color w:val="000000" w:themeColor="text1"/>
        </w:rPr>
        <w:t xml:space="preserve">Diesmos and </w:t>
      </w:r>
      <w:r>
        <w:rPr>
          <w:rFonts w:cs="Times New Roman"/>
          <w:color w:val="000000" w:themeColor="text1"/>
        </w:rPr>
        <w:t xml:space="preserve">R.M. </w:t>
      </w:r>
      <w:r w:rsidRPr="00B502DD">
        <w:rPr>
          <w:rFonts w:cs="Times New Roman"/>
          <w:color w:val="000000" w:themeColor="text1"/>
        </w:rPr>
        <w:t>Brown. 2009. A new bent</w:t>
      </w:r>
      <w:r>
        <w:rPr>
          <w:rFonts w:cs="Times New Roman"/>
          <w:color w:val="000000" w:themeColor="text1"/>
        </w:rPr>
        <w:t>-</w:t>
      </w:r>
      <w:r w:rsidRPr="00B502DD">
        <w:rPr>
          <w:rFonts w:cs="Times New Roman"/>
          <w:color w:val="000000" w:themeColor="text1"/>
        </w:rPr>
        <w:t xml:space="preserve">toed gecko (genus </w:t>
      </w:r>
      <w:r w:rsidRPr="00E11CE9">
        <w:rPr>
          <w:rFonts w:cs="Times New Roman"/>
          <w:i/>
          <w:iCs/>
          <w:color w:val="000000" w:themeColor="text1"/>
        </w:rPr>
        <w:t>Cyrtodactylus</w:t>
      </w:r>
      <w:r w:rsidRPr="00B502DD">
        <w:rPr>
          <w:rFonts w:cs="Times New Roman"/>
          <w:color w:val="000000" w:themeColor="text1"/>
        </w:rPr>
        <w:t xml:space="preserve">) from southern Palawan Island, Philippines and clarification of the taxonomic status of </w:t>
      </w:r>
      <w:r w:rsidRPr="00DD66E6">
        <w:rPr>
          <w:rFonts w:cs="Times New Roman"/>
          <w:i/>
          <w:color w:val="000000" w:themeColor="text1"/>
        </w:rPr>
        <w:t>C. annulatus</w:t>
      </w:r>
      <w:r w:rsidRPr="00B502DD">
        <w:rPr>
          <w:rFonts w:cs="Times New Roman"/>
          <w:color w:val="000000" w:themeColor="text1"/>
        </w:rPr>
        <w:t>.</w:t>
      </w:r>
      <w:r>
        <w:rPr>
          <w:rFonts w:cs="Times New Roman"/>
          <w:color w:val="000000" w:themeColor="text1"/>
        </w:rPr>
        <w:t xml:space="preserve"> </w:t>
      </w:r>
      <w:r w:rsidRPr="00DD66E6">
        <w:rPr>
          <w:rFonts w:cs="Times New Roman"/>
          <w:iCs/>
          <w:color w:val="000000" w:themeColor="text1"/>
        </w:rPr>
        <w:t>Herpetologica</w:t>
      </w:r>
      <w:r>
        <w:rPr>
          <w:rFonts w:cs="Times New Roman"/>
          <w:color w:val="000000" w:themeColor="text1"/>
        </w:rPr>
        <w:t xml:space="preserve"> </w:t>
      </w:r>
      <w:r w:rsidRPr="00DD66E6">
        <w:rPr>
          <w:rFonts w:cs="Times New Roman"/>
          <w:iCs/>
          <w:color w:val="000000" w:themeColor="text1"/>
        </w:rPr>
        <w:t>65</w:t>
      </w:r>
      <w:r>
        <w:rPr>
          <w:rFonts w:cs="Times New Roman"/>
          <w:iCs/>
          <w:color w:val="000000" w:themeColor="text1"/>
        </w:rPr>
        <w:t>:</w:t>
      </w:r>
      <w:r w:rsidRPr="00B502DD">
        <w:rPr>
          <w:rFonts w:cs="Times New Roman"/>
          <w:color w:val="000000" w:themeColor="text1"/>
        </w:rPr>
        <w:t>328</w:t>
      </w:r>
      <w:r>
        <w:rPr>
          <w:rFonts w:cs="Times New Roman"/>
          <w:color w:val="000000" w:themeColor="text1"/>
        </w:rPr>
        <w:t>–</w:t>
      </w:r>
      <w:r w:rsidRPr="00B502DD">
        <w:rPr>
          <w:rFonts w:cs="Times New Roman"/>
          <w:color w:val="000000" w:themeColor="text1"/>
        </w:rPr>
        <w:t>343.</w:t>
      </w:r>
    </w:p>
    <w:p w14:paraId="268CF785" w14:textId="77777777" w:rsidR="00F6339D" w:rsidRDefault="00F6339D" w:rsidP="00F6339D">
      <w:pPr>
        <w:spacing w:line="480" w:lineRule="auto"/>
        <w:ind w:left="360" w:hanging="360"/>
        <w:rPr>
          <w:rFonts w:cs="Times New Roman"/>
          <w:color w:val="000000" w:themeColor="text1"/>
        </w:rPr>
      </w:pPr>
      <w:r w:rsidRPr="00B502DD">
        <w:rPr>
          <w:rFonts w:cs="Times New Roman"/>
          <w:color w:val="000000" w:themeColor="text1"/>
        </w:rPr>
        <w:t xml:space="preserve">Welton, L.J., </w:t>
      </w:r>
      <w:r>
        <w:rPr>
          <w:rFonts w:cs="Times New Roman"/>
          <w:color w:val="000000" w:themeColor="text1"/>
        </w:rPr>
        <w:t xml:space="preserve">C.D. </w:t>
      </w:r>
      <w:r w:rsidRPr="00B502DD">
        <w:rPr>
          <w:rFonts w:cs="Times New Roman"/>
          <w:color w:val="000000" w:themeColor="text1"/>
        </w:rPr>
        <w:t>Siler,</w:t>
      </w:r>
      <w:r>
        <w:rPr>
          <w:rFonts w:cs="Times New Roman"/>
          <w:color w:val="000000" w:themeColor="text1"/>
        </w:rPr>
        <w:t xml:space="preserve"> A.C.</w:t>
      </w:r>
      <w:r w:rsidRPr="00B502DD">
        <w:rPr>
          <w:rFonts w:cs="Times New Roman"/>
          <w:color w:val="000000" w:themeColor="text1"/>
        </w:rPr>
        <w:t xml:space="preserve"> Diesmos and </w:t>
      </w:r>
      <w:r>
        <w:rPr>
          <w:rFonts w:cs="Times New Roman"/>
          <w:color w:val="000000" w:themeColor="text1"/>
        </w:rPr>
        <w:t xml:space="preserve">R.M. </w:t>
      </w:r>
      <w:r w:rsidRPr="00B502DD">
        <w:rPr>
          <w:rFonts w:cs="Times New Roman"/>
          <w:color w:val="000000" w:themeColor="text1"/>
        </w:rPr>
        <w:t>Brown</w:t>
      </w:r>
      <w:r>
        <w:rPr>
          <w:rFonts w:cs="Times New Roman"/>
          <w:color w:val="000000" w:themeColor="text1"/>
        </w:rPr>
        <w:t>.</w:t>
      </w:r>
      <w:r w:rsidRPr="00B502DD">
        <w:rPr>
          <w:rFonts w:cs="Times New Roman"/>
          <w:color w:val="000000" w:themeColor="text1"/>
        </w:rPr>
        <w:t xml:space="preserve"> 2010</w:t>
      </w:r>
      <w:r>
        <w:rPr>
          <w:rFonts w:cs="Times New Roman"/>
          <w:color w:val="000000" w:themeColor="text1"/>
        </w:rPr>
        <w:t>a</w:t>
      </w:r>
      <w:r w:rsidRPr="00B502DD">
        <w:rPr>
          <w:rFonts w:cs="Times New Roman"/>
          <w:color w:val="000000" w:themeColor="text1"/>
        </w:rPr>
        <w:t>. Phylogeny</w:t>
      </w:r>
      <w:r>
        <w:rPr>
          <w:rFonts w:cs="Times New Roman"/>
          <w:color w:val="000000" w:themeColor="text1"/>
        </w:rPr>
        <w:t>-</w:t>
      </w:r>
      <w:r w:rsidRPr="00B502DD">
        <w:rPr>
          <w:rFonts w:cs="Times New Roman"/>
          <w:color w:val="000000" w:themeColor="text1"/>
        </w:rPr>
        <w:t>based species delimitation of southern Philippines bent</w:t>
      </w:r>
      <w:r>
        <w:rPr>
          <w:rFonts w:cs="Times New Roman"/>
          <w:color w:val="000000" w:themeColor="text1"/>
        </w:rPr>
        <w:t>-</w:t>
      </w:r>
      <w:r w:rsidRPr="00B502DD">
        <w:rPr>
          <w:rFonts w:cs="Times New Roman"/>
          <w:color w:val="000000" w:themeColor="text1"/>
        </w:rPr>
        <w:t xml:space="preserve">toed geckos and a new species of </w:t>
      </w:r>
      <w:r w:rsidRPr="00E11CE9">
        <w:rPr>
          <w:rFonts w:cs="Times New Roman"/>
          <w:i/>
          <w:iCs/>
          <w:color w:val="000000" w:themeColor="text1"/>
        </w:rPr>
        <w:t xml:space="preserve">Cyrtodactylus </w:t>
      </w:r>
      <w:r w:rsidRPr="00B502DD">
        <w:rPr>
          <w:rFonts w:cs="Times New Roman"/>
          <w:color w:val="000000" w:themeColor="text1"/>
        </w:rPr>
        <w:t>(Squamata; Gekkonidae) from western Mindanao and the Sulu</w:t>
      </w:r>
      <w:r>
        <w:rPr>
          <w:rFonts w:cs="Times New Roman"/>
          <w:color w:val="000000" w:themeColor="text1"/>
        </w:rPr>
        <w:t xml:space="preserve"> </w:t>
      </w:r>
      <w:r w:rsidRPr="00B502DD">
        <w:rPr>
          <w:rFonts w:cs="Times New Roman"/>
          <w:color w:val="000000" w:themeColor="text1"/>
        </w:rPr>
        <w:t>Archipelago.</w:t>
      </w:r>
      <w:r>
        <w:rPr>
          <w:rFonts w:cs="Times New Roman"/>
          <w:color w:val="000000" w:themeColor="text1"/>
        </w:rPr>
        <w:t xml:space="preserve"> </w:t>
      </w:r>
      <w:r w:rsidRPr="00DD66E6">
        <w:rPr>
          <w:rFonts w:cs="Times New Roman"/>
          <w:iCs/>
          <w:color w:val="000000" w:themeColor="text1"/>
        </w:rPr>
        <w:t>Zootaxa</w:t>
      </w:r>
      <w:r w:rsidRPr="00DD66E6">
        <w:rPr>
          <w:rFonts w:cs="Times New Roman"/>
          <w:color w:val="000000" w:themeColor="text1"/>
        </w:rPr>
        <w:t>,</w:t>
      </w:r>
      <w:r>
        <w:rPr>
          <w:rFonts w:cs="Times New Roman"/>
          <w:color w:val="000000" w:themeColor="text1"/>
        </w:rPr>
        <w:t xml:space="preserve"> </w:t>
      </w:r>
      <w:r w:rsidRPr="00DD66E6">
        <w:rPr>
          <w:rFonts w:cs="Times New Roman"/>
          <w:iCs/>
          <w:color w:val="000000" w:themeColor="text1"/>
        </w:rPr>
        <w:t>2390</w:t>
      </w:r>
      <w:r>
        <w:rPr>
          <w:rFonts w:cs="Times New Roman"/>
          <w:iCs/>
          <w:color w:val="000000" w:themeColor="text1"/>
        </w:rPr>
        <w:t>:</w:t>
      </w:r>
      <w:r w:rsidRPr="00B502DD">
        <w:rPr>
          <w:rFonts w:cs="Times New Roman"/>
          <w:color w:val="000000" w:themeColor="text1"/>
        </w:rPr>
        <w:t>49</w:t>
      </w:r>
      <w:r>
        <w:rPr>
          <w:rFonts w:cs="Times New Roman"/>
          <w:color w:val="000000" w:themeColor="text1"/>
        </w:rPr>
        <w:t>–</w:t>
      </w:r>
      <w:r w:rsidRPr="00B502DD">
        <w:rPr>
          <w:rFonts w:cs="Times New Roman"/>
          <w:color w:val="000000" w:themeColor="text1"/>
        </w:rPr>
        <w:t>68.</w:t>
      </w:r>
    </w:p>
    <w:p w14:paraId="090078D2" w14:textId="77777777" w:rsidR="00F6339D" w:rsidRPr="00B502DD" w:rsidRDefault="00F6339D" w:rsidP="00F6339D">
      <w:pPr>
        <w:spacing w:line="480" w:lineRule="auto"/>
        <w:ind w:left="360" w:hanging="360"/>
        <w:rPr>
          <w:rFonts w:cs="Times New Roman"/>
          <w:color w:val="000000" w:themeColor="text1"/>
        </w:rPr>
      </w:pPr>
      <w:r w:rsidRPr="00B502DD">
        <w:rPr>
          <w:rFonts w:cs="Times New Roman"/>
          <w:color w:val="000000" w:themeColor="text1"/>
        </w:rPr>
        <w:t xml:space="preserve">Welton, L.J., </w:t>
      </w:r>
      <w:r>
        <w:rPr>
          <w:rFonts w:cs="Times New Roman"/>
          <w:color w:val="000000" w:themeColor="text1"/>
        </w:rPr>
        <w:t xml:space="preserve">C.D. </w:t>
      </w:r>
      <w:r w:rsidRPr="00B502DD">
        <w:rPr>
          <w:rFonts w:cs="Times New Roman"/>
          <w:color w:val="000000" w:themeColor="text1"/>
        </w:rPr>
        <w:t xml:space="preserve">Siler, </w:t>
      </w:r>
      <w:r>
        <w:rPr>
          <w:rFonts w:cs="Times New Roman"/>
          <w:color w:val="000000" w:themeColor="text1"/>
        </w:rPr>
        <w:t xml:space="preserve">C.W. </w:t>
      </w:r>
      <w:r w:rsidRPr="00B502DD">
        <w:rPr>
          <w:rFonts w:cs="Times New Roman"/>
          <w:color w:val="000000" w:themeColor="text1"/>
        </w:rPr>
        <w:t xml:space="preserve">Linkem, </w:t>
      </w:r>
      <w:r>
        <w:rPr>
          <w:rFonts w:cs="Times New Roman"/>
          <w:color w:val="000000" w:themeColor="text1"/>
        </w:rPr>
        <w:t>A.C.</w:t>
      </w:r>
      <w:r w:rsidRPr="00B502DD">
        <w:rPr>
          <w:rFonts w:cs="Times New Roman"/>
          <w:color w:val="000000" w:themeColor="text1"/>
        </w:rPr>
        <w:t xml:space="preserve"> Diesmos and </w:t>
      </w:r>
      <w:r>
        <w:rPr>
          <w:rFonts w:cs="Times New Roman"/>
          <w:color w:val="000000" w:themeColor="text1"/>
        </w:rPr>
        <w:t xml:space="preserve">R.M. </w:t>
      </w:r>
      <w:r w:rsidRPr="00B502DD">
        <w:rPr>
          <w:rFonts w:cs="Times New Roman"/>
          <w:color w:val="000000" w:themeColor="text1"/>
        </w:rPr>
        <w:t>Brown</w:t>
      </w:r>
      <w:r>
        <w:rPr>
          <w:rFonts w:cs="Times New Roman"/>
          <w:color w:val="000000" w:themeColor="text1"/>
        </w:rPr>
        <w:t>.</w:t>
      </w:r>
      <w:r w:rsidRPr="00B502DD">
        <w:rPr>
          <w:rFonts w:cs="Times New Roman"/>
          <w:color w:val="000000" w:themeColor="text1"/>
        </w:rPr>
        <w:t xml:space="preserve"> 2010</w:t>
      </w:r>
      <w:r>
        <w:rPr>
          <w:rFonts w:cs="Times New Roman"/>
          <w:color w:val="000000" w:themeColor="text1"/>
        </w:rPr>
        <w:t>b</w:t>
      </w:r>
      <w:r w:rsidRPr="00B502DD">
        <w:rPr>
          <w:rFonts w:cs="Times New Roman"/>
          <w:color w:val="000000" w:themeColor="text1"/>
        </w:rPr>
        <w:t>. Philippine bent</w:t>
      </w:r>
      <w:r>
        <w:rPr>
          <w:rFonts w:cs="Times New Roman"/>
          <w:color w:val="000000" w:themeColor="text1"/>
        </w:rPr>
        <w:t>-</w:t>
      </w:r>
      <w:r w:rsidRPr="00B502DD">
        <w:rPr>
          <w:rFonts w:cs="Times New Roman"/>
          <w:color w:val="000000" w:themeColor="text1"/>
        </w:rPr>
        <w:t xml:space="preserve">toed geckos of the </w:t>
      </w:r>
      <w:r w:rsidRPr="00E11CE9">
        <w:rPr>
          <w:rFonts w:cs="Times New Roman"/>
          <w:i/>
          <w:iCs/>
          <w:color w:val="000000" w:themeColor="text1"/>
        </w:rPr>
        <w:t>Cyrtodactylus agusanensis</w:t>
      </w:r>
      <w:r w:rsidRPr="00B502DD">
        <w:rPr>
          <w:rFonts w:cs="Times New Roman"/>
          <w:color w:val="000000" w:themeColor="text1"/>
        </w:rPr>
        <w:t xml:space="preserve"> complex: </w:t>
      </w:r>
      <w:r>
        <w:rPr>
          <w:rFonts w:cs="Times New Roman"/>
          <w:color w:val="000000" w:themeColor="text1"/>
        </w:rPr>
        <w:t>M</w:t>
      </w:r>
      <w:r w:rsidRPr="00B502DD">
        <w:rPr>
          <w:rFonts w:cs="Times New Roman"/>
          <w:color w:val="000000" w:themeColor="text1"/>
        </w:rPr>
        <w:t>ultilocus phylogeny, morphological diversity, and descriptions of three new species.</w:t>
      </w:r>
      <w:r>
        <w:rPr>
          <w:rFonts w:cs="Times New Roman"/>
          <w:color w:val="000000" w:themeColor="text1"/>
        </w:rPr>
        <w:t xml:space="preserve"> </w:t>
      </w:r>
      <w:r w:rsidRPr="00DD66E6">
        <w:rPr>
          <w:rFonts w:cs="Times New Roman"/>
          <w:iCs/>
          <w:color w:val="000000" w:themeColor="text1"/>
        </w:rPr>
        <w:t>Herpetological Monographs</w:t>
      </w:r>
      <w:r>
        <w:rPr>
          <w:rFonts w:cs="Times New Roman"/>
          <w:color w:val="000000" w:themeColor="text1"/>
        </w:rPr>
        <w:t xml:space="preserve"> 24:</w:t>
      </w:r>
      <w:r w:rsidRPr="00B502DD">
        <w:rPr>
          <w:rFonts w:cs="Times New Roman"/>
          <w:color w:val="000000" w:themeColor="text1"/>
        </w:rPr>
        <w:t>55</w:t>
      </w:r>
      <w:r>
        <w:rPr>
          <w:rFonts w:cs="Times New Roman"/>
          <w:color w:val="000000" w:themeColor="text1"/>
        </w:rPr>
        <w:t>–</w:t>
      </w:r>
      <w:r w:rsidRPr="00B502DD">
        <w:rPr>
          <w:rFonts w:cs="Times New Roman"/>
          <w:color w:val="000000" w:themeColor="text1"/>
        </w:rPr>
        <w:t>85.</w:t>
      </w:r>
    </w:p>
    <w:p w14:paraId="7227B90C" w14:textId="77777777" w:rsidR="00F6339D" w:rsidRDefault="00F6339D" w:rsidP="00F6339D">
      <w:pPr>
        <w:spacing w:line="480" w:lineRule="auto"/>
        <w:ind w:left="360" w:hanging="360"/>
        <w:rPr>
          <w:rFonts w:cs="Times New Roman"/>
          <w:color w:val="000000" w:themeColor="text1"/>
        </w:rPr>
      </w:pPr>
      <w:r>
        <w:rPr>
          <w:rFonts w:cs="Times New Roman"/>
          <w:color w:val="000000" w:themeColor="text1"/>
        </w:rPr>
        <w:t>Wermuth</w:t>
      </w:r>
      <w:r w:rsidRPr="002F1FC3">
        <w:rPr>
          <w:rFonts w:cs="Times New Roman"/>
          <w:color w:val="000000" w:themeColor="text1"/>
        </w:rPr>
        <w:t>,</w:t>
      </w:r>
      <w:r>
        <w:rPr>
          <w:rFonts w:cs="Times New Roman"/>
          <w:color w:val="000000" w:themeColor="text1"/>
        </w:rPr>
        <w:t xml:space="preserve"> H</w:t>
      </w:r>
      <w:r w:rsidRPr="002F1FC3">
        <w:rPr>
          <w:rFonts w:cs="Times New Roman"/>
          <w:color w:val="000000" w:themeColor="text1"/>
        </w:rPr>
        <w:t>. 1965. Liste der rezenten Amphibien</w:t>
      </w:r>
      <w:r>
        <w:rPr>
          <w:rFonts w:cs="Times New Roman"/>
          <w:color w:val="000000" w:themeColor="text1"/>
        </w:rPr>
        <w:t xml:space="preserve"> </w:t>
      </w:r>
      <w:r w:rsidRPr="002F1FC3">
        <w:rPr>
          <w:rFonts w:cs="Times New Roman"/>
          <w:color w:val="000000" w:themeColor="text1"/>
        </w:rPr>
        <w:t>und Reptilien: Gekkonidae, Pygopodidae, Xantusiidae.</w:t>
      </w:r>
      <w:r>
        <w:rPr>
          <w:rFonts w:cs="Times New Roman"/>
          <w:color w:val="000000" w:themeColor="text1"/>
        </w:rPr>
        <w:t xml:space="preserve"> </w:t>
      </w:r>
      <w:r w:rsidRPr="002F1FC3">
        <w:rPr>
          <w:rFonts w:cs="Times New Roman"/>
          <w:color w:val="000000" w:themeColor="text1"/>
        </w:rPr>
        <w:t>Das Tierreich 80:1</w:t>
      </w:r>
      <w:r>
        <w:rPr>
          <w:rFonts w:cs="Times New Roman"/>
          <w:color w:val="000000" w:themeColor="text1"/>
        </w:rPr>
        <w:t>–</w:t>
      </w:r>
      <w:r w:rsidRPr="002F1FC3">
        <w:rPr>
          <w:rFonts w:cs="Times New Roman"/>
          <w:color w:val="000000" w:themeColor="text1"/>
        </w:rPr>
        <w:t>246.</w:t>
      </w:r>
    </w:p>
    <w:p w14:paraId="78F2FA5E" w14:textId="77777777" w:rsidR="00F6339D" w:rsidRDefault="00F6339D" w:rsidP="00F6339D">
      <w:pPr>
        <w:spacing w:line="480" w:lineRule="auto"/>
        <w:ind w:left="360" w:hanging="360"/>
        <w:rPr>
          <w:rFonts w:cs="Times New Roman"/>
          <w:color w:val="000000" w:themeColor="text1"/>
        </w:rPr>
      </w:pPr>
      <w:r w:rsidRPr="00E442C4">
        <w:rPr>
          <w:rFonts w:cs="Times New Roman"/>
          <w:color w:val="000000" w:themeColor="text1"/>
        </w:rPr>
        <w:t>Wiley, E.O.</w:t>
      </w:r>
      <w:r>
        <w:rPr>
          <w:rFonts w:cs="Times New Roman"/>
          <w:color w:val="000000" w:themeColor="text1"/>
        </w:rPr>
        <w:t xml:space="preserve"> </w:t>
      </w:r>
      <w:r w:rsidRPr="00E442C4">
        <w:rPr>
          <w:rFonts w:cs="Times New Roman"/>
          <w:color w:val="000000" w:themeColor="text1"/>
        </w:rPr>
        <w:t>1978. The evolutionary species concept reconsidered.</w:t>
      </w:r>
      <w:r>
        <w:rPr>
          <w:rFonts w:cs="Times New Roman"/>
          <w:color w:val="000000" w:themeColor="text1"/>
        </w:rPr>
        <w:t xml:space="preserve"> </w:t>
      </w:r>
      <w:r w:rsidRPr="00E442C4">
        <w:rPr>
          <w:rFonts w:cs="Times New Roman"/>
          <w:color w:val="000000" w:themeColor="text1"/>
        </w:rPr>
        <w:t xml:space="preserve">Systematic </w:t>
      </w:r>
      <w:r>
        <w:rPr>
          <w:rFonts w:cs="Times New Roman"/>
          <w:color w:val="000000" w:themeColor="text1"/>
        </w:rPr>
        <w:t>Z</w:t>
      </w:r>
      <w:r w:rsidRPr="00E442C4">
        <w:rPr>
          <w:rFonts w:cs="Times New Roman"/>
          <w:color w:val="000000" w:themeColor="text1"/>
        </w:rPr>
        <w:t>oology</w:t>
      </w:r>
      <w:r>
        <w:rPr>
          <w:rFonts w:cs="Times New Roman"/>
          <w:color w:val="000000" w:themeColor="text1"/>
        </w:rPr>
        <w:t xml:space="preserve"> </w:t>
      </w:r>
      <w:r w:rsidRPr="00E442C4">
        <w:rPr>
          <w:rFonts w:cs="Times New Roman"/>
          <w:color w:val="000000" w:themeColor="text1"/>
        </w:rPr>
        <w:t>27</w:t>
      </w:r>
      <w:r>
        <w:rPr>
          <w:rFonts w:cs="Times New Roman"/>
          <w:color w:val="000000" w:themeColor="text1"/>
        </w:rPr>
        <w:t>:</w:t>
      </w:r>
      <w:r w:rsidRPr="00E442C4">
        <w:rPr>
          <w:rFonts w:cs="Times New Roman"/>
          <w:color w:val="000000" w:themeColor="text1"/>
        </w:rPr>
        <w:t>17</w:t>
      </w:r>
      <w:r>
        <w:rPr>
          <w:rFonts w:cs="Times New Roman"/>
          <w:color w:val="000000" w:themeColor="text1"/>
        </w:rPr>
        <w:t>–</w:t>
      </w:r>
      <w:r w:rsidRPr="00E442C4">
        <w:rPr>
          <w:rFonts w:cs="Times New Roman"/>
          <w:color w:val="000000" w:themeColor="text1"/>
        </w:rPr>
        <w:t>26.</w:t>
      </w:r>
    </w:p>
    <w:p w14:paraId="1C7BCF7A" w14:textId="77777777" w:rsidR="00F6339D" w:rsidRDefault="00F6339D" w:rsidP="00F6339D">
      <w:pPr>
        <w:spacing w:line="480" w:lineRule="auto"/>
        <w:ind w:left="360" w:hanging="360"/>
        <w:rPr>
          <w:rFonts w:cs="Times New Roman"/>
          <w:color w:val="000000" w:themeColor="text1"/>
        </w:rPr>
      </w:pPr>
      <w:r w:rsidRPr="003B2D46">
        <w:rPr>
          <w:rFonts w:cs="Times New Roman"/>
          <w:color w:val="000000" w:themeColor="text1"/>
        </w:rPr>
        <w:t xml:space="preserve">Wood, P.L., X. Guo, S.L. Travers, </w:t>
      </w:r>
      <w:r>
        <w:rPr>
          <w:rFonts w:cs="Times New Roman"/>
          <w:color w:val="000000" w:themeColor="text1"/>
        </w:rPr>
        <w:t>...</w:t>
      </w:r>
      <w:r w:rsidRPr="003B2D46">
        <w:rPr>
          <w:rFonts w:cs="Times New Roman"/>
          <w:color w:val="000000" w:themeColor="text1"/>
        </w:rPr>
        <w:t xml:space="preserve"> R.M. Brown</w:t>
      </w:r>
      <w:r>
        <w:rPr>
          <w:rFonts w:cs="Times New Roman"/>
          <w:color w:val="000000" w:themeColor="text1"/>
        </w:rPr>
        <w:t>.</w:t>
      </w:r>
      <w:r w:rsidRPr="003B2D46">
        <w:rPr>
          <w:rFonts w:cs="Times New Roman"/>
          <w:color w:val="000000" w:themeColor="text1"/>
        </w:rPr>
        <w:t xml:space="preserve"> 2020. Parachute geckos free fall into synonymy: </w:t>
      </w:r>
      <w:r w:rsidRPr="003B2D46">
        <w:rPr>
          <w:rFonts w:cs="Times New Roman"/>
          <w:i/>
          <w:iCs/>
          <w:color w:val="000000" w:themeColor="text1"/>
        </w:rPr>
        <w:t>Gekko</w:t>
      </w:r>
      <w:r w:rsidRPr="003B2D46">
        <w:rPr>
          <w:rFonts w:cs="Times New Roman"/>
          <w:color w:val="000000" w:themeColor="text1"/>
        </w:rPr>
        <w:t xml:space="preserve"> phylogeny, and a new subgeneric classification, inferred from thousands of ultraconserved elements. Molecular Phylogenetics and Evolution</w:t>
      </w:r>
      <w:r>
        <w:rPr>
          <w:rFonts w:cs="Times New Roman"/>
          <w:color w:val="000000" w:themeColor="text1"/>
        </w:rPr>
        <w:t xml:space="preserve"> 146:</w:t>
      </w:r>
      <w:r w:rsidRPr="003B2D46">
        <w:rPr>
          <w:rFonts w:cs="Times New Roman"/>
          <w:color w:val="000000" w:themeColor="text1"/>
        </w:rPr>
        <w:t>106731.</w:t>
      </w:r>
    </w:p>
    <w:p w14:paraId="54D34161" w14:textId="77777777" w:rsidR="00F6339D" w:rsidRDefault="00F6339D" w:rsidP="00F6339D">
      <w:pPr>
        <w:spacing w:line="480" w:lineRule="auto"/>
        <w:ind w:left="360" w:hanging="360"/>
        <w:rPr>
          <w:rFonts w:cs="Times New Roman"/>
          <w:color w:val="000000" w:themeColor="text1"/>
        </w:rPr>
      </w:pPr>
      <w:r w:rsidRPr="004B2667">
        <w:rPr>
          <w:rFonts w:cs="Times New Roman"/>
          <w:color w:val="000000" w:themeColor="text1"/>
        </w:rPr>
        <w:t>Zhang, J., P. Kapli, P. Pavlidis and A. Stamatakis</w:t>
      </w:r>
      <w:r>
        <w:rPr>
          <w:rFonts w:cs="Times New Roman"/>
          <w:color w:val="000000" w:themeColor="text1"/>
        </w:rPr>
        <w:t>.</w:t>
      </w:r>
      <w:r w:rsidRPr="004B2667">
        <w:rPr>
          <w:rFonts w:cs="Times New Roman"/>
          <w:color w:val="000000" w:themeColor="text1"/>
        </w:rPr>
        <w:t xml:space="preserve"> 2013. A general species delimitation method with applications to phylogenetic placements. Bioinformatics 29</w:t>
      </w:r>
      <w:r>
        <w:rPr>
          <w:rFonts w:cs="Times New Roman"/>
          <w:color w:val="000000" w:themeColor="text1"/>
        </w:rPr>
        <w:t>:</w:t>
      </w:r>
      <w:r w:rsidRPr="004B2667">
        <w:rPr>
          <w:rFonts w:cs="Times New Roman"/>
          <w:color w:val="000000" w:themeColor="text1"/>
        </w:rPr>
        <w:t>2869</w:t>
      </w:r>
      <w:r>
        <w:rPr>
          <w:rFonts w:cs="Times New Roman"/>
          <w:color w:val="000000" w:themeColor="text1"/>
        </w:rPr>
        <w:t>–</w:t>
      </w:r>
      <w:r w:rsidRPr="004B2667">
        <w:rPr>
          <w:rFonts w:cs="Times New Roman"/>
          <w:color w:val="000000" w:themeColor="text1"/>
        </w:rPr>
        <w:t>2876.</w:t>
      </w:r>
    </w:p>
    <w:p w14:paraId="23E23AC2" w14:textId="77777777" w:rsidR="00F6339D" w:rsidRPr="0081247F" w:rsidRDefault="00F6339D" w:rsidP="00F6339D">
      <w:pPr>
        <w:spacing w:line="480" w:lineRule="auto"/>
        <w:rPr>
          <w:rFonts w:cs="Times New Roman"/>
          <w:color w:val="000000" w:themeColor="text1"/>
        </w:rPr>
      </w:pPr>
    </w:p>
    <w:p w14:paraId="38F4E8A9" w14:textId="77777777" w:rsidR="00F6339D" w:rsidRPr="0081247F" w:rsidRDefault="00F6339D" w:rsidP="00F6339D">
      <w:pPr>
        <w:spacing w:line="480" w:lineRule="auto"/>
        <w:jc w:val="center"/>
        <w:outlineLvl w:val="0"/>
        <w:rPr>
          <w:rFonts w:cs="Times New Roman"/>
          <w:b/>
        </w:rPr>
      </w:pPr>
      <w:r w:rsidRPr="0081247F">
        <w:rPr>
          <w:rFonts w:cs="Times New Roman"/>
          <w:smallCaps/>
        </w:rPr>
        <w:t>Appendix</w:t>
      </w:r>
    </w:p>
    <w:p w14:paraId="268E807A" w14:textId="77777777" w:rsidR="00F6339D" w:rsidRPr="0081247F" w:rsidRDefault="00F6339D" w:rsidP="00F6339D">
      <w:pPr>
        <w:spacing w:line="480" w:lineRule="auto"/>
        <w:jc w:val="center"/>
        <w:outlineLvl w:val="0"/>
        <w:rPr>
          <w:rFonts w:cs="Times New Roman"/>
        </w:rPr>
      </w:pPr>
      <w:r w:rsidRPr="0081247F">
        <w:rPr>
          <w:rFonts w:cs="Times New Roman"/>
          <w:i/>
        </w:rPr>
        <w:t>Specimens Examined</w:t>
      </w:r>
    </w:p>
    <w:p w14:paraId="43E37D12" w14:textId="77777777" w:rsidR="00F6339D" w:rsidRPr="0081247F" w:rsidRDefault="00F6339D" w:rsidP="00F6339D">
      <w:pPr>
        <w:spacing w:line="480" w:lineRule="auto"/>
        <w:ind w:firstLine="360"/>
        <w:outlineLvl w:val="0"/>
        <w:rPr>
          <w:rFonts w:cs="Times New Roman"/>
        </w:rPr>
      </w:pPr>
      <w:r w:rsidRPr="0081247F">
        <w:rPr>
          <w:rFonts w:cs="Times New Roman"/>
        </w:rPr>
        <w:t>Numbers in parentheses following species names indicate the number of specimens examined. Several sample sizes are greater than those observed in the description due to the examination of subadult specimens which were excluded from morphometric analyses.</w:t>
      </w:r>
    </w:p>
    <w:p w14:paraId="0941F096" w14:textId="77777777" w:rsidR="00F6339D" w:rsidRPr="0081247F" w:rsidRDefault="00F6339D" w:rsidP="00F6339D">
      <w:pPr>
        <w:spacing w:line="480" w:lineRule="auto"/>
        <w:ind w:firstLine="360"/>
        <w:outlineLvl w:val="0"/>
        <w:rPr>
          <w:rFonts w:cs="Times New Roman"/>
          <w:bCs/>
          <w:iCs/>
        </w:rPr>
      </w:pPr>
      <w:r w:rsidRPr="0081247F">
        <w:rPr>
          <w:rFonts w:cs="Times New Roman"/>
          <w:bCs/>
          <w:i/>
        </w:rPr>
        <w:t>Lepidodactylus aureolineatus</w:t>
      </w:r>
      <w:r w:rsidRPr="0081247F">
        <w:rPr>
          <w:rFonts w:cs="Times New Roman"/>
          <w:b/>
          <w:i/>
        </w:rPr>
        <w:t xml:space="preserve"> </w:t>
      </w:r>
      <w:r w:rsidRPr="0081247F">
        <w:rPr>
          <w:rFonts w:cs="Times New Roman"/>
          <w:bCs/>
          <w:iCs/>
        </w:rPr>
        <w:t>(9): MINDANAO ISLAND, Agusan Province, Bunauan (MCZ R</w:t>
      </w:r>
      <w:r>
        <w:rPr>
          <w:rFonts w:cs="Times New Roman"/>
          <w:bCs/>
          <w:iCs/>
        </w:rPr>
        <w:t>–</w:t>
      </w:r>
      <w:r w:rsidRPr="0081247F">
        <w:rPr>
          <w:rFonts w:cs="Times New Roman"/>
          <w:bCs/>
          <w:iCs/>
        </w:rPr>
        <w:t>26109–R</w:t>
      </w:r>
      <w:r>
        <w:rPr>
          <w:rFonts w:cs="Times New Roman"/>
          <w:bCs/>
          <w:iCs/>
        </w:rPr>
        <w:t>–</w:t>
      </w:r>
      <w:r w:rsidRPr="0081247F">
        <w:rPr>
          <w:rFonts w:cs="Times New Roman"/>
          <w:bCs/>
          <w:iCs/>
        </w:rPr>
        <w:t>26117).</w:t>
      </w:r>
    </w:p>
    <w:p w14:paraId="41B76430" w14:textId="77777777" w:rsidR="00F6339D" w:rsidRPr="0081247F" w:rsidRDefault="00F6339D" w:rsidP="00F6339D">
      <w:pPr>
        <w:spacing w:line="480" w:lineRule="auto"/>
        <w:ind w:firstLine="360"/>
        <w:outlineLvl w:val="0"/>
        <w:rPr>
          <w:rFonts w:cs="Times New Roman"/>
        </w:rPr>
      </w:pPr>
      <w:r w:rsidRPr="0081247F">
        <w:rPr>
          <w:rFonts w:cs="Times New Roman"/>
          <w:i/>
          <w:iCs/>
        </w:rPr>
        <w:t>Lepidodactylus babuyanensis</w:t>
      </w:r>
      <w:r w:rsidRPr="0081247F">
        <w:rPr>
          <w:rFonts w:cs="Times New Roman"/>
          <w:b/>
          <w:bCs/>
        </w:rPr>
        <w:t xml:space="preserve"> </w:t>
      </w:r>
      <w:r w:rsidRPr="0081247F">
        <w:rPr>
          <w:rFonts w:cs="Times New Roman"/>
        </w:rPr>
        <w:t>(42): CALAYAN ISLAND, Cagayan Province, Municipality of Calayan, Barangay Magsidel (Holotype PNM 9877, formerly OMNH 46971), (Paratopotypes OMNH 46970–47003); Sitio Longog (Paratypes OMNH 47004–47007); CAMIGUIN ISLAND, Cagayan Province, Municipality of Calayan, Barangay Balatabat (Paratypes KU 304603, 304713); DALUPIRI ISLAND, Cagayan Province, Municipality of Calayan, Nipa Creek (Paratypes KU 306610, 306755).</w:t>
      </w:r>
    </w:p>
    <w:p w14:paraId="338B5A08" w14:textId="77777777" w:rsidR="00F6339D" w:rsidRPr="00BC5E90" w:rsidRDefault="00F6339D" w:rsidP="00F6339D">
      <w:pPr>
        <w:spacing w:line="480" w:lineRule="auto"/>
        <w:ind w:firstLine="360"/>
        <w:outlineLvl w:val="0"/>
        <w:rPr>
          <w:rFonts w:cs="Times New Roman"/>
        </w:rPr>
      </w:pPr>
      <w:r w:rsidRPr="00BC5E90">
        <w:rPr>
          <w:rFonts w:cs="Times New Roman"/>
          <w:i/>
          <w:iCs/>
        </w:rPr>
        <w:t>Lepidodactylus bakingibut</w:t>
      </w:r>
      <w:r w:rsidRPr="00BC5E90">
        <w:rPr>
          <w:rFonts w:cs="Times New Roman"/>
          <w:b/>
          <w:bCs/>
          <w:i/>
          <w:iCs/>
        </w:rPr>
        <w:t xml:space="preserve"> </w:t>
      </w:r>
      <w:r w:rsidRPr="00BC5E90">
        <w:rPr>
          <w:rFonts w:cs="Times New Roman"/>
        </w:rPr>
        <w:t>(2): LUZON ISLAND, Cagayan Province, Municipality of Gonzaga, Barangay Magrafil, Mt. Cagua, (Holotype PNM 9875, formerly KU 330066), (Paratype KU 330065).</w:t>
      </w:r>
    </w:p>
    <w:p w14:paraId="0409C186" w14:textId="77777777" w:rsidR="00F6339D" w:rsidRPr="0081247F" w:rsidRDefault="00F6339D" w:rsidP="00F6339D">
      <w:pPr>
        <w:spacing w:line="480" w:lineRule="auto"/>
        <w:ind w:firstLine="360"/>
        <w:outlineLvl w:val="0"/>
        <w:rPr>
          <w:rFonts w:cs="Times New Roman"/>
          <w:b/>
          <w:bCs/>
          <w:i/>
          <w:iCs/>
        </w:rPr>
      </w:pPr>
      <w:r w:rsidRPr="0081247F">
        <w:rPr>
          <w:rFonts w:cs="Times New Roman"/>
          <w:bCs/>
          <w:i/>
        </w:rPr>
        <w:t>Lepidodactylus balioburius</w:t>
      </w:r>
      <w:r w:rsidRPr="0081247F">
        <w:rPr>
          <w:rFonts w:cs="Times New Roman"/>
          <w:b/>
          <w:iCs/>
        </w:rPr>
        <w:t xml:space="preserve"> </w:t>
      </w:r>
      <w:r w:rsidRPr="0081247F">
        <w:rPr>
          <w:rFonts w:cs="Times New Roman"/>
          <w:bCs/>
          <w:iCs/>
        </w:rPr>
        <w:t>(22): BATAN ISLAND, Batanes Province, Municipality of Basco (KU 314000–314008), Municipality of Ivana (KU 314019, 314020), Municipality of Mahatao (KU 326207); SABTANG ISLAND, Batanes Province, Municipality of Sabtang (KU 314009–314018).</w:t>
      </w:r>
    </w:p>
    <w:p w14:paraId="0551D247" w14:textId="77777777" w:rsidR="00F6339D" w:rsidRPr="0081247F" w:rsidRDefault="00F6339D" w:rsidP="00F6339D">
      <w:pPr>
        <w:spacing w:line="480" w:lineRule="auto"/>
        <w:ind w:firstLine="360"/>
        <w:outlineLvl w:val="0"/>
        <w:rPr>
          <w:rFonts w:cs="Times New Roman"/>
        </w:rPr>
      </w:pPr>
      <w:r w:rsidRPr="0081247F">
        <w:rPr>
          <w:rFonts w:cs="Times New Roman"/>
          <w:i/>
          <w:iCs/>
        </w:rPr>
        <w:t>Lepidodactylus bisakol</w:t>
      </w:r>
      <w:r w:rsidRPr="0081247F">
        <w:rPr>
          <w:rFonts w:cs="Times New Roman"/>
          <w:b/>
          <w:bCs/>
        </w:rPr>
        <w:t xml:space="preserve"> </w:t>
      </w:r>
      <w:r w:rsidRPr="0081247F">
        <w:rPr>
          <w:rFonts w:cs="Times New Roman"/>
        </w:rPr>
        <w:t>(8): LUZON ISLAND, Albay Province, Municipality of Tabaco, Barangay Mariroc, Sitio Nagsipit (Holotype PNM 9874, formerly OMNH 46002), (Paratopotype OMNH 46003), Municipality of Malinao, Barangay Tanawan (Paratype KU 331652); Sorsogon Province, Municipality of Irosin, Barangay San Rogue, Bulusan Lake, on Mt. Bulusan (Paratype TNHC 62481); Barangay Cawayan, Mt. Cawayan (Paratypes KU 347921, 348462); Barangay Cogon, Mt. Jormahan (Paratype KU 346536); Municipality of Bulusan, Barangay San Francisco, Bayugin Falls (Paratype KU 346537).</w:t>
      </w:r>
    </w:p>
    <w:p w14:paraId="2EFCA1CB" w14:textId="77777777" w:rsidR="00F6339D" w:rsidRPr="002D5891" w:rsidRDefault="00F6339D" w:rsidP="00F6339D">
      <w:pPr>
        <w:spacing w:line="480" w:lineRule="auto"/>
        <w:ind w:firstLine="360"/>
        <w:outlineLvl w:val="0"/>
        <w:rPr>
          <w:rFonts w:cs="Times New Roman"/>
          <w:lang w:val="fr-FR"/>
        </w:rPr>
      </w:pPr>
      <w:r w:rsidRPr="002D5891">
        <w:rPr>
          <w:rFonts w:cs="Times New Roman"/>
          <w:bCs/>
          <w:i/>
          <w:lang w:val="fr-FR"/>
        </w:rPr>
        <w:t>Lepidodactylus christiani</w:t>
      </w:r>
      <w:r w:rsidRPr="002D5891">
        <w:rPr>
          <w:rFonts w:cs="Times New Roman"/>
          <w:b/>
          <w:i/>
          <w:lang w:val="fr-FR"/>
        </w:rPr>
        <w:t xml:space="preserve"> </w:t>
      </w:r>
      <w:r w:rsidRPr="002D5891">
        <w:rPr>
          <w:rFonts w:cs="Times New Roman"/>
          <w:bCs/>
          <w:iCs/>
          <w:lang w:val="fr-FR"/>
        </w:rPr>
        <w:t>(14): NEGROS ISLAND, Negros Oriental Province (CAS</w:t>
      </w:r>
      <w:r>
        <w:rPr>
          <w:rFonts w:cs="Times New Roman"/>
          <w:bCs/>
          <w:iCs/>
          <w:lang w:val="fr-FR"/>
        </w:rPr>
        <w:t>–</w:t>
      </w:r>
      <w:r w:rsidRPr="002D5891">
        <w:rPr>
          <w:rFonts w:cs="Times New Roman"/>
          <w:bCs/>
          <w:iCs/>
          <w:lang w:val="fr-FR"/>
        </w:rPr>
        <w:t>SUR 24246–24250, CAS 129326, 129335, 129351, 129352, 133058, 133059), Municipality of Sibulan (CAS 128877–128879).</w:t>
      </w:r>
    </w:p>
    <w:p w14:paraId="2CD7C4D6" w14:textId="77777777" w:rsidR="00F6339D" w:rsidRPr="002D5891" w:rsidRDefault="00F6339D" w:rsidP="00F6339D">
      <w:pPr>
        <w:spacing w:line="480" w:lineRule="auto"/>
        <w:ind w:firstLine="360"/>
        <w:outlineLvl w:val="0"/>
        <w:rPr>
          <w:rFonts w:cs="Times New Roman"/>
          <w:bCs/>
          <w:iCs/>
          <w:lang w:val="fr-FR"/>
        </w:rPr>
      </w:pPr>
      <w:r w:rsidRPr="002D5891">
        <w:rPr>
          <w:rFonts w:cs="Times New Roman"/>
          <w:bCs/>
          <w:i/>
          <w:lang w:val="fr-FR"/>
        </w:rPr>
        <w:t>Lepidodactylus herrei herrei</w:t>
      </w:r>
      <w:r w:rsidRPr="002D5891">
        <w:rPr>
          <w:rFonts w:cs="Times New Roman"/>
          <w:bCs/>
          <w:iCs/>
          <w:lang w:val="fr-FR"/>
        </w:rPr>
        <w:t xml:space="preserve"> (18): NEGROS ISLAND, Negros Oriental Province (CAS 129297, 129298, 129353–129355, 129376, 129377, 132661–132667, 132675); Municipality of Valencia, Barangay Bongbong, Cuernos de Negros Mountain Range, Mt. Talinis (KU 327769, TNHC 62476, 62477).</w:t>
      </w:r>
    </w:p>
    <w:p w14:paraId="6CA70248" w14:textId="77777777" w:rsidR="00F6339D" w:rsidRPr="002D5891" w:rsidRDefault="00F6339D" w:rsidP="00F6339D">
      <w:pPr>
        <w:spacing w:line="480" w:lineRule="auto"/>
        <w:ind w:firstLine="360"/>
        <w:outlineLvl w:val="0"/>
        <w:rPr>
          <w:rFonts w:cs="Times New Roman"/>
          <w:bCs/>
          <w:iCs/>
          <w:lang w:val="fr-FR"/>
        </w:rPr>
      </w:pPr>
      <w:r w:rsidRPr="002D5891">
        <w:rPr>
          <w:rFonts w:cs="Times New Roman"/>
          <w:bCs/>
          <w:i/>
          <w:lang w:val="fr-FR"/>
        </w:rPr>
        <w:t>Lepidodactylus herrei medianus</w:t>
      </w:r>
      <w:r w:rsidRPr="002D5891">
        <w:rPr>
          <w:rFonts w:cs="Times New Roman"/>
          <w:b/>
          <w:iCs/>
          <w:lang w:val="fr-FR"/>
        </w:rPr>
        <w:t xml:space="preserve"> </w:t>
      </w:r>
      <w:r w:rsidRPr="002D5891">
        <w:rPr>
          <w:rFonts w:cs="Times New Roman"/>
          <w:bCs/>
          <w:iCs/>
          <w:lang w:val="fr-FR"/>
        </w:rPr>
        <w:t>(16): CEBU ISLAND, Cebu Province, Cebu City (CAS</w:t>
      </w:r>
      <w:r>
        <w:rPr>
          <w:rFonts w:cs="Times New Roman"/>
          <w:bCs/>
          <w:iCs/>
          <w:lang w:val="fr-FR"/>
        </w:rPr>
        <w:t>–</w:t>
      </w:r>
      <w:r w:rsidRPr="002D5891">
        <w:rPr>
          <w:rFonts w:cs="Times New Roman"/>
          <w:bCs/>
          <w:iCs/>
          <w:lang w:val="fr-FR"/>
        </w:rPr>
        <w:t>SUR 27302, CAS 125239–125242, 140036, 140037), Municipality of Carmen (CAS</w:t>
      </w:r>
      <w:r>
        <w:rPr>
          <w:rFonts w:cs="Times New Roman"/>
          <w:bCs/>
          <w:iCs/>
          <w:lang w:val="fr-FR"/>
        </w:rPr>
        <w:t>–</w:t>
      </w:r>
      <w:r w:rsidRPr="002D5891">
        <w:rPr>
          <w:rFonts w:cs="Times New Roman"/>
          <w:bCs/>
          <w:iCs/>
          <w:lang w:val="fr-FR"/>
        </w:rPr>
        <w:t>SUR 24813, CAS 131821), Municipality of Dalaguete</w:t>
      </w:r>
      <w:r>
        <w:rPr>
          <w:rFonts w:cs="Times New Roman"/>
          <w:bCs/>
          <w:iCs/>
          <w:lang w:val="fr-FR"/>
        </w:rPr>
        <w:t xml:space="preserve"> </w:t>
      </w:r>
      <w:r w:rsidRPr="002D5891">
        <w:rPr>
          <w:rFonts w:cs="Times New Roman"/>
          <w:bCs/>
          <w:iCs/>
          <w:lang w:val="fr-FR"/>
        </w:rPr>
        <w:t>(CAS 128434, 129047, 129063, 129064), Municipality of Minglanilla (CAS 185693); PORO ISLAND, Cebu Province, Municipality of Poro (CAS 125126, 125127).</w:t>
      </w:r>
    </w:p>
    <w:p w14:paraId="5E0F7B5E" w14:textId="77777777" w:rsidR="00F6339D" w:rsidRPr="002D5891" w:rsidRDefault="00F6339D" w:rsidP="00F6339D">
      <w:pPr>
        <w:spacing w:line="480" w:lineRule="auto"/>
        <w:ind w:firstLine="360"/>
        <w:outlineLvl w:val="0"/>
        <w:rPr>
          <w:rFonts w:cs="Times New Roman"/>
          <w:bCs/>
          <w:iCs/>
          <w:lang w:val="fr-FR"/>
        </w:rPr>
      </w:pPr>
      <w:r w:rsidRPr="002D5891">
        <w:rPr>
          <w:rFonts w:cs="Times New Roman"/>
          <w:bCs/>
          <w:i/>
          <w:lang w:val="fr-FR"/>
        </w:rPr>
        <w:t>Lepidodactylus labialis</w:t>
      </w:r>
      <w:r w:rsidRPr="002D5891">
        <w:rPr>
          <w:rFonts w:cs="Times New Roman"/>
          <w:bCs/>
          <w:iCs/>
          <w:lang w:val="fr-FR"/>
        </w:rPr>
        <w:t xml:space="preserve"> (15): MINDANAO ISLAND, Agusan del Norte Province, Municipality</w:t>
      </w:r>
      <w:r>
        <w:rPr>
          <w:rFonts w:cs="Times New Roman"/>
          <w:bCs/>
          <w:iCs/>
          <w:lang w:val="fr-FR"/>
        </w:rPr>
        <w:t xml:space="preserve"> </w:t>
      </w:r>
      <w:r w:rsidRPr="002D5891">
        <w:rPr>
          <w:rFonts w:cs="Times New Roman"/>
          <w:bCs/>
          <w:iCs/>
          <w:lang w:val="fr-FR"/>
        </w:rPr>
        <w:t>of Cabadbaran (CAS 133209, 133210, 133238, 133243, 133258, 133314–133317, 133329, 133338, 133339, 133353–133356, 133790).</w:t>
      </w:r>
    </w:p>
    <w:p w14:paraId="12FC9EB1" w14:textId="77777777" w:rsidR="00F6339D" w:rsidRPr="002D5891" w:rsidRDefault="00F6339D" w:rsidP="00F6339D">
      <w:pPr>
        <w:spacing w:line="480" w:lineRule="auto"/>
        <w:ind w:firstLine="360"/>
        <w:outlineLvl w:val="0"/>
        <w:rPr>
          <w:rFonts w:cs="Times New Roman"/>
          <w:lang w:val="fr-FR"/>
        </w:rPr>
      </w:pPr>
      <w:r w:rsidRPr="002D5891">
        <w:rPr>
          <w:rFonts w:cs="Times New Roman"/>
          <w:bCs/>
          <w:i/>
          <w:lang w:val="fr-FR"/>
        </w:rPr>
        <w:t>Lepidodactylus lugubris</w:t>
      </w:r>
      <w:r w:rsidRPr="002D5891">
        <w:rPr>
          <w:rFonts w:cs="Times New Roman"/>
          <w:bCs/>
          <w:iCs/>
          <w:lang w:val="fr-FR"/>
        </w:rPr>
        <w:t xml:space="preserve"> (20): GREAT AND LITTLE GOVENEN ISLANDS, Basilan Province (MCZ R</w:t>
      </w:r>
      <w:r>
        <w:rPr>
          <w:rFonts w:cs="Times New Roman"/>
          <w:bCs/>
          <w:iCs/>
          <w:lang w:val="fr-FR"/>
        </w:rPr>
        <w:t>–</w:t>
      </w:r>
      <w:r w:rsidRPr="002D5891">
        <w:rPr>
          <w:rFonts w:cs="Times New Roman"/>
          <w:bCs/>
          <w:iCs/>
          <w:lang w:val="fr-FR"/>
        </w:rPr>
        <w:t>26087, R</w:t>
      </w:r>
      <w:r>
        <w:rPr>
          <w:rFonts w:cs="Times New Roman"/>
          <w:bCs/>
          <w:iCs/>
          <w:lang w:val="fr-FR"/>
        </w:rPr>
        <w:t>–</w:t>
      </w:r>
      <w:r w:rsidRPr="002D5891">
        <w:rPr>
          <w:rFonts w:cs="Times New Roman"/>
          <w:bCs/>
          <w:iCs/>
          <w:lang w:val="fr-FR"/>
        </w:rPr>
        <w:t>26088, R</w:t>
      </w:r>
      <w:r>
        <w:rPr>
          <w:rFonts w:cs="Times New Roman"/>
          <w:bCs/>
          <w:iCs/>
          <w:lang w:val="fr-FR"/>
        </w:rPr>
        <w:t>–</w:t>
      </w:r>
      <w:r w:rsidRPr="002D5891">
        <w:rPr>
          <w:rFonts w:cs="Times New Roman"/>
          <w:bCs/>
          <w:iCs/>
          <w:lang w:val="fr-FR"/>
        </w:rPr>
        <w:t>26092, R</w:t>
      </w:r>
      <w:r>
        <w:rPr>
          <w:rFonts w:cs="Times New Roman"/>
          <w:bCs/>
          <w:iCs/>
          <w:lang w:val="fr-FR"/>
        </w:rPr>
        <w:t>–</w:t>
      </w:r>
      <w:r w:rsidRPr="002D5891">
        <w:rPr>
          <w:rFonts w:cs="Times New Roman"/>
          <w:bCs/>
          <w:iCs/>
          <w:lang w:val="fr-FR"/>
        </w:rPr>
        <w:t>26093, R</w:t>
      </w:r>
      <w:r>
        <w:rPr>
          <w:rFonts w:cs="Times New Roman"/>
          <w:bCs/>
          <w:iCs/>
          <w:lang w:val="fr-FR"/>
        </w:rPr>
        <w:t>–</w:t>
      </w:r>
      <w:r w:rsidRPr="002D5891">
        <w:rPr>
          <w:rFonts w:cs="Times New Roman"/>
          <w:bCs/>
          <w:iCs/>
          <w:lang w:val="fr-FR"/>
        </w:rPr>
        <w:t>85747–R</w:t>
      </w:r>
      <w:r>
        <w:rPr>
          <w:rFonts w:cs="Times New Roman"/>
          <w:bCs/>
          <w:iCs/>
          <w:lang w:val="fr-FR"/>
        </w:rPr>
        <w:t>–</w:t>
      </w:r>
      <w:r w:rsidRPr="002D5891">
        <w:rPr>
          <w:rFonts w:cs="Times New Roman"/>
          <w:bCs/>
          <w:iCs/>
          <w:lang w:val="fr-FR"/>
        </w:rPr>
        <w:t>85750); BASILAN ISLAND, Basilan Province (CAS 60507, 60508, 60510, 60513–60518, 60520); LUZON ISLAND, Albay Province, Municipality of Malinao (KU 331651, 331653).</w:t>
      </w:r>
    </w:p>
    <w:p w14:paraId="0060A21A" w14:textId="77777777" w:rsidR="00F6339D" w:rsidRPr="002D5891" w:rsidRDefault="00F6339D" w:rsidP="00F6339D">
      <w:pPr>
        <w:spacing w:line="480" w:lineRule="auto"/>
        <w:ind w:firstLine="360"/>
        <w:outlineLvl w:val="0"/>
        <w:rPr>
          <w:rFonts w:cs="Times New Roman"/>
          <w:lang w:val="fr-FR"/>
        </w:rPr>
      </w:pPr>
      <w:r w:rsidRPr="002D5891">
        <w:rPr>
          <w:rFonts w:cs="Times New Roman"/>
          <w:i/>
          <w:iCs/>
          <w:lang w:val="fr-FR"/>
        </w:rPr>
        <w:t>Lepidodactylus nakahiwalay</w:t>
      </w:r>
      <w:r w:rsidRPr="002D5891">
        <w:rPr>
          <w:rFonts w:cs="Times New Roman"/>
          <w:b/>
          <w:bCs/>
          <w:lang w:val="fr-FR"/>
        </w:rPr>
        <w:t xml:space="preserve"> </w:t>
      </w:r>
      <w:r w:rsidRPr="002D5891">
        <w:rPr>
          <w:rFonts w:cs="Times New Roman"/>
          <w:lang w:val="fr-FR"/>
        </w:rPr>
        <w:t>(2): LUBANG ISLAND, Occidental Mindoro Province, Municipality of Lubang, Barangay Vigo, Sitio Dangay (Holotype PNM 9876, formerly KU 320411), (Paratopotype KU 320410).</w:t>
      </w:r>
    </w:p>
    <w:p w14:paraId="163782F5" w14:textId="77777777" w:rsidR="00F6339D" w:rsidRPr="002D5891" w:rsidRDefault="00F6339D" w:rsidP="00F6339D">
      <w:pPr>
        <w:spacing w:line="480" w:lineRule="auto"/>
        <w:ind w:firstLine="360"/>
        <w:outlineLvl w:val="0"/>
        <w:rPr>
          <w:rFonts w:cs="Times New Roman"/>
          <w:bCs/>
          <w:iCs/>
          <w:lang w:val="fr-FR"/>
        </w:rPr>
      </w:pPr>
      <w:r w:rsidRPr="002D5891">
        <w:rPr>
          <w:rFonts w:cs="Times New Roman"/>
          <w:bCs/>
          <w:i/>
          <w:lang w:val="fr-FR"/>
        </w:rPr>
        <w:t>Lepidodactylus planicaudus</w:t>
      </w:r>
      <w:r w:rsidRPr="002D5891">
        <w:rPr>
          <w:rFonts w:cs="Times New Roman"/>
          <w:b/>
          <w:i/>
          <w:lang w:val="fr-FR"/>
        </w:rPr>
        <w:t xml:space="preserve"> </w:t>
      </w:r>
      <w:r w:rsidRPr="002D5891">
        <w:rPr>
          <w:rFonts w:cs="Times New Roman"/>
          <w:bCs/>
          <w:iCs/>
          <w:lang w:val="fr-FR"/>
        </w:rPr>
        <w:t>(15): MINDANAO ISLAND, Cotobato or Sulturan Kudarat Province, Tatayan to Saub, Cotobato coast (MCZ R</w:t>
      </w:r>
      <w:r>
        <w:rPr>
          <w:rFonts w:cs="Times New Roman"/>
          <w:bCs/>
          <w:iCs/>
          <w:lang w:val="fr-FR"/>
        </w:rPr>
        <w:t>–</w:t>
      </w:r>
      <w:r w:rsidRPr="002D5891">
        <w:rPr>
          <w:rFonts w:cs="Times New Roman"/>
          <w:bCs/>
          <w:iCs/>
          <w:lang w:val="fr-FR"/>
        </w:rPr>
        <w:t>26094–R</w:t>
      </w:r>
      <w:r>
        <w:rPr>
          <w:rFonts w:cs="Times New Roman"/>
          <w:bCs/>
          <w:iCs/>
          <w:lang w:val="fr-FR"/>
        </w:rPr>
        <w:t>–</w:t>
      </w:r>
      <w:r w:rsidRPr="002D5891">
        <w:rPr>
          <w:rFonts w:cs="Times New Roman"/>
          <w:bCs/>
          <w:iCs/>
          <w:lang w:val="fr-FR"/>
        </w:rPr>
        <w:t>26099, R</w:t>
      </w:r>
      <w:r>
        <w:rPr>
          <w:rFonts w:cs="Times New Roman"/>
          <w:bCs/>
          <w:iCs/>
          <w:lang w:val="fr-FR"/>
        </w:rPr>
        <w:t>–</w:t>
      </w:r>
      <w:r w:rsidRPr="002D5891">
        <w:rPr>
          <w:rFonts w:cs="Times New Roman"/>
          <w:bCs/>
          <w:iCs/>
          <w:lang w:val="fr-FR"/>
        </w:rPr>
        <w:t>26101, R</w:t>
      </w:r>
      <w:r>
        <w:rPr>
          <w:rFonts w:cs="Times New Roman"/>
          <w:bCs/>
          <w:iCs/>
          <w:lang w:val="fr-FR"/>
        </w:rPr>
        <w:t>–</w:t>
      </w:r>
      <w:r w:rsidRPr="002D5891">
        <w:rPr>
          <w:rFonts w:cs="Times New Roman"/>
          <w:bCs/>
          <w:iCs/>
          <w:lang w:val="fr-FR"/>
        </w:rPr>
        <w:t>26102, R</w:t>
      </w:r>
      <w:r>
        <w:rPr>
          <w:rFonts w:cs="Times New Roman"/>
          <w:bCs/>
          <w:iCs/>
          <w:lang w:val="fr-FR"/>
        </w:rPr>
        <w:t>–</w:t>
      </w:r>
      <w:r w:rsidRPr="002D5891">
        <w:rPr>
          <w:rFonts w:cs="Times New Roman"/>
          <w:bCs/>
          <w:iCs/>
          <w:lang w:val="fr-FR"/>
        </w:rPr>
        <w:t>163938, R</w:t>
      </w:r>
      <w:r>
        <w:rPr>
          <w:rFonts w:cs="Times New Roman"/>
          <w:bCs/>
          <w:iCs/>
          <w:lang w:val="fr-FR"/>
        </w:rPr>
        <w:t>–</w:t>
      </w:r>
      <w:r w:rsidRPr="002D5891">
        <w:rPr>
          <w:rFonts w:cs="Times New Roman"/>
          <w:bCs/>
          <w:iCs/>
          <w:lang w:val="fr-FR"/>
        </w:rPr>
        <w:t>163939, R</w:t>
      </w:r>
      <w:r>
        <w:rPr>
          <w:rFonts w:cs="Times New Roman"/>
          <w:bCs/>
          <w:iCs/>
          <w:lang w:val="fr-FR"/>
        </w:rPr>
        <w:t>–</w:t>
      </w:r>
      <w:r w:rsidRPr="002D5891">
        <w:rPr>
          <w:rFonts w:cs="Times New Roman"/>
          <w:bCs/>
          <w:iCs/>
          <w:lang w:val="fr-FR"/>
        </w:rPr>
        <w:t>163941, R</w:t>
      </w:r>
      <w:r>
        <w:rPr>
          <w:rFonts w:cs="Times New Roman"/>
          <w:bCs/>
          <w:iCs/>
          <w:lang w:val="fr-FR"/>
        </w:rPr>
        <w:t>–</w:t>
      </w:r>
      <w:r w:rsidRPr="002D5891">
        <w:rPr>
          <w:rFonts w:cs="Times New Roman"/>
          <w:bCs/>
          <w:iCs/>
          <w:lang w:val="fr-FR"/>
        </w:rPr>
        <w:t>163943–R</w:t>
      </w:r>
      <w:r>
        <w:rPr>
          <w:rFonts w:cs="Times New Roman"/>
          <w:bCs/>
          <w:iCs/>
          <w:lang w:val="fr-FR"/>
        </w:rPr>
        <w:t>–</w:t>
      </w:r>
      <w:r w:rsidRPr="002D5891">
        <w:rPr>
          <w:rFonts w:cs="Times New Roman"/>
          <w:bCs/>
          <w:iCs/>
          <w:lang w:val="fr-FR"/>
        </w:rPr>
        <w:t>163945); Davao del Sur Province, Mt. Apo (KU 327715).</w:t>
      </w:r>
    </w:p>
    <w:p w14:paraId="6AA7BDBB" w14:textId="77777777" w:rsidR="00F6339D" w:rsidRDefault="00F6339D" w:rsidP="00F6339D">
      <w:pPr>
        <w:spacing w:line="480" w:lineRule="auto"/>
        <w:ind w:firstLine="360"/>
        <w:outlineLvl w:val="0"/>
        <w:rPr>
          <w:rFonts w:cs="Times New Roman"/>
          <w:bCs/>
          <w:iCs/>
          <w:lang w:val="fr-FR"/>
        </w:rPr>
      </w:pPr>
      <w:r w:rsidRPr="002D5891">
        <w:rPr>
          <w:rFonts w:cs="Times New Roman"/>
          <w:bCs/>
          <w:i/>
          <w:lang w:val="fr-FR"/>
        </w:rPr>
        <w:t>Lepidodactylus yami</w:t>
      </w:r>
      <w:r w:rsidRPr="002D5891">
        <w:rPr>
          <w:rFonts w:cs="Times New Roman"/>
          <w:b/>
          <w:i/>
          <w:lang w:val="fr-FR"/>
        </w:rPr>
        <w:t xml:space="preserve"> </w:t>
      </w:r>
      <w:r w:rsidRPr="002D5891">
        <w:rPr>
          <w:rFonts w:cs="Times New Roman"/>
          <w:bCs/>
          <w:iCs/>
          <w:lang w:val="fr-FR"/>
        </w:rPr>
        <w:t xml:space="preserve">(2): </w:t>
      </w:r>
      <w:r w:rsidRPr="002D5891">
        <w:rPr>
          <w:rFonts w:cs="Times New Roman"/>
          <w:bCs/>
          <w:i/>
          <w:lang w:val="fr-FR"/>
        </w:rPr>
        <w:t>TAIWAN</w:t>
      </w:r>
      <w:r w:rsidRPr="002D5891">
        <w:rPr>
          <w:rFonts w:cs="Times New Roman"/>
          <w:bCs/>
          <w:iCs/>
          <w:lang w:val="fr-FR"/>
        </w:rPr>
        <w:t>, LANYU ISLAND, Imoro (USNM 267944), Lung Men (USNM 291811).</w:t>
      </w:r>
    </w:p>
    <w:p w14:paraId="40269724" w14:textId="77777777" w:rsidR="00F6339D" w:rsidRPr="00D94636" w:rsidRDefault="00F6339D" w:rsidP="00F6339D">
      <w:pPr>
        <w:spacing w:line="480" w:lineRule="auto"/>
        <w:ind w:firstLine="360"/>
        <w:outlineLvl w:val="0"/>
        <w:rPr>
          <w:rFonts w:cs="Times New Roman"/>
          <w:lang w:val="fr-FR"/>
        </w:rPr>
        <w:sectPr w:rsidR="00F6339D" w:rsidRPr="00D94636" w:rsidSect="00283550">
          <w:headerReference w:type="default" r:id="rId14"/>
          <w:pgSz w:w="12240" w:h="15840"/>
          <w:pgMar w:top="1440" w:right="1440" w:bottom="1440" w:left="1440" w:header="720" w:footer="720" w:gutter="0"/>
          <w:pgNumType w:start="1"/>
          <w:cols w:space="720"/>
          <w:docGrid w:linePitch="360"/>
        </w:sectPr>
      </w:pPr>
      <w:r w:rsidRPr="002D5891">
        <w:rPr>
          <w:rFonts w:cs="Times New Roman"/>
          <w:i/>
          <w:iCs/>
          <w:lang w:val="fr-FR"/>
        </w:rPr>
        <w:t xml:space="preserve">Lepidodactylus </w:t>
      </w:r>
      <w:r>
        <w:rPr>
          <w:rFonts w:cs="Times New Roman"/>
          <w:lang w:val="fr-FR"/>
        </w:rPr>
        <w:t>sp. 7</w:t>
      </w:r>
      <w:r w:rsidRPr="002D5891">
        <w:rPr>
          <w:rFonts w:cs="Times New Roman"/>
          <w:lang w:val="fr-FR"/>
        </w:rPr>
        <w:t xml:space="preserve"> (1): LUZON ISLAND, Zambales Province, Municipality of Olongapo, Subic Bay (KU 327768).</w:t>
      </w:r>
    </w:p>
    <w:p w14:paraId="238114D3" w14:textId="77777777" w:rsidR="00F6339D" w:rsidRPr="00775754" w:rsidRDefault="00F6339D" w:rsidP="00F6339D">
      <w:pPr>
        <w:spacing w:line="480" w:lineRule="auto"/>
        <w:ind w:right="180"/>
        <w:jc w:val="center"/>
        <w:rPr>
          <w:strike/>
        </w:rPr>
      </w:pPr>
      <w:r w:rsidRPr="00BC5E90">
        <w:rPr>
          <w:smallCaps/>
          <w:sz w:val="20"/>
          <w:szCs w:val="20"/>
        </w:rPr>
        <w:t>Table 1</w:t>
      </w:r>
      <w:r w:rsidRPr="00BC5E90">
        <w:rPr>
          <w:sz w:val="20"/>
          <w:szCs w:val="20"/>
        </w:rPr>
        <w:t xml:space="preserve">.—Summary of morphological characters in Philippine species of </w:t>
      </w:r>
      <w:r w:rsidRPr="00BC5E90">
        <w:rPr>
          <w:i/>
          <w:iCs/>
          <w:sz w:val="20"/>
          <w:szCs w:val="20"/>
        </w:rPr>
        <w:t>Lepidodactylus</w:t>
      </w:r>
      <w:r w:rsidRPr="00BC5E90">
        <w:rPr>
          <w:sz w:val="20"/>
          <w:szCs w:val="20"/>
        </w:rPr>
        <w:t xml:space="preserve">. </w:t>
      </w:r>
      <w:r w:rsidRPr="00305073">
        <w:rPr>
          <w:sz w:val="20"/>
          <w:szCs w:val="20"/>
        </w:rPr>
        <w:t>In parentheses, mean ± one standard deviation follows ranges.</w:t>
      </w:r>
    </w:p>
    <w:tbl>
      <w:tblPr>
        <w:tblW w:w="11618" w:type="dxa"/>
        <w:tblInd w:w="270" w:type="dxa"/>
        <w:tblLayout w:type="fixed"/>
        <w:tblCellMar>
          <w:top w:w="29" w:type="dxa"/>
          <w:left w:w="0" w:type="dxa"/>
          <w:bottom w:w="29" w:type="dxa"/>
          <w:right w:w="0" w:type="dxa"/>
        </w:tblCellMar>
        <w:tblLook w:val="01E0" w:firstRow="1" w:lastRow="1" w:firstColumn="1" w:lastColumn="1" w:noHBand="0" w:noVBand="0"/>
      </w:tblPr>
      <w:tblGrid>
        <w:gridCol w:w="2282"/>
        <w:gridCol w:w="1394"/>
        <w:gridCol w:w="1730"/>
        <w:gridCol w:w="1394"/>
        <w:gridCol w:w="1546"/>
        <w:gridCol w:w="1546"/>
        <w:gridCol w:w="1726"/>
      </w:tblGrid>
      <w:tr w:rsidR="00F6339D" w:rsidRPr="0085375C" w14:paraId="2ECCBF84" w14:textId="77777777" w:rsidTr="007D2780">
        <w:trPr>
          <w:trHeight w:hRule="exact" w:val="720"/>
        </w:trPr>
        <w:tc>
          <w:tcPr>
            <w:tcW w:w="2282" w:type="dxa"/>
            <w:tcBorders>
              <w:top w:val="single" w:sz="4" w:space="0" w:color="auto"/>
              <w:bottom w:val="single" w:sz="4" w:space="0" w:color="auto"/>
            </w:tcBorders>
            <w:vAlign w:val="center"/>
          </w:tcPr>
          <w:p w14:paraId="2A08A6D7" w14:textId="77777777" w:rsidR="00F6339D" w:rsidRPr="0085375C" w:rsidRDefault="00F6339D" w:rsidP="007D2780">
            <w:pPr>
              <w:spacing w:line="480" w:lineRule="auto"/>
              <w:jc w:val="center"/>
              <w:rPr>
                <w:sz w:val="18"/>
                <w:highlight w:val="yellow"/>
              </w:rPr>
            </w:pPr>
            <w:bookmarkStart w:id="18" w:name="OLE_LINK1"/>
            <w:bookmarkStart w:id="19" w:name="OLE_LINK2"/>
          </w:p>
        </w:tc>
        <w:tc>
          <w:tcPr>
            <w:tcW w:w="1394" w:type="dxa"/>
            <w:tcBorders>
              <w:top w:val="single" w:sz="4" w:space="0" w:color="auto"/>
              <w:bottom w:val="single" w:sz="4" w:space="0" w:color="auto"/>
            </w:tcBorders>
            <w:vAlign w:val="center"/>
          </w:tcPr>
          <w:p w14:paraId="28F544D2" w14:textId="77777777" w:rsidR="00F6339D" w:rsidRPr="00461E75" w:rsidRDefault="00F6339D" w:rsidP="007D2780">
            <w:pPr>
              <w:spacing w:line="480" w:lineRule="auto"/>
              <w:jc w:val="center"/>
              <w:rPr>
                <w:i/>
                <w:sz w:val="18"/>
              </w:rPr>
            </w:pPr>
            <w:r w:rsidRPr="00461E75">
              <w:rPr>
                <w:i/>
                <w:sz w:val="18"/>
              </w:rPr>
              <w:t>aureolineatus</w:t>
            </w:r>
          </w:p>
          <w:p w14:paraId="645E0766" w14:textId="77777777" w:rsidR="00F6339D" w:rsidRPr="00461E75" w:rsidRDefault="00F6339D" w:rsidP="007D2780">
            <w:pPr>
              <w:spacing w:line="480" w:lineRule="auto"/>
              <w:jc w:val="center"/>
              <w:rPr>
                <w:sz w:val="18"/>
              </w:rPr>
            </w:pPr>
            <w:r w:rsidRPr="00461E75">
              <w:rPr>
                <w:sz w:val="18"/>
              </w:rPr>
              <w:t>(</w:t>
            </w:r>
            <w:r>
              <w:rPr>
                <w:sz w:val="18"/>
              </w:rPr>
              <w:t>4</w:t>
            </w:r>
            <w:r w:rsidRPr="00461E75">
              <w:rPr>
                <w:sz w:val="18"/>
              </w:rPr>
              <w:t xml:space="preserve"> m, 4 f)</w:t>
            </w:r>
          </w:p>
        </w:tc>
        <w:tc>
          <w:tcPr>
            <w:tcW w:w="1730" w:type="dxa"/>
            <w:tcBorders>
              <w:top w:val="single" w:sz="4" w:space="0" w:color="auto"/>
              <w:bottom w:val="single" w:sz="4" w:space="0" w:color="auto"/>
            </w:tcBorders>
            <w:vAlign w:val="center"/>
          </w:tcPr>
          <w:p w14:paraId="064ECF77" w14:textId="77777777" w:rsidR="00F6339D" w:rsidRPr="00461E75" w:rsidRDefault="00F6339D" w:rsidP="007D2780">
            <w:pPr>
              <w:spacing w:line="480" w:lineRule="auto"/>
              <w:jc w:val="center"/>
              <w:rPr>
                <w:i/>
                <w:sz w:val="18"/>
              </w:rPr>
            </w:pPr>
            <w:r w:rsidRPr="00461E75">
              <w:rPr>
                <w:i/>
                <w:iCs/>
                <w:sz w:val="18"/>
              </w:rPr>
              <w:t>babuyanensis</w:t>
            </w:r>
          </w:p>
          <w:p w14:paraId="1879C1EE" w14:textId="77777777" w:rsidR="00F6339D" w:rsidRPr="00461E75" w:rsidRDefault="00F6339D" w:rsidP="007D2780">
            <w:pPr>
              <w:spacing w:line="480" w:lineRule="auto"/>
              <w:jc w:val="center"/>
              <w:rPr>
                <w:sz w:val="18"/>
              </w:rPr>
            </w:pPr>
            <w:r w:rsidRPr="00461E75">
              <w:rPr>
                <w:sz w:val="18"/>
              </w:rPr>
              <w:t>(</w:t>
            </w:r>
            <w:r>
              <w:rPr>
                <w:sz w:val="18"/>
              </w:rPr>
              <w:t>17</w:t>
            </w:r>
            <w:r w:rsidRPr="00461E75">
              <w:rPr>
                <w:sz w:val="18"/>
              </w:rPr>
              <w:t xml:space="preserve"> m, </w:t>
            </w:r>
            <w:r>
              <w:rPr>
                <w:sz w:val="18"/>
              </w:rPr>
              <w:t>23</w:t>
            </w:r>
            <w:r w:rsidRPr="00461E75">
              <w:rPr>
                <w:sz w:val="18"/>
              </w:rPr>
              <w:t xml:space="preserve"> f)</w:t>
            </w:r>
          </w:p>
        </w:tc>
        <w:tc>
          <w:tcPr>
            <w:tcW w:w="1394" w:type="dxa"/>
            <w:tcBorders>
              <w:top w:val="single" w:sz="4" w:space="0" w:color="auto"/>
              <w:bottom w:val="single" w:sz="4" w:space="0" w:color="auto"/>
            </w:tcBorders>
            <w:vAlign w:val="center"/>
          </w:tcPr>
          <w:p w14:paraId="121175B2" w14:textId="77777777" w:rsidR="00F6339D" w:rsidRDefault="00F6339D" w:rsidP="007D2780">
            <w:pPr>
              <w:spacing w:line="480" w:lineRule="auto"/>
              <w:jc w:val="center"/>
              <w:rPr>
                <w:sz w:val="18"/>
              </w:rPr>
            </w:pPr>
            <w:r w:rsidRPr="00461E75">
              <w:rPr>
                <w:i/>
                <w:iCs/>
                <w:sz w:val="18"/>
              </w:rPr>
              <w:t>balioburius</w:t>
            </w:r>
          </w:p>
          <w:p w14:paraId="42DCE3EA" w14:textId="77777777" w:rsidR="00F6339D" w:rsidRPr="00461E75" w:rsidRDefault="00F6339D" w:rsidP="007D2780">
            <w:pPr>
              <w:spacing w:line="480" w:lineRule="auto"/>
              <w:jc w:val="center"/>
              <w:rPr>
                <w:sz w:val="18"/>
              </w:rPr>
            </w:pPr>
            <w:r w:rsidRPr="00461E75">
              <w:rPr>
                <w:sz w:val="18"/>
              </w:rPr>
              <w:t>(</w:t>
            </w:r>
            <w:r>
              <w:rPr>
                <w:sz w:val="18"/>
              </w:rPr>
              <w:t>7</w:t>
            </w:r>
            <w:r w:rsidRPr="00461E75">
              <w:rPr>
                <w:sz w:val="18"/>
              </w:rPr>
              <w:t xml:space="preserve"> m, </w:t>
            </w:r>
            <w:r>
              <w:rPr>
                <w:sz w:val="18"/>
              </w:rPr>
              <w:t>9</w:t>
            </w:r>
            <w:r w:rsidRPr="00461E75">
              <w:rPr>
                <w:sz w:val="18"/>
              </w:rPr>
              <w:t xml:space="preserve"> f)</w:t>
            </w:r>
          </w:p>
        </w:tc>
        <w:tc>
          <w:tcPr>
            <w:tcW w:w="1546" w:type="dxa"/>
            <w:tcBorders>
              <w:top w:val="single" w:sz="4" w:space="0" w:color="auto"/>
              <w:bottom w:val="single" w:sz="4" w:space="0" w:color="auto"/>
            </w:tcBorders>
            <w:vAlign w:val="center"/>
          </w:tcPr>
          <w:p w14:paraId="2F204EF7" w14:textId="77777777" w:rsidR="00F6339D" w:rsidRPr="007A4BBA" w:rsidRDefault="00F6339D" w:rsidP="007D2780">
            <w:pPr>
              <w:spacing w:line="480" w:lineRule="auto"/>
              <w:jc w:val="center"/>
              <w:rPr>
                <w:i/>
                <w:iCs/>
                <w:sz w:val="18"/>
              </w:rPr>
            </w:pPr>
            <w:r>
              <w:rPr>
                <w:i/>
                <w:iCs/>
                <w:sz w:val="18"/>
              </w:rPr>
              <w:t>bakingibut</w:t>
            </w:r>
          </w:p>
          <w:p w14:paraId="05823419" w14:textId="77777777" w:rsidR="00F6339D" w:rsidRDefault="00F6339D" w:rsidP="007D2780">
            <w:pPr>
              <w:spacing w:line="480" w:lineRule="auto"/>
              <w:jc w:val="center"/>
              <w:rPr>
                <w:i/>
                <w:iCs/>
                <w:sz w:val="18"/>
              </w:rPr>
            </w:pPr>
            <w:r w:rsidRPr="007A4BBA">
              <w:rPr>
                <w:sz w:val="18"/>
              </w:rPr>
              <w:t>(</w:t>
            </w:r>
            <w:r>
              <w:rPr>
                <w:sz w:val="18"/>
              </w:rPr>
              <w:t>1</w:t>
            </w:r>
            <w:r w:rsidRPr="007A4BBA">
              <w:rPr>
                <w:sz w:val="18"/>
              </w:rPr>
              <w:t xml:space="preserve"> m, </w:t>
            </w:r>
            <w:r>
              <w:rPr>
                <w:sz w:val="18"/>
              </w:rPr>
              <w:t>1</w:t>
            </w:r>
            <w:r w:rsidRPr="007A4BBA">
              <w:rPr>
                <w:sz w:val="18"/>
              </w:rPr>
              <w:t xml:space="preserve"> f)</w:t>
            </w:r>
          </w:p>
        </w:tc>
        <w:tc>
          <w:tcPr>
            <w:tcW w:w="1546" w:type="dxa"/>
            <w:tcBorders>
              <w:top w:val="single" w:sz="4" w:space="0" w:color="auto"/>
              <w:bottom w:val="single" w:sz="4" w:space="0" w:color="auto"/>
            </w:tcBorders>
            <w:vAlign w:val="center"/>
          </w:tcPr>
          <w:p w14:paraId="6F1558CE" w14:textId="77777777" w:rsidR="00F6339D" w:rsidRDefault="00F6339D" w:rsidP="007D2780">
            <w:pPr>
              <w:spacing w:line="480" w:lineRule="auto"/>
              <w:jc w:val="center"/>
              <w:rPr>
                <w:i/>
                <w:iCs/>
                <w:sz w:val="18"/>
              </w:rPr>
            </w:pPr>
            <w:r>
              <w:rPr>
                <w:i/>
                <w:iCs/>
                <w:sz w:val="18"/>
              </w:rPr>
              <w:t>bisakol</w:t>
            </w:r>
          </w:p>
          <w:p w14:paraId="20FCB9BE" w14:textId="77777777" w:rsidR="00F6339D" w:rsidRPr="00461E75" w:rsidRDefault="00F6339D" w:rsidP="007D2780">
            <w:pPr>
              <w:spacing w:line="480" w:lineRule="auto"/>
              <w:jc w:val="center"/>
              <w:rPr>
                <w:sz w:val="18"/>
              </w:rPr>
            </w:pPr>
            <w:r w:rsidRPr="00461E75">
              <w:rPr>
                <w:sz w:val="18"/>
              </w:rPr>
              <w:t>(</w:t>
            </w:r>
            <w:r>
              <w:rPr>
                <w:sz w:val="18"/>
              </w:rPr>
              <w:t>3</w:t>
            </w:r>
            <w:r w:rsidRPr="00461E75">
              <w:rPr>
                <w:sz w:val="18"/>
              </w:rPr>
              <w:t xml:space="preserve"> m, </w:t>
            </w:r>
            <w:r>
              <w:rPr>
                <w:sz w:val="18"/>
              </w:rPr>
              <w:t>2</w:t>
            </w:r>
            <w:r w:rsidRPr="00461E75">
              <w:rPr>
                <w:sz w:val="18"/>
              </w:rPr>
              <w:t xml:space="preserve"> f)</w:t>
            </w:r>
          </w:p>
        </w:tc>
        <w:tc>
          <w:tcPr>
            <w:tcW w:w="1726" w:type="dxa"/>
            <w:tcBorders>
              <w:top w:val="single" w:sz="4" w:space="0" w:color="auto"/>
              <w:bottom w:val="single" w:sz="4" w:space="0" w:color="auto"/>
            </w:tcBorders>
            <w:vAlign w:val="center"/>
          </w:tcPr>
          <w:p w14:paraId="1A6E7EE0" w14:textId="77777777" w:rsidR="00F6339D" w:rsidRDefault="00F6339D" w:rsidP="007D2780">
            <w:pPr>
              <w:spacing w:line="480" w:lineRule="auto"/>
              <w:jc w:val="center"/>
              <w:rPr>
                <w:i/>
                <w:iCs/>
                <w:sz w:val="18"/>
              </w:rPr>
            </w:pPr>
            <w:r>
              <w:rPr>
                <w:i/>
                <w:iCs/>
                <w:sz w:val="18"/>
              </w:rPr>
              <w:t>christiani</w:t>
            </w:r>
          </w:p>
          <w:p w14:paraId="1C060A7B" w14:textId="77777777" w:rsidR="00F6339D" w:rsidRPr="00461E75" w:rsidRDefault="00F6339D" w:rsidP="007D2780">
            <w:pPr>
              <w:spacing w:line="480" w:lineRule="auto"/>
              <w:jc w:val="center"/>
              <w:rPr>
                <w:sz w:val="18"/>
              </w:rPr>
            </w:pPr>
            <w:r w:rsidRPr="00461E75">
              <w:rPr>
                <w:sz w:val="18"/>
              </w:rPr>
              <w:t>(</w:t>
            </w:r>
            <w:r>
              <w:rPr>
                <w:sz w:val="18"/>
              </w:rPr>
              <w:t>10</w:t>
            </w:r>
            <w:r w:rsidRPr="00461E75">
              <w:rPr>
                <w:sz w:val="18"/>
              </w:rPr>
              <w:t xml:space="preserve"> m, 2 f)</w:t>
            </w:r>
          </w:p>
        </w:tc>
      </w:tr>
      <w:tr w:rsidR="00F6339D" w:rsidRPr="007A4BBA" w14:paraId="1AEBFF15" w14:textId="77777777" w:rsidTr="007D2780">
        <w:trPr>
          <w:trHeight w:val="682"/>
        </w:trPr>
        <w:tc>
          <w:tcPr>
            <w:tcW w:w="2282" w:type="dxa"/>
            <w:tcMar>
              <w:left w:w="58" w:type="dxa"/>
              <w:right w:w="72" w:type="dxa"/>
            </w:tcMar>
          </w:tcPr>
          <w:p w14:paraId="7FDBF295" w14:textId="77777777" w:rsidR="00F6339D" w:rsidRPr="007A4BBA" w:rsidRDefault="00F6339D" w:rsidP="007D2780">
            <w:pPr>
              <w:spacing w:line="480" w:lineRule="auto"/>
              <w:rPr>
                <w:sz w:val="18"/>
              </w:rPr>
            </w:pPr>
            <w:r w:rsidRPr="007A4BBA">
              <w:rPr>
                <w:sz w:val="18"/>
              </w:rPr>
              <w:t>Snout–vent length</w:t>
            </w:r>
            <w:r>
              <w:rPr>
                <w:sz w:val="18"/>
              </w:rPr>
              <w:t xml:space="preserve"> (SVL)</w:t>
            </w:r>
          </w:p>
        </w:tc>
        <w:tc>
          <w:tcPr>
            <w:tcW w:w="1394" w:type="dxa"/>
          </w:tcPr>
          <w:p w14:paraId="33F630D8" w14:textId="77777777" w:rsidR="00F6339D" w:rsidRDefault="00F6339D" w:rsidP="007D2780">
            <w:pPr>
              <w:spacing w:line="480" w:lineRule="auto"/>
              <w:jc w:val="center"/>
              <w:rPr>
                <w:sz w:val="18"/>
              </w:rPr>
            </w:pPr>
            <w:r>
              <w:rPr>
                <w:sz w:val="18"/>
              </w:rPr>
              <w:t>32.7</w:t>
            </w:r>
            <w:r w:rsidRPr="007A4BBA">
              <w:rPr>
                <w:sz w:val="18"/>
              </w:rPr>
              <w:t>–</w:t>
            </w:r>
            <w:r>
              <w:rPr>
                <w:sz w:val="18"/>
              </w:rPr>
              <w:t>37</w:t>
            </w:r>
            <w:r w:rsidRPr="007A4BBA">
              <w:rPr>
                <w:sz w:val="18"/>
              </w:rPr>
              <w:t>.</w:t>
            </w:r>
            <w:r>
              <w:rPr>
                <w:sz w:val="18"/>
              </w:rPr>
              <w:t>8</w:t>
            </w:r>
          </w:p>
          <w:p w14:paraId="06BCABE8" w14:textId="77777777" w:rsidR="00F6339D" w:rsidRPr="007A4BBA" w:rsidRDefault="00F6339D" w:rsidP="007D2780">
            <w:pPr>
              <w:spacing w:line="480" w:lineRule="auto"/>
              <w:jc w:val="center"/>
              <w:rPr>
                <w:sz w:val="18"/>
              </w:rPr>
            </w:pPr>
            <w:r>
              <w:rPr>
                <w:sz w:val="18"/>
              </w:rPr>
              <w:t xml:space="preserve">(35.6 </w:t>
            </w:r>
            <w:r w:rsidRPr="00B53581">
              <w:rPr>
                <w:sz w:val="18"/>
              </w:rPr>
              <w:t>±</w:t>
            </w:r>
            <w:r>
              <w:rPr>
                <w:sz w:val="18"/>
              </w:rPr>
              <w:t xml:space="preserve"> 1.9)</w:t>
            </w:r>
          </w:p>
        </w:tc>
        <w:tc>
          <w:tcPr>
            <w:tcW w:w="1730" w:type="dxa"/>
            <w:tcMar>
              <w:left w:w="43" w:type="dxa"/>
              <w:right w:w="43" w:type="dxa"/>
            </w:tcMar>
          </w:tcPr>
          <w:p w14:paraId="0F1BAA2B" w14:textId="77777777" w:rsidR="00F6339D" w:rsidRDefault="00F6339D" w:rsidP="007D2780">
            <w:pPr>
              <w:spacing w:line="480" w:lineRule="auto"/>
              <w:jc w:val="center"/>
              <w:rPr>
                <w:sz w:val="18"/>
              </w:rPr>
            </w:pPr>
            <w:r>
              <w:rPr>
                <w:sz w:val="18"/>
              </w:rPr>
              <w:t>31.9–39.3</w:t>
            </w:r>
          </w:p>
          <w:p w14:paraId="335BE0A7" w14:textId="77777777" w:rsidR="00F6339D" w:rsidRPr="007A4BBA" w:rsidRDefault="00F6339D" w:rsidP="007D2780">
            <w:pPr>
              <w:spacing w:line="480" w:lineRule="auto"/>
              <w:jc w:val="center"/>
              <w:rPr>
                <w:sz w:val="18"/>
              </w:rPr>
            </w:pPr>
            <w:r>
              <w:rPr>
                <w:sz w:val="18"/>
              </w:rPr>
              <w:t xml:space="preserve">(35.1 </w:t>
            </w:r>
            <w:r w:rsidRPr="00B53581">
              <w:rPr>
                <w:sz w:val="18"/>
              </w:rPr>
              <w:t>±</w:t>
            </w:r>
            <w:r>
              <w:rPr>
                <w:sz w:val="18"/>
              </w:rPr>
              <w:t xml:space="preserve"> 1.9)</w:t>
            </w:r>
          </w:p>
        </w:tc>
        <w:tc>
          <w:tcPr>
            <w:tcW w:w="1394" w:type="dxa"/>
          </w:tcPr>
          <w:p w14:paraId="66C646E0" w14:textId="77777777" w:rsidR="00F6339D" w:rsidRDefault="00F6339D" w:rsidP="007D2780">
            <w:pPr>
              <w:spacing w:line="480" w:lineRule="auto"/>
              <w:jc w:val="center"/>
              <w:rPr>
                <w:sz w:val="18"/>
              </w:rPr>
            </w:pPr>
            <w:r>
              <w:rPr>
                <w:sz w:val="18"/>
              </w:rPr>
              <w:t>28.1–35.0</w:t>
            </w:r>
          </w:p>
          <w:p w14:paraId="5F99E1E7" w14:textId="77777777" w:rsidR="00F6339D" w:rsidRPr="007A4BBA" w:rsidRDefault="00F6339D" w:rsidP="007D2780">
            <w:pPr>
              <w:spacing w:line="480" w:lineRule="auto"/>
              <w:jc w:val="center"/>
              <w:rPr>
                <w:sz w:val="18"/>
              </w:rPr>
            </w:pPr>
            <w:r>
              <w:rPr>
                <w:sz w:val="18"/>
              </w:rPr>
              <w:t xml:space="preserve">(32.4 </w:t>
            </w:r>
            <w:r w:rsidRPr="00B53581">
              <w:rPr>
                <w:sz w:val="18"/>
              </w:rPr>
              <w:t>±</w:t>
            </w:r>
            <w:r>
              <w:rPr>
                <w:sz w:val="18"/>
              </w:rPr>
              <w:t xml:space="preserve"> 1.8)</w:t>
            </w:r>
          </w:p>
        </w:tc>
        <w:tc>
          <w:tcPr>
            <w:tcW w:w="1546" w:type="dxa"/>
          </w:tcPr>
          <w:p w14:paraId="2D7C55A7" w14:textId="77777777" w:rsidR="00F6339D" w:rsidRDefault="00F6339D" w:rsidP="007D2780">
            <w:pPr>
              <w:spacing w:line="480" w:lineRule="auto"/>
              <w:jc w:val="center"/>
              <w:rPr>
                <w:sz w:val="18"/>
              </w:rPr>
            </w:pPr>
            <w:r>
              <w:rPr>
                <w:sz w:val="18"/>
              </w:rPr>
              <w:t>35.9, 37.7</w:t>
            </w:r>
          </w:p>
          <w:p w14:paraId="15EEAF61" w14:textId="77777777" w:rsidR="00F6339D" w:rsidRDefault="00F6339D" w:rsidP="007D2780">
            <w:pPr>
              <w:spacing w:line="480" w:lineRule="auto"/>
              <w:jc w:val="center"/>
              <w:rPr>
                <w:sz w:val="18"/>
              </w:rPr>
            </w:pPr>
          </w:p>
        </w:tc>
        <w:tc>
          <w:tcPr>
            <w:tcW w:w="1546" w:type="dxa"/>
          </w:tcPr>
          <w:p w14:paraId="00CAC933" w14:textId="77777777" w:rsidR="00F6339D" w:rsidRDefault="00F6339D" w:rsidP="007D2780">
            <w:pPr>
              <w:spacing w:line="480" w:lineRule="auto"/>
              <w:jc w:val="center"/>
              <w:rPr>
                <w:sz w:val="18"/>
              </w:rPr>
            </w:pPr>
            <w:r>
              <w:rPr>
                <w:sz w:val="18"/>
              </w:rPr>
              <w:t>34.5–39.2</w:t>
            </w:r>
          </w:p>
          <w:p w14:paraId="7E955C66" w14:textId="77777777" w:rsidR="00F6339D" w:rsidRPr="007A4BBA" w:rsidRDefault="00F6339D" w:rsidP="007D2780">
            <w:pPr>
              <w:spacing w:line="480" w:lineRule="auto"/>
              <w:jc w:val="center"/>
              <w:rPr>
                <w:sz w:val="18"/>
              </w:rPr>
            </w:pPr>
            <w:r>
              <w:rPr>
                <w:sz w:val="18"/>
              </w:rPr>
              <w:t xml:space="preserve">(36.9 </w:t>
            </w:r>
            <w:r w:rsidRPr="00B53581">
              <w:rPr>
                <w:sz w:val="18"/>
              </w:rPr>
              <w:t>±</w:t>
            </w:r>
            <w:r>
              <w:rPr>
                <w:sz w:val="18"/>
              </w:rPr>
              <w:t xml:space="preserve"> 1.7)</w:t>
            </w:r>
          </w:p>
        </w:tc>
        <w:tc>
          <w:tcPr>
            <w:tcW w:w="1726" w:type="dxa"/>
          </w:tcPr>
          <w:p w14:paraId="4306C212" w14:textId="77777777" w:rsidR="00F6339D" w:rsidRDefault="00F6339D" w:rsidP="007D2780">
            <w:pPr>
              <w:spacing w:line="480" w:lineRule="auto"/>
              <w:jc w:val="center"/>
              <w:rPr>
                <w:sz w:val="18"/>
              </w:rPr>
            </w:pPr>
            <w:r>
              <w:rPr>
                <w:sz w:val="18"/>
              </w:rPr>
              <w:t>33.1–39.0</w:t>
            </w:r>
          </w:p>
          <w:p w14:paraId="75500C12" w14:textId="77777777" w:rsidR="00F6339D" w:rsidRPr="007A4BBA" w:rsidRDefault="00F6339D" w:rsidP="007D2780">
            <w:pPr>
              <w:spacing w:line="480" w:lineRule="auto"/>
              <w:jc w:val="center"/>
              <w:rPr>
                <w:sz w:val="18"/>
              </w:rPr>
            </w:pPr>
            <w:r>
              <w:rPr>
                <w:sz w:val="18"/>
              </w:rPr>
              <w:t xml:space="preserve">(36.2 </w:t>
            </w:r>
            <w:r w:rsidRPr="00B53581">
              <w:rPr>
                <w:sz w:val="18"/>
              </w:rPr>
              <w:t>±</w:t>
            </w:r>
            <w:r>
              <w:rPr>
                <w:sz w:val="18"/>
              </w:rPr>
              <w:t xml:space="preserve"> 1.8)</w:t>
            </w:r>
          </w:p>
        </w:tc>
      </w:tr>
      <w:tr w:rsidR="00F6339D" w:rsidRPr="000C16B3" w14:paraId="681D391F" w14:textId="77777777" w:rsidTr="007D2780">
        <w:trPr>
          <w:trHeight w:val="601"/>
        </w:trPr>
        <w:tc>
          <w:tcPr>
            <w:tcW w:w="2282" w:type="dxa"/>
            <w:tcMar>
              <w:left w:w="58" w:type="dxa"/>
              <w:right w:w="72" w:type="dxa"/>
            </w:tcMar>
          </w:tcPr>
          <w:p w14:paraId="6AA59BDF" w14:textId="77777777" w:rsidR="00F6339D" w:rsidRPr="000C16B3" w:rsidRDefault="00F6339D" w:rsidP="007D2780">
            <w:pPr>
              <w:spacing w:line="480" w:lineRule="auto"/>
              <w:rPr>
                <w:sz w:val="18"/>
              </w:rPr>
            </w:pPr>
            <w:r w:rsidRPr="000C16B3">
              <w:rPr>
                <w:sz w:val="18"/>
              </w:rPr>
              <w:t>Axilla–groin distance</w:t>
            </w:r>
            <w:r>
              <w:rPr>
                <w:sz w:val="18"/>
              </w:rPr>
              <w:t>/SVL</w:t>
            </w:r>
          </w:p>
        </w:tc>
        <w:tc>
          <w:tcPr>
            <w:tcW w:w="1394" w:type="dxa"/>
          </w:tcPr>
          <w:p w14:paraId="6E59B2A5" w14:textId="77777777" w:rsidR="00F6339D" w:rsidRPr="000C16B3" w:rsidRDefault="00F6339D" w:rsidP="007D2780">
            <w:pPr>
              <w:spacing w:line="480" w:lineRule="auto"/>
              <w:jc w:val="center"/>
              <w:rPr>
                <w:sz w:val="18"/>
              </w:rPr>
            </w:pPr>
            <w:r>
              <w:rPr>
                <w:sz w:val="18"/>
              </w:rPr>
              <w:t>45.0</w:t>
            </w:r>
            <w:r w:rsidRPr="000C16B3">
              <w:rPr>
                <w:sz w:val="18"/>
              </w:rPr>
              <w:t>–</w:t>
            </w:r>
            <w:r>
              <w:rPr>
                <w:sz w:val="18"/>
              </w:rPr>
              <w:t>53.1%</w:t>
            </w:r>
          </w:p>
          <w:p w14:paraId="02274EB8" w14:textId="77777777" w:rsidR="00F6339D" w:rsidRPr="000C16B3" w:rsidRDefault="00F6339D" w:rsidP="007D2780">
            <w:pPr>
              <w:spacing w:line="480" w:lineRule="auto"/>
              <w:jc w:val="center"/>
              <w:rPr>
                <w:sz w:val="18"/>
              </w:rPr>
            </w:pPr>
            <w:r w:rsidRPr="000C16B3">
              <w:rPr>
                <w:sz w:val="18"/>
              </w:rPr>
              <w:t>(</w:t>
            </w:r>
            <w:r>
              <w:rPr>
                <w:sz w:val="18"/>
              </w:rPr>
              <w:t xml:space="preserve">47.0 </w:t>
            </w:r>
            <w:r w:rsidRPr="000C16B3">
              <w:rPr>
                <w:sz w:val="18"/>
              </w:rPr>
              <w:t xml:space="preserve">± </w:t>
            </w:r>
            <w:r>
              <w:rPr>
                <w:sz w:val="18"/>
              </w:rPr>
              <w:t>3</w:t>
            </w:r>
            <w:r w:rsidRPr="000C16B3">
              <w:rPr>
                <w:sz w:val="18"/>
              </w:rPr>
              <w:t>.</w:t>
            </w:r>
            <w:r>
              <w:rPr>
                <w:sz w:val="18"/>
              </w:rPr>
              <w:t>2%</w:t>
            </w:r>
            <w:r w:rsidRPr="000C16B3">
              <w:rPr>
                <w:sz w:val="18"/>
              </w:rPr>
              <w:t>)</w:t>
            </w:r>
          </w:p>
        </w:tc>
        <w:tc>
          <w:tcPr>
            <w:tcW w:w="1730" w:type="dxa"/>
            <w:tcMar>
              <w:left w:w="43" w:type="dxa"/>
              <w:right w:w="43" w:type="dxa"/>
            </w:tcMar>
          </w:tcPr>
          <w:p w14:paraId="3903962D" w14:textId="77777777" w:rsidR="00F6339D" w:rsidRPr="000C16B3" w:rsidRDefault="00F6339D" w:rsidP="007D2780">
            <w:pPr>
              <w:spacing w:line="480" w:lineRule="auto"/>
              <w:jc w:val="center"/>
              <w:rPr>
                <w:sz w:val="18"/>
              </w:rPr>
            </w:pPr>
            <w:r>
              <w:rPr>
                <w:sz w:val="18"/>
              </w:rPr>
              <w:t>43.5</w:t>
            </w:r>
            <w:r w:rsidRPr="000C16B3">
              <w:rPr>
                <w:sz w:val="18"/>
              </w:rPr>
              <w:t>–</w:t>
            </w:r>
            <w:r>
              <w:rPr>
                <w:sz w:val="18"/>
              </w:rPr>
              <w:t>55.4%</w:t>
            </w:r>
          </w:p>
          <w:p w14:paraId="59A51211" w14:textId="77777777" w:rsidR="00F6339D" w:rsidRPr="000C16B3" w:rsidRDefault="00F6339D" w:rsidP="007D2780">
            <w:pPr>
              <w:spacing w:line="480" w:lineRule="auto"/>
              <w:jc w:val="center"/>
              <w:rPr>
                <w:sz w:val="18"/>
              </w:rPr>
            </w:pPr>
            <w:r w:rsidRPr="000C16B3">
              <w:rPr>
                <w:sz w:val="18"/>
              </w:rPr>
              <w:t>(</w:t>
            </w:r>
            <w:r>
              <w:rPr>
                <w:sz w:val="18"/>
              </w:rPr>
              <w:t>50.9</w:t>
            </w:r>
            <w:r w:rsidRPr="000C16B3">
              <w:rPr>
                <w:sz w:val="18"/>
              </w:rPr>
              <w:t xml:space="preserve"> ± </w:t>
            </w:r>
            <w:r>
              <w:rPr>
                <w:sz w:val="18"/>
              </w:rPr>
              <w:t>2</w:t>
            </w:r>
            <w:r w:rsidRPr="000C16B3">
              <w:rPr>
                <w:sz w:val="18"/>
              </w:rPr>
              <w:t>.</w:t>
            </w:r>
            <w:r>
              <w:rPr>
                <w:sz w:val="18"/>
              </w:rPr>
              <w:t>7%</w:t>
            </w:r>
            <w:r w:rsidRPr="000C16B3">
              <w:rPr>
                <w:sz w:val="18"/>
              </w:rPr>
              <w:t>)</w:t>
            </w:r>
          </w:p>
        </w:tc>
        <w:tc>
          <w:tcPr>
            <w:tcW w:w="1394" w:type="dxa"/>
          </w:tcPr>
          <w:p w14:paraId="2CB2FF3A" w14:textId="77777777" w:rsidR="00F6339D" w:rsidRPr="000C16B3" w:rsidRDefault="00F6339D" w:rsidP="007D2780">
            <w:pPr>
              <w:spacing w:line="480" w:lineRule="auto"/>
              <w:jc w:val="center"/>
              <w:rPr>
                <w:sz w:val="18"/>
              </w:rPr>
            </w:pPr>
            <w:r>
              <w:rPr>
                <w:sz w:val="18"/>
              </w:rPr>
              <w:t>39.8</w:t>
            </w:r>
            <w:r w:rsidRPr="000C16B3">
              <w:rPr>
                <w:sz w:val="18"/>
              </w:rPr>
              <w:t>–</w:t>
            </w:r>
            <w:r>
              <w:rPr>
                <w:sz w:val="18"/>
              </w:rPr>
              <w:t>53.2%</w:t>
            </w:r>
          </w:p>
          <w:p w14:paraId="69F620DF" w14:textId="77777777" w:rsidR="00F6339D" w:rsidRPr="000C16B3" w:rsidRDefault="00F6339D" w:rsidP="007D2780">
            <w:pPr>
              <w:spacing w:line="480" w:lineRule="auto"/>
              <w:jc w:val="center"/>
              <w:rPr>
                <w:sz w:val="18"/>
              </w:rPr>
            </w:pPr>
            <w:r w:rsidRPr="000C16B3">
              <w:rPr>
                <w:sz w:val="18"/>
              </w:rPr>
              <w:t>(</w:t>
            </w:r>
            <w:r>
              <w:rPr>
                <w:sz w:val="18"/>
              </w:rPr>
              <w:t xml:space="preserve">48.0 </w:t>
            </w:r>
            <w:r w:rsidRPr="000C16B3">
              <w:rPr>
                <w:sz w:val="18"/>
              </w:rPr>
              <w:t xml:space="preserve">± </w:t>
            </w:r>
            <w:r>
              <w:rPr>
                <w:sz w:val="18"/>
              </w:rPr>
              <w:t>3</w:t>
            </w:r>
            <w:r w:rsidRPr="000C16B3">
              <w:rPr>
                <w:sz w:val="18"/>
              </w:rPr>
              <w:t>.</w:t>
            </w:r>
            <w:r>
              <w:rPr>
                <w:sz w:val="18"/>
              </w:rPr>
              <w:t>7%</w:t>
            </w:r>
            <w:r w:rsidRPr="000C16B3">
              <w:rPr>
                <w:sz w:val="18"/>
              </w:rPr>
              <w:t>)</w:t>
            </w:r>
          </w:p>
        </w:tc>
        <w:tc>
          <w:tcPr>
            <w:tcW w:w="1546" w:type="dxa"/>
          </w:tcPr>
          <w:p w14:paraId="2257EBD2" w14:textId="77777777" w:rsidR="00F6339D" w:rsidRPr="000C16B3" w:rsidRDefault="00F6339D" w:rsidP="007D2780">
            <w:pPr>
              <w:spacing w:line="480" w:lineRule="auto"/>
              <w:jc w:val="center"/>
              <w:rPr>
                <w:sz w:val="18"/>
              </w:rPr>
            </w:pPr>
            <w:r>
              <w:rPr>
                <w:sz w:val="18"/>
              </w:rPr>
              <w:t>49.3, 49.6%</w:t>
            </w:r>
          </w:p>
        </w:tc>
        <w:tc>
          <w:tcPr>
            <w:tcW w:w="1546" w:type="dxa"/>
          </w:tcPr>
          <w:p w14:paraId="21FEA4D8" w14:textId="77777777" w:rsidR="00F6339D" w:rsidRPr="000C16B3" w:rsidRDefault="00F6339D" w:rsidP="007D2780">
            <w:pPr>
              <w:spacing w:line="480" w:lineRule="auto"/>
              <w:jc w:val="center"/>
              <w:rPr>
                <w:sz w:val="18"/>
              </w:rPr>
            </w:pPr>
            <w:r>
              <w:rPr>
                <w:sz w:val="18"/>
              </w:rPr>
              <w:t>47.3</w:t>
            </w:r>
            <w:r w:rsidRPr="000C16B3">
              <w:rPr>
                <w:sz w:val="18"/>
              </w:rPr>
              <w:t>–</w:t>
            </w:r>
            <w:r>
              <w:rPr>
                <w:sz w:val="18"/>
              </w:rPr>
              <w:t>54.2%</w:t>
            </w:r>
          </w:p>
          <w:p w14:paraId="4106A5DF" w14:textId="77777777" w:rsidR="00F6339D" w:rsidRPr="000C16B3" w:rsidRDefault="00F6339D" w:rsidP="007D2780">
            <w:pPr>
              <w:spacing w:line="480" w:lineRule="auto"/>
              <w:jc w:val="center"/>
              <w:rPr>
                <w:sz w:val="18"/>
              </w:rPr>
            </w:pPr>
            <w:r w:rsidRPr="000C16B3">
              <w:rPr>
                <w:sz w:val="18"/>
              </w:rPr>
              <w:t>(</w:t>
            </w:r>
            <w:r>
              <w:rPr>
                <w:sz w:val="18"/>
              </w:rPr>
              <w:t>50.4</w:t>
            </w:r>
            <w:r w:rsidRPr="000C16B3">
              <w:rPr>
                <w:sz w:val="18"/>
              </w:rPr>
              <w:t xml:space="preserve"> ± </w:t>
            </w:r>
            <w:r>
              <w:rPr>
                <w:sz w:val="18"/>
              </w:rPr>
              <w:t>3.3%</w:t>
            </w:r>
            <w:r w:rsidRPr="000C16B3">
              <w:rPr>
                <w:sz w:val="18"/>
              </w:rPr>
              <w:t>)</w:t>
            </w:r>
          </w:p>
        </w:tc>
        <w:tc>
          <w:tcPr>
            <w:tcW w:w="1726" w:type="dxa"/>
          </w:tcPr>
          <w:p w14:paraId="371626B7" w14:textId="77777777" w:rsidR="00F6339D" w:rsidRPr="000C16B3" w:rsidRDefault="00F6339D" w:rsidP="007D2780">
            <w:pPr>
              <w:spacing w:line="480" w:lineRule="auto"/>
              <w:jc w:val="center"/>
              <w:rPr>
                <w:sz w:val="18"/>
              </w:rPr>
            </w:pPr>
            <w:r>
              <w:rPr>
                <w:sz w:val="18"/>
              </w:rPr>
              <w:t>41.6</w:t>
            </w:r>
            <w:r w:rsidRPr="000C16B3">
              <w:rPr>
                <w:sz w:val="18"/>
              </w:rPr>
              <w:t>–</w:t>
            </w:r>
            <w:r>
              <w:rPr>
                <w:sz w:val="18"/>
              </w:rPr>
              <w:t>52.5%</w:t>
            </w:r>
          </w:p>
          <w:p w14:paraId="67D817FD" w14:textId="77777777" w:rsidR="00F6339D" w:rsidRPr="000C16B3" w:rsidRDefault="00F6339D" w:rsidP="007D2780">
            <w:pPr>
              <w:spacing w:line="480" w:lineRule="auto"/>
              <w:jc w:val="center"/>
              <w:rPr>
                <w:sz w:val="18"/>
              </w:rPr>
            </w:pPr>
            <w:r w:rsidRPr="000C16B3">
              <w:rPr>
                <w:sz w:val="18"/>
              </w:rPr>
              <w:t>(</w:t>
            </w:r>
            <w:r>
              <w:rPr>
                <w:sz w:val="18"/>
              </w:rPr>
              <w:t>48.4</w:t>
            </w:r>
            <w:r w:rsidRPr="000C16B3">
              <w:rPr>
                <w:sz w:val="18"/>
              </w:rPr>
              <w:t xml:space="preserve"> ± </w:t>
            </w:r>
            <w:r>
              <w:rPr>
                <w:sz w:val="18"/>
              </w:rPr>
              <w:t>2</w:t>
            </w:r>
            <w:r w:rsidRPr="000C16B3">
              <w:rPr>
                <w:sz w:val="18"/>
              </w:rPr>
              <w:t>.</w:t>
            </w:r>
            <w:r>
              <w:rPr>
                <w:sz w:val="18"/>
              </w:rPr>
              <w:t>7%</w:t>
            </w:r>
            <w:r w:rsidRPr="000C16B3">
              <w:rPr>
                <w:sz w:val="18"/>
              </w:rPr>
              <w:t>)</w:t>
            </w:r>
          </w:p>
        </w:tc>
      </w:tr>
      <w:tr w:rsidR="00F6339D" w:rsidRPr="000C16B3" w14:paraId="4183F194" w14:textId="77777777" w:rsidTr="007D2780">
        <w:trPr>
          <w:trHeight w:val="619"/>
        </w:trPr>
        <w:tc>
          <w:tcPr>
            <w:tcW w:w="2282" w:type="dxa"/>
            <w:tcMar>
              <w:left w:w="58" w:type="dxa"/>
              <w:right w:w="72" w:type="dxa"/>
            </w:tcMar>
          </w:tcPr>
          <w:p w14:paraId="44254FE6" w14:textId="77777777" w:rsidR="00F6339D" w:rsidRPr="000C16B3" w:rsidRDefault="00F6339D" w:rsidP="007D2780">
            <w:pPr>
              <w:spacing w:line="480" w:lineRule="auto"/>
              <w:rPr>
                <w:sz w:val="18"/>
              </w:rPr>
            </w:pPr>
            <w:r w:rsidRPr="000C16B3">
              <w:rPr>
                <w:sz w:val="18"/>
              </w:rPr>
              <w:t>Snout</w:t>
            </w:r>
            <w:r>
              <w:rPr>
                <w:sz w:val="18"/>
              </w:rPr>
              <w:t>–</w:t>
            </w:r>
            <w:r w:rsidRPr="000C16B3">
              <w:rPr>
                <w:sz w:val="18"/>
              </w:rPr>
              <w:t>forearm length</w:t>
            </w:r>
            <w:r>
              <w:rPr>
                <w:sz w:val="18"/>
              </w:rPr>
              <w:t>/SVL</w:t>
            </w:r>
          </w:p>
        </w:tc>
        <w:tc>
          <w:tcPr>
            <w:tcW w:w="1394" w:type="dxa"/>
          </w:tcPr>
          <w:p w14:paraId="66770B23" w14:textId="77777777" w:rsidR="00F6339D" w:rsidRPr="000C16B3" w:rsidRDefault="00F6339D" w:rsidP="007D2780">
            <w:pPr>
              <w:spacing w:line="480" w:lineRule="auto"/>
              <w:jc w:val="center"/>
              <w:rPr>
                <w:sz w:val="18"/>
              </w:rPr>
            </w:pPr>
            <w:r>
              <w:rPr>
                <w:sz w:val="18"/>
              </w:rPr>
              <w:t>37.9</w:t>
            </w:r>
            <w:r w:rsidRPr="000C16B3">
              <w:rPr>
                <w:sz w:val="18"/>
              </w:rPr>
              <w:t>–</w:t>
            </w:r>
            <w:r>
              <w:rPr>
                <w:sz w:val="18"/>
              </w:rPr>
              <w:t>41.5%</w:t>
            </w:r>
          </w:p>
          <w:p w14:paraId="7FF31CB8" w14:textId="77777777" w:rsidR="00F6339D" w:rsidRPr="000C16B3" w:rsidRDefault="00F6339D" w:rsidP="007D2780">
            <w:pPr>
              <w:spacing w:line="480" w:lineRule="auto"/>
              <w:jc w:val="center"/>
              <w:rPr>
                <w:sz w:val="18"/>
              </w:rPr>
            </w:pPr>
            <w:r w:rsidRPr="000C16B3">
              <w:rPr>
                <w:sz w:val="18"/>
              </w:rPr>
              <w:t>(</w:t>
            </w:r>
            <w:r>
              <w:rPr>
                <w:sz w:val="18"/>
              </w:rPr>
              <w:t>39.8</w:t>
            </w:r>
            <w:r w:rsidRPr="000C16B3">
              <w:rPr>
                <w:sz w:val="18"/>
              </w:rPr>
              <w:t xml:space="preserve"> ± </w:t>
            </w:r>
            <w:r>
              <w:rPr>
                <w:sz w:val="18"/>
              </w:rPr>
              <w:t>1.3%</w:t>
            </w:r>
            <w:r w:rsidRPr="000C16B3">
              <w:rPr>
                <w:sz w:val="18"/>
              </w:rPr>
              <w:t xml:space="preserve">) </w:t>
            </w:r>
          </w:p>
        </w:tc>
        <w:tc>
          <w:tcPr>
            <w:tcW w:w="1730" w:type="dxa"/>
            <w:tcMar>
              <w:left w:w="43" w:type="dxa"/>
              <w:right w:w="43" w:type="dxa"/>
            </w:tcMar>
          </w:tcPr>
          <w:p w14:paraId="2CA1CB56" w14:textId="77777777" w:rsidR="00F6339D" w:rsidRPr="000C16B3" w:rsidRDefault="00F6339D" w:rsidP="007D2780">
            <w:pPr>
              <w:spacing w:line="480" w:lineRule="auto"/>
              <w:jc w:val="center"/>
              <w:rPr>
                <w:sz w:val="18"/>
              </w:rPr>
            </w:pPr>
            <w:r>
              <w:rPr>
                <w:sz w:val="18"/>
              </w:rPr>
              <w:t>31.0–39.8%</w:t>
            </w:r>
          </w:p>
          <w:p w14:paraId="56026BE5" w14:textId="77777777" w:rsidR="00F6339D" w:rsidRPr="000C16B3" w:rsidRDefault="00F6339D" w:rsidP="007D2780">
            <w:pPr>
              <w:spacing w:line="480" w:lineRule="auto"/>
              <w:jc w:val="center"/>
              <w:rPr>
                <w:sz w:val="18"/>
              </w:rPr>
            </w:pPr>
            <w:r w:rsidRPr="000C16B3">
              <w:rPr>
                <w:sz w:val="18"/>
              </w:rPr>
              <w:t>(</w:t>
            </w:r>
            <w:r>
              <w:rPr>
                <w:sz w:val="18"/>
              </w:rPr>
              <w:t>34.0</w:t>
            </w:r>
            <w:r w:rsidRPr="000C16B3">
              <w:rPr>
                <w:sz w:val="18"/>
              </w:rPr>
              <w:t xml:space="preserve"> ± </w:t>
            </w:r>
            <w:r>
              <w:rPr>
                <w:sz w:val="18"/>
              </w:rPr>
              <w:t>2.0%</w:t>
            </w:r>
            <w:r w:rsidRPr="000C16B3">
              <w:rPr>
                <w:sz w:val="18"/>
              </w:rPr>
              <w:t>)</w:t>
            </w:r>
          </w:p>
        </w:tc>
        <w:tc>
          <w:tcPr>
            <w:tcW w:w="1394" w:type="dxa"/>
          </w:tcPr>
          <w:p w14:paraId="35F21F3C" w14:textId="77777777" w:rsidR="00F6339D" w:rsidRDefault="00F6339D" w:rsidP="007D2780">
            <w:pPr>
              <w:spacing w:line="480" w:lineRule="auto"/>
              <w:jc w:val="center"/>
              <w:rPr>
                <w:sz w:val="18"/>
              </w:rPr>
            </w:pPr>
            <w:r>
              <w:rPr>
                <w:sz w:val="18"/>
              </w:rPr>
              <w:t>34.6–40.1%</w:t>
            </w:r>
          </w:p>
          <w:p w14:paraId="24A521FB" w14:textId="77777777" w:rsidR="00F6339D" w:rsidRPr="000C16B3" w:rsidRDefault="00F6339D" w:rsidP="007D2780">
            <w:pPr>
              <w:spacing w:line="480" w:lineRule="auto"/>
              <w:jc w:val="center"/>
              <w:rPr>
                <w:sz w:val="18"/>
              </w:rPr>
            </w:pPr>
            <w:r w:rsidRPr="000C16B3">
              <w:rPr>
                <w:sz w:val="18"/>
              </w:rPr>
              <w:t>(</w:t>
            </w:r>
            <w:r>
              <w:rPr>
                <w:sz w:val="18"/>
              </w:rPr>
              <w:t>37.0</w:t>
            </w:r>
            <w:r w:rsidRPr="000C16B3">
              <w:rPr>
                <w:sz w:val="18"/>
              </w:rPr>
              <w:t xml:space="preserve"> ± </w:t>
            </w:r>
            <w:r>
              <w:rPr>
                <w:sz w:val="18"/>
              </w:rPr>
              <w:t>1.4%</w:t>
            </w:r>
            <w:r w:rsidRPr="000C16B3">
              <w:rPr>
                <w:sz w:val="18"/>
              </w:rPr>
              <w:t>)</w:t>
            </w:r>
          </w:p>
        </w:tc>
        <w:tc>
          <w:tcPr>
            <w:tcW w:w="1546" w:type="dxa"/>
          </w:tcPr>
          <w:p w14:paraId="6E156436" w14:textId="77777777" w:rsidR="00F6339D" w:rsidRPr="000C16B3" w:rsidRDefault="00F6339D" w:rsidP="007D2780">
            <w:pPr>
              <w:spacing w:line="480" w:lineRule="auto"/>
              <w:jc w:val="center"/>
              <w:rPr>
                <w:sz w:val="18"/>
              </w:rPr>
            </w:pPr>
            <w:r>
              <w:rPr>
                <w:sz w:val="18"/>
              </w:rPr>
              <w:t>34.5, 35.4%</w:t>
            </w:r>
          </w:p>
        </w:tc>
        <w:tc>
          <w:tcPr>
            <w:tcW w:w="1546" w:type="dxa"/>
          </w:tcPr>
          <w:p w14:paraId="45B25724" w14:textId="77777777" w:rsidR="00F6339D" w:rsidRDefault="00F6339D" w:rsidP="007D2780">
            <w:pPr>
              <w:spacing w:line="480" w:lineRule="auto"/>
              <w:jc w:val="center"/>
              <w:rPr>
                <w:sz w:val="18"/>
              </w:rPr>
            </w:pPr>
            <w:r>
              <w:rPr>
                <w:sz w:val="18"/>
              </w:rPr>
              <w:t>35.1–39.1%</w:t>
            </w:r>
          </w:p>
          <w:p w14:paraId="65C5CCBA" w14:textId="77777777" w:rsidR="00F6339D" w:rsidRPr="000C16B3" w:rsidRDefault="00F6339D" w:rsidP="007D2780">
            <w:pPr>
              <w:spacing w:line="480" w:lineRule="auto"/>
              <w:jc w:val="center"/>
              <w:rPr>
                <w:sz w:val="18"/>
              </w:rPr>
            </w:pPr>
            <w:r w:rsidRPr="000C16B3">
              <w:rPr>
                <w:sz w:val="18"/>
              </w:rPr>
              <w:t>(</w:t>
            </w:r>
            <w:r>
              <w:rPr>
                <w:sz w:val="18"/>
              </w:rPr>
              <w:t>36.6</w:t>
            </w:r>
            <w:r w:rsidRPr="000C16B3">
              <w:rPr>
                <w:sz w:val="18"/>
              </w:rPr>
              <w:t xml:space="preserve"> ± 1.</w:t>
            </w:r>
            <w:r>
              <w:rPr>
                <w:sz w:val="18"/>
              </w:rPr>
              <w:t>6%</w:t>
            </w:r>
            <w:r w:rsidRPr="000C16B3">
              <w:rPr>
                <w:sz w:val="18"/>
              </w:rPr>
              <w:t>)</w:t>
            </w:r>
          </w:p>
        </w:tc>
        <w:tc>
          <w:tcPr>
            <w:tcW w:w="1726" w:type="dxa"/>
          </w:tcPr>
          <w:p w14:paraId="704BF4CD" w14:textId="77777777" w:rsidR="00F6339D" w:rsidRDefault="00F6339D" w:rsidP="007D2780">
            <w:pPr>
              <w:spacing w:line="480" w:lineRule="auto"/>
              <w:jc w:val="center"/>
              <w:rPr>
                <w:sz w:val="18"/>
              </w:rPr>
            </w:pPr>
            <w:r>
              <w:rPr>
                <w:sz w:val="18"/>
              </w:rPr>
              <w:t>34.9–41.4%</w:t>
            </w:r>
          </w:p>
          <w:p w14:paraId="2CFB58A1" w14:textId="77777777" w:rsidR="00F6339D" w:rsidRPr="000C16B3" w:rsidRDefault="00F6339D" w:rsidP="007D2780">
            <w:pPr>
              <w:spacing w:line="480" w:lineRule="auto"/>
              <w:jc w:val="center"/>
              <w:rPr>
                <w:sz w:val="18"/>
              </w:rPr>
            </w:pPr>
            <w:r w:rsidRPr="000C16B3">
              <w:rPr>
                <w:sz w:val="18"/>
              </w:rPr>
              <w:t>(</w:t>
            </w:r>
            <w:r>
              <w:rPr>
                <w:sz w:val="18"/>
              </w:rPr>
              <w:t xml:space="preserve">37.9 </w:t>
            </w:r>
            <w:r w:rsidRPr="000C16B3">
              <w:rPr>
                <w:sz w:val="18"/>
              </w:rPr>
              <w:t xml:space="preserve">± </w:t>
            </w:r>
            <w:r>
              <w:rPr>
                <w:sz w:val="18"/>
              </w:rPr>
              <w:t>1.9%</w:t>
            </w:r>
            <w:r w:rsidRPr="000C16B3">
              <w:rPr>
                <w:sz w:val="18"/>
              </w:rPr>
              <w:t>)</w:t>
            </w:r>
          </w:p>
        </w:tc>
      </w:tr>
      <w:tr w:rsidR="00F6339D" w:rsidRPr="000C16B3" w14:paraId="5A194706" w14:textId="77777777" w:rsidTr="007D2780">
        <w:tc>
          <w:tcPr>
            <w:tcW w:w="2282" w:type="dxa"/>
            <w:tcMar>
              <w:left w:w="58" w:type="dxa"/>
              <w:right w:w="72" w:type="dxa"/>
            </w:tcMar>
          </w:tcPr>
          <w:p w14:paraId="7DD7937A" w14:textId="77777777" w:rsidR="00F6339D" w:rsidRPr="000C16B3" w:rsidRDefault="00F6339D" w:rsidP="007D2780">
            <w:pPr>
              <w:spacing w:line="480" w:lineRule="auto"/>
              <w:rPr>
                <w:sz w:val="18"/>
              </w:rPr>
            </w:pPr>
            <w:r w:rsidRPr="000C16B3">
              <w:rPr>
                <w:sz w:val="18"/>
              </w:rPr>
              <w:t>Total arm length</w:t>
            </w:r>
            <w:r>
              <w:rPr>
                <w:sz w:val="18"/>
              </w:rPr>
              <w:t>/SVL</w:t>
            </w:r>
          </w:p>
        </w:tc>
        <w:tc>
          <w:tcPr>
            <w:tcW w:w="1394" w:type="dxa"/>
          </w:tcPr>
          <w:p w14:paraId="5241B1EB" w14:textId="77777777" w:rsidR="00F6339D" w:rsidRDefault="00F6339D" w:rsidP="007D2780">
            <w:pPr>
              <w:spacing w:line="480" w:lineRule="auto"/>
              <w:jc w:val="center"/>
              <w:rPr>
                <w:sz w:val="18"/>
              </w:rPr>
            </w:pPr>
            <w:r>
              <w:rPr>
                <w:sz w:val="18"/>
              </w:rPr>
              <w:t>22.3–25.7%</w:t>
            </w:r>
          </w:p>
          <w:p w14:paraId="3D53754A" w14:textId="77777777" w:rsidR="00F6339D" w:rsidRPr="000C16B3" w:rsidRDefault="00F6339D" w:rsidP="007D2780">
            <w:pPr>
              <w:spacing w:line="480" w:lineRule="auto"/>
              <w:jc w:val="center"/>
              <w:rPr>
                <w:sz w:val="18"/>
              </w:rPr>
            </w:pPr>
            <w:r w:rsidRPr="000C16B3">
              <w:rPr>
                <w:sz w:val="18"/>
              </w:rPr>
              <w:t>(</w:t>
            </w:r>
            <w:r>
              <w:rPr>
                <w:sz w:val="18"/>
              </w:rPr>
              <w:t>24.3</w:t>
            </w:r>
            <w:r w:rsidRPr="000C16B3">
              <w:rPr>
                <w:sz w:val="18"/>
              </w:rPr>
              <w:t xml:space="preserve"> ± </w:t>
            </w:r>
            <w:r>
              <w:rPr>
                <w:sz w:val="18"/>
              </w:rPr>
              <w:t>1</w:t>
            </w:r>
            <w:r w:rsidRPr="000C16B3">
              <w:rPr>
                <w:sz w:val="18"/>
              </w:rPr>
              <w:t>.</w:t>
            </w:r>
            <w:r>
              <w:rPr>
                <w:sz w:val="18"/>
              </w:rPr>
              <w:t>2%</w:t>
            </w:r>
            <w:r w:rsidRPr="000C16B3">
              <w:rPr>
                <w:sz w:val="18"/>
              </w:rPr>
              <w:t xml:space="preserve">) </w:t>
            </w:r>
          </w:p>
        </w:tc>
        <w:tc>
          <w:tcPr>
            <w:tcW w:w="1730" w:type="dxa"/>
            <w:tcMar>
              <w:left w:w="43" w:type="dxa"/>
              <w:right w:w="43" w:type="dxa"/>
            </w:tcMar>
          </w:tcPr>
          <w:p w14:paraId="45C76775" w14:textId="77777777" w:rsidR="00F6339D" w:rsidRDefault="00F6339D" w:rsidP="007D2780">
            <w:pPr>
              <w:spacing w:line="480" w:lineRule="auto"/>
              <w:jc w:val="center"/>
              <w:rPr>
                <w:sz w:val="18"/>
              </w:rPr>
            </w:pPr>
            <w:r>
              <w:rPr>
                <w:sz w:val="18"/>
              </w:rPr>
              <w:t>18.7–23.3%</w:t>
            </w:r>
          </w:p>
          <w:p w14:paraId="0DD8C99A" w14:textId="77777777" w:rsidR="00F6339D" w:rsidRPr="000C16B3" w:rsidRDefault="00F6339D" w:rsidP="007D2780">
            <w:pPr>
              <w:spacing w:line="480" w:lineRule="auto"/>
              <w:jc w:val="center"/>
              <w:rPr>
                <w:sz w:val="18"/>
              </w:rPr>
            </w:pPr>
            <w:r w:rsidRPr="000C16B3">
              <w:rPr>
                <w:sz w:val="18"/>
              </w:rPr>
              <w:t>(</w:t>
            </w:r>
            <w:r>
              <w:rPr>
                <w:sz w:val="18"/>
              </w:rPr>
              <w:t>20.7</w:t>
            </w:r>
            <w:r w:rsidRPr="000C16B3">
              <w:rPr>
                <w:sz w:val="18"/>
              </w:rPr>
              <w:t xml:space="preserve"> ± </w:t>
            </w:r>
            <w:r>
              <w:rPr>
                <w:sz w:val="18"/>
              </w:rPr>
              <w:t>1.2%</w:t>
            </w:r>
            <w:r w:rsidRPr="000C16B3">
              <w:rPr>
                <w:sz w:val="18"/>
              </w:rPr>
              <w:t>)</w:t>
            </w:r>
          </w:p>
        </w:tc>
        <w:tc>
          <w:tcPr>
            <w:tcW w:w="1394" w:type="dxa"/>
          </w:tcPr>
          <w:p w14:paraId="50BAC11B" w14:textId="77777777" w:rsidR="00F6339D" w:rsidRPr="000C16B3" w:rsidRDefault="00F6339D" w:rsidP="007D2780">
            <w:pPr>
              <w:spacing w:line="480" w:lineRule="auto"/>
              <w:jc w:val="center"/>
              <w:rPr>
                <w:sz w:val="18"/>
              </w:rPr>
            </w:pPr>
            <w:r>
              <w:rPr>
                <w:sz w:val="18"/>
              </w:rPr>
              <w:t>18.3–24.4%</w:t>
            </w:r>
          </w:p>
          <w:p w14:paraId="278F1070" w14:textId="77777777" w:rsidR="00F6339D" w:rsidRPr="000C16B3" w:rsidRDefault="00F6339D" w:rsidP="007D2780">
            <w:pPr>
              <w:spacing w:line="480" w:lineRule="auto"/>
              <w:jc w:val="center"/>
              <w:rPr>
                <w:sz w:val="18"/>
              </w:rPr>
            </w:pPr>
            <w:r w:rsidRPr="000C16B3">
              <w:rPr>
                <w:sz w:val="18"/>
              </w:rPr>
              <w:t>(</w:t>
            </w:r>
            <w:r>
              <w:rPr>
                <w:sz w:val="18"/>
              </w:rPr>
              <w:t>20.9</w:t>
            </w:r>
            <w:r w:rsidRPr="000C16B3">
              <w:rPr>
                <w:sz w:val="18"/>
              </w:rPr>
              <w:t xml:space="preserve"> ± </w:t>
            </w:r>
            <w:r>
              <w:rPr>
                <w:sz w:val="18"/>
              </w:rPr>
              <w:t>1.7%</w:t>
            </w:r>
            <w:r w:rsidRPr="000C16B3">
              <w:rPr>
                <w:sz w:val="18"/>
              </w:rPr>
              <w:t>)</w:t>
            </w:r>
          </w:p>
        </w:tc>
        <w:tc>
          <w:tcPr>
            <w:tcW w:w="1546" w:type="dxa"/>
          </w:tcPr>
          <w:p w14:paraId="3676542E" w14:textId="77777777" w:rsidR="00F6339D" w:rsidRPr="000C16B3" w:rsidRDefault="00F6339D" w:rsidP="007D2780">
            <w:pPr>
              <w:spacing w:line="480" w:lineRule="auto"/>
              <w:jc w:val="center"/>
              <w:rPr>
                <w:sz w:val="18"/>
              </w:rPr>
            </w:pPr>
            <w:r>
              <w:rPr>
                <w:sz w:val="18"/>
              </w:rPr>
              <w:t>21.2%</w:t>
            </w:r>
          </w:p>
        </w:tc>
        <w:tc>
          <w:tcPr>
            <w:tcW w:w="1546" w:type="dxa"/>
          </w:tcPr>
          <w:p w14:paraId="74884B17" w14:textId="77777777" w:rsidR="00F6339D" w:rsidRPr="000C16B3" w:rsidRDefault="00F6339D" w:rsidP="007D2780">
            <w:pPr>
              <w:spacing w:line="480" w:lineRule="auto"/>
              <w:jc w:val="center"/>
              <w:rPr>
                <w:sz w:val="18"/>
              </w:rPr>
            </w:pPr>
            <w:r>
              <w:rPr>
                <w:sz w:val="18"/>
              </w:rPr>
              <w:t>18.1–29.6%</w:t>
            </w:r>
          </w:p>
          <w:p w14:paraId="2BB59E27" w14:textId="77777777" w:rsidR="00F6339D" w:rsidRPr="000C16B3" w:rsidRDefault="00F6339D" w:rsidP="007D2780">
            <w:pPr>
              <w:spacing w:line="480" w:lineRule="auto"/>
              <w:jc w:val="center"/>
              <w:rPr>
                <w:sz w:val="18"/>
              </w:rPr>
            </w:pPr>
            <w:r w:rsidRPr="000C16B3">
              <w:rPr>
                <w:sz w:val="18"/>
              </w:rPr>
              <w:t>(</w:t>
            </w:r>
            <w:r>
              <w:rPr>
                <w:sz w:val="18"/>
              </w:rPr>
              <w:t>21.2</w:t>
            </w:r>
            <w:r w:rsidRPr="000C16B3">
              <w:rPr>
                <w:sz w:val="18"/>
              </w:rPr>
              <w:t xml:space="preserve"> ± </w:t>
            </w:r>
            <w:r>
              <w:rPr>
                <w:sz w:val="18"/>
              </w:rPr>
              <w:t>4.7%</w:t>
            </w:r>
            <w:r w:rsidRPr="000C16B3">
              <w:rPr>
                <w:sz w:val="18"/>
              </w:rPr>
              <w:t>)</w:t>
            </w:r>
          </w:p>
        </w:tc>
        <w:tc>
          <w:tcPr>
            <w:tcW w:w="1726" w:type="dxa"/>
          </w:tcPr>
          <w:p w14:paraId="71810E1D" w14:textId="77777777" w:rsidR="00F6339D" w:rsidRPr="000C16B3" w:rsidRDefault="00F6339D" w:rsidP="007D2780">
            <w:pPr>
              <w:spacing w:line="480" w:lineRule="auto"/>
              <w:jc w:val="center"/>
              <w:rPr>
                <w:sz w:val="18"/>
              </w:rPr>
            </w:pPr>
            <w:r>
              <w:rPr>
                <w:sz w:val="18"/>
              </w:rPr>
              <w:t>20.9–28.1%</w:t>
            </w:r>
          </w:p>
          <w:p w14:paraId="7F076777" w14:textId="77777777" w:rsidR="00F6339D" w:rsidRPr="000C16B3" w:rsidRDefault="00F6339D" w:rsidP="007D2780">
            <w:pPr>
              <w:spacing w:line="480" w:lineRule="auto"/>
              <w:jc w:val="center"/>
              <w:rPr>
                <w:sz w:val="18"/>
              </w:rPr>
            </w:pPr>
            <w:r w:rsidRPr="000C16B3">
              <w:rPr>
                <w:sz w:val="18"/>
              </w:rPr>
              <w:t>(</w:t>
            </w:r>
            <w:r>
              <w:rPr>
                <w:sz w:val="18"/>
              </w:rPr>
              <w:t>24.4</w:t>
            </w:r>
            <w:r w:rsidRPr="000C16B3">
              <w:rPr>
                <w:sz w:val="18"/>
              </w:rPr>
              <w:t xml:space="preserve"> ± </w:t>
            </w:r>
            <w:r>
              <w:rPr>
                <w:sz w:val="18"/>
              </w:rPr>
              <w:t>1.9%</w:t>
            </w:r>
            <w:r w:rsidRPr="000C16B3">
              <w:rPr>
                <w:sz w:val="18"/>
              </w:rPr>
              <w:t>)</w:t>
            </w:r>
          </w:p>
        </w:tc>
      </w:tr>
      <w:tr w:rsidR="00F6339D" w:rsidRPr="000C16B3" w14:paraId="00B743D6" w14:textId="77777777" w:rsidTr="007D2780">
        <w:tc>
          <w:tcPr>
            <w:tcW w:w="2282" w:type="dxa"/>
            <w:tcMar>
              <w:left w:w="58" w:type="dxa"/>
              <w:right w:w="72" w:type="dxa"/>
            </w:tcMar>
          </w:tcPr>
          <w:p w14:paraId="16C6A8B1" w14:textId="77777777" w:rsidR="00F6339D" w:rsidRPr="000C16B3" w:rsidRDefault="00F6339D" w:rsidP="007D2780">
            <w:pPr>
              <w:spacing w:line="480" w:lineRule="auto"/>
              <w:rPr>
                <w:sz w:val="18"/>
              </w:rPr>
            </w:pPr>
            <w:r w:rsidRPr="000C16B3">
              <w:rPr>
                <w:sz w:val="18"/>
              </w:rPr>
              <w:t>Total leg length</w:t>
            </w:r>
            <w:r>
              <w:rPr>
                <w:sz w:val="18"/>
              </w:rPr>
              <w:t>/SVL</w:t>
            </w:r>
          </w:p>
        </w:tc>
        <w:tc>
          <w:tcPr>
            <w:tcW w:w="1394" w:type="dxa"/>
          </w:tcPr>
          <w:p w14:paraId="5E425D46" w14:textId="77777777" w:rsidR="00F6339D" w:rsidRDefault="00F6339D" w:rsidP="007D2780">
            <w:pPr>
              <w:spacing w:line="480" w:lineRule="auto"/>
              <w:jc w:val="center"/>
              <w:rPr>
                <w:sz w:val="18"/>
              </w:rPr>
            </w:pPr>
            <w:r>
              <w:rPr>
                <w:sz w:val="18"/>
              </w:rPr>
              <w:t>28.7–32.4%</w:t>
            </w:r>
          </w:p>
          <w:p w14:paraId="33013181" w14:textId="77777777" w:rsidR="00F6339D" w:rsidRPr="000C16B3" w:rsidRDefault="00F6339D" w:rsidP="007D2780">
            <w:pPr>
              <w:spacing w:line="480" w:lineRule="auto"/>
              <w:jc w:val="center"/>
              <w:rPr>
                <w:sz w:val="18"/>
              </w:rPr>
            </w:pPr>
            <w:r w:rsidRPr="000C16B3">
              <w:rPr>
                <w:sz w:val="18"/>
              </w:rPr>
              <w:t>(</w:t>
            </w:r>
            <w:r>
              <w:rPr>
                <w:sz w:val="18"/>
              </w:rPr>
              <w:t>30.5</w:t>
            </w:r>
            <w:r w:rsidRPr="000C16B3">
              <w:rPr>
                <w:sz w:val="18"/>
              </w:rPr>
              <w:t xml:space="preserve"> ± </w:t>
            </w:r>
            <w:r>
              <w:rPr>
                <w:sz w:val="18"/>
              </w:rPr>
              <w:t>1.1%</w:t>
            </w:r>
            <w:r w:rsidRPr="000C16B3">
              <w:rPr>
                <w:sz w:val="18"/>
              </w:rPr>
              <w:t>)</w:t>
            </w:r>
          </w:p>
        </w:tc>
        <w:tc>
          <w:tcPr>
            <w:tcW w:w="1730" w:type="dxa"/>
            <w:tcMar>
              <w:left w:w="43" w:type="dxa"/>
              <w:right w:w="43" w:type="dxa"/>
            </w:tcMar>
          </w:tcPr>
          <w:p w14:paraId="4FD4EAFE" w14:textId="77777777" w:rsidR="00F6339D" w:rsidRPr="000C16B3" w:rsidRDefault="00F6339D" w:rsidP="007D2780">
            <w:pPr>
              <w:spacing w:line="480" w:lineRule="auto"/>
              <w:jc w:val="center"/>
              <w:rPr>
                <w:sz w:val="18"/>
              </w:rPr>
            </w:pPr>
            <w:r>
              <w:rPr>
                <w:sz w:val="18"/>
              </w:rPr>
              <w:t>23.4–31.4%</w:t>
            </w:r>
          </w:p>
          <w:p w14:paraId="3647F6E7" w14:textId="77777777" w:rsidR="00F6339D" w:rsidRPr="000C16B3" w:rsidRDefault="00F6339D" w:rsidP="007D2780">
            <w:pPr>
              <w:spacing w:line="480" w:lineRule="auto"/>
              <w:jc w:val="center"/>
              <w:rPr>
                <w:sz w:val="18"/>
              </w:rPr>
            </w:pPr>
            <w:r w:rsidRPr="000C16B3">
              <w:rPr>
                <w:sz w:val="18"/>
              </w:rPr>
              <w:t>(</w:t>
            </w:r>
            <w:r>
              <w:rPr>
                <w:sz w:val="18"/>
              </w:rPr>
              <w:t>27.9</w:t>
            </w:r>
            <w:r w:rsidRPr="000C16B3">
              <w:rPr>
                <w:sz w:val="18"/>
              </w:rPr>
              <w:t xml:space="preserve"> ± </w:t>
            </w:r>
            <w:r>
              <w:rPr>
                <w:sz w:val="18"/>
              </w:rPr>
              <w:t>1.6%</w:t>
            </w:r>
            <w:r w:rsidRPr="000C16B3">
              <w:rPr>
                <w:sz w:val="18"/>
              </w:rPr>
              <w:t>)</w:t>
            </w:r>
          </w:p>
        </w:tc>
        <w:tc>
          <w:tcPr>
            <w:tcW w:w="1394" w:type="dxa"/>
          </w:tcPr>
          <w:p w14:paraId="01D7D397" w14:textId="77777777" w:rsidR="00F6339D" w:rsidRPr="000C16B3" w:rsidRDefault="00F6339D" w:rsidP="007D2780">
            <w:pPr>
              <w:spacing w:line="480" w:lineRule="auto"/>
              <w:jc w:val="center"/>
              <w:rPr>
                <w:sz w:val="18"/>
              </w:rPr>
            </w:pPr>
            <w:r>
              <w:rPr>
                <w:sz w:val="18"/>
              </w:rPr>
              <w:t>25.4–28.7%</w:t>
            </w:r>
          </w:p>
          <w:p w14:paraId="4FDCE8E6" w14:textId="77777777" w:rsidR="00F6339D" w:rsidRPr="000C16B3" w:rsidRDefault="00F6339D" w:rsidP="007D2780">
            <w:pPr>
              <w:spacing w:line="480" w:lineRule="auto"/>
              <w:jc w:val="center"/>
              <w:rPr>
                <w:sz w:val="18"/>
              </w:rPr>
            </w:pPr>
            <w:r w:rsidRPr="000C16B3">
              <w:rPr>
                <w:sz w:val="18"/>
              </w:rPr>
              <w:t>(</w:t>
            </w:r>
            <w:r>
              <w:rPr>
                <w:sz w:val="18"/>
              </w:rPr>
              <w:t>27.1</w:t>
            </w:r>
            <w:r w:rsidRPr="000C16B3">
              <w:rPr>
                <w:sz w:val="18"/>
              </w:rPr>
              <w:t xml:space="preserve"> ±</w:t>
            </w:r>
            <w:r>
              <w:rPr>
                <w:sz w:val="18"/>
              </w:rPr>
              <w:t xml:space="preserve"> 1.2%</w:t>
            </w:r>
            <w:r w:rsidRPr="000C16B3">
              <w:rPr>
                <w:sz w:val="18"/>
              </w:rPr>
              <w:t>)</w:t>
            </w:r>
          </w:p>
        </w:tc>
        <w:tc>
          <w:tcPr>
            <w:tcW w:w="1546" w:type="dxa"/>
          </w:tcPr>
          <w:p w14:paraId="68DF9D5D" w14:textId="77777777" w:rsidR="00F6339D" w:rsidRPr="000C16B3" w:rsidRDefault="00F6339D" w:rsidP="007D2780">
            <w:pPr>
              <w:spacing w:line="480" w:lineRule="auto"/>
              <w:jc w:val="center"/>
              <w:rPr>
                <w:sz w:val="18"/>
              </w:rPr>
            </w:pPr>
            <w:r>
              <w:rPr>
                <w:sz w:val="18"/>
              </w:rPr>
              <w:t>27.6, 28.7%</w:t>
            </w:r>
          </w:p>
        </w:tc>
        <w:tc>
          <w:tcPr>
            <w:tcW w:w="1546" w:type="dxa"/>
          </w:tcPr>
          <w:p w14:paraId="65A4F983" w14:textId="77777777" w:rsidR="00F6339D" w:rsidRPr="000C16B3" w:rsidRDefault="00F6339D" w:rsidP="007D2780">
            <w:pPr>
              <w:spacing w:line="480" w:lineRule="auto"/>
              <w:jc w:val="center"/>
              <w:rPr>
                <w:sz w:val="18"/>
              </w:rPr>
            </w:pPr>
            <w:r>
              <w:rPr>
                <w:sz w:val="18"/>
              </w:rPr>
              <w:t>26.3–31.9%</w:t>
            </w:r>
          </w:p>
          <w:p w14:paraId="0504F2AE" w14:textId="77777777" w:rsidR="00F6339D" w:rsidRPr="000C16B3" w:rsidRDefault="00F6339D" w:rsidP="007D2780">
            <w:pPr>
              <w:spacing w:line="480" w:lineRule="auto"/>
              <w:jc w:val="center"/>
              <w:rPr>
                <w:sz w:val="18"/>
              </w:rPr>
            </w:pPr>
            <w:r w:rsidRPr="000C16B3">
              <w:rPr>
                <w:sz w:val="18"/>
              </w:rPr>
              <w:t>(</w:t>
            </w:r>
            <w:r>
              <w:rPr>
                <w:sz w:val="18"/>
              </w:rPr>
              <w:t>28.2</w:t>
            </w:r>
            <w:r w:rsidRPr="000C16B3">
              <w:rPr>
                <w:sz w:val="18"/>
              </w:rPr>
              <w:t xml:space="preserve"> ± </w:t>
            </w:r>
            <w:r>
              <w:rPr>
                <w:sz w:val="18"/>
              </w:rPr>
              <w:t>2.2%</w:t>
            </w:r>
            <w:r w:rsidRPr="000C16B3">
              <w:rPr>
                <w:sz w:val="18"/>
              </w:rPr>
              <w:t>)</w:t>
            </w:r>
          </w:p>
        </w:tc>
        <w:tc>
          <w:tcPr>
            <w:tcW w:w="1726" w:type="dxa"/>
          </w:tcPr>
          <w:p w14:paraId="29DEB9C1" w14:textId="77777777" w:rsidR="00F6339D" w:rsidRPr="000C16B3" w:rsidRDefault="00F6339D" w:rsidP="007D2780">
            <w:pPr>
              <w:spacing w:line="480" w:lineRule="auto"/>
              <w:jc w:val="center"/>
              <w:rPr>
                <w:sz w:val="18"/>
              </w:rPr>
            </w:pPr>
            <w:r>
              <w:rPr>
                <w:sz w:val="18"/>
              </w:rPr>
              <w:t>26.2–32.0%</w:t>
            </w:r>
          </w:p>
          <w:p w14:paraId="6088F1F6" w14:textId="77777777" w:rsidR="00F6339D" w:rsidRPr="000C16B3" w:rsidRDefault="00F6339D" w:rsidP="007D2780">
            <w:pPr>
              <w:spacing w:line="480" w:lineRule="auto"/>
              <w:jc w:val="center"/>
              <w:rPr>
                <w:sz w:val="18"/>
              </w:rPr>
            </w:pPr>
            <w:r w:rsidRPr="000C16B3">
              <w:rPr>
                <w:sz w:val="18"/>
              </w:rPr>
              <w:t>(</w:t>
            </w:r>
            <w:r>
              <w:rPr>
                <w:sz w:val="18"/>
              </w:rPr>
              <w:t>29.1</w:t>
            </w:r>
            <w:r w:rsidRPr="000C16B3">
              <w:rPr>
                <w:sz w:val="18"/>
              </w:rPr>
              <w:t xml:space="preserve"> ± </w:t>
            </w:r>
            <w:r>
              <w:rPr>
                <w:sz w:val="18"/>
              </w:rPr>
              <w:t>1</w:t>
            </w:r>
            <w:r w:rsidRPr="000C16B3">
              <w:rPr>
                <w:sz w:val="18"/>
              </w:rPr>
              <w:t>.8</w:t>
            </w:r>
            <w:r>
              <w:rPr>
                <w:sz w:val="18"/>
              </w:rPr>
              <w:t>%</w:t>
            </w:r>
            <w:r w:rsidRPr="000C16B3">
              <w:rPr>
                <w:sz w:val="18"/>
              </w:rPr>
              <w:t>)</w:t>
            </w:r>
          </w:p>
        </w:tc>
      </w:tr>
      <w:tr w:rsidR="00F6339D" w:rsidRPr="000C16B3" w14:paraId="73A65A98" w14:textId="77777777" w:rsidTr="007D2780">
        <w:tc>
          <w:tcPr>
            <w:tcW w:w="2282" w:type="dxa"/>
            <w:tcMar>
              <w:left w:w="58" w:type="dxa"/>
              <w:right w:w="72" w:type="dxa"/>
            </w:tcMar>
          </w:tcPr>
          <w:p w14:paraId="11B21793" w14:textId="77777777" w:rsidR="00F6339D" w:rsidRPr="000C16B3" w:rsidRDefault="00F6339D" w:rsidP="007D2780">
            <w:pPr>
              <w:spacing w:line="480" w:lineRule="auto"/>
              <w:rPr>
                <w:sz w:val="18"/>
              </w:rPr>
            </w:pPr>
            <w:r w:rsidRPr="000C16B3">
              <w:rPr>
                <w:sz w:val="18"/>
              </w:rPr>
              <w:t>Midbody dorsal scales</w:t>
            </w:r>
          </w:p>
        </w:tc>
        <w:tc>
          <w:tcPr>
            <w:tcW w:w="1394" w:type="dxa"/>
          </w:tcPr>
          <w:p w14:paraId="783F2A08" w14:textId="77777777" w:rsidR="00F6339D" w:rsidRPr="000C16B3" w:rsidRDefault="00F6339D" w:rsidP="007D2780">
            <w:pPr>
              <w:spacing w:line="480" w:lineRule="auto"/>
              <w:jc w:val="center"/>
              <w:rPr>
                <w:sz w:val="18"/>
              </w:rPr>
            </w:pPr>
            <w:r w:rsidRPr="000C16B3">
              <w:rPr>
                <w:sz w:val="18"/>
              </w:rPr>
              <w:t>1</w:t>
            </w:r>
            <w:r>
              <w:rPr>
                <w:sz w:val="18"/>
              </w:rPr>
              <w:t>6</w:t>
            </w:r>
            <w:r w:rsidRPr="000C16B3">
              <w:rPr>
                <w:sz w:val="18"/>
              </w:rPr>
              <w:t>–2</w:t>
            </w:r>
            <w:r>
              <w:rPr>
                <w:sz w:val="18"/>
              </w:rPr>
              <w:t>0</w:t>
            </w:r>
          </w:p>
          <w:p w14:paraId="2A3C7320" w14:textId="77777777" w:rsidR="00F6339D" w:rsidRPr="000C16B3" w:rsidRDefault="00F6339D" w:rsidP="007D2780">
            <w:pPr>
              <w:spacing w:line="480" w:lineRule="auto"/>
              <w:jc w:val="center"/>
              <w:rPr>
                <w:sz w:val="18"/>
              </w:rPr>
            </w:pPr>
            <w:r w:rsidRPr="000C16B3">
              <w:rPr>
                <w:sz w:val="18"/>
              </w:rPr>
              <w:t>(17.9 ± 1.</w:t>
            </w:r>
            <w:r>
              <w:rPr>
                <w:sz w:val="18"/>
              </w:rPr>
              <w:t>3</w:t>
            </w:r>
            <w:r w:rsidRPr="000C16B3">
              <w:rPr>
                <w:sz w:val="18"/>
              </w:rPr>
              <w:t>)</w:t>
            </w:r>
          </w:p>
        </w:tc>
        <w:tc>
          <w:tcPr>
            <w:tcW w:w="1730" w:type="dxa"/>
            <w:tcMar>
              <w:left w:w="43" w:type="dxa"/>
              <w:right w:w="43" w:type="dxa"/>
            </w:tcMar>
          </w:tcPr>
          <w:p w14:paraId="6C195862" w14:textId="77777777" w:rsidR="00F6339D" w:rsidRPr="000C16B3" w:rsidRDefault="00F6339D" w:rsidP="007D2780">
            <w:pPr>
              <w:spacing w:line="480" w:lineRule="auto"/>
              <w:jc w:val="center"/>
              <w:rPr>
                <w:sz w:val="18"/>
              </w:rPr>
            </w:pPr>
            <w:r w:rsidRPr="000C16B3">
              <w:rPr>
                <w:sz w:val="18"/>
              </w:rPr>
              <w:t>16–21</w:t>
            </w:r>
          </w:p>
          <w:p w14:paraId="23608590" w14:textId="77777777" w:rsidR="00F6339D" w:rsidRPr="000C16B3" w:rsidRDefault="00F6339D" w:rsidP="007D2780">
            <w:pPr>
              <w:spacing w:line="480" w:lineRule="auto"/>
              <w:jc w:val="center"/>
              <w:rPr>
                <w:sz w:val="18"/>
              </w:rPr>
            </w:pPr>
            <w:r w:rsidRPr="000C16B3">
              <w:rPr>
                <w:sz w:val="18"/>
              </w:rPr>
              <w:t>(18.7 ± 1.8)</w:t>
            </w:r>
          </w:p>
        </w:tc>
        <w:tc>
          <w:tcPr>
            <w:tcW w:w="1394" w:type="dxa"/>
          </w:tcPr>
          <w:p w14:paraId="48F0B6C2" w14:textId="77777777" w:rsidR="00F6339D" w:rsidRPr="000C16B3" w:rsidRDefault="00F6339D" w:rsidP="007D2780">
            <w:pPr>
              <w:spacing w:line="480" w:lineRule="auto"/>
              <w:jc w:val="center"/>
              <w:rPr>
                <w:sz w:val="18"/>
              </w:rPr>
            </w:pPr>
            <w:r w:rsidRPr="000C16B3">
              <w:rPr>
                <w:sz w:val="18"/>
              </w:rPr>
              <w:t>20–24</w:t>
            </w:r>
          </w:p>
          <w:p w14:paraId="55A01B53" w14:textId="77777777" w:rsidR="00F6339D" w:rsidRPr="000C16B3" w:rsidRDefault="00F6339D" w:rsidP="007D2780">
            <w:pPr>
              <w:spacing w:line="480" w:lineRule="auto"/>
              <w:jc w:val="center"/>
              <w:rPr>
                <w:sz w:val="18"/>
              </w:rPr>
            </w:pPr>
            <w:r w:rsidRPr="000C16B3">
              <w:rPr>
                <w:sz w:val="18"/>
              </w:rPr>
              <w:t>(21.3 ± 1.9)</w:t>
            </w:r>
          </w:p>
        </w:tc>
        <w:tc>
          <w:tcPr>
            <w:tcW w:w="1546" w:type="dxa"/>
          </w:tcPr>
          <w:p w14:paraId="7A4519BD" w14:textId="77777777" w:rsidR="00F6339D" w:rsidRPr="00250FDF" w:rsidRDefault="00F6339D" w:rsidP="007D2780">
            <w:pPr>
              <w:spacing w:line="480" w:lineRule="auto"/>
              <w:jc w:val="center"/>
              <w:rPr>
                <w:sz w:val="18"/>
              </w:rPr>
            </w:pPr>
            <w:r w:rsidRPr="00250FDF">
              <w:rPr>
                <w:sz w:val="18"/>
              </w:rPr>
              <w:t>19</w:t>
            </w:r>
            <w:r>
              <w:rPr>
                <w:sz w:val="18"/>
              </w:rPr>
              <w:t>, 22</w:t>
            </w:r>
          </w:p>
          <w:p w14:paraId="47F958A7" w14:textId="77777777" w:rsidR="00F6339D" w:rsidRDefault="00F6339D" w:rsidP="007D2780">
            <w:pPr>
              <w:spacing w:line="480" w:lineRule="auto"/>
              <w:jc w:val="center"/>
              <w:rPr>
                <w:sz w:val="18"/>
              </w:rPr>
            </w:pPr>
          </w:p>
        </w:tc>
        <w:tc>
          <w:tcPr>
            <w:tcW w:w="1546" w:type="dxa"/>
          </w:tcPr>
          <w:p w14:paraId="43CAD536" w14:textId="77777777" w:rsidR="00F6339D" w:rsidRPr="000C16B3" w:rsidRDefault="00F6339D" w:rsidP="007D2780">
            <w:pPr>
              <w:spacing w:line="480" w:lineRule="auto"/>
              <w:jc w:val="center"/>
              <w:rPr>
                <w:sz w:val="18"/>
              </w:rPr>
            </w:pPr>
            <w:r>
              <w:rPr>
                <w:sz w:val="18"/>
              </w:rPr>
              <w:t>20</w:t>
            </w:r>
            <w:r w:rsidRPr="000C16B3">
              <w:rPr>
                <w:sz w:val="18"/>
              </w:rPr>
              <w:t>–2</w:t>
            </w:r>
            <w:r>
              <w:rPr>
                <w:sz w:val="18"/>
              </w:rPr>
              <w:t>4</w:t>
            </w:r>
          </w:p>
          <w:p w14:paraId="57624A96" w14:textId="77777777" w:rsidR="00F6339D" w:rsidRPr="000C16B3" w:rsidRDefault="00F6339D" w:rsidP="007D2780">
            <w:pPr>
              <w:spacing w:line="480" w:lineRule="auto"/>
              <w:jc w:val="center"/>
              <w:rPr>
                <w:sz w:val="18"/>
              </w:rPr>
            </w:pPr>
            <w:r w:rsidRPr="000C16B3">
              <w:rPr>
                <w:sz w:val="18"/>
              </w:rPr>
              <w:t>(2</w:t>
            </w:r>
            <w:r>
              <w:rPr>
                <w:sz w:val="18"/>
              </w:rPr>
              <w:t>1</w:t>
            </w:r>
            <w:r w:rsidRPr="000C16B3">
              <w:rPr>
                <w:sz w:val="18"/>
              </w:rPr>
              <w:t>.</w:t>
            </w:r>
            <w:r>
              <w:rPr>
                <w:sz w:val="18"/>
              </w:rPr>
              <w:t>8</w:t>
            </w:r>
            <w:r w:rsidRPr="000C16B3">
              <w:rPr>
                <w:sz w:val="18"/>
              </w:rPr>
              <w:t xml:space="preserve"> ± </w:t>
            </w:r>
            <w:r>
              <w:rPr>
                <w:sz w:val="18"/>
              </w:rPr>
              <w:t>2</w:t>
            </w:r>
            <w:r w:rsidRPr="000C16B3">
              <w:rPr>
                <w:sz w:val="18"/>
              </w:rPr>
              <w:t>.</w:t>
            </w:r>
            <w:r>
              <w:rPr>
                <w:sz w:val="18"/>
              </w:rPr>
              <w:t>0</w:t>
            </w:r>
            <w:r w:rsidRPr="000C16B3">
              <w:rPr>
                <w:sz w:val="18"/>
              </w:rPr>
              <w:t>)</w:t>
            </w:r>
          </w:p>
        </w:tc>
        <w:tc>
          <w:tcPr>
            <w:tcW w:w="1726" w:type="dxa"/>
          </w:tcPr>
          <w:p w14:paraId="70D451C1" w14:textId="77777777" w:rsidR="00F6339D" w:rsidRPr="000C16B3" w:rsidRDefault="00F6339D" w:rsidP="007D2780">
            <w:pPr>
              <w:spacing w:line="480" w:lineRule="auto"/>
              <w:jc w:val="center"/>
              <w:rPr>
                <w:sz w:val="18"/>
              </w:rPr>
            </w:pPr>
            <w:r>
              <w:rPr>
                <w:sz w:val="18"/>
              </w:rPr>
              <w:t>18</w:t>
            </w:r>
            <w:r w:rsidRPr="000C16B3">
              <w:rPr>
                <w:sz w:val="18"/>
              </w:rPr>
              <w:t>–</w:t>
            </w:r>
            <w:r>
              <w:rPr>
                <w:sz w:val="18"/>
              </w:rPr>
              <w:t>22</w:t>
            </w:r>
          </w:p>
          <w:p w14:paraId="1C513D38" w14:textId="77777777" w:rsidR="00F6339D" w:rsidRPr="000C16B3" w:rsidRDefault="00F6339D" w:rsidP="007D2780">
            <w:pPr>
              <w:spacing w:line="480" w:lineRule="auto"/>
              <w:jc w:val="center"/>
              <w:rPr>
                <w:sz w:val="18"/>
              </w:rPr>
            </w:pPr>
            <w:r w:rsidRPr="000C16B3">
              <w:rPr>
                <w:sz w:val="18"/>
              </w:rPr>
              <w:t>(</w:t>
            </w:r>
            <w:r>
              <w:rPr>
                <w:sz w:val="18"/>
              </w:rPr>
              <w:t>20.1</w:t>
            </w:r>
            <w:r w:rsidRPr="000C16B3">
              <w:rPr>
                <w:sz w:val="18"/>
              </w:rPr>
              <w:t xml:space="preserve"> ± </w:t>
            </w:r>
            <w:r>
              <w:rPr>
                <w:sz w:val="18"/>
              </w:rPr>
              <w:t>1</w:t>
            </w:r>
            <w:r w:rsidRPr="000C16B3">
              <w:rPr>
                <w:sz w:val="18"/>
              </w:rPr>
              <w:t>.</w:t>
            </w:r>
            <w:r>
              <w:rPr>
                <w:sz w:val="18"/>
              </w:rPr>
              <w:t>3</w:t>
            </w:r>
            <w:r w:rsidRPr="000C16B3">
              <w:rPr>
                <w:sz w:val="18"/>
              </w:rPr>
              <w:t>)</w:t>
            </w:r>
          </w:p>
        </w:tc>
      </w:tr>
      <w:tr w:rsidR="00F6339D" w:rsidRPr="000C16B3" w14:paraId="06261906" w14:textId="77777777" w:rsidTr="007D2780">
        <w:tc>
          <w:tcPr>
            <w:tcW w:w="2282" w:type="dxa"/>
            <w:tcMar>
              <w:left w:w="58" w:type="dxa"/>
              <w:right w:w="72" w:type="dxa"/>
            </w:tcMar>
          </w:tcPr>
          <w:p w14:paraId="4FEE5D79" w14:textId="77777777" w:rsidR="00F6339D" w:rsidRPr="000C16B3" w:rsidRDefault="00F6339D" w:rsidP="007D2780">
            <w:pPr>
              <w:spacing w:line="480" w:lineRule="auto"/>
              <w:rPr>
                <w:sz w:val="18"/>
              </w:rPr>
            </w:pPr>
            <w:r w:rsidRPr="000C16B3">
              <w:rPr>
                <w:sz w:val="18"/>
              </w:rPr>
              <w:t>Midbody ventral scales</w:t>
            </w:r>
          </w:p>
        </w:tc>
        <w:tc>
          <w:tcPr>
            <w:tcW w:w="1394" w:type="dxa"/>
          </w:tcPr>
          <w:p w14:paraId="0684C64C" w14:textId="77777777" w:rsidR="00F6339D" w:rsidRPr="000C16B3" w:rsidRDefault="00F6339D" w:rsidP="007D2780">
            <w:pPr>
              <w:spacing w:line="480" w:lineRule="auto"/>
              <w:jc w:val="center"/>
              <w:rPr>
                <w:sz w:val="18"/>
              </w:rPr>
            </w:pPr>
            <w:r w:rsidRPr="000C16B3">
              <w:rPr>
                <w:sz w:val="18"/>
              </w:rPr>
              <w:t>9–14</w:t>
            </w:r>
          </w:p>
          <w:p w14:paraId="2EB81532" w14:textId="77777777" w:rsidR="00F6339D" w:rsidRPr="000C16B3" w:rsidRDefault="00F6339D" w:rsidP="007D2780">
            <w:pPr>
              <w:spacing w:line="480" w:lineRule="auto"/>
              <w:jc w:val="center"/>
              <w:rPr>
                <w:sz w:val="18"/>
              </w:rPr>
            </w:pPr>
            <w:r w:rsidRPr="000C16B3">
              <w:rPr>
                <w:sz w:val="18"/>
              </w:rPr>
              <w:t>(12.6 ± 1.8)</w:t>
            </w:r>
          </w:p>
        </w:tc>
        <w:tc>
          <w:tcPr>
            <w:tcW w:w="1730" w:type="dxa"/>
            <w:tcMar>
              <w:left w:w="43" w:type="dxa"/>
              <w:right w:w="43" w:type="dxa"/>
            </w:tcMar>
          </w:tcPr>
          <w:p w14:paraId="6711F2DB" w14:textId="77777777" w:rsidR="00F6339D" w:rsidRPr="000C16B3" w:rsidRDefault="00F6339D" w:rsidP="007D2780">
            <w:pPr>
              <w:spacing w:line="480" w:lineRule="auto"/>
              <w:jc w:val="center"/>
              <w:rPr>
                <w:sz w:val="18"/>
              </w:rPr>
            </w:pPr>
            <w:r w:rsidRPr="000C16B3">
              <w:rPr>
                <w:sz w:val="18"/>
              </w:rPr>
              <w:t>9–13</w:t>
            </w:r>
          </w:p>
          <w:p w14:paraId="369EB7A4" w14:textId="77777777" w:rsidR="00F6339D" w:rsidRPr="000C16B3" w:rsidRDefault="00F6339D" w:rsidP="007D2780">
            <w:pPr>
              <w:spacing w:line="480" w:lineRule="auto"/>
              <w:jc w:val="center"/>
              <w:rPr>
                <w:sz w:val="18"/>
              </w:rPr>
            </w:pPr>
            <w:r w:rsidRPr="000C16B3">
              <w:rPr>
                <w:sz w:val="18"/>
              </w:rPr>
              <w:t>(11.0 ± 1.1)</w:t>
            </w:r>
          </w:p>
        </w:tc>
        <w:tc>
          <w:tcPr>
            <w:tcW w:w="1394" w:type="dxa"/>
          </w:tcPr>
          <w:p w14:paraId="01F7E0A1" w14:textId="77777777" w:rsidR="00F6339D" w:rsidRPr="000C16B3" w:rsidRDefault="00F6339D" w:rsidP="007D2780">
            <w:pPr>
              <w:spacing w:line="480" w:lineRule="auto"/>
              <w:jc w:val="center"/>
              <w:rPr>
                <w:sz w:val="18"/>
              </w:rPr>
            </w:pPr>
            <w:r w:rsidRPr="000C16B3">
              <w:rPr>
                <w:sz w:val="18"/>
              </w:rPr>
              <w:t>10–16</w:t>
            </w:r>
          </w:p>
          <w:p w14:paraId="1D712FFF" w14:textId="77777777" w:rsidR="00F6339D" w:rsidRPr="000C16B3" w:rsidRDefault="00F6339D" w:rsidP="007D2780">
            <w:pPr>
              <w:spacing w:line="480" w:lineRule="auto"/>
              <w:jc w:val="center"/>
              <w:rPr>
                <w:sz w:val="18"/>
              </w:rPr>
            </w:pPr>
            <w:r w:rsidRPr="000C16B3">
              <w:rPr>
                <w:sz w:val="18"/>
              </w:rPr>
              <w:t>(12.1 ± 1.7)</w:t>
            </w:r>
          </w:p>
        </w:tc>
        <w:tc>
          <w:tcPr>
            <w:tcW w:w="1546" w:type="dxa"/>
          </w:tcPr>
          <w:p w14:paraId="1A4B0343" w14:textId="77777777" w:rsidR="00F6339D" w:rsidRPr="003816ED" w:rsidRDefault="00F6339D" w:rsidP="007D2780">
            <w:pPr>
              <w:spacing w:line="480" w:lineRule="auto"/>
              <w:jc w:val="center"/>
              <w:rPr>
                <w:sz w:val="18"/>
              </w:rPr>
            </w:pPr>
            <w:r>
              <w:rPr>
                <w:sz w:val="18"/>
              </w:rPr>
              <w:t xml:space="preserve">14, 16 </w:t>
            </w:r>
          </w:p>
          <w:p w14:paraId="4AC8DF9B" w14:textId="77777777" w:rsidR="00F6339D" w:rsidRPr="000C16B3" w:rsidRDefault="00F6339D" w:rsidP="007D2780">
            <w:pPr>
              <w:spacing w:line="480" w:lineRule="auto"/>
              <w:jc w:val="center"/>
              <w:rPr>
                <w:sz w:val="18"/>
              </w:rPr>
            </w:pPr>
            <w:r w:rsidRPr="003816ED">
              <w:rPr>
                <w:sz w:val="18"/>
              </w:rPr>
              <w:t>(7.4 ± 1.1)</w:t>
            </w:r>
          </w:p>
        </w:tc>
        <w:tc>
          <w:tcPr>
            <w:tcW w:w="1546" w:type="dxa"/>
          </w:tcPr>
          <w:p w14:paraId="173714FA" w14:textId="77777777" w:rsidR="00F6339D" w:rsidRPr="000C16B3" w:rsidRDefault="00F6339D" w:rsidP="007D2780">
            <w:pPr>
              <w:spacing w:line="480" w:lineRule="auto"/>
              <w:jc w:val="center"/>
              <w:rPr>
                <w:sz w:val="18"/>
              </w:rPr>
            </w:pPr>
            <w:r w:rsidRPr="000C16B3">
              <w:rPr>
                <w:sz w:val="18"/>
              </w:rPr>
              <w:t>15–17</w:t>
            </w:r>
          </w:p>
          <w:p w14:paraId="372C823A" w14:textId="77777777" w:rsidR="00F6339D" w:rsidRPr="000C16B3" w:rsidRDefault="00F6339D" w:rsidP="007D2780">
            <w:pPr>
              <w:spacing w:line="480" w:lineRule="auto"/>
              <w:jc w:val="center"/>
              <w:rPr>
                <w:sz w:val="18"/>
              </w:rPr>
            </w:pPr>
            <w:r w:rsidRPr="000C16B3">
              <w:rPr>
                <w:sz w:val="18"/>
              </w:rPr>
              <w:t>(16.</w:t>
            </w:r>
            <w:r>
              <w:rPr>
                <w:sz w:val="18"/>
              </w:rPr>
              <w:t>2</w:t>
            </w:r>
            <w:r w:rsidRPr="000C16B3">
              <w:rPr>
                <w:sz w:val="18"/>
              </w:rPr>
              <w:t xml:space="preserve"> ± </w:t>
            </w:r>
            <w:r>
              <w:rPr>
                <w:sz w:val="18"/>
              </w:rPr>
              <w:t>0</w:t>
            </w:r>
            <w:r w:rsidRPr="000C16B3">
              <w:rPr>
                <w:sz w:val="18"/>
              </w:rPr>
              <w:t>.</w:t>
            </w:r>
            <w:r>
              <w:rPr>
                <w:sz w:val="18"/>
              </w:rPr>
              <w:t>8</w:t>
            </w:r>
            <w:r w:rsidRPr="000C16B3">
              <w:rPr>
                <w:sz w:val="18"/>
              </w:rPr>
              <w:t>)</w:t>
            </w:r>
          </w:p>
        </w:tc>
        <w:tc>
          <w:tcPr>
            <w:tcW w:w="1726" w:type="dxa"/>
          </w:tcPr>
          <w:p w14:paraId="418CC8E1" w14:textId="77777777" w:rsidR="00F6339D" w:rsidRPr="000C16B3" w:rsidRDefault="00F6339D" w:rsidP="007D2780">
            <w:pPr>
              <w:spacing w:line="480" w:lineRule="auto"/>
              <w:jc w:val="center"/>
              <w:rPr>
                <w:sz w:val="18"/>
              </w:rPr>
            </w:pPr>
            <w:r w:rsidRPr="000C16B3">
              <w:rPr>
                <w:sz w:val="18"/>
              </w:rPr>
              <w:t>12–14</w:t>
            </w:r>
          </w:p>
          <w:p w14:paraId="51034976" w14:textId="77777777" w:rsidR="00F6339D" w:rsidRPr="000C16B3" w:rsidRDefault="00F6339D" w:rsidP="007D2780">
            <w:pPr>
              <w:spacing w:line="480" w:lineRule="auto"/>
              <w:jc w:val="center"/>
              <w:rPr>
                <w:sz w:val="18"/>
              </w:rPr>
            </w:pPr>
            <w:r w:rsidRPr="000C16B3">
              <w:rPr>
                <w:sz w:val="18"/>
              </w:rPr>
              <w:t>(12.8 ± 0.8)</w:t>
            </w:r>
          </w:p>
        </w:tc>
      </w:tr>
      <w:tr w:rsidR="00F6339D" w:rsidRPr="000C16B3" w14:paraId="09DE0F92" w14:textId="77777777" w:rsidTr="007D2780">
        <w:trPr>
          <w:trHeight w:val="331"/>
        </w:trPr>
        <w:tc>
          <w:tcPr>
            <w:tcW w:w="2282" w:type="dxa"/>
            <w:tcMar>
              <w:left w:w="58" w:type="dxa"/>
              <w:right w:w="72" w:type="dxa"/>
            </w:tcMar>
          </w:tcPr>
          <w:p w14:paraId="7E9AB6E5" w14:textId="77777777" w:rsidR="00F6339D" w:rsidRPr="000C16B3" w:rsidRDefault="00F6339D" w:rsidP="007D2780">
            <w:pPr>
              <w:spacing w:line="480" w:lineRule="auto"/>
              <w:rPr>
                <w:sz w:val="18"/>
              </w:rPr>
            </w:pPr>
            <w:r>
              <w:rPr>
                <w:sz w:val="18"/>
              </w:rPr>
              <w:t>Total</w:t>
            </w:r>
            <w:r w:rsidRPr="000C16B3">
              <w:rPr>
                <w:sz w:val="18"/>
              </w:rPr>
              <w:t xml:space="preserve"> </w:t>
            </w:r>
            <w:r>
              <w:rPr>
                <w:sz w:val="18"/>
              </w:rPr>
              <w:t>p</w:t>
            </w:r>
            <w:r w:rsidRPr="000C16B3">
              <w:rPr>
                <w:sz w:val="18"/>
              </w:rPr>
              <w:t>ores (in males)</w:t>
            </w:r>
          </w:p>
        </w:tc>
        <w:tc>
          <w:tcPr>
            <w:tcW w:w="1394" w:type="dxa"/>
          </w:tcPr>
          <w:p w14:paraId="1067667B" w14:textId="77777777" w:rsidR="00F6339D" w:rsidRPr="000C16B3" w:rsidRDefault="00F6339D" w:rsidP="007D2780">
            <w:pPr>
              <w:spacing w:line="480" w:lineRule="auto"/>
              <w:jc w:val="center"/>
              <w:rPr>
                <w:sz w:val="18"/>
              </w:rPr>
            </w:pPr>
            <w:r w:rsidRPr="000C16B3">
              <w:rPr>
                <w:sz w:val="18"/>
              </w:rPr>
              <w:t>25–31</w:t>
            </w:r>
          </w:p>
          <w:p w14:paraId="69D336C0" w14:textId="77777777" w:rsidR="00F6339D" w:rsidRPr="000C16B3" w:rsidRDefault="00F6339D" w:rsidP="007D2780">
            <w:pPr>
              <w:spacing w:line="480" w:lineRule="auto"/>
              <w:jc w:val="center"/>
              <w:rPr>
                <w:sz w:val="18"/>
              </w:rPr>
            </w:pPr>
            <w:r w:rsidRPr="000C16B3">
              <w:rPr>
                <w:sz w:val="18"/>
              </w:rPr>
              <w:t>(27.5 ± 2.5)</w:t>
            </w:r>
          </w:p>
        </w:tc>
        <w:tc>
          <w:tcPr>
            <w:tcW w:w="1730" w:type="dxa"/>
            <w:tcMar>
              <w:left w:w="43" w:type="dxa"/>
              <w:right w:w="43" w:type="dxa"/>
            </w:tcMar>
          </w:tcPr>
          <w:p w14:paraId="66E85B2F" w14:textId="77777777" w:rsidR="00F6339D" w:rsidRPr="000C16B3" w:rsidRDefault="00F6339D" w:rsidP="007D2780">
            <w:pPr>
              <w:spacing w:line="480" w:lineRule="auto"/>
              <w:jc w:val="center"/>
              <w:rPr>
                <w:sz w:val="18"/>
              </w:rPr>
            </w:pPr>
            <w:r w:rsidRPr="000C16B3">
              <w:rPr>
                <w:sz w:val="18"/>
              </w:rPr>
              <w:t>18–23</w:t>
            </w:r>
          </w:p>
          <w:p w14:paraId="7AFF0871" w14:textId="77777777" w:rsidR="00F6339D" w:rsidRPr="000C16B3" w:rsidRDefault="00F6339D" w:rsidP="007D2780">
            <w:pPr>
              <w:spacing w:line="480" w:lineRule="auto"/>
              <w:jc w:val="center"/>
              <w:rPr>
                <w:sz w:val="18"/>
              </w:rPr>
            </w:pPr>
            <w:r w:rsidRPr="000C16B3">
              <w:rPr>
                <w:sz w:val="18"/>
              </w:rPr>
              <w:t>(20.7 ± 1.5)</w:t>
            </w:r>
          </w:p>
        </w:tc>
        <w:tc>
          <w:tcPr>
            <w:tcW w:w="1394" w:type="dxa"/>
          </w:tcPr>
          <w:p w14:paraId="24F3C63F" w14:textId="77777777" w:rsidR="00F6339D" w:rsidRPr="000C16B3" w:rsidRDefault="00F6339D" w:rsidP="007D2780">
            <w:pPr>
              <w:spacing w:line="480" w:lineRule="auto"/>
              <w:jc w:val="center"/>
              <w:rPr>
                <w:sz w:val="18"/>
              </w:rPr>
            </w:pPr>
            <w:r w:rsidRPr="000C16B3">
              <w:rPr>
                <w:sz w:val="18"/>
              </w:rPr>
              <w:t>19–23</w:t>
            </w:r>
          </w:p>
          <w:p w14:paraId="370927A5" w14:textId="77777777" w:rsidR="00F6339D" w:rsidRPr="000C16B3" w:rsidRDefault="00F6339D" w:rsidP="007D2780">
            <w:pPr>
              <w:spacing w:line="480" w:lineRule="auto"/>
              <w:jc w:val="center"/>
              <w:rPr>
                <w:sz w:val="18"/>
              </w:rPr>
            </w:pPr>
            <w:r w:rsidRPr="000C16B3">
              <w:rPr>
                <w:sz w:val="18"/>
              </w:rPr>
              <w:t>(21.1 ± 1.5)</w:t>
            </w:r>
          </w:p>
        </w:tc>
        <w:tc>
          <w:tcPr>
            <w:tcW w:w="1546" w:type="dxa"/>
          </w:tcPr>
          <w:p w14:paraId="7542A6BA" w14:textId="77777777" w:rsidR="00F6339D" w:rsidRPr="00D814EE" w:rsidRDefault="00F6339D" w:rsidP="007D2780">
            <w:pPr>
              <w:spacing w:line="480" w:lineRule="auto"/>
              <w:jc w:val="center"/>
              <w:rPr>
                <w:sz w:val="18"/>
              </w:rPr>
            </w:pPr>
            <w:r>
              <w:rPr>
                <w:sz w:val="18"/>
              </w:rPr>
              <w:t>25</w:t>
            </w:r>
          </w:p>
          <w:p w14:paraId="190319D8" w14:textId="77777777" w:rsidR="00F6339D" w:rsidRPr="000C16B3" w:rsidRDefault="00F6339D" w:rsidP="007D2780">
            <w:pPr>
              <w:spacing w:line="480" w:lineRule="auto"/>
              <w:jc w:val="center"/>
              <w:rPr>
                <w:sz w:val="18"/>
              </w:rPr>
            </w:pPr>
          </w:p>
        </w:tc>
        <w:tc>
          <w:tcPr>
            <w:tcW w:w="1546" w:type="dxa"/>
          </w:tcPr>
          <w:p w14:paraId="27033914" w14:textId="77777777" w:rsidR="00F6339D" w:rsidRPr="000C16B3" w:rsidRDefault="00F6339D" w:rsidP="007D2780">
            <w:pPr>
              <w:spacing w:line="480" w:lineRule="auto"/>
              <w:jc w:val="center"/>
              <w:rPr>
                <w:sz w:val="18"/>
              </w:rPr>
            </w:pPr>
            <w:r w:rsidRPr="000C16B3">
              <w:rPr>
                <w:sz w:val="18"/>
              </w:rPr>
              <w:t>23–27</w:t>
            </w:r>
          </w:p>
          <w:p w14:paraId="41B1844A" w14:textId="77777777" w:rsidR="00F6339D" w:rsidRPr="000C16B3" w:rsidRDefault="00F6339D" w:rsidP="007D2780">
            <w:pPr>
              <w:spacing w:line="480" w:lineRule="auto"/>
              <w:jc w:val="center"/>
              <w:rPr>
                <w:sz w:val="18"/>
              </w:rPr>
            </w:pPr>
            <w:r w:rsidRPr="000C16B3">
              <w:rPr>
                <w:sz w:val="18"/>
              </w:rPr>
              <w:t>(25.0 ± 2.8)</w:t>
            </w:r>
          </w:p>
        </w:tc>
        <w:tc>
          <w:tcPr>
            <w:tcW w:w="1726" w:type="dxa"/>
          </w:tcPr>
          <w:p w14:paraId="522CE46C" w14:textId="77777777" w:rsidR="00F6339D" w:rsidRPr="000C16B3" w:rsidRDefault="00F6339D" w:rsidP="007D2780">
            <w:pPr>
              <w:spacing w:line="480" w:lineRule="auto"/>
              <w:jc w:val="center"/>
              <w:rPr>
                <w:sz w:val="18"/>
              </w:rPr>
            </w:pPr>
            <w:r w:rsidRPr="000C16B3">
              <w:rPr>
                <w:sz w:val="18"/>
              </w:rPr>
              <w:t>20–27</w:t>
            </w:r>
          </w:p>
          <w:p w14:paraId="1F43DF66" w14:textId="77777777" w:rsidR="00F6339D" w:rsidRPr="000C16B3" w:rsidRDefault="00F6339D" w:rsidP="007D2780">
            <w:pPr>
              <w:spacing w:line="480" w:lineRule="auto"/>
              <w:jc w:val="center"/>
              <w:rPr>
                <w:sz w:val="18"/>
              </w:rPr>
            </w:pPr>
            <w:r w:rsidRPr="000C16B3">
              <w:rPr>
                <w:sz w:val="18"/>
              </w:rPr>
              <w:t>(2</w:t>
            </w:r>
            <w:r>
              <w:rPr>
                <w:sz w:val="18"/>
              </w:rPr>
              <w:t>4</w:t>
            </w:r>
            <w:r w:rsidRPr="000C16B3">
              <w:rPr>
                <w:sz w:val="18"/>
              </w:rPr>
              <w:t>.</w:t>
            </w:r>
            <w:r>
              <w:rPr>
                <w:sz w:val="18"/>
              </w:rPr>
              <w:t>3</w:t>
            </w:r>
            <w:r w:rsidRPr="000C16B3">
              <w:rPr>
                <w:sz w:val="18"/>
              </w:rPr>
              <w:t xml:space="preserve"> ± 2.</w:t>
            </w:r>
            <w:r>
              <w:rPr>
                <w:sz w:val="18"/>
              </w:rPr>
              <w:t>3</w:t>
            </w:r>
            <w:r w:rsidRPr="000C16B3">
              <w:rPr>
                <w:sz w:val="18"/>
              </w:rPr>
              <w:t>)</w:t>
            </w:r>
          </w:p>
        </w:tc>
      </w:tr>
      <w:tr w:rsidR="00F6339D" w:rsidRPr="000C16B3" w14:paraId="0801D437" w14:textId="77777777" w:rsidTr="007D2780">
        <w:tc>
          <w:tcPr>
            <w:tcW w:w="2282" w:type="dxa"/>
            <w:tcMar>
              <w:left w:w="58" w:type="dxa"/>
              <w:right w:w="72" w:type="dxa"/>
            </w:tcMar>
          </w:tcPr>
          <w:p w14:paraId="2707FA67" w14:textId="77777777" w:rsidR="00F6339D" w:rsidRPr="000C16B3" w:rsidRDefault="00F6339D" w:rsidP="007D2780">
            <w:pPr>
              <w:spacing w:line="480" w:lineRule="auto"/>
              <w:rPr>
                <w:sz w:val="18"/>
              </w:rPr>
            </w:pPr>
            <w:r w:rsidRPr="000C16B3">
              <w:rPr>
                <w:sz w:val="18"/>
              </w:rPr>
              <w:t>Circumnasal scales</w:t>
            </w:r>
          </w:p>
        </w:tc>
        <w:tc>
          <w:tcPr>
            <w:tcW w:w="1394" w:type="dxa"/>
          </w:tcPr>
          <w:p w14:paraId="781E1B41" w14:textId="77777777" w:rsidR="00F6339D" w:rsidRPr="000C16B3" w:rsidRDefault="00F6339D" w:rsidP="007D2780">
            <w:pPr>
              <w:spacing w:line="480" w:lineRule="auto"/>
              <w:jc w:val="center"/>
              <w:rPr>
                <w:sz w:val="18"/>
              </w:rPr>
            </w:pPr>
            <w:r w:rsidRPr="000C16B3">
              <w:rPr>
                <w:sz w:val="18"/>
              </w:rPr>
              <w:t>3</w:t>
            </w:r>
          </w:p>
        </w:tc>
        <w:tc>
          <w:tcPr>
            <w:tcW w:w="1730" w:type="dxa"/>
            <w:tcMar>
              <w:left w:w="43" w:type="dxa"/>
              <w:right w:w="43" w:type="dxa"/>
            </w:tcMar>
          </w:tcPr>
          <w:p w14:paraId="360884A6" w14:textId="77777777" w:rsidR="00F6339D" w:rsidRPr="000C16B3" w:rsidRDefault="00F6339D" w:rsidP="007D2780">
            <w:pPr>
              <w:spacing w:line="480" w:lineRule="auto"/>
              <w:jc w:val="center"/>
              <w:rPr>
                <w:sz w:val="18"/>
              </w:rPr>
            </w:pPr>
            <w:r w:rsidRPr="000C16B3">
              <w:rPr>
                <w:sz w:val="18"/>
              </w:rPr>
              <w:t>3 or 4</w:t>
            </w:r>
          </w:p>
        </w:tc>
        <w:tc>
          <w:tcPr>
            <w:tcW w:w="1394" w:type="dxa"/>
          </w:tcPr>
          <w:p w14:paraId="7FD5ADD7" w14:textId="77777777" w:rsidR="00F6339D" w:rsidRPr="000C16B3" w:rsidRDefault="00F6339D" w:rsidP="007D2780">
            <w:pPr>
              <w:spacing w:line="480" w:lineRule="auto"/>
              <w:jc w:val="center"/>
              <w:rPr>
                <w:sz w:val="18"/>
              </w:rPr>
            </w:pPr>
            <w:r w:rsidRPr="000C16B3">
              <w:rPr>
                <w:sz w:val="18"/>
              </w:rPr>
              <w:t>4</w:t>
            </w:r>
          </w:p>
        </w:tc>
        <w:tc>
          <w:tcPr>
            <w:tcW w:w="1546" w:type="dxa"/>
          </w:tcPr>
          <w:p w14:paraId="437B13A1" w14:textId="77777777" w:rsidR="00F6339D" w:rsidRPr="000C16B3" w:rsidRDefault="00F6339D" w:rsidP="007D2780">
            <w:pPr>
              <w:spacing w:line="480" w:lineRule="auto"/>
              <w:jc w:val="center"/>
              <w:rPr>
                <w:sz w:val="18"/>
              </w:rPr>
            </w:pPr>
            <w:r>
              <w:rPr>
                <w:sz w:val="18"/>
              </w:rPr>
              <w:t>4</w:t>
            </w:r>
          </w:p>
        </w:tc>
        <w:tc>
          <w:tcPr>
            <w:tcW w:w="1546" w:type="dxa"/>
          </w:tcPr>
          <w:p w14:paraId="63ACF183" w14:textId="77777777" w:rsidR="00F6339D" w:rsidRPr="000C16B3" w:rsidRDefault="00F6339D" w:rsidP="007D2780">
            <w:pPr>
              <w:spacing w:line="480" w:lineRule="auto"/>
              <w:jc w:val="center"/>
              <w:rPr>
                <w:sz w:val="18"/>
              </w:rPr>
            </w:pPr>
            <w:r w:rsidRPr="000C16B3">
              <w:rPr>
                <w:sz w:val="18"/>
              </w:rPr>
              <w:t>4</w:t>
            </w:r>
          </w:p>
        </w:tc>
        <w:tc>
          <w:tcPr>
            <w:tcW w:w="1726" w:type="dxa"/>
          </w:tcPr>
          <w:p w14:paraId="7CBA0940" w14:textId="77777777" w:rsidR="00F6339D" w:rsidRPr="000C16B3" w:rsidRDefault="00F6339D" w:rsidP="007D2780">
            <w:pPr>
              <w:spacing w:line="480" w:lineRule="auto"/>
              <w:jc w:val="center"/>
              <w:rPr>
                <w:sz w:val="18"/>
              </w:rPr>
            </w:pPr>
            <w:r w:rsidRPr="000C16B3">
              <w:rPr>
                <w:sz w:val="18"/>
              </w:rPr>
              <w:t>4</w:t>
            </w:r>
          </w:p>
        </w:tc>
      </w:tr>
      <w:tr w:rsidR="00F6339D" w:rsidRPr="000C16B3" w14:paraId="0CB1388B" w14:textId="77777777" w:rsidTr="007D2780">
        <w:trPr>
          <w:trHeight w:val="33"/>
        </w:trPr>
        <w:tc>
          <w:tcPr>
            <w:tcW w:w="2282" w:type="dxa"/>
            <w:tcBorders>
              <w:bottom w:val="single" w:sz="4" w:space="0" w:color="auto"/>
            </w:tcBorders>
            <w:tcMar>
              <w:left w:w="58" w:type="dxa"/>
              <w:right w:w="72" w:type="dxa"/>
            </w:tcMar>
          </w:tcPr>
          <w:p w14:paraId="4936EE1D" w14:textId="77777777" w:rsidR="00F6339D" w:rsidRPr="000C16B3" w:rsidRDefault="00F6339D" w:rsidP="007D2780">
            <w:pPr>
              <w:spacing w:line="480" w:lineRule="auto"/>
              <w:rPr>
                <w:sz w:val="18"/>
              </w:rPr>
            </w:pPr>
            <w:r w:rsidRPr="000C16B3">
              <w:rPr>
                <w:sz w:val="18"/>
              </w:rPr>
              <w:t>Rostral contacting nares</w:t>
            </w:r>
          </w:p>
        </w:tc>
        <w:tc>
          <w:tcPr>
            <w:tcW w:w="1394" w:type="dxa"/>
            <w:tcBorders>
              <w:bottom w:val="single" w:sz="4" w:space="0" w:color="auto"/>
            </w:tcBorders>
          </w:tcPr>
          <w:p w14:paraId="5B59A7D9" w14:textId="77777777" w:rsidR="00F6339D" w:rsidRPr="000C16B3" w:rsidRDefault="00F6339D" w:rsidP="007D2780">
            <w:pPr>
              <w:spacing w:line="480" w:lineRule="auto"/>
              <w:jc w:val="center"/>
              <w:rPr>
                <w:sz w:val="18"/>
              </w:rPr>
            </w:pPr>
            <w:r w:rsidRPr="000C16B3">
              <w:rPr>
                <w:sz w:val="18"/>
              </w:rPr>
              <w:t>yes</w:t>
            </w:r>
          </w:p>
        </w:tc>
        <w:tc>
          <w:tcPr>
            <w:tcW w:w="1730" w:type="dxa"/>
            <w:tcBorders>
              <w:bottom w:val="single" w:sz="4" w:space="0" w:color="auto"/>
            </w:tcBorders>
            <w:tcMar>
              <w:left w:w="43" w:type="dxa"/>
              <w:right w:w="43" w:type="dxa"/>
            </w:tcMar>
          </w:tcPr>
          <w:p w14:paraId="19891D74" w14:textId="77777777" w:rsidR="00F6339D" w:rsidRPr="000C16B3" w:rsidRDefault="00F6339D" w:rsidP="007D2780">
            <w:pPr>
              <w:spacing w:line="480" w:lineRule="auto"/>
              <w:jc w:val="center"/>
              <w:rPr>
                <w:sz w:val="18"/>
              </w:rPr>
            </w:pPr>
            <w:r w:rsidRPr="000C16B3">
              <w:rPr>
                <w:sz w:val="18"/>
              </w:rPr>
              <w:t>no</w:t>
            </w:r>
          </w:p>
        </w:tc>
        <w:tc>
          <w:tcPr>
            <w:tcW w:w="1394" w:type="dxa"/>
            <w:tcBorders>
              <w:bottom w:val="single" w:sz="4" w:space="0" w:color="auto"/>
            </w:tcBorders>
          </w:tcPr>
          <w:p w14:paraId="3C3BBB04" w14:textId="77777777" w:rsidR="00F6339D" w:rsidRPr="000C16B3" w:rsidRDefault="00F6339D" w:rsidP="007D2780">
            <w:pPr>
              <w:spacing w:line="480" w:lineRule="auto"/>
              <w:jc w:val="center"/>
              <w:rPr>
                <w:sz w:val="18"/>
              </w:rPr>
            </w:pPr>
            <w:r w:rsidRPr="000C16B3">
              <w:rPr>
                <w:sz w:val="18"/>
              </w:rPr>
              <w:t>no</w:t>
            </w:r>
          </w:p>
        </w:tc>
        <w:tc>
          <w:tcPr>
            <w:tcW w:w="1546" w:type="dxa"/>
            <w:tcBorders>
              <w:bottom w:val="single" w:sz="4" w:space="0" w:color="auto"/>
            </w:tcBorders>
          </w:tcPr>
          <w:p w14:paraId="5A82540E" w14:textId="77777777" w:rsidR="00F6339D" w:rsidRPr="000C16B3" w:rsidRDefault="00F6339D" w:rsidP="007D2780">
            <w:pPr>
              <w:spacing w:line="480" w:lineRule="auto"/>
              <w:jc w:val="center"/>
              <w:rPr>
                <w:sz w:val="18"/>
              </w:rPr>
            </w:pPr>
            <w:r>
              <w:rPr>
                <w:sz w:val="18"/>
              </w:rPr>
              <w:t>no</w:t>
            </w:r>
          </w:p>
        </w:tc>
        <w:tc>
          <w:tcPr>
            <w:tcW w:w="1546" w:type="dxa"/>
            <w:tcBorders>
              <w:bottom w:val="single" w:sz="4" w:space="0" w:color="auto"/>
            </w:tcBorders>
          </w:tcPr>
          <w:p w14:paraId="54DF817D" w14:textId="77777777" w:rsidR="00F6339D" w:rsidRPr="000C16B3" w:rsidRDefault="00F6339D" w:rsidP="007D2780">
            <w:pPr>
              <w:spacing w:line="480" w:lineRule="auto"/>
              <w:jc w:val="center"/>
              <w:rPr>
                <w:sz w:val="18"/>
              </w:rPr>
            </w:pPr>
            <w:r w:rsidRPr="000C16B3">
              <w:rPr>
                <w:sz w:val="18"/>
              </w:rPr>
              <w:t>no</w:t>
            </w:r>
          </w:p>
        </w:tc>
        <w:tc>
          <w:tcPr>
            <w:tcW w:w="1726" w:type="dxa"/>
            <w:tcBorders>
              <w:bottom w:val="single" w:sz="4" w:space="0" w:color="auto"/>
            </w:tcBorders>
          </w:tcPr>
          <w:p w14:paraId="1D778189" w14:textId="77777777" w:rsidR="00F6339D" w:rsidRPr="000C16B3" w:rsidRDefault="00F6339D" w:rsidP="007D2780">
            <w:pPr>
              <w:spacing w:line="480" w:lineRule="auto"/>
              <w:jc w:val="center"/>
              <w:rPr>
                <w:sz w:val="18"/>
              </w:rPr>
            </w:pPr>
            <w:r>
              <w:rPr>
                <w:sz w:val="18"/>
              </w:rPr>
              <w:t>no</w:t>
            </w:r>
          </w:p>
        </w:tc>
      </w:tr>
    </w:tbl>
    <w:bookmarkEnd w:id="18"/>
    <w:bookmarkEnd w:id="19"/>
    <w:p w14:paraId="05D2E2D3" w14:textId="77777777" w:rsidR="00F6339D" w:rsidRPr="00305073" w:rsidRDefault="00F6339D" w:rsidP="00F6339D">
      <w:pPr>
        <w:spacing w:line="480" w:lineRule="auto"/>
        <w:ind w:left="450" w:right="180"/>
        <w:rPr>
          <w:strike/>
          <w:sz w:val="18"/>
          <w:szCs w:val="18"/>
        </w:rPr>
      </w:pPr>
      <w:r w:rsidRPr="00305073">
        <w:rPr>
          <w:smallCaps/>
          <w:sz w:val="18"/>
          <w:szCs w:val="18"/>
        </w:rPr>
        <w:t>Table 1</w:t>
      </w:r>
      <w:r w:rsidRPr="00305073">
        <w:rPr>
          <w:sz w:val="18"/>
          <w:szCs w:val="18"/>
        </w:rPr>
        <w:t>.—(</w:t>
      </w:r>
      <w:r w:rsidRPr="00305073">
        <w:rPr>
          <w:i/>
          <w:iCs/>
          <w:sz w:val="18"/>
          <w:szCs w:val="18"/>
        </w:rPr>
        <w:t>continued</w:t>
      </w:r>
      <w:r w:rsidRPr="00305073">
        <w:rPr>
          <w:sz w:val="18"/>
          <w:szCs w:val="18"/>
        </w:rPr>
        <w:t>).</w:t>
      </w:r>
    </w:p>
    <w:tbl>
      <w:tblPr>
        <w:tblW w:w="11106" w:type="dxa"/>
        <w:tblInd w:w="446" w:type="dxa"/>
        <w:tblLayout w:type="fixed"/>
        <w:tblCellMar>
          <w:top w:w="29" w:type="dxa"/>
          <w:left w:w="0" w:type="dxa"/>
          <w:bottom w:w="29" w:type="dxa"/>
          <w:right w:w="0" w:type="dxa"/>
        </w:tblCellMar>
        <w:tblLook w:val="01E0" w:firstRow="1" w:lastRow="1" w:firstColumn="1" w:lastColumn="1" w:noHBand="0" w:noVBand="0"/>
      </w:tblPr>
      <w:tblGrid>
        <w:gridCol w:w="2106"/>
        <w:gridCol w:w="1394"/>
        <w:gridCol w:w="1394"/>
        <w:gridCol w:w="1730"/>
        <w:gridCol w:w="1394"/>
        <w:gridCol w:w="1394"/>
        <w:gridCol w:w="1694"/>
      </w:tblGrid>
      <w:tr w:rsidR="00F6339D" w:rsidRPr="007A4BBA" w14:paraId="5F58D054" w14:textId="77777777" w:rsidTr="007D2780">
        <w:trPr>
          <w:trHeight w:hRule="exact" w:val="720"/>
        </w:trPr>
        <w:tc>
          <w:tcPr>
            <w:tcW w:w="2106" w:type="dxa"/>
            <w:tcBorders>
              <w:top w:val="single" w:sz="4" w:space="0" w:color="auto"/>
              <w:bottom w:val="single" w:sz="4" w:space="0" w:color="auto"/>
            </w:tcBorders>
            <w:vAlign w:val="center"/>
          </w:tcPr>
          <w:p w14:paraId="06546038" w14:textId="77777777" w:rsidR="00F6339D" w:rsidRPr="007A4BBA" w:rsidRDefault="00F6339D" w:rsidP="007D2780">
            <w:pPr>
              <w:spacing w:line="480" w:lineRule="auto"/>
              <w:jc w:val="center"/>
              <w:rPr>
                <w:sz w:val="18"/>
              </w:rPr>
            </w:pPr>
          </w:p>
        </w:tc>
        <w:tc>
          <w:tcPr>
            <w:tcW w:w="1394" w:type="dxa"/>
            <w:tcBorders>
              <w:top w:val="single" w:sz="4" w:space="0" w:color="auto"/>
              <w:bottom w:val="single" w:sz="4" w:space="0" w:color="auto"/>
            </w:tcBorders>
            <w:vAlign w:val="center"/>
          </w:tcPr>
          <w:p w14:paraId="6DFBF438" w14:textId="77777777" w:rsidR="00F6339D" w:rsidRDefault="00F6339D" w:rsidP="007D2780">
            <w:pPr>
              <w:spacing w:line="480" w:lineRule="auto"/>
              <w:jc w:val="center"/>
              <w:rPr>
                <w:i/>
                <w:iCs/>
                <w:sz w:val="18"/>
              </w:rPr>
            </w:pPr>
            <w:r>
              <w:rPr>
                <w:i/>
                <w:iCs/>
                <w:sz w:val="18"/>
              </w:rPr>
              <w:t>herrei herrei</w:t>
            </w:r>
          </w:p>
          <w:p w14:paraId="75D50B2A" w14:textId="77777777" w:rsidR="00F6339D" w:rsidRPr="007A4BBA" w:rsidRDefault="00F6339D" w:rsidP="007D2780">
            <w:pPr>
              <w:spacing w:line="480" w:lineRule="auto"/>
              <w:jc w:val="center"/>
              <w:rPr>
                <w:i/>
                <w:sz w:val="18"/>
              </w:rPr>
            </w:pPr>
            <w:r w:rsidRPr="00461E75">
              <w:rPr>
                <w:sz w:val="18"/>
              </w:rPr>
              <w:t xml:space="preserve">(6 m, </w:t>
            </w:r>
            <w:r>
              <w:rPr>
                <w:sz w:val="18"/>
              </w:rPr>
              <w:t>2</w:t>
            </w:r>
            <w:r w:rsidRPr="00461E75">
              <w:rPr>
                <w:sz w:val="18"/>
              </w:rPr>
              <w:t xml:space="preserve"> f)</w:t>
            </w:r>
          </w:p>
        </w:tc>
        <w:tc>
          <w:tcPr>
            <w:tcW w:w="1394" w:type="dxa"/>
            <w:tcBorders>
              <w:top w:val="single" w:sz="4" w:space="0" w:color="auto"/>
              <w:bottom w:val="single" w:sz="4" w:space="0" w:color="auto"/>
            </w:tcBorders>
            <w:vAlign w:val="center"/>
          </w:tcPr>
          <w:p w14:paraId="091A5029" w14:textId="77777777" w:rsidR="00F6339D" w:rsidRPr="007A4BBA" w:rsidRDefault="00F6339D" w:rsidP="007D2780">
            <w:pPr>
              <w:spacing w:line="480" w:lineRule="auto"/>
              <w:jc w:val="center"/>
              <w:rPr>
                <w:i/>
                <w:sz w:val="18"/>
              </w:rPr>
            </w:pPr>
            <w:r w:rsidRPr="007A4BBA">
              <w:rPr>
                <w:i/>
                <w:sz w:val="18"/>
              </w:rPr>
              <w:t>herrei medianus</w:t>
            </w:r>
          </w:p>
          <w:p w14:paraId="5181D8C9" w14:textId="77777777" w:rsidR="00F6339D" w:rsidRPr="007A4BBA" w:rsidRDefault="00F6339D" w:rsidP="007D2780">
            <w:pPr>
              <w:spacing w:line="480" w:lineRule="auto"/>
              <w:jc w:val="center"/>
              <w:rPr>
                <w:sz w:val="18"/>
              </w:rPr>
            </w:pPr>
            <w:r w:rsidRPr="007A4BBA">
              <w:rPr>
                <w:sz w:val="18"/>
              </w:rPr>
              <w:t>(</w:t>
            </w:r>
            <w:r>
              <w:rPr>
                <w:sz w:val="18"/>
              </w:rPr>
              <w:t>8</w:t>
            </w:r>
            <w:r w:rsidRPr="007A4BBA">
              <w:rPr>
                <w:sz w:val="18"/>
              </w:rPr>
              <w:t xml:space="preserve"> m, </w:t>
            </w:r>
            <w:r>
              <w:rPr>
                <w:sz w:val="18"/>
              </w:rPr>
              <w:t>3</w:t>
            </w:r>
            <w:r w:rsidRPr="007A4BBA">
              <w:rPr>
                <w:sz w:val="18"/>
              </w:rPr>
              <w:t xml:space="preserve"> f)</w:t>
            </w:r>
          </w:p>
        </w:tc>
        <w:tc>
          <w:tcPr>
            <w:tcW w:w="1730" w:type="dxa"/>
            <w:tcBorders>
              <w:top w:val="single" w:sz="4" w:space="0" w:color="auto"/>
              <w:bottom w:val="single" w:sz="4" w:space="0" w:color="auto"/>
            </w:tcBorders>
            <w:vAlign w:val="center"/>
          </w:tcPr>
          <w:p w14:paraId="7D667114" w14:textId="77777777" w:rsidR="00F6339D" w:rsidRPr="007A4BBA" w:rsidRDefault="00F6339D" w:rsidP="007D2780">
            <w:pPr>
              <w:spacing w:line="480" w:lineRule="auto"/>
              <w:jc w:val="center"/>
              <w:rPr>
                <w:i/>
                <w:iCs/>
                <w:sz w:val="18"/>
              </w:rPr>
            </w:pPr>
            <w:r w:rsidRPr="007A4BBA">
              <w:rPr>
                <w:i/>
                <w:iCs/>
                <w:sz w:val="18"/>
              </w:rPr>
              <w:t>labialis</w:t>
            </w:r>
          </w:p>
          <w:p w14:paraId="5E0D1934" w14:textId="77777777" w:rsidR="00F6339D" w:rsidRPr="007A4BBA" w:rsidRDefault="00F6339D" w:rsidP="007D2780">
            <w:pPr>
              <w:spacing w:line="480" w:lineRule="auto"/>
              <w:jc w:val="center"/>
              <w:rPr>
                <w:sz w:val="18"/>
              </w:rPr>
            </w:pPr>
            <w:r w:rsidRPr="007A4BBA">
              <w:rPr>
                <w:sz w:val="18"/>
              </w:rPr>
              <w:t>(</w:t>
            </w:r>
            <w:r>
              <w:rPr>
                <w:sz w:val="18"/>
              </w:rPr>
              <w:t>8</w:t>
            </w:r>
            <w:r w:rsidRPr="007A4BBA">
              <w:rPr>
                <w:sz w:val="18"/>
              </w:rPr>
              <w:t xml:space="preserve"> m, </w:t>
            </w:r>
            <w:r>
              <w:rPr>
                <w:sz w:val="18"/>
              </w:rPr>
              <w:t>7</w:t>
            </w:r>
            <w:r w:rsidRPr="007A4BBA">
              <w:rPr>
                <w:sz w:val="18"/>
              </w:rPr>
              <w:t xml:space="preserve"> f)</w:t>
            </w:r>
          </w:p>
        </w:tc>
        <w:tc>
          <w:tcPr>
            <w:tcW w:w="1394" w:type="dxa"/>
            <w:tcBorders>
              <w:top w:val="single" w:sz="4" w:space="0" w:color="auto"/>
              <w:bottom w:val="single" w:sz="4" w:space="0" w:color="auto"/>
            </w:tcBorders>
            <w:vAlign w:val="center"/>
          </w:tcPr>
          <w:p w14:paraId="378CD35B" w14:textId="77777777" w:rsidR="00F6339D" w:rsidRPr="007A4BBA" w:rsidRDefault="00F6339D" w:rsidP="007D2780">
            <w:pPr>
              <w:spacing w:line="480" w:lineRule="auto"/>
              <w:jc w:val="center"/>
              <w:rPr>
                <w:i/>
                <w:iCs/>
                <w:sz w:val="18"/>
              </w:rPr>
            </w:pPr>
            <w:r w:rsidRPr="007A4BBA">
              <w:rPr>
                <w:i/>
                <w:iCs/>
                <w:sz w:val="18"/>
              </w:rPr>
              <w:t>lugubris</w:t>
            </w:r>
          </w:p>
          <w:p w14:paraId="30952061" w14:textId="77777777" w:rsidR="00F6339D" w:rsidRDefault="00F6339D" w:rsidP="007D2780">
            <w:pPr>
              <w:spacing w:line="480" w:lineRule="auto"/>
              <w:jc w:val="center"/>
              <w:rPr>
                <w:i/>
                <w:iCs/>
                <w:sz w:val="18"/>
              </w:rPr>
            </w:pPr>
            <w:r w:rsidRPr="007A4BBA">
              <w:rPr>
                <w:sz w:val="18"/>
              </w:rPr>
              <w:t>(1 m, 1</w:t>
            </w:r>
            <w:r>
              <w:rPr>
                <w:sz w:val="18"/>
              </w:rPr>
              <w:t>4</w:t>
            </w:r>
            <w:r w:rsidRPr="007A4BBA">
              <w:rPr>
                <w:sz w:val="18"/>
              </w:rPr>
              <w:t xml:space="preserve"> f)</w:t>
            </w:r>
          </w:p>
        </w:tc>
        <w:tc>
          <w:tcPr>
            <w:tcW w:w="1394" w:type="dxa"/>
            <w:tcBorders>
              <w:top w:val="single" w:sz="4" w:space="0" w:color="auto"/>
              <w:bottom w:val="single" w:sz="4" w:space="0" w:color="auto"/>
            </w:tcBorders>
            <w:vAlign w:val="center"/>
          </w:tcPr>
          <w:p w14:paraId="6407E64E" w14:textId="77777777" w:rsidR="00F6339D" w:rsidRPr="007A4BBA" w:rsidRDefault="00F6339D" w:rsidP="007D2780">
            <w:pPr>
              <w:spacing w:line="480" w:lineRule="auto"/>
              <w:jc w:val="center"/>
              <w:rPr>
                <w:sz w:val="18"/>
              </w:rPr>
            </w:pPr>
            <w:r>
              <w:rPr>
                <w:i/>
                <w:iCs/>
                <w:sz w:val="18"/>
              </w:rPr>
              <w:t>nakahiwalay</w:t>
            </w:r>
          </w:p>
          <w:p w14:paraId="1E1B199A" w14:textId="77777777" w:rsidR="00F6339D" w:rsidRPr="007A4BBA" w:rsidRDefault="00F6339D" w:rsidP="007D2780">
            <w:pPr>
              <w:spacing w:line="480" w:lineRule="auto"/>
              <w:jc w:val="center"/>
              <w:rPr>
                <w:sz w:val="18"/>
              </w:rPr>
            </w:pPr>
            <w:r w:rsidRPr="007A4BBA">
              <w:rPr>
                <w:sz w:val="18"/>
              </w:rPr>
              <w:t>(1 m, 1 f)</w:t>
            </w:r>
          </w:p>
        </w:tc>
        <w:tc>
          <w:tcPr>
            <w:tcW w:w="1694" w:type="dxa"/>
            <w:tcBorders>
              <w:top w:val="single" w:sz="4" w:space="0" w:color="auto"/>
              <w:bottom w:val="single" w:sz="4" w:space="0" w:color="auto"/>
            </w:tcBorders>
            <w:vAlign w:val="center"/>
          </w:tcPr>
          <w:p w14:paraId="10B1E591" w14:textId="77777777" w:rsidR="00F6339D" w:rsidRPr="007A4BBA" w:rsidRDefault="00F6339D" w:rsidP="007D2780">
            <w:pPr>
              <w:spacing w:line="480" w:lineRule="auto"/>
              <w:jc w:val="center"/>
              <w:rPr>
                <w:i/>
                <w:iCs/>
                <w:sz w:val="18"/>
              </w:rPr>
            </w:pPr>
            <w:r w:rsidRPr="007A4BBA">
              <w:rPr>
                <w:i/>
                <w:iCs/>
                <w:sz w:val="18"/>
              </w:rPr>
              <w:t>planicaudus</w:t>
            </w:r>
          </w:p>
          <w:p w14:paraId="13C09D22" w14:textId="77777777" w:rsidR="00F6339D" w:rsidRPr="007A4BBA" w:rsidRDefault="00F6339D" w:rsidP="007D2780">
            <w:pPr>
              <w:spacing w:line="480" w:lineRule="auto"/>
              <w:jc w:val="center"/>
              <w:rPr>
                <w:sz w:val="18"/>
              </w:rPr>
            </w:pPr>
            <w:r w:rsidRPr="007A4BBA">
              <w:rPr>
                <w:sz w:val="18"/>
              </w:rPr>
              <w:t>(</w:t>
            </w:r>
            <w:r>
              <w:rPr>
                <w:sz w:val="18"/>
              </w:rPr>
              <w:t>5</w:t>
            </w:r>
            <w:r w:rsidRPr="007A4BBA">
              <w:rPr>
                <w:sz w:val="18"/>
              </w:rPr>
              <w:t xml:space="preserve"> m, 17 f)</w:t>
            </w:r>
          </w:p>
        </w:tc>
      </w:tr>
      <w:tr w:rsidR="00F6339D" w:rsidRPr="007A4BBA" w14:paraId="09B31408" w14:textId="77777777" w:rsidTr="007D2780">
        <w:tc>
          <w:tcPr>
            <w:tcW w:w="2106" w:type="dxa"/>
            <w:tcMar>
              <w:left w:w="58" w:type="dxa"/>
              <w:right w:w="72" w:type="dxa"/>
            </w:tcMar>
          </w:tcPr>
          <w:p w14:paraId="6D3D2272" w14:textId="77777777" w:rsidR="00F6339D" w:rsidRPr="007A4BBA" w:rsidRDefault="00F6339D" w:rsidP="007D2780">
            <w:pPr>
              <w:spacing w:line="480" w:lineRule="auto"/>
              <w:rPr>
                <w:sz w:val="18"/>
              </w:rPr>
            </w:pPr>
            <w:r w:rsidRPr="007A4BBA">
              <w:rPr>
                <w:sz w:val="18"/>
              </w:rPr>
              <w:t>Snout–vent length</w:t>
            </w:r>
            <w:r>
              <w:rPr>
                <w:sz w:val="18"/>
              </w:rPr>
              <w:t xml:space="preserve"> (SVL)</w:t>
            </w:r>
          </w:p>
        </w:tc>
        <w:tc>
          <w:tcPr>
            <w:tcW w:w="1394" w:type="dxa"/>
          </w:tcPr>
          <w:p w14:paraId="5D5F59E3" w14:textId="77777777" w:rsidR="00F6339D" w:rsidRDefault="00F6339D" w:rsidP="007D2780">
            <w:pPr>
              <w:spacing w:line="480" w:lineRule="auto"/>
              <w:jc w:val="center"/>
              <w:rPr>
                <w:sz w:val="18"/>
              </w:rPr>
            </w:pPr>
            <w:r>
              <w:rPr>
                <w:sz w:val="18"/>
              </w:rPr>
              <w:t>41.6–50.8</w:t>
            </w:r>
          </w:p>
          <w:p w14:paraId="2E0837A7" w14:textId="77777777" w:rsidR="00F6339D" w:rsidRDefault="00F6339D" w:rsidP="007D2780">
            <w:pPr>
              <w:spacing w:line="480" w:lineRule="auto"/>
              <w:jc w:val="center"/>
              <w:rPr>
                <w:sz w:val="18"/>
              </w:rPr>
            </w:pPr>
            <w:r>
              <w:rPr>
                <w:sz w:val="18"/>
              </w:rPr>
              <w:t xml:space="preserve">(46.0 </w:t>
            </w:r>
            <w:r w:rsidRPr="00B53581">
              <w:rPr>
                <w:sz w:val="18"/>
              </w:rPr>
              <w:t>±</w:t>
            </w:r>
            <w:r>
              <w:rPr>
                <w:sz w:val="18"/>
              </w:rPr>
              <w:t xml:space="preserve"> 2.6)</w:t>
            </w:r>
          </w:p>
        </w:tc>
        <w:tc>
          <w:tcPr>
            <w:tcW w:w="1394" w:type="dxa"/>
          </w:tcPr>
          <w:p w14:paraId="0C4BC183" w14:textId="77777777" w:rsidR="00F6339D" w:rsidRDefault="00F6339D" w:rsidP="007D2780">
            <w:pPr>
              <w:spacing w:line="480" w:lineRule="auto"/>
              <w:jc w:val="center"/>
              <w:rPr>
                <w:sz w:val="18"/>
              </w:rPr>
            </w:pPr>
            <w:r>
              <w:rPr>
                <w:sz w:val="18"/>
              </w:rPr>
              <w:t>38.1–44.7</w:t>
            </w:r>
          </w:p>
          <w:p w14:paraId="514B68C6" w14:textId="77777777" w:rsidR="00F6339D" w:rsidRPr="007A4BBA" w:rsidRDefault="00F6339D" w:rsidP="007D2780">
            <w:pPr>
              <w:spacing w:line="480" w:lineRule="auto"/>
              <w:jc w:val="center"/>
              <w:rPr>
                <w:sz w:val="18"/>
              </w:rPr>
            </w:pPr>
            <w:r>
              <w:rPr>
                <w:sz w:val="18"/>
              </w:rPr>
              <w:t xml:space="preserve">(41.4 </w:t>
            </w:r>
            <w:r w:rsidRPr="00B53581">
              <w:rPr>
                <w:sz w:val="18"/>
              </w:rPr>
              <w:t>±</w:t>
            </w:r>
            <w:r>
              <w:rPr>
                <w:sz w:val="18"/>
              </w:rPr>
              <w:t xml:space="preserve"> 2.2)</w:t>
            </w:r>
          </w:p>
        </w:tc>
        <w:tc>
          <w:tcPr>
            <w:tcW w:w="1730" w:type="dxa"/>
            <w:tcMar>
              <w:left w:w="43" w:type="dxa"/>
              <w:right w:w="43" w:type="dxa"/>
            </w:tcMar>
          </w:tcPr>
          <w:p w14:paraId="54FF57E2" w14:textId="77777777" w:rsidR="00F6339D" w:rsidRDefault="00F6339D" w:rsidP="007D2780">
            <w:pPr>
              <w:spacing w:line="480" w:lineRule="auto"/>
              <w:jc w:val="center"/>
              <w:rPr>
                <w:sz w:val="18"/>
              </w:rPr>
            </w:pPr>
            <w:r>
              <w:rPr>
                <w:sz w:val="18"/>
              </w:rPr>
              <w:t>42.5–52.8</w:t>
            </w:r>
          </w:p>
          <w:p w14:paraId="62DB5EC7" w14:textId="77777777" w:rsidR="00F6339D" w:rsidRPr="007A4BBA" w:rsidRDefault="00F6339D" w:rsidP="007D2780">
            <w:pPr>
              <w:spacing w:line="480" w:lineRule="auto"/>
              <w:jc w:val="center"/>
              <w:rPr>
                <w:sz w:val="18"/>
              </w:rPr>
            </w:pPr>
            <w:r>
              <w:rPr>
                <w:sz w:val="18"/>
              </w:rPr>
              <w:t xml:space="preserve">(47.9 </w:t>
            </w:r>
            <w:r w:rsidRPr="00B53581">
              <w:rPr>
                <w:sz w:val="18"/>
              </w:rPr>
              <w:t>±</w:t>
            </w:r>
            <w:r>
              <w:rPr>
                <w:sz w:val="18"/>
              </w:rPr>
              <w:t xml:space="preserve"> 3.2)</w:t>
            </w:r>
          </w:p>
        </w:tc>
        <w:tc>
          <w:tcPr>
            <w:tcW w:w="1394" w:type="dxa"/>
          </w:tcPr>
          <w:p w14:paraId="14CFE4CB" w14:textId="77777777" w:rsidR="00F6339D" w:rsidRDefault="00F6339D" w:rsidP="007D2780">
            <w:pPr>
              <w:spacing w:line="480" w:lineRule="auto"/>
              <w:jc w:val="center"/>
              <w:rPr>
                <w:sz w:val="18"/>
              </w:rPr>
            </w:pPr>
            <w:r>
              <w:rPr>
                <w:sz w:val="18"/>
              </w:rPr>
              <w:t>36.1–44.0</w:t>
            </w:r>
          </w:p>
          <w:p w14:paraId="0688F3D3" w14:textId="77777777" w:rsidR="00F6339D" w:rsidRDefault="00F6339D" w:rsidP="007D2780">
            <w:pPr>
              <w:spacing w:line="480" w:lineRule="auto"/>
              <w:jc w:val="center"/>
              <w:rPr>
                <w:sz w:val="18"/>
              </w:rPr>
            </w:pPr>
            <w:r>
              <w:rPr>
                <w:sz w:val="18"/>
              </w:rPr>
              <w:t xml:space="preserve">(39.7 </w:t>
            </w:r>
            <w:r w:rsidRPr="00B53581">
              <w:rPr>
                <w:sz w:val="18"/>
              </w:rPr>
              <w:t>±</w:t>
            </w:r>
            <w:r>
              <w:rPr>
                <w:sz w:val="18"/>
              </w:rPr>
              <w:t xml:space="preserve"> 2.3)</w:t>
            </w:r>
          </w:p>
        </w:tc>
        <w:tc>
          <w:tcPr>
            <w:tcW w:w="1394" w:type="dxa"/>
          </w:tcPr>
          <w:p w14:paraId="4EFEA258" w14:textId="77777777" w:rsidR="00F6339D" w:rsidRDefault="00F6339D" w:rsidP="007D2780">
            <w:pPr>
              <w:spacing w:line="480" w:lineRule="auto"/>
              <w:jc w:val="center"/>
              <w:rPr>
                <w:sz w:val="18"/>
              </w:rPr>
            </w:pPr>
            <w:r>
              <w:rPr>
                <w:sz w:val="18"/>
              </w:rPr>
              <w:t>40.6, 40.8</w:t>
            </w:r>
          </w:p>
          <w:p w14:paraId="19A6E8C1" w14:textId="77777777" w:rsidR="00F6339D" w:rsidRPr="007A4BBA" w:rsidRDefault="00F6339D" w:rsidP="007D2780">
            <w:pPr>
              <w:spacing w:line="480" w:lineRule="auto"/>
              <w:jc w:val="center"/>
              <w:rPr>
                <w:sz w:val="18"/>
              </w:rPr>
            </w:pPr>
          </w:p>
        </w:tc>
        <w:tc>
          <w:tcPr>
            <w:tcW w:w="1694" w:type="dxa"/>
          </w:tcPr>
          <w:p w14:paraId="333C0556" w14:textId="77777777" w:rsidR="00F6339D" w:rsidRDefault="00F6339D" w:rsidP="007D2780">
            <w:pPr>
              <w:spacing w:line="480" w:lineRule="auto"/>
              <w:jc w:val="center"/>
              <w:rPr>
                <w:sz w:val="18"/>
              </w:rPr>
            </w:pPr>
            <w:r>
              <w:rPr>
                <w:sz w:val="18"/>
              </w:rPr>
              <w:t>29.1–37.6</w:t>
            </w:r>
          </w:p>
          <w:p w14:paraId="20A58A30" w14:textId="77777777" w:rsidR="00F6339D" w:rsidRPr="007A4BBA" w:rsidRDefault="00F6339D" w:rsidP="007D2780">
            <w:pPr>
              <w:spacing w:line="480" w:lineRule="auto"/>
              <w:jc w:val="center"/>
              <w:rPr>
                <w:sz w:val="18"/>
              </w:rPr>
            </w:pPr>
            <w:r>
              <w:rPr>
                <w:sz w:val="18"/>
              </w:rPr>
              <w:t xml:space="preserve">(32.2 </w:t>
            </w:r>
            <w:r w:rsidRPr="00B53581">
              <w:rPr>
                <w:sz w:val="18"/>
              </w:rPr>
              <w:t>±</w:t>
            </w:r>
            <w:r>
              <w:rPr>
                <w:sz w:val="18"/>
              </w:rPr>
              <w:t xml:space="preserve"> 2.5)</w:t>
            </w:r>
          </w:p>
        </w:tc>
      </w:tr>
      <w:tr w:rsidR="00F6339D" w:rsidRPr="007A4BBA" w14:paraId="34954BB3" w14:textId="77777777" w:rsidTr="007D2780">
        <w:tc>
          <w:tcPr>
            <w:tcW w:w="2106" w:type="dxa"/>
            <w:tcMar>
              <w:left w:w="58" w:type="dxa"/>
              <w:right w:w="72" w:type="dxa"/>
            </w:tcMar>
          </w:tcPr>
          <w:p w14:paraId="36141A0C" w14:textId="77777777" w:rsidR="00F6339D" w:rsidRPr="00B53581" w:rsidRDefault="00F6339D" w:rsidP="007D2780">
            <w:pPr>
              <w:spacing w:line="480" w:lineRule="auto"/>
              <w:rPr>
                <w:sz w:val="18"/>
                <w:highlight w:val="yellow"/>
              </w:rPr>
            </w:pPr>
            <w:r w:rsidRPr="009820DF">
              <w:rPr>
                <w:sz w:val="18"/>
              </w:rPr>
              <w:t>Axilla–groin distance</w:t>
            </w:r>
            <w:r>
              <w:rPr>
                <w:sz w:val="18"/>
              </w:rPr>
              <w:t>/SVL</w:t>
            </w:r>
          </w:p>
        </w:tc>
        <w:tc>
          <w:tcPr>
            <w:tcW w:w="1394" w:type="dxa"/>
          </w:tcPr>
          <w:p w14:paraId="3C381F78" w14:textId="77777777" w:rsidR="00F6339D" w:rsidRPr="000C16B3" w:rsidRDefault="00F6339D" w:rsidP="007D2780">
            <w:pPr>
              <w:spacing w:line="480" w:lineRule="auto"/>
              <w:jc w:val="center"/>
              <w:rPr>
                <w:sz w:val="18"/>
              </w:rPr>
            </w:pPr>
            <w:r>
              <w:rPr>
                <w:sz w:val="18"/>
              </w:rPr>
              <w:t>45.2</w:t>
            </w:r>
            <w:r w:rsidRPr="000C16B3">
              <w:rPr>
                <w:sz w:val="18"/>
              </w:rPr>
              <w:t>–</w:t>
            </w:r>
            <w:r>
              <w:rPr>
                <w:sz w:val="18"/>
              </w:rPr>
              <w:t>50.8%</w:t>
            </w:r>
          </w:p>
          <w:p w14:paraId="501C01A7" w14:textId="77777777" w:rsidR="00F6339D" w:rsidRDefault="00F6339D" w:rsidP="007D2780">
            <w:pPr>
              <w:spacing w:line="480" w:lineRule="auto"/>
              <w:jc w:val="center"/>
              <w:rPr>
                <w:sz w:val="18"/>
              </w:rPr>
            </w:pPr>
            <w:r w:rsidRPr="000C16B3">
              <w:rPr>
                <w:sz w:val="18"/>
              </w:rPr>
              <w:t>(</w:t>
            </w:r>
            <w:r>
              <w:rPr>
                <w:sz w:val="18"/>
              </w:rPr>
              <w:t>47.8</w:t>
            </w:r>
            <w:r w:rsidRPr="000C16B3">
              <w:rPr>
                <w:sz w:val="18"/>
              </w:rPr>
              <w:t xml:space="preserve"> ± </w:t>
            </w:r>
            <w:r>
              <w:rPr>
                <w:sz w:val="18"/>
              </w:rPr>
              <w:t>2</w:t>
            </w:r>
            <w:r w:rsidRPr="000C16B3">
              <w:rPr>
                <w:sz w:val="18"/>
              </w:rPr>
              <w:t>.</w:t>
            </w:r>
            <w:r>
              <w:rPr>
                <w:sz w:val="18"/>
              </w:rPr>
              <w:t>0%</w:t>
            </w:r>
            <w:r w:rsidRPr="000C16B3">
              <w:rPr>
                <w:sz w:val="18"/>
              </w:rPr>
              <w:t>)</w:t>
            </w:r>
          </w:p>
        </w:tc>
        <w:tc>
          <w:tcPr>
            <w:tcW w:w="1394" w:type="dxa"/>
          </w:tcPr>
          <w:p w14:paraId="5D78534F" w14:textId="77777777" w:rsidR="00F6339D" w:rsidRDefault="00F6339D" w:rsidP="007D2780">
            <w:pPr>
              <w:spacing w:line="480" w:lineRule="auto"/>
              <w:jc w:val="center"/>
              <w:rPr>
                <w:sz w:val="18"/>
              </w:rPr>
            </w:pPr>
            <w:r>
              <w:rPr>
                <w:sz w:val="18"/>
              </w:rPr>
              <w:t>42.3–54.7%</w:t>
            </w:r>
          </w:p>
          <w:p w14:paraId="6C20F043" w14:textId="77777777" w:rsidR="00F6339D" w:rsidRPr="009820DF" w:rsidRDefault="00F6339D" w:rsidP="007D2780">
            <w:pPr>
              <w:spacing w:line="480" w:lineRule="auto"/>
              <w:jc w:val="center"/>
              <w:rPr>
                <w:sz w:val="18"/>
              </w:rPr>
            </w:pPr>
            <w:r>
              <w:rPr>
                <w:sz w:val="18"/>
              </w:rPr>
              <w:t xml:space="preserve">(46.6 </w:t>
            </w:r>
            <w:r w:rsidRPr="00B53581">
              <w:rPr>
                <w:sz w:val="18"/>
              </w:rPr>
              <w:t>±</w:t>
            </w:r>
            <w:r>
              <w:rPr>
                <w:sz w:val="18"/>
              </w:rPr>
              <w:t xml:space="preserve"> 3.4%)</w:t>
            </w:r>
          </w:p>
        </w:tc>
        <w:tc>
          <w:tcPr>
            <w:tcW w:w="1730" w:type="dxa"/>
            <w:tcMar>
              <w:left w:w="43" w:type="dxa"/>
              <w:right w:w="43" w:type="dxa"/>
            </w:tcMar>
          </w:tcPr>
          <w:p w14:paraId="46AE3021" w14:textId="77777777" w:rsidR="00F6339D" w:rsidRDefault="00F6339D" w:rsidP="007D2780">
            <w:pPr>
              <w:spacing w:line="480" w:lineRule="auto"/>
              <w:jc w:val="center"/>
              <w:rPr>
                <w:sz w:val="18"/>
              </w:rPr>
            </w:pPr>
            <w:r>
              <w:rPr>
                <w:sz w:val="18"/>
              </w:rPr>
              <w:t>45.9–56.4%</w:t>
            </w:r>
          </w:p>
          <w:p w14:paraId="23792A25" w14:textId="77777777" w:rsidR="00F6339D" w:rsidRPr="009820DF" w:rsidRDefault="00F6339D" w:rsidP="007D2780">
            <w:pPr>
              <w:spacing w:line="480" w:lineRule="auto"/>
              <w:jc w:val="center"/>
              <w:rPr>
                <w:sz w:val="18"/>
              </w:rPr>
            </w:pPr>
            <w:r>
              <w:rPr>
                <w:sz w:val="18"/>
              </w:rPr>
              <w:t xml:space="preserve">(50.8 </w:t>
            </w:r>
            <w:r w:rsidRPr="00B53581">
              <w:rPr>
                <w:sz w:val="18"/>
              </w:rPr>
              <w:t>±</w:t>
            </w:r>
            <w:r>
              <w:rPr>
                <w:sz w:val="18"/>
              </w:rPr>
              <w:t xml:space="preserve"> 2.7%)</w:t>
            </w:r>
          </w:p>
        </w:tc>
        <w:tc>
          <w:tcPr>
            <w:tcW w:w="1394" w:type="dxa"/>
          </w:tcPr>
          <w:p w14:paraId="7A52A435" w14:textId="77777777" w:rsidR="00F6339D" w:rsidRDefault="00F6339D" w:rsidP="007D2780">
            <w:pPr>
              <w:spacing w:line="480" w:lineRule="auto"/>
              <w:jc w:val="center"/>
              <w:rPr>
                <w:sz w:val="18"/>
              </w:rPr>
            </w:pPr>
            <w:r>
              <w:rPr>
                <w:sz w:val="18"/>
              </w:rPr>
              <w:t>39.6–51.8%</w:t>
            </w:r>
          </w:p>
          <w:p w14:paraId="4F726C21" w14:textId="77777777" w:rsidR="00F6339D" w:rsidRDefault="00F6339D" w:rsidP="007D2780">
            <w:pPr>
              <w:spacing w:line="480" w:lineRule="auto"/>
              <w:jc w:val="center"/>
              <w:rPr>
                <w:sz w:val="18"/>
              </w:rPr>
            </w:pPr>
            <w:r>
              <w:rPr>
                <w:sz w:val="18"/>
              </w:rPr>
              <w:t xml:space="preserve">(45.2 </w:t>
            </w:r>
            <w:r w:rsidRPr="00B53581">
              <w:rPr>
                <w:sz w:val="18"/>
              </w:rPr>
              <w:t>±</w:t>
            </w:r>
            <w:r>
              <w:rPr>
                <w:sz w:val="18"/>
              </w:rPr>
              <w:t xml:space="preserve"> 3.7%)</w:t>
            </w:r>
          </w:p>
        </w:tc>
        <w:tc>
          <w:tcPr>
            <w:tcW w:w="1394" w:type="dxa"/>
          </w:tcPr>
          <w:p w14:paraId="73AB16F6" w14:textId="77777777" w:rsidR="00F6339D" w:rsidRPr="009820DF" w:rsidRDefault="00F6339D" w:rsidP="007D2780">
            <w:pPr>
              <w:spacing w:line="480" w:lineRule="auto"/>
              <w:jc w:val="center"/>
              <w:rPr>
                <w:sz w:val="18"/>
              </w:rPr>
            </w:pPr>
            <w:r>
              <w:rPr>
                <w:sz w:val="18"/>
              </w:rPr>
              <w:t>51.2, 52.2%</w:t>
            </w:r>
          </w:p>
        </w:tc>
        <w:tc>
          <w:tcPr>
            <w:tcW w:w="1694" w:type="dxa"/>
          </w:tcPr>
          <w:p w14:paraId="059CC791" w14:textId="77777777" w:rsidR="00F6339D" w:rsidRDefault="00F6339D" w:rsidP="007D2780">
            <w:pPr>
              <w:spacing w:line="480" w:lineRule="auto"/>
              <w:jc w:val="center"/>
              <w:rPr>
                <w:sz w:val="18"/>
              </w:rPr>
            </w:pPr>
            <w:r>
              <w:rPr>
                <w:sz w:val="18"/>
              </w:rPr>
              <w:t>33.9–50.5%</w:t>
            </w:r>
          </w:p>
          <w:p w14:paraId="6AA0C43D" w14:textId="77777777" w:rsidR="00F6339D" w:rsidRPr="009820DF" w:rsidRDefault="00F6339D" w:rsidP="007D2780">
            <w:pPr>
              <w:spacing w:line="480" w:lineRule="auto"/>
              <w:jc w:val="center"/>
              <w:rPr>
                <w:sz w:val="18"/>
              </w:rPr>
            </w:pPr>
            <w:r>
              <w:rPr>
                <w:sz w:val="18"/>
              </w:rPr>
              <w:t xml:space="preserve">(43.4 </w:t>
            </w:r>
            <w:r w:rsidRPr="00B53581">
              <w:rPr>
                <w:sz w:val="18"/>
              </w:rPr>
              <w:t>±</w:t>
            </w:r>
            <w:r>
              <w:rPr>
                <w:sz w:val="18"/>
              </w:rPr>
              <w:t xml:space="preserve"> 4.7%)</w:t>
            </w:r>
          </w:p>
        </w:tc>
      </w:tr>
      <w:tr w:rsidR="00F6339D" w:rsidRPr="007A4BBA" w14:paraId="5EBF86E5" w14:textId="77777777" w:rsidTr="007D2780">
        <w:tc>
          <w:tcPr>
            <w:tcW w:w="2106" w:type="dxa"/>
            <w:tcMar>
              <w:left w:w="58" w:type="dxa"/>
              <w:right w:w="72" w:type="dxa"/>
            </w:tcMar>
          </w:tcPr>
          <w:p w14:paraId="5E85EF50" w14:textId="77777777" w:rsidR="00F6339D" w:rsidRPr="00B53581" w:rsidRDefault="00F6339D" w:rsidP="007D2780">
            <w:pPr>
              <w:spacing w:line="480" w:lineRule="auto"/>
              <w:rPr>
                <w:sz w:val="18"/>
                <w:highlight w:val="yellow"/>
              </w:rPr>
            </w:pPr>
            <w:r w:rsidRPr="00433D6F">
              <w:rPr>
                <w:sz w:val="18"/>
              </w:rPr>
              <w:t>Snout</w:t>
            </w:r>
            <w:r>
              <w:rPr>
                <w:sz w:val="18"/>
              </w:rPr>
              <w:t>–</w:t>
            </w:r>
            <w:r w:rsidRPr="00433D6F">
              <w:rPr>
                <w:sz w:val="18"/>
              </w:rPr>
              <w:t>forearm length</w:t>
            </w:r>
            <w:r>
              <w:rPr>
                <w:sz w:val="18"/>
              </w:rPr>
              <w:t>/SVL</w:t>
            </w:r>
          </w:p>
        </w:tc>
        <w:tc>
          <w:tcPr>
            <w:tcW w:w="1394" w:type="dxa"/>
          </w:tcPr>
          <w:p w14:paraId="533AAF5F" w14:textId="77777777" w:rsidR="00F6339D" w:rsidRPr="000C16B3" w:rsidRDefault="00F6339D" w:rsidP="007D2780">
            <w:pPr>
              <w:spacing w:line="480" w:lineRule="auto"/>
              <w:jc w:val="center"/>
              <w:rPr>
                <w:sz w:val="18"/>
              </w:rPr>
            </w:pPr>
            <w:r>
              <w:rPr>
                <w:sz w:val="18"/>
              </w:rPr>
              <w:t>31.3–38.4%</w:t>
            </w:r>
          </w:p>
          <w:p w14:paraId="0D66AB27" w14:textId="77777777" w:rsidR="00F6339D" w:rsidRPr="00B6561E" w:rsidRDefault="00F6339D" w:rsidP="007D2780">
            <w:pPr>
              <w:spacing w:line="480" w:lineRule="auto"/>
              <w:jc w:val="center"/>
              <w:rPr>
                <w:sz w:val="18"/>
              </w:rPr>
            </w:pPr>
            <w:r w:rsidRPr="000C16B3">
              <w:rPr>
                <w:sz w:val="18"/>
              </w:rPr>
              <w:t>(</w:t>
            </w:r>
            <w:r>
              <w:rPr>
                <w:sz w:val="18"/>
              </w:rPr>
              <w:t>36.8</w:t>
            </w:r>
            <w:r w:rsidRPr="000C16B3">
              <w:rPr>
                <w:sz w:val="18"/>
              </w:rPr>
              <w:t xml:space="preserve"> ±</w:t>
            </w:r>
            <w:r>
              <w:rPr>
                <w:sz w:val="18"/>
              </w:rPr>
              <w:t xml:space="preserve"> 2.3%</w:t>
            </w:r>
            <w:r w:rsidRPr="000C16B3">
              <w:rPr>
                <w:sz w:val="18"/>
              </w:rPr>
              <w:t>)</w:t>
            </w:r>
          </w:p>
        </w:tc>
        <w:tc>
          <w:tcPr>
            <w:tcW w:w="1394" w:type="dxa"/>
          </w:tcPr>
          <w:p w14:paraId="36C0B044" w14:textId="77777777" w:rsidR="00F6339D" w:rsidRDefault="00F6339D" w:rsidP="007D2780">
            <w:pPr>
              <w:spacing w:line="480" w:lineRule="auto"/>
              <w:jc w:val="center"/>
              <w:rPr>
                <w:sz w:val="18"/>
              </w:rPr>
            </w:pPr>
            <w:r>
              <w:rPr>
                <w:sz w:val="18"/>
              </w:rPr>
              <w:t>35.2–43.2%</w:t>
            </w:r>
          </w:p>
          <w:p w14:paraId="1936E3EB" w14:textId="77777777" w:rsidR="00F6339D" w:rsidRPr="00B6561E" w:rsidRDefault="00F6339D" w:rsidP="007D2780">
            <w:pPr>
              <w:spacing w:line="480" w:lineRule="auto"/>
              <w:jc w:val="center"/>
              <w:rPr>
                <w:sz w:val="18"/>
              </w:rPr>
            </w:pPr>
            <w:r>
              <w:rPr>
                <w:sz w:val="18"/>
              </w:rPr>
              <w:t xml:space="preserve">(38.8 </w:t>
            </w:r>
            <w:r w:rsidRPr="00B53581">
              <w:rPr>
                <w:sz w:val="18"/>
              </w:rPr>
              <w:t>±</w:t>
            </w:r>
            <w:r>
              <w:rPr>
                <w:sz w:val="18"/>
              </w:rPr>
              <w:t xml:space="preserve"> 2.5%)</w:t>
            </w:r>
          </w:p>
        </w:tc>
        <w:tc>
          <w:tcPr>
            <w:tcW w:w="1730" w:type="dxa"/>
            <w:tcMar>
              <w:left w:w="43" w:type="dxa"/>
              <w:right w:w="43" w:type="dxa"/>
            </w:tcMar>
          </w:tcPr>
          <w:p w14:paraId="69D25F39" w14:textId="77777777" w:rsidR="00F6339D" w:rsidRDefault="00F6339D" w:rsidP="007D2780">
            <w:pPr>
              <w:spacing w:line="480" w:lineRule="auto"/>
              <w:jc w:val="center"/>
              <w:rPr>
                <w:sz w:val="18"/>
              </w:rPr>
            </w:pPr>
            <w:r>
              <w:rPr>
                <w:sz w:val="18"/>
              </w:rPr>
              <w:t>31.5–38.1%</w:t>
            </w:r>
          </w:p>
          <w:p w14:paraId="469BF808" w14:textId="77777777" w:rsidR="00F6339D" w:rsidRPr="00B6561E" w:rsidRDefault="00F6339D" w:rsidP="007D2780">
            <w:pPr>
              <w:spacing w:line="480" w:lineRule="auto"/>
              <w:jc w:val="center"/>
              <w:rPr>
                <w:sz w:val="18"/>
              </w:rPr>
            </w:pPr>
            <w:r>
              <w:rPr>
                <w:sz w:val="18"/>
              </w:rPr>
              <w:t xml:space="preserve">(34.8 </w:t>
            </w:r>
            <w:r w:rsidRPr="00B53581">
              <w:rPr>
                <w:sz w:val="18"/>
              </w:rPr>
              <w:t>±</w:t>
            </w:r>
            <w:r>
              <w:rPr>
                <w:sz w:val="18"/>
              </w:rPr>
              <w:t xml:space="preserve"> 2.1%)</w:t>
            </w:r>
          </w:p>
        </w:tc>
        <w:tc>
          <w:tcPr>
            <w:tcW w:w="1394" w:type="dxa"/>
          </w:tcPr>
          <w:p w14:paraId="68871B14" w14:textId="77777777" w:rsidR="00F6339D" w:rsidRDefault="00F6339D" w:rsidP="007D2780">
            <w:pPr>
              <w:spacing w:line="480" w:lineRule="auto"/>
              <w:jc w:val="center"/>
              <w:rPr>
                <w:sz w:val="18"/>
              </w:rPr>
            </w:pPr>
            <w:r>
              <w:rPr>
                <w:sz w:val="18"/>
              </w:rPr>
              <w:t>34.5–43.1%</w:t>
            </w:r>
          </w:p>
          <w:p w14:paraId="2226B5BE" w14:textId="77777777" w:rsidR="00F6339D" w:rsidRPr="00B6561E" w:rsidRDefault="00F6339D" w:rsidP="007D2780">
            <w:pPr>
              <w:spacing w:line="480" w:lineRule="auto"/>
              <w:jc w:val="center"/>
              <w:rPr>
                <w:sz w:val="18"/>
              </w:rPr>
            </w:pPr>
            <w:r>
              <w:rPr>
                <w:sz w:val="18"/>
              </w:rPr>
              <w:t xml:space="preserve">(38.9 </w:t>
            </w:r>
            <w:r w:rsidRPr="00B53581">
              <w:rPr>
                <w:sz w:val="18"/>
              </w:rPr>
              <w:t>±</w:t>
            </w:r>
            <w:r>
              <w:rPr>
                <w:sz w:val="18"/>
              </w:rPr>
              <w:t xml:space="preserve"> 2.4%)</w:t>
            </w:r>
          </w:p>
        </w:tc>
        <w:tc>
          <w:tcPr>
            <w:tcW w:w="1394" w:type="dxa"/>
          </w:tcPr>
          <w:p w14:paraId="42170DF1" w14:textId="77777777" w:rsidR="00F6339D" w:rsidRPr="00B6561E" w:rsidRDefault="00F6339D" w:rsidP="007D2780">
            <w:pPr>
              <w:spacing w:line="480" w:lineRule="auto"/>
              <w:jc w:val="center"/>
              <w:rPr>
                <w:sz w:val="18"/>
              </w:rPr>
            </w:pPr>
            <w:r>
              <w:rPr>
                <w:sz w:val="18"/>
              </w:rPr>
              <w:t>34.2, 34.3%</w:t>
            </w:r>
          </w:p>
        </w:tc>
        <w:tc>
          <w:tcPr>
            <w:tcW w:w="1694" w:type="dxa"/>
          </w:tcPr>
          <w:p w14:paraId="097EC12D" w14:textId="77777777" w:rsidR="00F6339D" w:rsidRPr="00B6561E" w:rsidRDefault="00F6339D" w:rsidP="007D2780">
            <w:pPr>
              <w:spacing w:line="480" w:lineRule="auto"/>
              <w:jc w:val="center"/>
              <w:rPr>
                <w:sz w:val="18"/>
              </w:rPr>
            </w:pPr>
            <w:r>
              <w:rPr>
                <w:sz w:val="18"/>
              </w:rPr>
              <w:t>32.2–39.6%</w:t>
            </w:r>
          </w:p>
          <w:p w14:paraId="5EC5A108" w14:textId="77777777" w:rsidR="00F6339D" w:rsidRPr="00B53581" w:rsidRDefault="00F6339D" w:rsidP="007D2780">
            <w:pPr>
              <w:spacing w:line="480" w:lineRule="auto"/>
              <w:jc w:val="center"/>
              <w:rPr>
                <w:sz w:val="18"/>
                <w:highlight w:val="yellow"/>
              </w:rPr>
            </w:pPr>
            <w:r w:rsidRPr="00B6561E">
              <w:rPr>
                <w:sz w:val="18"/>
              </w:rPr>
              <w:t>(</w:t>
            </w:r>
            <w:r>
              <w:rPr>
                <w:sz w:val="18"/>
              </w:rPr>
              <w:t>37.3</w:t>
            </w:r>
            <w:r w:rsidRPr="00B6561E">
              <w:rPr>
                <w:sz w:val="18"/>
              </w:rPr>
              <w:t xml:space="preserve"> ± </w:t>
            </w:r>
            <w:r>
              <w:rPr>
                <w:sz w:val="18"/>
              </w:rPr>
              <w:t>2.0%</w:t>
            </w:r>
            <w:r w:rsidRPr="00B6561E">
              <w:rPr>
                <w:sz w:val="18"/>
              </w:rPr>
              <w:t>)</w:t>
            </w:r>
          </w:p>
        </w:tc>
      </w:tr>
      <w:tr w:rsidR="00F6339D" w:rsidRPr="007A4BBA" w14:paraId="4755F6C3" w14:textId="77777777" w:rsidTr="007D2780">
        <w:tc>
          <w:tcPr>
            <w:tcW w:w="2106" w:type="dxa"/>
            <w:tcMar>
              <w:left w:w="58" w:type="dxa"/>
              <w:right w:w="72" w:type="dxa"/>
            </w:tcMar>
          </w:tcPr>
          <w:p w14:paraId="74A6FAF8" w14:textId="77777777" w:rsidR="00F6339D" w:rsidRPr="00C114C5" w:rsidRDefault="00F6339D" w:rsidP="007D2780">
            <w:pPr>
              <w:spacing w:line="480" w:lineRule="auto"/>
              <w:rPr>
                <w:sz w:val="18"/>
              </w:rPr>
            </w:pPr>
            <w:r w:rsidRPr="00C114C5">
              <w:rPr>
                <w:sz w:val="18"/>
              </w:rPr>
              <w:t>Total arm length</w:t>
            </w:r>
            <w:r>
              <w:rPr>
                <w:sz w:val="18"/>
              </w:rPr>
              <w:t>/SVL</w:t>
            </w:r>
          </w:p>
        </w:tc>
        <w:tc>
          <w:tcPr>
            <w:tcW w:w="1394" w:type="dxa"/>
          </w:tcPr>
          <w:p w14:paraId="44F6FEFE" w14:textId="77777777" w:rsidR="00F6339D" w:rsidRPr="000C16B3" w:rsidRDefault="00F6339D" w:rsidP="007D2780">
            <w:pPr>
              <w:spacing w:line="480" w:lineRule="auto"/>
              <w:jc w:val="center"/>
              <w:rPr>
                <w:sz w:val="18"/>
              </w:rPr>
            </w:pPr>
            <w:r>
              <w:rPr>
                <w:sz w:val="18"/>
              </w:rPr>
              <w:t>20.8–23.8%</w:t>
            </w:r>
          </w:p>
          <w:p w14:paraId="52A13CB3" w14:textId="77777777" w:rsidR="00F6339D" w:rsidRDefault="00F6339D" w:rsidP="007D2780">
            <w:pPr>
              <w:spacing w:line="480" w:lineRule="auto"/>
              <w:jc w:val="center"/>
              <w:rPr>
                <w:sz w:val="18"/>
              </w:rPr>
            </w:pPr>
            <w:r w:rsidRPr="000C16B3">
              <w:rPr>
                <w:sz w:val="18"/>
              </w:rPr>
              <w:t>(</w:t>
            </w:r>
            <w:r>
              <w:rPr>
                <w:sz w:val="18"/>
              </w:rPr>
              <w:t>22.3</w:t>
            </w:r>
            <w:r w:rsidRPr="000C16B3">
              <w:rPr>
                <w:sz w:val="18"/>
              </w:rPr>
              <w:t xml:space="preserve"> ± </w:t>
            </w:r>
            <w:r>
              <w:rPr>
                <w:sz w:val="18"/>
              </w:rPr>
              <w:t>1.1%</w:t>
            </w:r>
            <w:r w:rsidRPr="000C16B3">
              <w:rPr>
                <w:sz w:val="18"/>
              </w:rPr>
              <w:t>)</w:t>
            </w:r>
          </w:p>
        </w:tc>
        <w:tc>
          <w:tcPr>
            <w:tcW w:w="1394" w:type="dxa"/>
          </w:tcPr>
          <w:p w14:paraId="0EA2847C" w14:textId="77777777" w:rsidR="00F6339D" w:rsidRDefault="00F6339D" w:rsidP="007D2780">
            <w:pPr>
              <w:spacing w:line="480" w:lineRule="auto"/>
              <w:jc w:val="center"/>
              <w:rPr>
                <w:sz w:val="18"/>
              </w:rPr>
            </w:pPr>
            <w:r>
              <w:rPr>
                <w:sz w:val="18"/>
              </w:rPr>
              <w:t>20.0–24.7%</w:t>
            </w:r>
          </w:p>
          <w:p w14:paraId="0BC13A47" w14:textId="77777777" w:rsidR="00F6339D" w:rsidRPr="00C114C5" w:rsidRDefault="00F6339D" w:rsidP="007D2780">
            <w:pPr>
              <w:spacing w:line="480" w:lineRule="auto"/>
              <w:jc w:val="center"/>
              <w:rPr>
                <w:sz w:val="18"/>
              </w:rPr>
            </w:pPr>
            <w:r>
              <w:rPr>
                <w:sz w:val="18"/>
              </w:rPr>
              <w:t xml:space="preserve">(22.6 </w:t>
            </w:r>
            <w:r w:rsidRPr="00B53581">
              <w:rPr>
                <w:sz w:val="18"/>
              </w:rPr>
              <w:t>±</w:t>
            </w:r>
            <w:r>
              <w:rPr>
                <w:sz w:val="18"/>
              </w:rPr>
              <w:t xml:space="preserve"> 1.4%)</w:t>
            </w:r>
          </w:p>
        </w:tc>
        <w:tc>
          <w:tcPr>
            <w:tcW w:w="1730" w:type="dxa"/>
            <w:tcMar>
              <w:left w:w="43" w:type="dxa"/>
              <w:right w:w="43" w:type="dxa"/>
            </w:tcMar>
          </w:tcPr>
          <w:p w14:paraId="0EE5763C" w14:textId="77777777" w:rsidR="00F6339D" w:rsidRDefault="00F6339D" w:rsidP="007D2780">
            <w:pPr>
              <w:spacing w:line="480" w:lineRule="auto"/>
              <w:jc w:val="center"/>
              <w:rPr>
                <w:sz w:val="18"/>
              </w:rPr>
            </w:pPr>
            <w:r>
              <w:rPr>
                <w:sz w:val="18"/>
              </w:rPr>
              <w:t>20.2–26.5%</w:t>
            </w:r>
          </w:p>
          <w:p w14:paraId="13F5975E" w14:textId="77777777" w:rsidR="00F6339D" w:rsidRPr="00C114C5" w:rsidRDefault="00F6339D" w:rsidP="007D2780">
            <w:pPr>
              <w:spacing w:line="480" w:lineRule="auto"/>
              <w:jc w:val="center"/>
              <w:rPr>
                <w:sz w:val="18"/>
              </w:rPr>
            </w:pPr>
            <w:r>
              <w:rPr>
                <w:sz w:val="18"/>
              </w:rPr>
              <w:t xml:space="preserve">(23.9 </w:t>
            </w:r>
            <w:r w:rsidRPr="00B53581">
              <w:rPr>
                <w:sz w:val="18"/>
              </w:rPr>
              <w:t>±</w:t>
            </w:r>
            <w:r>
              <w:rPr>
                <w:sz w:val="18"/>
              </w:rPr>
              <w:t xml:space="preserve"> 1.7%)</w:t>
            </w:r>
          </w:p>
        </w:tc>
        <w:tc>
          <w:tcPr>
            <w:tcW w:w="1394" w:type="dxa"/>
          </w:tcPr>
          <w:p w14:paraId="4FBCB422" w14:textId="77777777" w:rsidR="00F6339D" w:rsidRDefault="00F6339D" w:rsidP="007D2780">
            <w:pPr>
              <w:spacing w:line="480" w:lineRule="auto"/>
              <w:jc w:val="center"/>
              <w:rPr>
                <w:sz w:val="18"/>
              </w:rPr>
            </w:pPr>
            <w:r>
              <w:rPr>
                <w:sz w:val="18"/>
              </w:rPr>
              <w:t>19.1–25.6%</w:t>
            </w:r>
          </w:p>
          <w:p w14:paraId="15576508" w14:textId="77777777" w:rsidR="00F6339D" w:rsidRDefault="00F6339D" w:rsidP="007D2780">
            <w:pPr>
              <w:spacing w:line="480" w:lineRule="auto"/>
              <w:jc w:val="center"/>
              <w:rPr>
                <w:sz w:val="18"/>
              </w:rPr>
            </w:pPr>
            <w:r>
              <w:rPr>
                <w:sz w:val="18"/>
              </w:rPr>
              <w:t xml:space="preserve">(22.9 </w:t>
            </w:r>
            <w:r w:rsidRPr="00B53581">
              <w:rPr>
                <w:sz w:val="18"/>
              </w:rPr>
              <w:t>±</w:t>
            </w:r>
            <w:r>
              <w:rPr>
                <w:sz w:val="18"/>
              </w:rPr>
              <w:t xml:space="preserve"> 2.0%)</w:t>
            </w:r>
          </w:p>
        </w:tc>
        <w:tc>
          <w:tcPr>
            <w:tcW w:w="1394" w:type="dxa"/>
          </w:tcPr>
          <w:p w14:paraId="54CB8DDD" w14:textId="77777777" w:rsidR="00F6339D" w:rsidRPr="00C114C5" w:rsidRDefault="00F6339D" w:rsidP="007D2780">
            <w:pPr>
              <w:spacing w:line="480" w:lineRule="auto"/>
              <w:jc w:val="center"/>
              <w:rPr>
                <w:sz w:val="18"/>
              </w:rPr>
            </w:pPr>
            <w:r>
              <w:rPr>
                <w:sz w:val="18"/>
              </w:rPr>
              <w:t>18.1, 20.2%</w:t>
            </w:r>
          </w:p>
        </w:tc>
        <w:tc>
          <w:tcPr>
            <w:tcW w:w="1694" w:type="dxa"/>
          </w:tcPr>
          <w:p w14:paraId="200E4CB3" w14:textId="77777777" w:rsidR="00F6339D" w:rsidRDefault="00F6339D" w:rsidP="007D2780">
            <w:pPr>
              <w:spacing w:line="480" w:lineRule="auto"/>
              <w:jc w:val="center"/>
              <w:rPr>
                <w:sz w:val="18"/>
              </w:rPr>
            </w:pPr>
            <w:r>
              <w:rPr>
                <w:sz w:val="18"/>
              </w:rPr>
              <w:t>16.2–22.0%</w:t>
            </w:r>
          </w:p>
          <w:p w14:paraId="5FA13AB4" w14:textId="77777777" w:rsidR="00F6339D" w:rsidRPr="00C114C5" w:rsidRDefault="00F6339D" w:rsidP="007D2780">
            <w:pPr>
              <w:spacing w:line="480" w:lineRule="auto"/>
              <w:jc w:val="center"/>
              <w:rPr>
                <w:sz w:val="18"/>
              </w:rPr>
            </w:pPr>
            <w:r>
              <w:rPr>
                <w:sz w:val="18"/>
              </w:rPr>
              <w:t xml:space="preserve">(20.0 </w:t>
            </w:r>
            <w:r w:rsidRPr="00B53581">
              <w:rPr>
                <w:sz w:val="18"/>
              </w:rPr>
              <w:t>±</w:t>
            </w:r>
            <w:r>
              <w:rPr>
                <w:sz w:val="18"/>
              </w:rPr>
              <w:t xml:space="preserve"> 1.6%)</w:t>
            </w:r>
          </w:p>
        </w:tc>
      </w:tr>
      <w:tr w:rsidR="00F6339D" w:rsidRPr="007A4BBA" w14:paraId="72DD55CA" w14:textId="77777777" w:rsidTr="007D2780">
        <w:tc>
          <w:tcPr>
            <w:tcW w:w="2106" w:type="dxa"/>
            <w:tcMar>
              <w:left w:w="58" w:type="dxa"/>
              <w:right w:w="72" w:type="dxa"/>
            </w:tcMar>
          </w:tcPr>
          <w:p w14:paraId="47E87BD8" w14:textId="77777777" w:rsidR="00F6339D" w:rsidRPr="00250FDF" w:rsidRDefault="00F6339D" w:rsidP="007D2780">
            <w:pPr>
              <w:spacing w:line="480" w:lineRule="auto"/>
              <w:rPr>
                <w:sz w:val="18"/>
              </w:rPr>
            </w:pPr>
            <w:r w:rsidRPr="00250FDF">
              <w:rPr>
                <w:sz w:val="18"/>
              </w:rPr>
              <w:t>Total leg length</w:t>
            </w:r>
            <w:r>
              <w:rPr>
                <w:sz w:val="18"/>
              </w:rPr>
              <w:t>/SVL</w:t>
            </w:r>
          </w:p>
        </w:tc>
        <w:tc>
          <w:tcPr>
            <w:tcW w:w="1394" w:type="dxa"/>
          </w:tcPr>
          <w:p w14:paraId="3CE3E19D" w14:textId="77777777" w:rsidR="00F6339D" w:rsidRPr="000C16B3" w:rsidRDefault="00F6339D" w:rsidP="007D2780">
            <w:pPr>
              <w:spacing w:line="480" w:lineRule="auto"/>
              <w:jc w:val="center"/>
              <w:rPr>
                <w:sz w:val="18"/>
              </w:rPr>
            </w:pPr>
            <w:r>
              <w:rPr>
                <w:sz w:val="18"/>
              </w:rPr>
              <w:t>26.6–31.3%</w:t>
            </w:r>
          </w:p>
          <w:p w14:paraId="0D531D34" w14:textId="77777777" w:rsidR="00F6339D" w:rsidRDefault="00F6339D" w:rsidP="007D2780">
            <w:pPr>
              <w:spacing w:line="480" w:lineRule="auto"/>
              <w:jc w:val="center"/>
              <w:rPr>
                <w:sz w:val="18"/>
              </w:rPr>
            </w:pPr>
            <w:r w:rsidRPr="000C16B3">
              <w:rPr>
                <w:sz w:val="18"/>
              </w:rPr>
              <w:t>(</w:t>
            </w:r>
            <w:r>
              <w:rPr>
                <w:sz w:val="18"/>
              </w:rPr>
              <w:t xml:space="preserve">28.7 </w:t>
            </w:r>
            <w:r w:rsidRPr="000C16B3">
              <w:rPr>
                <w:sz w:val="18"/>
              </w:rPr>
              <w:t xml:space="preserve">± </w:t>
            </w:r>
            <w:r>
              <w:rPr>
                <w:sz w:val="18"/>
              </w:rPr>
              <w:t>1.5%</w:t>
            </w:r>
            <w:r w:rsidRPr="000C16B3">
              <w:rPr>
                <w:sz w:val="18"/>
              </w:rPr>
              <w:t>)</w:t>
            </w:r>
          </w:p>
        </w:tc>
        <w:tc>
          <w:tcPr>
            <w:tcW w:w="1394" w:type="dxa"/>
          </w:tcPr>
          <w:p w14:paraId="48940D36" w14:textId="77777777" w:rsidR="00F6339D" w:rsidRDefault="00F6339D" w:rsidP="007D2780">
            <w:pPr>
              <w:spacing w:line="480" w:lineRule="auto"/>
              <w:jc w:val="center"/>
              <w:rPr>
                <w:sz w:val="18"/>
              </w:rPr>
            </w:pPr>
            <w:r>
              <w:rPr>
                <w:sz w:val="18"/>
              </w:rPr>
              <w:t>28.2–32.9%</w:t>
            </w:r>
          </w:p>
          <w:p w14:paraId="72CBA8BB" w14:textId="77777777" w:rsidR="00F6339D" w:rsidRPr="00250FDF" w:rsidRDefault="00F6339D" w:rsidP="007D2780">
            <w:pPr>
              <w:spacing w:line="480" w:lineRule="auto"/>
              <w:jc w:val="center"/>
              <w:rPr>
                <w:sz w:val="18"/>
              </w:rPr>
            </w:pPr>
            <w:r>
              <w:rPr>
                <w:sz w:val="18"/>
              </w:rPr>
              <w:t xml:space="preserve">(30.3 </w:t>
            </w:r>
            <w:r w:rsidRPr="00B53581">
              <w:rPr>
                <w:sz w:val="18"/>
              </w:rPr>
              <w:t>±</w:t>
            </w:r>
            <w:r>
              <w:rPr>
                <w:sz w:val="18"/>
              </w:rPr>
              <w:t xml:space="preserve"> 1.5%)</w:t>
            </w:r>
          </w:p>
        </w:tc>
        <w:tc>
          <w:tcPr>
            <w:tcW w:w="1730" w:type="dxa"/>
            <w:tcMar>
              <w:left w:w="43" w:type="dxa"/>
              <w:right w:w="43" w:type="dxa"/>
            </w:tcMar>
          </w:tcPr>
          <w:p w14:paraId="0A14FF27" w14:textId="77777777" w:rsidR="00F6339D" w:rsidRDefault="00F6339D" w:rsidP="007D2780">
            <w:pPr>
              <w:spacing w:line="480" w:lineRule="auto"/>
              <w:jc w:val="center"/>
              <w:rPr>
                <w:sz w:val="18"/>
              </w:rPr>
            </w:pPr>
            <w:r>
              <w:rPr>
                <w:sz w:val="18"/>
              </w:rPr>
              <w:t>25.5–31.8%</w:t>
            </w:r>
          </w:p>
          <w:p w14:paraId="628D4053" w14:textId="77777777" w:rsidR="00F6339D" w:rsidRPr="00250FDF" w:rsidRDefault="00F6339D" w:rsidP="007D2780">
            <w:pPr>
              <w:spacing w:line="480" w:lineRule="auto"/>
              <w:jc w:val="center"/>
              <w:rPr>
                <w:sz w:val="18"/>
              </w:rPr>
            </w:pPr>
            <w:r>
              <w:rPr>
                <w:sz w:val="18"/>
              </w:rPr>
              <w:t xml:space="preserve">(27.9 </w:t>
            </w:r>
            <w:r w:rsidRPr="00B53581">
              <w:rPr>
                <w:sz w:val="18"/>
              </w:rPr>
              <w:t>±</w:t>
            </w:r>
            <w:r>
              <w:rPr>
                <w:sz w:val="18"/>
              </w:rPr>
              <w:t xml:space="preserve"> 1.6%)</w:t>
            </w:r>
          </w:p>
        </w:tc>
        <w:tc>
          <w:tcPr>
            <w:tcW w:w="1394" w:type="dxa"/>
          </w:tcPr>
          <w:p w14:paraId="5FE9A317" w14:textId="77777777" w:rsidR="00F6339D" w:rsidRDefault="00F6339D" w:rsidP="007D2780">
            <w:pPr>
              <w:spacing w:line="480" w:lineRule="auto"/>
              <w:jc w:val="center"/>
              <w:rPr>
                <w:sz w:val="18"/>
              </w:rPr>
            </w:pPr>
            <w:r>
              <w:rPr>
                <w:sz w:val="18"/>
              </w:rPr>
              <w:t>26.0–33.0%</w:t>
            </w:r>
          </w:p>
          <w:p w14:paraId="21229BA0" w14:textId="77777777" w:rsidR="00F6339D" w:rsidRDefault="00F6339D" w:rsidP="007D2780">
            <w:pPr>
              <w:spacing w:line="480" w:lineRule="auto"/>
              <w:jc w:val="center"/>
              <w:rPr>
                <w:sz w:val="18"/>
              </w:rPr>
            </w:pPr>
            <w:r>
              <w:rPr>
                <w:sz w:val="18"/>
              </w:rPr>
              <w:t xml:space="preserve">(29.5 </w:t>
            </w:r>
            <w:r w:rsidRPr="00B53581">
              <w:rPr>
                <w:sz w:val="18"/>
              </w:rPr>
              <w:t>±</w:t>
            </w:r>
            <w:r>
              <w:rPr>
                <w:sz w:val="18"/>
              </w:rPr>
              <w:t xml:space="preserve"> 1.9%)</w:t>
            </w:r>
          </w:p>
        </w:tc>
        <w:tc>
          <w:tcPr>
            <w:tcW w:w="1394" w:type="dxa"/>
          </w:tcPr>
          <w:p w14:paraId="47B8FCAD" w14:textId="77777777" w:rsidR="00F6339D" w:rsidRDefault="00F6339D" w:rsidP="007D2780">
            <w:pPr>
              <w:spacing w:line="480" w:lineRule="auto"/>
              <w:jc w:val="center"/>
              <w:rPr>
                <w:sz w:val="18"/>
              </w:rPr>
            </w:pPr>
            <w:r>
              <w:rPr>
                <w:sz w:val="18"/>
              </w:rPr>
              <w:t>23.5, 26.1%</w:t>
            </w:r>
          </w:p>
          <w:p w14:paraId="1EC2517D" w14:textId="77777777" w:rsidR="00F6339D" w:rsidRPr="00250FDF" w:rsidRDefault="00F6339D" w:rsidP="007D2780">
            <w:pPr>
              <w:spacing w:line="480" w:lineRule="auto"/>
              <w:jc w:val="center"/>
              <w:rPr>
                <w:sz w:val="18"/>
              </w:rPr>
            </w:pPr>
          </w:p>
        </w:tc>
        <w:tc>
          <w:tcPr>
            <w:tcW w:w="1694" w:type="dxa"/>
          </w:tcPr>
          <w:p w14:paraId="1FBCFDAE" w14:textId="77777777" w:rsidR="00F6339D" w:rsidRDefault="00F6339D" w:rsidP="007D2780">
            <w:pPr>
              <w:spacing w:line="480" w:lineRule="auto"/>
              <w:jc w:val="center"/>
              <w:rPr>
                <w:sz w:val="18"/>
              </w:rPr>
            </w:pPr>
            <w:r>
              <w:rPr>
                <w:sz w:val="18"/>
              </w:rPr>
              <w:t>24.8–30.9%</w:t>
            </w:r>
          </w:p>
          <w:p w14:paraId="305CCAD0" w14:textId="77777777" w:rsidR="00F6339D" w:rsidRPr="00250FDF" w:rsidRDefault="00F6339D" w:rsidP="007D2780">
            <w:pPr>
              <w:spacing w:line="480" w:lineRule="auto"/>
              <w:jc w:val="center"/>
              <w:rPr>
                <w:sz w:val="18"/>
              </w:rPr>
            </w:pPr>
            <w:r>
              <w:rPr>
                <w:sz w:val="18"/>
              </w:rPr>
              <w:t xml:space="preserve">(27.1 </w:t>
            </w:r>
            <w:r w:rsidRPr="00B53581">
              <w:rPr>
                <w:sz w:val="18"/>
              </w:rPr>
              <w:t>±</w:t>
            </w:r>
            <w:r>
              <w:rPr>
                <w:sz w:val="18"/>
              </w:rPr>
              <w:t xml:space="preserve"> 1.6%)</w:t>
            </w:r>
          </w:p>
        </w:tc>
      </w:tr>
      <w:tr w:rsidR="00F6339D" w:rsidRPr="007A4BBA" w14:paraId="182988CB" w14:textId="77777777" w:rsidTr="007D2780">
        <w:tc>
          <w:tcPr>
            <w:tcW w:w="2106" w:type="dxa"/>
            <w:tcMar>
              <w:left w:w="58" w:type="dxa"/>
              <w:right w:w="72" w:type="dxa"/>
            </w:tcMar>
          </w:tcPr>
          <w:p w14:paraId="30312A7C" w14:textId="77777777" w:rsidR="00F6339D" w:rsidRPr="00250FDF" w:rsidRDefault="00F6339D" w:rsidP="007D2780">
            <w:pPr>
              <w:spacing w:line="480" w:lineRule="auto"/>
              <w:rPr>
                <w:sz w:val="18"/>
              </w:rPr>
            </w:pPr>
            <w:r w:rsidRPr="00250FDF">
              <w:rPr>
                <w:sz w:val="18"/>
              </w:rPr>
              <w:t>Midbody dorsal scales</w:t>
            </w:r>
          </w:p>
        </w:tc>
        <w:tc>
          <w:tcPr>
            <w:tcW w:w="1394" w:type="dxa"/>
          </w:tcPr>
          <w:p w14:paraId="69379383" w14:textId="77777777" w:rsidR="00F6339D" w:rsidRPr="000C16B3" w:rsidRDefault="00F6339D" w:rsidP="007D2780">
            <w:pPr>
              <w:spacing w:line="480" w:lineRule="auto"/>
              <w:jc w:val="center"/>
              <w:rPr>
                <w:sz w:val="18"/>
              </w:rPr>
            </w:pPr>
            <w:r>
              <w:rPr>
                <w:sz w:val="18"/>
              </w:rPr>
              <w:t>9</w:t>
            </w:r>
            <w:r w:rsidRPr="000C16B3">
              <w:rPr>
                <w:sz w:val="18"/>
              </w:rPr>
              <w:t>–1</w:t>
            </w:r>
            <w:r>
              <w:rPr>
                <w:sz w:val="18"/>
              </w:rPr>
              <w:t>1</w:t>
            </w:r>
          </w:p>
          <w:p w14:paraId="1422F8D6" w14:textId="77777777" w:rsidR="00F6339D" w:rsidRPr="00250FDF" w:rsidRDefault="00F6339D" w:rsidP="007D2780">
            <w:pPr>
              <w:spacing w:line="480" w:lineRule="auto"/>
              <w:jc w:val="center"/>
              <w:rPr>
                <w:sz w:val="18"/>
              </w:rPr>
            </w:pPr>
            <w:r w:rsidRPr="000C16B3">
              <w:rPr>
                <w:sz w:val="18"/>
              </w:rPr>
              <w:t>(</w:t>
            </w:r>
            <w:r>
              <w:rPr>
                <w:sz w:val="18"/>
              </w:rPr>
              <w:t>9.9</w:t>
            </w:r>
            <w:r w:rsidRPr="000C16B3">
              <w:rPr>
                <w:sz w:val="18"/>
              </w:rPr>
              <w:t xml:space="preserve"> ± </w:t>
            </w:r>
            <w:r>
              <w:rPr>
                <w:sz w:val="18"/>
              </w:rPr>
              <w:t>0.8</w:t>
            </w:r>
            <w:r w:rsidRPr="000C16B3">
              <w:rPr>
                <w:sz w:val="18"/>
              </w:rPr>
              <w:t>)</w:t>
            </w:r>
          </w:p>
        </w:tc>
        <w:tc>
          <w:tcPr>
            <w:tcW w:w="1394" w:type="dxa"/>
          </w:tcPr>
          <w:p w14:paraId="1CB0E0F8" w14:textId="77777777" w:rsidR="00F6339D" w:rsidRPr="00250FDF" w:rsidRDefault="00F6339D" w:rsidP="007D2780">
            <w:pPr>
              <w:spacing w:line="480" w:lineRule="auto"/>
              <w:jc w:val="center"/>
              <w:rPr>
                <w:sz w:val="18"/>
              </w:rPr>
            </w:pPr>
            <w:r w:rsidRPr="00250FDF">
              <w:rPr>
                <w:sz w:val="18"/>
              </w:rPr>
              <w:t>1</w:t>
            </w:r>
            <w:r>
              <w:rPr>
                <w:sz w:val="18"/>
              </w:rPr>
              <w:t>1</w:t>
            </w:r>
            <w:r w:rsidRPr="00250FDF">
              <w:rPr>
                <w:sz w:val="18"/>
              </w:rPr>
              <w:t>–1</w:t>
            </w:r>
            <w:r>
              <w:rPr>
                <w:sz w:val="18"/>
              </w:rPr>
              <w:t>4</w:t>
            </w:r>
          </w:p>
          <w:p w14:paraId="48B3388D" w14:textId="77777777" w:rsidR="00F6339D" w:rsidRPr="00250FDF" w:rsidRDefault="00F6339D" w:rsidP="007D2780">
            <w:pPr>
              <w:spacing w:line="480" w:lineRule="auto"/>
              <w:jc w:val="center"/>
              <w:rPr>
                <w:sz w:val="18"/>
              </w:rPr>
            </w:pPr>
            <w:r w:rsidRPr="00250FDF">
              <w:rPr>
                <w:sz w:val="18"/>
              </w:rPr>
              <w:t>(1</w:t>
            </w:r>
            <w:r>
              <w:rPr>
                <w:sz w:val="18"/>
              </w:rPr>
              <w:t xml:space="preserve">2.5 </w:t>
            </w:r>
            <w:r w:rsidRPr="00250FDF">
              <w:rPr>
                <w:sz w:val="18"/>
              </w:rPr>
              <w:t>± 1)</w:t>
            </w:r>
          </w:p>
        </w:tc>
        <w:tc>
          <w:tcPr>
            <w:tcW w:w="1730" w:type="dxa"/>
            <w:tcMar>
              <w:left w:w="43" w:type="dxa"/>
              <w:right w:w="43" w:type="dxa"/>
            </w:tcMar>
          </w:tcPr>
          <w:p w14:paraId="1E8D4461" w14:textId="77777777" w:rsidR="00F6339D" w:rsidRPr="00250FDF" w:rsidRDefault="00F6339D" w:rsidP="007D2780">
            <w:pPr>
              <w:spacing w:line="480" w:lineRule="auto"/>
              <w:jc w:val="center"/>
              <w:rPr>
                <w:sz w:val="18"/>
              </w:rPr>
            </w:pPr>
            <w:r w:rsidRPr="00250FDF">
              <w:rPr>
                <w:sz w:val="18"/>
              </w:rPr>
              <w:t>1</w:t>
            </w:r>
            <w:r>
              <w:rPr>
                <w:sz w:val="18"/>
              </w:rPr>
              <w:t>8</w:t>
            </w:r>
            <w:r w:rsidRPr="00250FDF">
              <w:rPr>
                <w:sz w:val="18"/>
              </w:rPr>
              <w:t>–</w:t>
            </w:r>
            <w:r>
              <w:rPr>
                <w:sz w:val="18"/>
              </w:rPr>
              <w:t>24</w:t>
            </w:r>
          </w:p>
          <w:p w14:paraId="2C84F7D5" w14:textId="77777777" w:rsidR="00F6339D" w:rsidRPr="00250FDF" w:rsidRDefault="00F6339D" w:rsidP="007D2780">
            <w:pPr>
              <w:spacing w:line="480" w:lineRule="auto"/>
              <w:jc w:val="center"/>
              <w:rPr>
                <w:sz w:val="18"/>
              </w:rPr>
            </w:pPr>
            <w:r w:rsidRPr="00250FDF">
              <w:rPr>
                <w:sz w:val="18"/>
              </w:rPr>
              <w:t>(</w:t>
            </w:r>
            <w:r>
              <w:rPr>
                <w:sz w:val="18"/>
              </w:rPr>
              <w:t>20.5</w:t>
            </w:r>
            <w:r w:rsidRPr="00250FDF">
              <w:rPr>
                <w:sz w:val="18"/>
              </w:rPr>
              <w:t xml:space="preserve"> ± </w:t>
            </w:r>
            <w:r>
              <w:rPr>
                <w:sz w:val="18"/>
              </w:rPr>
              <w:t>1.9</w:t>
            </w:r>
            <w:r w:rsidRPr="00250FDF">
              <w:rPr>
                <w:sz w:val="18"/>
              </w:rPr>
              <w:t>)</w:t>
            </w:r>
          </w:p>
        </w:tc>
        <w:tc>
          <w:tcPr>
            <w:tcW w:w="1394" w:type="dxa"/>
          </w:tcPr>
          <w:p w14:paraId="042481DF" w14:textId="77777777" w:rsidR="00F6339D" w:rsidRDefault="00F6339D" w:rsidP="007D2780">
            <w:pPr>
              <w:spacing w:line="480" w:lineRule="auto"/>
              <w:jc w:val="center"/>
              <w:rPr>
                <w:sz w:val="18"/>
              </w:rPr>
            </w:pPr>
            <w:r>
              <w:rPr>
                <w:sz w:val="18"/>
              </w:rPr>
              <w:t>16–22</w:t>
            </w:r>
          </w:p>
          <w:p w14:paraId="0796F32D" w14:textId="77777777" w:rsidR="00F6339D" w:rsidRDefault="00F6339D" w:rsidP="007D2780">
            <w:pPr>
              <w:spacing w:line="480" w:lineRule="auto"/>
              <w:jc w:val="center"/>
              <w:rPr>
                <w:sz w:val="18"/>
              </w:rPr>
            </w:pPr>
            <w:r>
              <w:rPr>
                <w:sz w:val="18"/>
              </w:rPr>
              <w:t xml:space="preserve">(19.1 </w:t>
            </w:r>
            <w:r w:rsidRPr="00B53581">
              <w:rPr>
                <w:sz w:val="18"/>
              </w:rPr>
              <w:t>±</w:t>
            </w:r>
            <w:r>
              <w:rPr>
                <w:sz w:val="18"/>
              </w:rPr>
              <w:t xml:space="preserve"> 2.0)</w:t>
            </w:r>
          </w:p>
        </w:tc>
        <w:tc>
          <w:tcPr>
            <w:tcW w:w="1394" w:type="dxa"/>
          </w:tcPr>
          <w:p w14:paraId="44FBAA70" w14:textId="77777777" w:rsidR="00F6339D" w:rsidRPr="00250FDF" w:rsidRDefault="00F6339D" w:rsidP="007D2780">
            <w:pPr>
              <w:spacing w:line="480" w:lineRule="auto"/>
              <w:jc w:val="center"/>
              <w:rPr>
                <w:sz w:val="18"/>
              </w:rPr>
            </w:pPr>
            <w:r>
              <w:rPr>
                <w:sz w:val="18"/>
              </w:rPr>
              <w:t>22, 23</w:t>
            </w:r>
          </w:p>
        </w:tc>
        <w:tc>
          <w:tcPr>
            <w:tcW w:w="1694" w:type="dxa"/>
          </w:tcPr>
          <w:p w14:paraId="05C66129" w14:textId="77777777" w:rsidR="00F6339D" w:rsidRPr="00250FDF" w:rsidRDefault="00F6339D" w:rsidP="007D2780">
            <w:pPr>
              <w:spacing w:line="480" w:lineRule="auto"/>
              <w:jc w:val="center"/>
              <w:rPr>
                <w:sz w:val="18"/>
              </w:rPr>
            </w:pPr>
            <w:r w:rsidRPr="00250FDF">
              <w:rPr>
                <w:sz w:val="18"/>
              </w:rPr>
              <w:t>1</w:t>
            </w:r>
            <w:r>
              <w:rPr>
                <w:sz w:val="18"/>
              </w:rPr>
              <w:t>7</w:t>
            </w:r>
            <w:r w:rsidRPr="00250FDF">
              <w:rPr>
                <w:sz w:val="18"/>
              </w:rPr>
              <w:t>–</w:t>
            </w:r>
            <w:r>
              <w:rPr>
                <w:sz w:val="18"/>
              </w:rPr>
              <w:t>2</w:t>
            </w:r>
            <w:r w:rsidRPr="00250FDF">
              <w:rPr>
                <w:sz w:val="18"/>
              </w:rPr>
              <w:t>7</w:t>
            </w:r>
          </w:p>
          <w:p w14:paraId="268A0689" w14:textId="77777777" w:rsidR="00F6339D" w:rsidRPr="00250FDF" w:rsidRDefault="00F6339D" w:rsidP="007D2780">
            <w:pPr>
              <w:spacing w:line="480" w:lineRule="auto"/>
              <w:jc w:val="center"/>
              <w:rPr>
                <w:sz w:val="18"/>
              </w:rPr>
            </w:pPr>
            <w:r w:rsidRPr="00250FDF">
              <w:rPr>
                <w:sz w:val="18"/>
              </w:rPr>
              <w:t>(</w:t>
            </w:r>
            <w:r>
              <w:rPr>
                <w:sz w:val="18"/>
              </w:rPr>
              <w:t>20.8</w:t>
            </w:r>
            <w:r w:rsidRPr="00250FDF">
              <w:rPr>
                <w:sz w:val="18"/>
              </w:rPr>
              <w:t xml:space="preserve"> ± </w:t>
            </w:r>
            <w:r>
              <w:rPr>
                <w:sz w:val="18"/>
              </w:rPr>
              <w:t>2.6</w:t>
            </w:r>
            <w:r w:rsidRPr="00250FDF">
              <w:rPr>
                <w:sz w:val="18"/>
              </w:rPr>
              <w:t>)</w:t>
            </w:r>
          </w:p>
        </w:tc>
      </w:tr>
      <w:tr w:rsidR="00F6339D" w:rsidRPr="007A4BBA" w14:paraId="40535950" w14:textId="77777777" w:rsidTr="007D2780">
        <w:tc>
          <w:tcPr>
            <w:tcW w:w="2106" w:type="dxa"/>
            <w:tcMar>
              <w:left w:w="58" w:type="dxa"/>
              <w:right w:w="72" w:type="dxa"/>
            </w:tcMar>
          </w:tcPr>
          <w:p w14:paraId="0C71911E" w14:textId="77777777" w:rsidR="00F6339D" w:rsidRPr="003816ED" w:rsidRDefault="00F6339D" w:rsidP="007D2780">
            <w:pPr>
              <w:spacing w:line="480" w:lineRule="auto"/>
              <w:rPr>
                <w:sz w:val="18"/>
              </w:rPr>
            </w:pPr>
            <w:r w:rsidRPr="003816ED">
              <w:rPr>
                <w:sz w:val="18"/>
              </w:rPr>
              <w:t>Midbody ventral scales</w:t>
            </w:r>
          </w:p>
        </w:tc>
        <w:tc>
          <w:tcPr>
            <w:tcW w:w="1394" w:type="dxa"/>
          </w:tcPr>
          <w:p w14:paraId="7BD8D64E" w14:textId="77777777" w:rsidR="00F6339D" w:rsidRPr="000C16B3" w:rsidRDefault="00F6339D" w:rsidP="007D2780">
            <w:pPr>
              <w:spacing w:line="480" w:lineRule="auto"/>
              <w:jc w:val="center"/>
              <w:rPr>
                <w:sz w:val="18"/>
              </w:rPr>
            </w:pPr>
            <w:r w:rsidRPr="000C16B3">
              <w:rPr>
                <w:sz w:val="18"/>
              </w:rPr>
              <w:t>9–11</w:t>
            </w:r>
          </w:p>
          <w:p w14:paraId="48A26732" w14:textId="77777777" w:rsidR="00F6339D" w:rsidRDefault="00F6339D" w:rsidP="007D2780">
            <w:pPr>
              <w:spacing w:line="480" w:lineRule="auto"/>
              <w:jc w:val="center"/>
              <w:rPr>
                <w:sz w:val="18"/>
              </w:rPr>
            </w:pPr>
            <w:r w:rsidRPr="000C16B3">
              <w:rPr>
                <w:sz w:val="18"/>
              </w:rPr>
              <w:t>(10 ± 0.8)</w:t>
            </w:r>
          </w:p>
        </w:tc>
        <w:tc>
          <w:tcPr>
            <w:tcW w:w="1394" w:type="dxa"/>
          </w:tcPr>
          <w:p w14:paraId="195DC28E" w14:textId="77777777" w:rsidR="00F6339D" w:rsidRPr="003816ED" w:rsidRDefault="00F6339D" w:rsidP="007D2780">
            <w:pPr>
              <w:spacing w:line="480" w:lineRule="auto"/>
              <w:jc w:val="center"/>
              <w:rPr>
                <w:sz w:val="18"/>
              </w:rPr>
            </w:pPr>
            <w:r>
              <w:rPr>
                <w:sz w:val="18"/>
              </w:rPr>
              <w:t>9–12</w:t>
            </w:r>
          </w:p>
          <w:p w14:paraId="3CFD8FD0" w14:textId="77777777" w:rsidR="00F6339D" w:rsidRPr="003816ED" w:rsidRDefault="00F6339D" w:rsidP="007D2780">
            <w:pPr>
              <w:spacing w:line="480" w:lineRule="auto"/>
              <w:jc w:val="center"/>
              <w:rPr>
                <w:sz w:val="18"/>
              </w:rPr>
            </w:pPr>
            <w:r w:rsidRPr="003816ED">
              <w:rPr>
                <w:sz w:val="18"/>
              </w:rPr>
              <w:t>(</w:t>
            </w:r>
            <w:r>
              <w:rPr>
                <w:sz w:val="18"/>
              </w:rPr>
              <w:t xml:space="preserve">10.7 </w:t>
            </w:r>
            <w:r w:rsidRPr="00B53581">
              <w:rPr>
                <w:sz w:val="18"/>
              </w:rPr>
              <w:t>±</w:t>
            </w:r>
            <w:r>
              <w:rPr>
                <w:sz w:val="18"/>
              </w:rPr>
              <w:t xml:space="preserve"> 1.0</w:t>
            </w:r>
            <w:r w:rsidRPr="003816ED">
              <w:rPr>
                <w:sz w:val="18"/>
              </w:rPr>
              <w:t>)</w:t>
            </w:r>
          </w:p>
        </w:tc>
        <w:tc>
          <w:tcPr>
            <w:tcW w:w="1730" w:type="dxa"/>
            <w:tcMar>
              <w:left w:w="43" w:type="dxa"/>
              <w:right w:w="43" w:type="dxa"/>
            </w:tcMar>
          </w:tcPr>
          <w:p w14:paraId="6682EA50" w14:textId="77777777" w:rsidR="00F6339D" w:rsidRPr="003816ED" w:rsidRDefault="00F6339D" w:rsidP="007D2780">
            <w:pPr>
              <w:spacing w:line="480" w:lineRule="auto"/>
              <w:jc w:val="center"/>
              <w:rPr>
                <w:sz w:val="18"/>
              </w:rPr>
            </w:pPr>
            <w:r>
              <w:rPr>
                <w:sz w:val="18"/>
              </w:rPr>
              <w:t>9–12</w:t>
            </w:r>
          </w:p>
          <w:p w14:paraId="4763F167" w14:textId="77777777" w:rsidR="00F6339D" w:rsidRPr="003816ED" w:rsidRDefault="00F6339D" w:rsidP="007D2780">
            <w:pPr>
              <w:spacing w:line="480" w:lineRule="auto"/>
              <w:jc w:val="center"/>
              <w:rPr>
                <w:sz w:val="18"/>
              </w:rPr>
            </w:pPr>
            <w:r w:rsidRPr="003816ED">
              <w:rPr>
                <w:sz w:val="18"/>
              </w:rPr>
              <w:t>(10.</w:t>
            </w:r>
            <w:r>
              <w:rPr>
                <w:sz w:val="18"/>
              </w:rPr>
              <w:t>2</w:t>
            </w:r>
            <w:r w:rsidRPr="003816ED">
              <w:rPr>
                <w:sz w:val="18"/>
              </w:rPr>
              <w:t xml:space="preserve"> ± 0.</w:t>
            </w:r>
            <w:r>
              <w:rPr>
                <w:sz w:val="18"/>
              </w:rPr>
              <w:t>7</w:t>
            </w:r>
            <w:r w:rsidRPr="003816ED">
              <w:rPr>
                <w:sz w:val="18"/>
              </w:rPr>
              <w:t>)</w:t>
            </w:r>
          </w:p>
        </w:tc>
        <w:tc>
          <w:tcPr>
            <w:tcW w:w="1394" w:type="dxa"/>
          </w:tcPr>
          <w:p w14:paraId="6030DD4C" w14:textId="77777777" w:rsidR="00F6339D" w:rsidRDefault="00F6339D" w:rsidP="007D2780">
            <w:pPr>
              <w:spacing w:line="480" w:lineRule="auto"/>
              <w:jc w:val="center"/>
              <w:rPr>
                <w:sz w:val="18"/>
              </w:rPr>
            </w:pPr>
            <w:r>
              <w:rPr>
                <w:sz w:val="18"/>
              </w:rPr>
              <w:t>10–15</w:t>
            </w:r>
          </w:p>
          <w:p w14:paraId="4DA6A77E" w14:textId="77777777" w:rsidR="00F6339D" w:rsidRDefault="00F6339D" w:rsidP="007D2780">
            <w:pPr>
              <w:spacing w:line="480" w:lineRule="auto"/>
              <w:jc w:val="center"/>
              <w:rPr>
                <w:sz w:val="18"/>
              </w:rPr>
            </w:pPr>
            <w:r>
              <w:rPr>
                <w:sz w:val="18"/>
              </w:rPr>
              <w:t xml:space="preserve">(12.5 </w:t>
            </w:r>
            <w:r w:rsidRPr="00B53581">
              <w:rPr>
                <w:sz w:val="18"/>
              </w:rPr>
              <w:t>±</w:t>
            </w:r>
            <w:r>
              <w:rPr>
                <w:sz w:val="18"/>
              </w:rPr>
              <w:t xml:space="preserve"> 1.4)</w:t>
            </w:r>
          </w:p>
        </w:tc>
        <w:tc>
          <w:tcPr>
            <w:tcW w:w="1394" w:type="dxa"/>
          </w:tcPr>
          <w:p w14:paraId="0D74626B" w14:textId="77777777" w:rsidR="00F6339D" w:rsidRPr="003816ED" w:rsidRDefault="00F6339D" w:rsidP="007D2780">
            <w:pPr>
              <w:spacing w:line="480" w:lineRule="auto"/>
              <w:jc w:val="center"/>
              <w:rPr>
                <w:sz w:val="18"/>
              </w:rPr>
            </w:pPr>
            <w:r>
              <w:rPr>
                <w:sz w:val="18"/>
              </w:rPr>
              <w:t>14, 16</w:t>
            </w:r>
          </w:p>
        </w:tc>
        <w:tc>
          <w:tcPr>
            <w:tcW w:w="1694" w:type="dxa"/>
          </w:tcPr>
          <w:p w14:paraId="44F06DF3" w14:textId="77777777" w:rsidR="00F6339D" w:rsidRPr="003816ED" w:rsidRDefault="00F6339D" w:rsidP="007D2780">
            <w:pPr>
              <w:spacing w:line="480" w:lineRule="auto"/>
              <w:jc w:val="center"/>
              <w:rPr>
                <w:sz w:val="18"/>
              </w:rPr>
            </w:pPr>
            <w:r>
              <w:rPr>
                <w:sz w:val="18"/>
              </w:rPr>
              <w:t>11–16</w:t>
            </w:r>
          </w:p>
          <w:p w14:paraId="56B6DD44" w14:textId="77777777" w:rsidR="00F6339D" w:rsidRPr="003816ED" w:rsidRDefault="00F6339D" w:rsidP="007D2780">
            <w:pPr>
              <w:spacing w:line="480" w:lineRule="auto"/>
              <w:jc w:val="center"/>
              <w:rPr>
                <w:sz w:val="18"/>
              </w:rPr>
            </w:pPr>
            <w:r w:rsidRPr="003816ED">
              <w:rPr>
                <w:sz w:val="18"/>
              </w:rPr>
              <w:t>(</w:t>
            </w:r>
            <w:r>
              <w:rPr>
                <w:sz w:val="18"/>
              </w:rPr>
              <w:t xml:space="preserve">13.8 </w:t>
            </w:r>
            <w:r w:rsidRPr="00B53581">
              <w:rPr>
                <w:sz w:val="18"/>
              </w:rPr>
              <w:t>±</w:t>
            </w:r>
            <w:r>
              <w:rPr>
                <w:sz w:val="18"/>
              </w:rPr>
              <w:t xml:space="preserve"> 1.4</w:t>
            </w:r>
            <w:r w:rsidRPr="003816ED">
              <w:rPr>
                <w:sz w:val="18"/>
              </w:rPr>
              <w:t>)</w:t>
            </w:r>
          </w:p>
        </w:tc>
      </w:tr>
      <w:tr w:rsidR="00F6339D" w:rsidRPr="007A4BBA" w14:paraId="23502E28" w14:textId="77777777" w:rsidTr="007D2780">
        <w:tc>
          <w:tcPr>
            <w:tcW w:w="2106" w:type="dxa"/>
            <w:tcMar>
              <w:left w:w="58" w:type="dxa"/>
              <w:right w:w="72" w:type="dxa"/>
            </w:tcMar>
          </w:tcPr>
          <w:p w14:paraId="58962335" w14:textId="77777777" w:rsidR="00F6339D" w:rsidRPr="00D814EE" w:rsidRDefault="00F6339D" w:rsidP="007D2780">
            <w:pPr>
              <w:spacing w:line="480" w:lineRule="auto"/>
              <w:rPr>
                <w:sz w:val="18"/>
              </w:rPr>
            </w:pPr>
            <w:r>
              <w:rPr>
                <w:sz w:val="18"/>
              </w:rPr>
              <w:t>Total</w:t>
            </w:r>
            <w:r w:rsidRPr="00D814EE">
              <w:rPr>
                <w:sz w:val="18"/>
              </w:rPr>
              <w:t xml:space="preserve"> </w:t>
            </w:r>
            <w:r>
              <w:rPr>
                <w:sz w:val="18"/>
              </w:rPr>
              <w:t>p</w:t>
            </w:r>
            <w:r w:rsidRPr="00D814EE">
              <w:rPr>
                <w:sz w:val="18"/>
              </w:rPr>
              <w:t>ores (in males)</w:t>
            </w:r>
          </w:p>
        </w:tc>
        <w:tc>
          <w:tcPr>
            <w:tcW w:w="1394" w:type="dxa"/>
          </w:tcPr>
          <w:p w14:paraId="12D19D98" w14:textId="77777777" w:rsidR="00F6339D" w:rsidRPr="000C16B3" w:rsidRDefault="00F6339D" w:rsidP="007D2780">
            <w:pPr>
              <w:spacing w:line="480" w:lineRule="auto"/>
              <w:jc w:val="center"/>
              <w:rPr>
                <w:sz w:val="18"/>
              </w:rPr>
            </w:pPr>
            <w:r w:rsidRPr="000C16B3">
              <w:rPr>
                <w:sz w:val="18"/>
              </w:rPr>
              <w:t>31–37</w:t>
            </w:r>
          </w:p>
          <w:p w14:paraId="0E9794EE" w14:textId="77777777" w:rsidR="00F6339D" w:rsidRPr="00D814EE" w:rsidRDefault="00F6339D" w:rsidP="007D2780">
            <w:pPr>
              <w:spacing w:line="480" w:lineRule="auto"/>
              <w:jc w:val="center"/>
              <w:rPr>
                <w:sz w:val="18"/>
              </w:rPr>
            </w:pPr>
            <w:r w:rsidRPr="000C16B3">
              <w:rPr>
                <w:sz w:val="18"/>
              </w:rPr>
              <w:t>(34.2 ± 1.9)</w:t>
            </w:r>
          </w:p>
        </w:tc>
        <w:tc>
          <w:tcPr>
            <w:tcW w:w="1394" w:type="dxa"/>
          </w:tcPr>
          <w:p w14:paraId="68393797" w14:textId="77777777" w:rsidR="00F6339D" w:rsidRPr="00D814EE" w:rsidRDefault="00F6339D" w:rsidP="007D2780">
            <w:pPr>
              <w:spacing w:line="480" w:lineRule="auto"/>
              <w:jc w:val="center"/>
              <w:rPr>
                <w:sz w:val="18"/>
              </w:rPr>
            </w:pPr>
            <w:r w:rsidRPr="00D814EE">
              <w:rPr>
                <w:sz w:val="18"/>
              </w:rPr>
              <w:t>3</w:t>
            </w:r>
            <w:r>
              <w:rPr>
                <w:sz w:val="18"/>
              </w:rPr>
              <w:t>3</w:t>
            </w:r>
            <w:r w:rsidRPr="00D814EE">
              <w:rPr>
                <w:sz w:val="18"/>
              </w:rPr>
              <w:t>–</w:t>
            </w:r>
            <w:r>
              <w:rPr>
                <w:sz w:val="18"/>
              </w:rPr>
              <w:t>39</w:t>
            </w:r>
          </w:p>
          <w:p w14:paraId="7616807B" w14:textId="77777777" w:rsidR="00F6339D" w:rsidRPr="00D814EE" w:rsidRDefault="00F6339D" w:rsidP="007D2780">
            <w:pPr>
              <w:spacing w:line="480" w:lineRule="auto"/>
              <w:jc w:val="center"/>
              <w:rPr>
                <w:sz w:val="18"/>
              </w:rPr>
            </w:pPr>
            <w:r w:rsidRPr="00D814EE">
              <w:rPr>
                <w:sz w:val="18"/>
              </w:rPr>
              <w:t>(</w:t>
            </w:r>
            <w:r>
              <w:rPr>
                <w:sz w:val="18"/>
              </w:rPr>
              <w:t>36.7</w:t>
            </w:r>
            <w:r w:rsidRPr="00D814EE">
              <w:rPr>
                <w:sz w:val="18"/>
              </w:rPr>
              <w:t xml:space="preserve"> ± </w:t>
            </w:r>
            <w:r>
              <w:rPr>
                <w:sz w:val="18"/>
              </w:rPr>
              <w:t>2.</w:t>
            </w:r>
            <w:r w:rsidRPr="00D814EE">
              <w:rPr>
                <w:sz w:val="18"/>
              </w:rPr>
              <w:t>1)</w:t>
            </w:r>
          </w:p>
        </w:tc>
        <w:tc>
          <w:tcPr>
            <w:tcW w:w="1730" w:type="dxa"/>
            <w:tcMar>
              <w:left w:w="43" w:type="dxa"/>
              <w:right w:w="43" w:type="dxa"/>
            </w:tcMar>
          </w:tcPr>
          <w:p w14:paraId="584BECB6" w14:textId="77777777" w:rsidR="00F6339D" w:rsidRPr="00D814EE" w:rsidRDefault="00F6339D" w:rsidP="007D2780">
            <w:pPr>
              <w:spacing w:line="480" w:lineRule="auto"/>
              <w:jc w:val="center"/>
              <w:rPr>
                <w:sz w:val="18"/>
              </w:rPr>
            </w:pPr>
            <w:r w:rsidRPr="00D814EE">
              <w:rPr>
                <w:sz w:val="18"/>
              </w:rPr>
              <w:t>1</w:t>
            </w:r>
            <w:r>
              <w:rPr>
                <w:sz w:val="18"/>
              </w:rPr>
              <w:t>1</w:t>
            </w:r>
            <w:r w:rsidRPr="00D814EE">
              <w:rPr>
                <w:sz w:val="18"/>
              </w:rPr>
              <w:t>–1</w:t>
            </w:r>
            <w:r>
              <w:rPr>
                <w:sz w:val="18"/>
              </w:rPr>
              <w:t>3</w:t>
            </w:r>
          </w:p>
          <w:p w14:paraId="73C4F009" w14:textId="77777777" w:rsidR="00F6339D" w:rsidRPr="00D814EE" w:rsidRDefault="00F6339D" w:rsidP="007D2780">
            <w:pPr>
              <w:spacing w:line="480" w:lineRule="auto"/>
              <w:jc w:val="center"/>
              <w:rPr>
                <w:sz w:val="18"/>
              </w:rPr>
            </w:pPr>
            <w:r w:rsidRPr="00D814EE">
              <w:rPr>
                <w:sz w:val="18"/>
              </w:rPr>
              <w:t>(1</w:t>
            </w:r>
            <w:r>
              <w:rPr>
                <w:sz w:val="18"/>
              </w:rPr>
              <w:t>2</w:t>
            </w:r>
            <w:r w:rsidRPr="00D814EE">
              <w:rPr>
                <w:sz w:val="18"/>
              </w:rPr>
              <w:t xml:space="preserve"> ± 0</w:t>
            </w:r>
            <w:r>
              <w:rPr>
                <w:sz w:val="18"/>
              </w:rPr>
              <w:t>.8</w:t>
            </w:r>
            <w:r w:rsidRPr="00D814EE">
              <w:rPr>
                <w:sz w:val="18"/>
              </w:rPr>
              <w:t>)</w:t>
            </w:r>
          </w:p>
        </w:tc>
        <w:tc>
          <w:tcPr>
            <w:tcW w:w="1394" w:type="dxa"/>
          </w:tcPr>
          <w:p w14:paraId="65397504" w14:textId="77777777" w:rsidR="00F6339D" w:rsidRDefault="00F6339D" w:rsidP="007D2780">
            <w:pPr>
              <w:spacing w:line="480" w:lineRule="auto"/>
              <w:jc w:val="center"/>
              <w:rPr>
                <w:sz w:val="18"/>
              </w:rPr>
            </w:pPr>
            <w:r>
              <w:rPr>
                <w:sz w:val="18"/>
              </w:rPr>
              <w:t>32</w:t>
            </w:r>
          </w:p>
        </w:tc>
        <w:tc>
          <w:tcPr>
            <w:tcW w:w="1394" w:type="dxa"/>
          </w:tcPr>
          <w:p w14:paraId="684AFC15" w14:textId="77777777" w:rsidR="00F6339D" w:rsidRPr="00D814EE" w:rsidRDefault="00F6339D" w:rsidP="007D2780">
            <w:pPr>
              <w:spacing w:line="480" w:lineRule="auto"/>
              <w:jc w:val="center"/>
              <w:rPr>
                <w:sz w:val="18"/>
              </w:rPr>
            </w:pPr>
            <w:r>
              <w:rPr>
                <w:sz w:val="18"/>
              </w:rPr>
              <w:t>23</w:t>
            </w:r>
          </w:p>
        </w:tc>
        <w:tc>
          <w:tcPr>
            <w:tcW w:w="1694" w:type="dxa"/>
          </w:tcPr>
          <w:p w14:paraId="1FB5A578" w14:textId="77777777" w:rsidR="00F6339D" w:rsidRPr="00D814EE" w:rsidRDefault="00F6339D" w:rsidP="007D2780">
            <w:pPr>
              <w:spacing w:line="480" w:lineRule="auto"/>
              <w:jc w:val="center"/>
              <w:rPr>
                <w:sz w:val="18"/>
              </w:rPr>
            </w:pPr>
            <w:r>
              <w:rPr>
                <w:sz w:val="18"/>
              </w:rPr>
              <w:t>18–23</w:t>
            </w:r>
          </w:p>
          <w:p w14:paraId="1699BF64" w14:textId="77777777" w:rsidR="00F6339D" w:rsidRPr="00D814EE" w:rsidRDefault="00F6339D" w:rsidP="007D2780">
            <w:pPr>
              <w:spacing w:line="480" w:lineRule="auto"/>
              <w:jc w:val="center"/>
              <w:rPr>
                <w:sz w:val="18"/>
              </w:rPr>
            </w:pPr>
            <w:r w:rsidRPr="00D814EE">
              <w:rPr>
                <w:sz w:val="18"/>
              </w:rPr>
              <w:t>(</w:t>
            </w:r>
            <w:r>
              <w:rPr>
                <w:sz w:val="18"/>
              </w:rPr>
              <w:t>20.3</w:t>
            </w:r>
            <w:r w:rsidRPr="00D814EE">
              <w:rPr>
                <w:sz w:val="18"/>
              </w:rPr>
              <w:t xml:space="preserve"> ± </w:t>
            </w:r>
            <w:r>
              <w:rPr>
                <w:sz w:val="18"/>
              </w:rPr>
              <w:t>2.2</w:t>
            </w:r>
            <w:r w:rsidRPr="00D814EE">
              <w:rPr>
                <w:sz w:val="18"/>
              </w:rPr>
              <w:t>)</w:t>
            </w:r>
          </w:p>
        </w:tc>
      </w:tr>
      <w:tr w:rsidR="00F6339D" w:rsidRPr="007A4BBA" w14:paraId="754333C1" w14:textId="77777777" w:rsidTr="007D2780">
        <w:tc>
          <w:tcPr>
            <w:tcW w:w="2106" w:type="dxa"/>
            <w:tcMar>
              <w:left w:w="58" w:type="dxa"/>
              <w:right w:w="72" w:type="dxa"/>
            </w:tcMar>
          </w:tcPr>
          <w:p w14:paraId="56076B4E" w14:textId="77777777" w:rsidR="00F6339D" w:rsidRPr="007C3A5D" w:rsidRDefault="00F6339D" w:rsidP="007D2780">
            <w:pPr>
              <w:spacing w:line="480" w:lineRule="auto"/>
              <w:rPr>
                <w:sz w:val="18"/>
              </w:rPr>
            </w:pPr>
            <w:r w:rsidRPr="007C3A5D">
              <w:rPr>
                <w:sz w:val="18"/>
              </w:rPr>
              <w:t>Circumnasal scales</w:t>
            </w:r>
          </w:p>
        </w:tc>
        <w:tc>
          <w:tcPr>
            <w:tcW w:w="1394" w:type="dxa"/>
          </w:tcPr>
          <w:p w14:paraId="75AC60B5" w14:textId="77777777" w:rsidR="00F6339D" w:rsidRDefault="00F6339D" w:rsidP="007D2780">
            <w:pPr>
              <w:spacing w:line="480" w:lineRule="auto"/>
              <w:jc w:val="center"/>
              <w:rPr>
                <w:sz w:val="18"/>
              </w:rPr>
            </w:pPr>
            <w:r w:rsidRPr="000C16B3">
              <w:rPr>
                <w:sz w:val="18"/>
              </w:rPr>
              <w:t>3</w:t>
            </w:r>
          </w:p>
        </w:tc>
        <w:tc>
          <w:tcPr>
            <w:tcW w:w="1394" w:type="dxa"/>
          </w:tcPr>
          <w:p w14:paraId="7106E3A1" w14:textId="77777777" w:rsidR="00F6339D" w:rsidRPr="007C3A5D" w:rsidRDefault="00F6339D" w:rsidP="007D2780">
            <w:pPr>
              <w:spacing w:line="480" w:lineRule="auto"/>
              <w:jc w:val="center"/>
              <w:rPr>
                <w:sz w:val="18"/>
              </w:rPr>
            </w:pPr>
            <w:r>
              <w:rPr>
                <w:sz w:val="18"/>
              </w:rPr>
              <w:t>3 or 4</w:t>
            </w:r>
          </w:p>
        </w:tc>
        <w:tc>
          <w:tcPr>
            <w:tcW w:w="1730" w:type="dxa"/>
            <w:tcMar>
              <w:left w:w="43" w:type="dxa"/>
              <w:right w:w="43" w:type="dxa"/>
            </w:tcMar>
          </w:tcPr>
          <w:p w14:paraId="30579CA3" w14:textId="77777777" w:rsidR="00F6339D" w:rsidRPr="007C3A5D" w:rsidRDefault="00F6339D" w:rsidP="007D2780">
            <w:pPr>
              <w:spacing w:line="480" w:lineRule="auto"/>
              <w:jc w:val="center"/>
              <w:rPr>
                <w:sz w:val="18"/>
              </w:rPr>
            </w:pPr>
            <w:r>
              <w:rPr>
                <w:sz w:val="18"/>
              </w:rPr>
              <w:t>3</w:t>
            </w:r>
          </w:p>
        </w:tc>
        <w:tc>
          <w:tcPr>
            <w:tcW w:w="1394" w:type="dxa"/>
          </w:tcPr>
          <w:p w14:paraId="2C20EA83" w14:textId="77777777" w:rsidR="00F6339D" w:rsidRDefault="00F6339D" w:rsidP="007D2780">
            <w:pPr>
              <w:spacing w:line="480" w:lineRule="auto"/>
              <w:jc w:val="center"/>
              <w:rPr>
                <w:sz w:val="18"/>
              </w:rPr>
            </w:pPr>
            <w:r>
              <w:rPr>
                <w:sz w:val="18"/>
              </w:rPr>
              <w:t>3</w:t>
            </w:r>
          </w:p>
        </w:tc>
        <w:tc>
          <w:tcPr>
            <w:tcW w:w="1394" w:type="dxa"/>
          </w:tcPr>
          <w:p w14:paraId="05D18081" w14:textId="77777777" w:rsidR="00F6339D" w:rsidRPr="007C3A5D" w:rsidRDefault="00F6339D" w:rsidP="007D2780">
            <w:pPr>
              <w:spacing w:line="480" w:lineRule="auto"/>
              <w:jc w:val="center"/>
              <w:rPr>
                <w:sz w:val="18"/>
              </w:rPr>
            </w:pPr>
            <w:r>
              <w:rPr>
                <w:sz w:val="18"/>
              </w:rPr>
              <w:t>4</w:t>
            </w:r>
          </w:p>
        </w:tc>
        <w:tc>
          <w:tcPr>
            <w:tcW w:w="1694" w:type="dxa"/>
          </w:tcPr>
          <w:p w14:paraId="513B9154" w14:textId="77777777" w:rsidR="00F6339D" w:rsidRPr="007C3A5D" w:rsidRDefault="00F6339D" w:rsidP="007D2780">
            <w:pPr>
              <w:spacing w:line="480" w:lineRule="auto"/>
              <w:jc w:val="center"/>
              <w:rPr>
                <w:sz w:val="18"/>
              </w:rPr>
            </w:pPr>
            <w:r>
              <w:rPr>
                <w:sz w:val="18"/>
              </w:rPr>
              <w:t>3</w:t>
            </w:r>
          </w:p>
        </w:tc>
      </w:tr>
      <w:tr w:rsidR="00F6339D" w:rsidRPr="00643A15" w14:paraId="773D285B" w14:textId="77777777" w:rsidTr="007D2780">
        <w:tc>
          <w:tcPr>
            <w:tcW w:w="2106" w:type="dxa"/>
            <w:tcBorders>
              <w:bottom w:val="single" w:sz="4" w:space="0" w:color="auto"/>
            </w:tcBorders>
            <w:tcMar>
              <w:left w:w="58" w:type="dxa"/>
              <w:right w:w="72" w:type="dxa"/>
            </w:tcMar>
          </w:tcPr>
          <w:p w14:paraId="2E257710" w14:textId="77777777" w:rsidR="00F6339D" w:rsidRPr="007C3A5D" w:rsidRDefault="00F6339D" w:rsidP="007D2780">
            <w:pPr>
              <w:spacing w:line="480" w:lineRule="auto"/>
              <w:rPr>
                <w:sz w:val="18"/>
              </w:rPr>
            </w:pPr>
            <w:r w:rsidRPr="007C3A5D">
              <w:rPr>
                <w:sz w:val="18"/>
              </w:rPr>
              <w:t>Rostral contacting nares</w:t>
            </w:r>
          </w:p>
        </w:tc>
        <w:tc>
          <w:tcPr>
            <w:tcW w:w="1394" w:type="dxa"/>
            <w:tcBorders>
              <w:bottom w:val="single" w:sz="4" w:space="0" w:color="auto"/>
            </w:tcBorders>
          </w:tcPr>
          <w:p w14:paraId="6E5575B4" w14:textId="77777777" w:rsidR="00F6339D" w:rsidRDefault="00F6339D" w:rsidP="007D2780">
            <w:pPr>
              <w:spacing w:line="480" w:lineRule="auto"/>
              <w:jc w:val="center"/>
              <w:rPr>
                <w:sz w:val="18"/>
              </w:rPr>
            </w:pPr>
            <w:r w:rsidRPr="000C16B3">
              <w:rPr>
                <w:sz w:val="18"/>
              </w:rPr>
              <w:t>yes</w:t>
            </w:r>
          </w:p>
        </w:tc>
        <w:tc>
          <w:tcPr>
            <w:tcW w:w="1394" w:type="dxa"/>
            <w:tcBorders>
              <w:bottom w:val="single" w:sz="4" w:space="0" w:color="auto"/>
            </w:tcBorders>
          </w:tcPr>
          <w:p w14:paraId="5F9172E0" w14:textId="77777777" w:rsidR="00F6339D" w:rsidRPr="007C3A5D" w:rsidRDefault="00F6339D" w:rsidP="007D2780">
            <w:pPr>
              <w:spacing w:line="480" w:lineRule="auto"/>
              <w:jc w:val="center"/>
              <w:rPr>
                <w:sz w:val="18"/>
              </w:rPr>
            </w:pPr>
            <w:r>
              <w:rPr>
                <w:sz w:val="18"/>
              </w:rPr>
              <w:t>yes</w:t>
            </w:r>
          </w:p>
        </w:tc>
        <w:tc>
          <w:tcPr>
            <w:tcW w:w="1730" w:type="dxa"/>
            <w:tcBorders>
              <w:bottom w:val="single" w:sz="4" w:space="0" w:color="auto"/>
            </w:tcBorders>
            <w:tcMar>
              <w:left w:w="43" w:type="dxa"/>
              <w:right w:w="43" w:type="dxa"/>
            </w:tcMar>
          </w:tcPr>
          <w:p w14:paraId="69F0D835" w14:textId="77777777" w:rsidR="00F6339D" w:rsidRPr="007C3A5D" w:rsidRDefault="00F6339D" w:rsidP="007D2780">
            <w:pPr>
              <w:spacing w:line="480" w:lineRule="auto"/>
              <w:jc w:val="center"/>
              <w:rPr>
                <w:sz w:val="18"/>
              </w:rPr>
            </w:pPr>
            <w:r>
              <w:rPr>
                <w:sz w:val="18"/>
              </w:rPr>
              <w:t>yes</w:t>
            </w:r>
          </w:p>
        </w:tc>
        <w:tc>
          <w:tcPr>
            <w:tcW w:w="1394" w:type="dxa"/>
            <w:tcBorders>
              <w:bottom w:val="single" w:sz="4" w:space="0" w:color="auto"/>
            </w:tcBorders>
          </w:tcPr>
          <w:p w14:paraId="57A36B7A" w14:textId="77777777" w:rsidR="00F6339D" w:rsidRDefault="00F6339D" w:rsidP="007D2780">
            <w:pPr>
              <w:spacing w:line="480" w:lineRule="auto"/>
              <w:jc w:val="center"/>
              <w:rPr>
                <w:sz w:val="18"/>
              </w:rPr>
            </w:pPr>
            <w:r>
              <w:rPr>
                <w:sz w:val="18"/>
              </w:rPr>
              <w:t>yes</w:t>
            </w:r>
          </w:p>
        </w:tc>
        <w:tc>
          <w:tcPr>
            <w:tcW w:w="1394" w:type="dxa"/>
            <w:tcBorders>
              <w:bottom w:val="single" w:sz="4" w:space="0" w:color="auto"/>
            </w:tcBorders>
          </w:tcPr>
          <w:p w14:paraId="335F1BAF" w14:textId="77777777" w:rsidR="00F6339D" w:rsidRPr="007C3A5D" w:rsidRDefault="00F6339D" w:rsidP="007D2780">
            <w:pPr>
              <w:spacing w:line="480" w:lineRule="auto"/>
              <w:jc w:val="center"/>
              <w:rPr>
                <w:sz w:val="18"/>
              </w:rPr>
            </w:pPr>
            <w:r>
              <w:rPr>
                <w:sz w:val="18"/>
              </w:rPr>
              <w:t>no</w:t>
            </w:r>
          </w:p>
        </w:tc>
        <w:tc>
          <w:tcPr>
            <w:tcW w:w="1694" w:type="dxa"/>
            <w:tcBorders>
              <w:bottom w:val="single" w:sz="4" w:space="0" w:color="auto"/>
            </w:tcBorders>
          </w:tcPr>
          <w:p w14:paraId="62B5E5C9" w14:textId="77777777" w:rsidR="00F6339D" w:rsidRPr="007C3A5D" w:rsidRDefault="00F6339D" w:rsidP="007D2780">
            <w:pPr>
              <w:spacing w:line="480" w:lineRule="auto"/>
              <w:jc w:val="center"/>
              <w:rPr>
                <w:sz w:val="18"/>
              </w:rPr>
            </w:pPr>
            <w:r>
              <w:rPr>
                <w:sz w:val="18"/>
              </w:rPr>
              <w:t>yes</w:t>
            </w:r>
          </w:p>
        </w:tc>
      </w:tr>
    </w:tbl>
    <w:p w14:paraId="0042312F" w14:textId="77777777" w:rsidR="00F6339D" w:rsidRDefault="00F6339D" w:rsidP="00F6339D">
      <w:pPr>
        <w:widowControl w:val="0"/>
        <w:autoSpaceDE w:val="0"/>
        <w:autoSpaceDN w:val="0"/>
        <w:adjustRightInd w:val="0"/>
        <w:spacing w:line="480" w:lineRule="auto"/>
        <w:rPr>
          <w:rFonts w:cs="Times New Roman"/>
          <w:color w:val="000000"/>
        </w:rPr>
        <w:sectPr w:rsidR="00F6339D" w:rsidSect="00EF3090">
          <w:pgSz w:w="15840" w:h="12240" w:orient="landscape"/>
          <w:pgMar w:top="1440" w:right="1440" w:bottom="1440" w:left="1440" w:header="720" w:footer="720" w:gutter="0"/>
          <w:lnNumType w:countBy="1" w:restart="continuous"/>
          <w:cols w:space="720"/>
          <w:docGrid w:linePitch="360"/>
        </w:sectPr>
      </w:pPr>
    </w:p>
    <w:p w14:paraId="066590F3" w14:textId="4069B851" w:rsidR="00F6339D" w:rsidRDefault="00880D3A" w:rsidP="00F6339D">
      <w:pPr>
        <w:spacing w:line="480" w:lineRule="auto"/>
        <w:jc w:val="center"/>
        <w:outlineLvl w:val="0"/>
        <w:rPr>
          <w:rFonts w:ascii="Times" w:hAnsi="Times" w:cs="Times New Roman"/>
          <w:smallCaps/>
        </w:rPr>
      </w:pPr>
      <w:r>
        <w:rPr>
          <w:rFonts w:ascii="Times" w:hAnsi="Times" w:cs="Times New Roman"/>
          <w:smallCaps/>
        </w:rPr>
        <w:t xml:space="preserve">Figures and </w:t>
      </w:r>
      <w:r w:rsidR="00F6339D">
        <w:rPr>
          <w:rFonts w:ascii="Times" w:hAnsi="Times" w:cs="Times New Roman"/>
          <w:smallCaps/>
        </w:rPr>
        <w:t>Figure Legends</w:t>
      </w:r>
    </w:p>
    <w:p w14:paraId="22C75AA4" w14:textId="32D0C95A" w:rsidR="00880D3A" w:rsidRPr="0081247F" w:rsidRDefault="00283550" w:rsidP="00F6339D">
      <w:pPr>
        <w:spacing w:line="480" w:lineRule="auto"/>
        <w:jc w:val="center"/>
        <w:outlineLvl w:val="0"/>
        <w:rPr>
          <w:rFonts w:ascii="Times" w:hAnsi="Times" w:cs="Times New Roman"/>
          <w:b/>
        </w:rPr>
      </w:pPr>
      <w:r>
        <w:rPr>
          <w:rFonts w:cs="Times New Roman"/>
          <w:smallCaps/>
          <w:noProof/>
          <w:color w:val="000000"/>
        </w:rPr>
        <w:drawing>
          <wp:anchor distT="0" distB="0" distL="114300" distR="114300" simplePos="0" relativeHeight="251658240" behindDoc="0" locked="0" layoutInCell="1" allowOverlap="1" wp14:anchorId="4CE3FA71" wp14:editId="781ED749">
            <wp:simplePos x="0" y="0"/>
            <wp:positionH relativeFrom="column">
              <wp:posOffset>405009</wp:posOffset>
            </wp:positionH>
            <wp:positionV relativeFrom="paragraph">
              <wp:posOffset>203200</wp:posOffset>
            </wp:positionV>
            <wp:extent cx="5126355" cy="3321685"/>
            <wp:effectExtent l="0" t="0" r="4445" b="5715"/>
            <wp:wrapTopAndBottom/>
            <wp:docPr id="4" name="Picture 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26355" cy="3321685"/>
                    </a:xfrm>
                    <a:prstGeom prst="rect">
                      <a:avLst/>
                    </a:prstGeom>
                  </pic:spPr>
                </pic:pic>
              </a:graphicData>
            </a:graphic>
            <wp14:sizeRelH relativeFrom="page">
              <wp14:pctWidth>0</wp14:pctWidth>
            </wp14:sizeRelH>
            <wp14:sizeRelV relativeFrom="page">
              <wp14:pctHeight>0</wp14:pctHeight>
            </wp14:sizeRelV>
          </wp:anchor>
        </w:drawing>
      </w:r>
    </w:p>
    <w:p w14:paraId="1DF474DF" w14:textId="77777777" w:rsidR="00880D3A" w:rsidRDefault="003E4841" w:rsidP="003E4841">
      <w:pPr>
        <w:widowControl w:val="0"/>
        <w:autoSpaceDE w:val="0"/>
        <w:autoSpaceDN w:val="0"/>
        <w:adjustRightInd w:val="0"/>
        <w:spacing w:line="480" w:lineRule="auto"/>
        <w:rPr>
          <w:rFonts w:cs="Times New Roman"/>
          <w:color w:val="000000"/>
        </w:rPr>
      </w:pPr>
      <w:r>
        <w:rPr>
          <w:rFonts w:cs="Times New Roman"/>
          <w:smallCaps/>
          <w:color w:val="000000"/>
        </w:rPr>
        <w:t>Fig</w:t>
      </w:r>
      <w:r w:rsidRPr="003E4841">
        <w:rPr>
          <w:rFonts w:cs="Times New Roman"/>
          <w:color w:val="000000"/>
        </w:rPr>
        <w:t xml:space="preserve">. 1.—Two-dimensional principal component analysis comparing 21 meristic morphological features of adult </w:t>
      </w:r>
      <w:r w:rsidRPr="003E4841">
        <w:rPr>
          <w:rFonts w:cs="Times New Roman"/>
          <w:i/>
          <w:iCs/>
          <w:color w:val="000000"/>
        </w:rPr>
        <w:t>Lepidodactylus balioburius</w:t>
      </w:r>
      <w:r w:rsidRPr="003E4841">
        <w:rPr>
          <w:rFonts w:cs="Times New Roman"/>
          <w:color w:val="000000"/>
        </w:rPr>
        <w:t xml:space="preserve"> and </w:t>
      </w:r>
      <w:r w:rsidRPr="003E4841">
        <w:rPr>
          <w:rFonts w:cs="Times New Roman"/>
          <w:i/>
          <w:iCs/>
          <w:color w:val="000000"/>
        </w:rPr>
        <w:t>L</w:t>
      </w:r>
      <w:r w:rsidRPr="003E4841">
        <w:rPr>
          <w:rFonts w:cs="Times New Roman"/>
          <w:color w:val="000000"/>
        </w:rPr>
        <w:t xml:space="preserve">. </w:t>
      </w:r>
      <w:r w:rsidRPr="003E4841">
        <w:rPr>
          <w:rFonts w:cs="Times New Roman"/>
          <w:i/>
          <w:iCs/>
          <w:color w:val="000000"/>
        </w:rPr>
        <w:t>babuyanensis</w:t>
      </w:r>
      <w:r w:rsidRPr="003E4841">
        <w:rPr>
          <w:rFonts w:cs="Times New Roman"/>
          <w:color w:val="000000"/>
        </w:rPr>
        <w:t xml:space="preserve"> specimens.</w:t>
      </w:r>
    </w:p>
    <w:p w14:paraId="0DF98224" w14:textId="533E73FC" w:rsidR="003E4841" w:rsidRPr="00880D3A" w:rsidRDefault="00880D3A" w:rsidP="003E4841">
      <w:pPr>
        <w:widowControl w:val="0"/>
        <w:autoSpaceDE w:val="0"/>
        <w:autoSpaceDN w:val="0"/>
        <w:adjustRightInd w:val="0"/>
        <w:spacing w:line="480" w:lineRule="auto"/>
        <w:rPr>
          <w:rFonts w:cs="Times New Roman"/>
          <w:color w:val="000000"/>
        </w:rPr>
      </w:pPr>
      <w:r>
        <w:rPr>
          <w:rFonts w:cs="Times New Roman"/>
          <w:smallCaps/>
          <w:noProof/>
          <w:color w:val="000000"/>
        </w:rPr>
        <w:drawing>
          <wp:anchor distT="0" distB="0" distL="114300" distR="114300" simplePos="0" relativeHeight="251660288" behindDoc="0" locked="0" layoutInCell="1" allowOverlap="1" wp14:anchorId="44D71B44" wp14:editId="4E834D9D">
            <wp:simplePos x="0" y="0"/>
            <wp:positionH relativeFrom="column">
              <wp:posOffset>567055</wp:posOffset>
            </wp:positionH>
            <wp:positionV relativeFrom="paragraph">
              <wp:posOffset>0</wp:posOffset>
            </wp:positionV>
            <wp:extent cx="5647690" cy="7694295"/>
            <wp:effectExtent l="0" t="0" r="3810" b="190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647690" cy="7694295"/>
                    </a:xfrm>
                    <a:prstGeom prst="rect">
                      <a:avLst/>
                    </a:prstGeom>
                  </pic:spPr>
                </pic:pic>
              </a:graphicData>
            </a:graphic>
            <wp14:sizeRelH relativeFrom="page">
              <wp14:pctWidth>0</wp14:pctWidth>
            </wp14:sizeRelH>
            <wp14:sizeRelV relativeFrom="page">
              <wp14:pctHeight>0</wp14:pctHeight>
            </wp14:sizeRelV>
          </wp:anchor>
        </w:drawing>
      </w:r>
    </w:p>
    <w:p w14:paraId="4641FCBB" w14:textId="464BB968" w:rsidR="003E4841" w:rsidRPr="003E4841" w:rsidRDefault="003E4841" w:rsidP="003E4841">
      <w:pPr>
        <w:widowControl w:val="0"/>
        <w:autoSpaceDE w:val="0"/>
        <w:autoSpaceDN w:val="0"/>
        <w:adjustRightInd w:val="0"/>
        <w:spacing w:line="480" w:lineRule="auto"/>
        <w:rPr>
          <w:rFonts w:cs="Times New Roman"/>
          <w:color w:val="000000"/>
        </w:rPr>
      </w:pPr>
      <w:r>
        <w:rPr>
          <w:rFonts w:cs="Times New Roman"/>
          <w:smallCaps/>
          <w:color w:val="000000"/>
        </w:rPr>
        <w:t>Fig</w:t>
      </w:r>
      <w:r w:rsidRPr="003E4841">
        <w:rPr>
          <w:rFonts w:cs="Times New Roman"/>
          <w:color w:val="000000"/>
        </w:rPr>
        <w:t xml:space="preserve">. 2.—Maximum clade credibility topology resulting from Bayesian analysis of the mitochondrial ND2 coding region for geckos of the genus </w:t>
      </w:r>
      <w:r w:rsidRPr="003E4841">
        <w:rPr>
          <w:rFonts w:cs="Times New Roman"/>
          <w:i/>
          <w:iCs/>
          <w:color w:val="000000"/>
        </w:rPr>
        <w:t>Lepidodactylus</w:t>
      </w:r>
      <w:r w:rsidRPr="003E4841">
        <w:rPr>
          <w:rFonts w:cs="Times New Roman"/>
          <w:color w:val="000000"/>
        </w:rPr>
        <w:t xml:space="preserve">. </w:t>
      </w:r>
      <w:r w:rsidRPr="003E4841">
        <w:rPr>
          <w:rFonts w:cs="Times New Roman"/>
          <w:i/>
          <w:iCs/>
          <w:color w:val="000000"/>
        </w:rPr>
        <w:t>Gekko mindorensis</w:t>
      </w:r>
      <w:r w:rsidRPr="003E4841">
        <w:rPr>
          <w:rFonts w:cs="Times New Roman"/>
          <w:color w:val="000000"/>
        </w:rPr>
        <w:t xml:space="preserve">, </w:t>
      </w:r>
      <w:r w:rsidRPr="003E4841">
        <w:rPr>
          <w:rFonts w:cs="Times New Roman"/>
          <w:i/>
          <w:iCs/>
          <w:color w:val="000000"/>
        </w:rPr>
        <w:t>Lepidodactylus guppyi</w:t>
      </w:r>
      <w:r w:rsidRPr="003E4841">
        <w:rPr>
          <w:rFonts w:cs="Times New Roman"/>
          <w:color w:val="000000"/>
        </w:rPr>
        <w:t xml:space="preserve">, and </w:t>
      </w:r>
      <w:r w:rsidRPr="003E4841">
        <w:rPr>
          <w:rFonts w:cs="Times New Roman"/>
          <w:i/>
          <w:iCs/>
          <w:color w:val="000000"/>
        </w:rPr>
        <w:t>Pseudogekko brevipes</w:t>
      </w:r>
      <w:r w:rsidRPr="003E4841">
        <w:rPr>
          <w:rFonts w:cs="Times New Roman"/>
          <w:color w:val="000000"/>
        </w:rPr>
        <w:t xml:space="preserve"> samples were used as outgroups following higher level phylogenetic analyses (Oliver et al. 2018). Black circles at nodes indicate Bayesian posterior probabilities ≥ 0.95; nodes shown without circles were supported by posterior probabilities </w:t>
      </w:r>
      <w:r w:rsidR="00880D3A" w:rsidRPr="00880D3A">
        <w:rPr>
          <w:rFonts w:cs="Times New Roman"/>
          <w:color w:val="000000"/>
        </w:rPr>
        <w:t xml:space="preserve">&lt; </w:t>
      </w:r>
      <w:r w:rsidRPr="003E4841">
        <w:rPr>
          <w:rFonts w:cs="Times New Roman"/>
          <w:color w:val="000000"/>
        </w:rPr>
        <w:t>0.95. Asterisks following taxonomic names on the topology denote lineages delimited in Poisson Tree Processes (PTP) modeling analysis; taxa without asterisks were subdivided by PTP analysis. A reduced map of the Philippine islands is presented on the bottom left, showing the location of type localities of the four species described herein by shapes matching those denoted on the topology. Filled shapes denote type localities while open shapes represent paratypes and/or referred specimens.</w:t>
      </w:r>
    </w:p>
    <w:p w14:paraId="21DFCD0D" w14:textId="49C0B48C" w:rsidR="00F6339D" w:rsidRDefault="00880D3A" w:rsidP="00F6339D">
      <w:pPr>
        <w:widowControl w:val="0"/>
        <w:autoSpaceDE w:val="0"/>
        <w:autoSpaceDN w:val="0"/>
        <w:adjustRightInd w:val="0"/>
        <w:spacing w:line="480" w:lineRule="auto"/>
        <w:rPr>
          <w:rFonts w:cs="Times New Roman"/>
          <w:color w:val="000000"/>
        </w:rPr>
      </w:pPr>
      <w:r>
        <w:rPr>
          <w:rFonts w:cs="Times New Roman"/>
          <w:noProof/>
          <w:color w:val="000000"/>
        </w:rPr>
        <w:drawing>
          <wp:anchor distT="0" distB="0" distL="114300" distR="114300" simplePos="0" relativeHeight="251659264" behindDoc="0" locked="0" layoutInCell="1" allowOverlap="1" wp14:anchorId="35745D75" wp14:editId="00DB4909">
            <wp:simplePos x="0" y="0"/>
            <wp:positionH relativeFrom="column">
              <wp:posOffset>1064871</wp:posOffset>
            </wp:positionH>
            <wp:positionV relativeFrom="paragraph">
              <wp:posOffset>458</wp:posOffset>
            </wp:positionV>
            <wp:extent cx="3238500" cy="5829300"/>
            <wp:effectExtent l="0" t="0" r="0" b="635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38500" cy="5829300"/>
                    </a:xfrm>
                    <a:prstGeom prst="rect">
                      <a:avLst/>
                    </a:prstGeom>
                  </pic:spPr>
                </pic:pic>
              </a:graphicData>
            </a:graphic>
            <wp14:sizeRelH relativeFrom="page">
              <wp14:pctWidth>0</wp14:pctWidth>
            </wp14:sizeRelH>
            <wp14:sizeRelV relativeFrom="page">
              <wp14:pctHeight>0</wp14:pctHeight>
            </wp14:sizeRelV>
          </wp:anchor>
        </w:drawing>
      </w:r>
    </w:p>
    <w:p w14:paraId="21CA21D3" w14:textId="4896517B" w:rsidR="00F6339D" w:rsidRDefault="00F6339D" w:rsidP="00F6339D">
      <w:pPr>
        <w:widowControl w:val="0"/>
        <w:autoSpaceDE w:val="0"/>
        <w:autoSpaceDN w:val="0"/>
        <w:adjustRightInd w:val="0"/>
        <w:spacing w:line="480" w:lineRule="auto"/>
        <w:rPr>
          <w:rFonts w:cs="Times New Roman"/>
          <w:color w:val="000000"/>
        </w:rPr>
      </w:pPr>
      <w:r w:rsidRPr="001B300C">
        <w:rPr>
          <w:rFonts w:cs="Times New Roman"/>
          <w:smallCaps/>
          <w:color w:val="000000"/>
        </w:rPr>
        <w:t>Fig</w:t>
      </w:r>
      <w:r>
        <w:rPr>
          <w:rFonts w:cs="Times New Roman"/>
          <w:color w:val="000000"/>
        </w:rPr>
        <w:t>. 3.</w:t>
      </w:r>
      <w:r w:rsidRPr="00EC7372">
        <w:rPr>
          <w:rFonts w:cs="Times New Roman"/>
          <w:color w:val="000000"/>
        </w:rPr>
        <w:t>—</w:t>
      </w:r>
      <w:r>
        <w:rPr>
          <w:rFonts w:cs="Times New Roman"/>
          <w:color w:val="000000"/>
        </w:rPr>
        <w:t xml:space="preserve">Photographic plate of (A) </w:t>
      </w:r>
      <w:r>
        <w:rPr>
          <w:rFonts w:cs="Times New Roman"/>
          <w:i/>
          <w:color w:val="000000"/>
        </w:rPr>
        <w:t>Lepidodactylus bisakol</w:t>
      </w:r>
      <w:r>
        <w:rPr>
          <w:rFonts w:cs="Times New Roman"/>
          <w:color w:val="000000"/>
        </w:rPr>
        <w:t xml:space="preserve"> (holotype </w:t>
      </w:r>
      <w:r w:rsidRPr="00041C92">
        <w:t>PNM 9874</w:t>
      </w:r>
      <w:r>
        <w:rPr>
          <w:rFonts w:cs="Times New Roman"/>
          <w:color w:val="000000"/>
        </w:rPr>
        <w:t xml:space="preserve">), (B) </w:t>
      </w:r>
      <w:r>
        <w:rPr>
          <w:rFonts w:cs="Times New Roman"/>
          <w:i/>
          <w:color w:val="000000"/>
        </w:rPr>
        <w:t xml:space="preserve">Lepidodactylus </w:t>
      </w:r>
      <w:r w:rsidRPr="005F54B4">
        <w:rPr>
          <w:rFonts w:cs="Times New Roman"/>
          <w:i/>
          <w:color w:val="000000"/>
        </w:rPr>
        <w:t>bakingibut</w:t>
      </w:r>
      <w:r w:rsidRPr="005F54B4">
        <w:rPr>
          <w:rFonts w:cs="Times New Roman"/>
          <w:color w:val="000000"/>
        </w:rPr>
        <w:t xml:space="preserve"> (paratype KU 330065), and (C) </w:t>
      </w:r>
      <w:r w:rsidRPr="005F54B4">
        <w:rPr>
          <w:rFonts w:cs="Times New Roman"/>
          <w:i/>
          <w:color w:val="000000"/>
        </w:rPr>
        <w:t>Lepidodactylus babuyanensis</w:t>
      </w:r>
      <w:r w:rsidRPr="005F54B4">
        <w:rPr>
          <w:rFonts w:cs="Times New Roman"/>
          <w:color w:val="000000"/>
        </w:rPr>
        <w:t xml:space="preserve"> (paratype OMNH 46977) in life.</w:t>
      </w:r>
    </w:p>
    <w:p w14:paraId="628054AC" w14:textId="38CF0E7F" w:rsidR="00F6339D" w:rsidRDefault="00880D3A" w:rsidP="00F6339D">
      <w:pPr>
        <w:widowControl w:val="0"/>
        <w:autoSpaceDE w:val="0"/>
        <w:autoSpaceDN w:val="0"/>
        <w:adjustRightInd w:val="0"/>
        <w:spacing w:line="480" w:lineRule="auto"/>
        <w:rPr>
          <w:rFonts w:cs="Times New Roman"/>
          <w:color w:val="000000"/>
        </w:rPr>
      </w:pPr>
      <w:r>
        <w:rPr>
          <w:rFonts w:cs="Times New Roman"/>
          <w:noProof/>
          <w:color w:val="000000"/>
        </w:rPr>
        <w:drawing>
          <wp:anchor distT="0" distB="0" distL="114300" distR="114300" simplePos="0" relativeHeight="251661312" behindDoc="0" locked="0" layoutInCell="1" allowOverlap="1" wp14:anchorId="7A6BF906" wp14:editId="2D2B880A">
            <wp:simplePos x="0" y="0"/>
            <wp:positionH relativeFrom="column">
              <wp:posOffset>1180618</wp:posOffset>
            </wp:positionH>
            <wp:positionV relativeFrom="paragraph">
              <wp:posOffset>0</wp:posOffset>
            </wp:positionV>
            <wp:extent cx="3187700" cy="543560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87700" cy="5435600"/>
                    </a:xfrm>
                    <a:prstGeom prst="rect">
                      <a:avLst/>
                    </a:prstGeom>
                  </pic:spPr>
                </pic:pic>
              </a:graphicData>
            </a:graphic>
            <wp14:sizeRelH relativeFrom="page">
              <wp14:pctWidth>0</wp14:pctWidth>
            </wp14:sizeRelH>
            <wp14:sizeRelV relativeFrom="page">
              <wp14:pctHeight>0</wp14:pctHeight>
            </wp14:sizeRelV>
          </wp:anchor>
        </w:drawing>
      </w:r>
    </w:p>
    <w:p w14:paraId="703D2D16" w14:textId="77777777" w:rsidR="00F6339D" w:rsidRDefault="00F6339D" w:rsidP="00F6339D">
      <w:pPr>
        <w:widowControl w:val="0"/>
        <w:autoSpaceDE w:val="0"/>
        <w:autoSpaceDN w:val="0"/>
        <w:adjustRightInd w:val="0"/>
        <w:spacing w:line="480" w:lineRule="auto"/>
        <w:rPr>
          <w:rFonts w:cs="Times New Roman"/>
          <w:color w:val="000000"/>
        </w:rPr>
      </w:pPr>
      <w:r w:rsidRPr="001B300C">
        <w:rPr>
          <w:rFonts w:cs="Times New Roman"/>
          <w:smallCaps/>
          <w:color w:val="000000"/>
        </w:rPr>
        <w:t>Fig.</w:t>
      </w:r>
      <w:r>
        <w:rPr>
          <w:rFonts w:cs="Times New Roman"/>
          <w:color w:val="000000"/>
        </w:rPr>
        <w:t xml:space="preserve"> 4.</w:t>
      </w:r>
      <w:r w:rsidRPr="00EC7372">
        <w:rPr>
          <w:rFonts w:cs="Times New Roman"/>
          <w:color w:val="000000"/>
        </w:rPr>
        <w:t>—</w:t>
      </w:r>
      <w:r w:rsidRPr="00842B13">
        <w:rPr>
          <w:rFonts w:cs="Times New Roman"/>
          <w:color w:val="000000"/>
        </w:rPr>
        <w:t>Dorsal body (A), head (B), and clo</w:t>
      </w:r>
      <w:r>
        <w:rPr>
          <w:rFonts w:cs="Times New Roman"/>
          <w:color w:val="000000"/>
        </w:rPr>
        <w:t>a</w:t>
      </w:r>
      <w:r w:rsidRPr="00842B13">
        <w:rPr>
          <w:rFonts w:cs="Times New Roman"/>
          <w:color w:val="000000"/>
        </w:rPr>
        <w:t xml:space="preserve">cal region (C) of the holotype of </w:t>
      </w:r>
      <w:r w:rsidRPr="00842B13">
        <w:rPr>
          <w:rFonts w:cs="Times New Roman"/>
          <w:i/>
          <w:iCs/>
          <w:color w:val="000000"/>
        </w:rPr>
        <w:t>Lepidodactylus bisakol</w:t>
      </w:r>
      <w:r w:rsidRPr="00842B13">
        <w:rPr>
          <w:rFonts w:cs="Times New Roman"/>
          <w:color w:val="000000"/>
        </w:rPr>
        <w:t>.</w:t>
      </w:r>
    </w:p>
    <w:p w14:paraId="75F7A6B1" w14:textId="25A54A1D" w:rsidR="00F6339D" w:rsidRPr="00EC7372" w:rsidRDefault="00880D3A" w:rsidP="00F6339D">
      <w:pPr>
        <w:widowControl w:val="0"/>
        <w:autoSpaceDE w:val="0"/>
        <w:autoSpaceDN w:val="0"/>
        <w:adjustRightInd w:val="0"/>
        <w:spacing w:line="480" w:lineRule="auto"/>
        <w:rPr>
          <w:rFonts w:cs="Times New Roman"/>
          <w:color w:val="000000"/>
        </w:rPr>
      </w:pPr>
      <w:r>
        <w:rPr>
          <w:rFonts w:cs="Times New Roman"/>
          <w:noProof/>
          <w:color w:val="000000"/>
        </w:rPr>
        <w:drawing>
          <wp:anchor distT="0" distB="0" distL="114300" distR="114300" simplePos="0" relativeHeight="251662336" behindDoc="0" locked="0" layoutInCell="1" allowOverlap="1" wp14:anchorId="51191007" wp14:editId="1A6C22D5">
            <wp:simplePos x="0" y="0"/>
            <wp:positionH relativeFrom="column">
              <wp:posOffset>1412111</wp:posOffset>
            </wp:positionH>
            <wp:positionV relativeFrom="paragraph">
              <wp:posOffset>0</wp:posOffset>
            </wp:positionV>
            <wp:extent cx="3187700" cy="560070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87700" cy="5600700"/>
                    </a:xfrm>
                    <a:prstGeom prst="rect">
                      <a:avLst/>
                    </a:prstGeom>
                  </pic:spPr>
                </pic:pic>
              </a:graphicData>
            </a:graphic>
            <wp14:sizeRelH relativeFrom="page">
              <wp14:pctWidth>0</wp14:pctWidth>
            </wp14:sizeRelH>
            <wp14:sizeRelV relativeFrom="page">
              <wp14:pctHeight>0</wp14:pctHeight>
            </wp14:sizeRelV>
          </wp:anchor>
        </w:drawing>
      </w:r>
    </w:p>
    <w:p w14:paraId="38C2BE53" w14:textId="77777777" w:rsidR="00F6339D" w:rsidRDefault="00F6339D" w:rsidP="00F6339D">
      <w:pPr>
        <w:widowControl w:val="0"/>
        <w:autoSpaceDE w:val="0"/>
        <w:autoSpaceDN w:val="0"/>
        <w:adjustRightInd w:val="0"/>
        <w:spacing w:line="480" w:lineRule="auto"/>
        <w:rPr>
          <w:rFonts w:cs="Times New Roman"/>
          <w:color w:val="000000"/>
        </w:rPr>
      </w:pPr>
      <w:r w:rsidRPr="001B300C">
        <w:rPr>
          <w:rFonts w:cs="Times New Roman"/>
          <w:smallCaps/>
          <w:color w:val="000000"/>
        </w:rPr>
        <w:t>Fig.</w:t>
      </w:r>
      <w:r>
        <w:rPr>
          <w:rFonts w:cs="Times New Roman"/>
          <w:color w:val="000000"/>
        </w:rPr>
        <w:t xml:space="preserve"> 5.</w:t>
      </w:r>
      <w:r w:rsidRPr="00EC7372">
        <w:rPr>
          <w:rFonts w:cs="Times New Roman"/>
          <w:color w:val="000000"/>
        </w:rPr>
        <w:t>—</w:t>
      </w:r>
      <w:r w:rsidRPr="00842B13">
        <w:rPr>
          <w:rFonts w:cs="Times New Roman"/>
          <w:color w:val="000000"/>
        </w:rPr>
        <w:t>Dorsal body (A), head (B), and clo</w:t>
      </w:r>
      <w:r>
        <w:rPr>
          <w:rFonts w:cs="Times New Roman"/>
          <w:color w:val="000000"/>
        </w:rPr>
        <w:t>a</w:t>
      </w:r>
      <w:r w:rsidRPr="00842B13">
        <w:rPr>
          <w:rFonts w:cs="Times New Roman"/>
          <w:color w:val="000000"/>
        </w:rPr>
        <w:t xml:space="preserve">cal region (C) of the holotype of </w:t>
      </w:r>
      <w:r w:rsidRPr="00842B13">
        <w:rPr>
          <w:rFonts w:cs="Times New Roman"/>
          <w:i/>
          <w:iCs/>
          <w:color w:val="000000"/>
        </w:rPr>
        <w:t>Lepidodactylus bakingibut</w:t>
      </w:r>
      <w:r w:rsidRPr="00842B13">
        <w:rPr>
          <w:rFonts w:cs="Times New Roman"/>
          <w:color w:val="000000"/>
        </w:rPr>
        <w:t>.</w:t>
      </w:r>
    </w:p>
    <w:p w14:paraId="220C50E5" w14:textId="598D2C0E" w:rsidR="00F6339D" w:rsidRDefault="00880D3A" w:rsidP="00F6339D">
      <w:pPr>
        <w:widowControl w:val="0"/>
        <w:autoSpaceDE w:val="0"/>
        <w:autoSpaceDN w:val="0"/>
        <w:adjustRightInd w:val="0"/>
        <w:spacing w:line="480" w:lineRule="auto"/>
        <w:rPr>
          <w:rFonts w:cs="Times New Roman"/>
          <w:color w:val="000000"/>
        </w:rPr>
      </w:pPr>
      <w:r>
        <w:rPr>
          <w:rFonts w:cs="Times New Roman"/>
          <w:noProof/>
          <w:color w:val="000000"/>
        </w:rPr>
        <w:drawing>
          <wp:anchor distT="0" distB="0" distL="114300" distR="114300" simplePos="0" relativeHeight="251663360" behindDoc="0" locked="0" layoutInCell="1" allowOverlap="1" wp14:anchorId="093BA325" wp14:editId="3AD425BF">
            <wp:simplePos x="0" y="0"/>
            <wp:positionH relativeFrom="column">
              <wp:posOffset>1423686</wp:posOffset>
            </wp:positionH>
            <wp:positionV relativeFrom="paragraph">
              <wp:posOffset>0</wp:posOffset>
            </wp:positionV>
            <wp:extent cx="3187700" cy="598170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87700" cy="5981700"/>
                    </a:xfrm>
                    <a:prstGeom prst="rect">
                      <a:avLst/>
                    </a:prstGeom>
                  </pic:spPr>
                </pic:pic>
              </a:graphicData>
            </a:graphic>
            <wp14:sizeRelH relativeFrom="page">
              <wp14:pctWidth>0</wp14:pctWidth>
            </wp14:sizeRelH>
            <wp14:sizeRelV relativeFrom="page">
              <wp14:pctHeight>0</wp14:pctHeight>
            </wp14:sizeRelV>
          </wp:anchor>
        </w:drawing>
      </w:r>
    </w:p>
    <w:p w14:paraId="4D881365" w14:textId="77777777" w:rsidR="00F6339D" w:rsidRDefault="00F6339D" w:rsidP="00F6339D">
      <w:pPr>
        <w:widowControl w:val="0"/>
        <w:autoSpaceDE w:val="0"/>
        <w:autoSpaceDN w:val="0"/>
        <w:adjustRightInd w:val="0"/>
        <w:spacing w:line="480" w:lineRule="auto"/>
        <w:rPr>
          <w:rFonts w:cs="Times New Roman"/>
          <w:color w:val="000000"/>
        </w:rPr>
      </w:pPr>
      <w:r w:rsidRPr="001B300C">
        <w:rPr>
          <w:rFonts w:cs="Times New Roman"/>
          <w:smallCaps/>
          <w:color w:val="000000"/>
        </w:rPr>
        <w:t>Fig.</w:t>
      </w:r>
      <w:r>
        <w:rPr>
          <w:rFonts w:cs="Times New Roman"/>
          <w:color w:val="000000"/>
        </w:rPr>
        <w:t xml:space="preserve"> 6.</w:t>
      </w:r>
      <w:r w:rsidRPr="00EC7372">
        <w:rPr>
          <w:rFonts w:cs="Times New Roman"/>
          <w:color w:val="000000"/>
        </w:rPr>
        <w:t>—</w:t>
      </w:r>
      <w:r w:rsidRPr="00842B13">
        <w:rPr>
          <w:rFonts w:cs="Times New Roman"/>
          <w:color w:val="000000"/>
        </w:rPr>
        <w:t>Dorsal body (A), head (B), and clo</w:t>
      </w:r>
      <w:r>
        <w:rPr>
          <w:rFonts w:cs="Times New Roman"/>
          <w:color w:val="000000"/>
        </w:rPr>
        <w:t>a</w:t>
      </w:r>
      <w:r w:rsidRPr="00842B13">
        <w:rPr>
          <w:rFonts w:cs="Times New Roman"/>
          <w:color w:val="000000"/>
        </w:rPr>
        <w:t xml:space="preserve">cal region (C) of the holotype of </w:t>
      </w:r>
      <w:r w:rsidRPr="00842B13">
        <w:rPr>
          <w:rFonts w:cs="Times New Roman"/>
          <w:i/>
          <w:iCs/>
          <w:color w:val="000000"/>
        </w:rPr>
        <w:t>Lepidodactylus nakahiwalay</w:t>
      </w:r>
      <w:r w:rsidRPr="00842B13">
        <w:rPr>
          <w:rFonts w:cs="Times New Roman"/>
          <w:color w:val="000000"/>
        </w:rPr>
        <w:t>.</w:t>
      </w:r>
    </w:p>
    <w:p w14:paraId="785CD7FD" w14:textId="3A8AE3FD" w:rsidR="00F6339D" w:rsidRDefault="00880D3A" w:rsidP="00F6339D">
      <w:pPr>
        <w:widowControl w:val="0"/>
        <w:autoSpaceDE w:val="0"/>
        <w:autoSpaceDN w:val="0"/>
        <w:adjustRightInd w:val="0"/>
        <w:spacing w:line="480" w:lineRule="auto"/>
        <w:rPr>
          <w:rFonts w:cs="Times New Roman"/>
          <w:color w:val="000000"/>
        </w:rPr>
      </w:pPr>
      <w:r>
        <w:rPr>
          <w:rFonts w:cs="Times New Roman"/>
          <w:noProof/>
          <w:color w:val="000000"/>
        </w:rPr>
        <w:drawing>
          <wp:anchor distT="0" distB="0" distL="114300" distR="114300" simplePos="0" relativeHeight="251664384" behindDoc="0" locked="0" layoutInCell="1" allowOverlap="1" wp14:anchorId="429171EB" wp14:editId="7275032E">
            <wp:simplePos x="0" y="0"/>
            <wp:positionH relativeFrom="column">
              <wp:posOffset>1307939</wp:posOffset>
            </wp:positionH>
            <wp:positionV relativeFrom="paragraph">
              <wp:posOffset>0</wp:posOffset>
            </wp:positionV>
            <wp:extent cx="3162300" cy="5676900"/>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62300" cy="5676900"/>
                    </a:xfrm>
                    <a:prstGeom prst="rect">
                      <a:avLst/>
                    </a:prstGeom>
                  </pic:spPr>
                </pic:pic>
              </a:graphicData>
            </a:graphic>
            <wp14:sizeRelH relativeFrom="page">
              <wp14:pctWidth>0</wp14:pctWidth>
            </wp14:sizeRelH>
            <wp14:sizeRelV relativeFrom="page">
              <wp14:pctHeight>0</wp14:pctHeight>
            </wp14:sizeRelV>
          </wp:anchor>
        </w:drawing>
      </w:r>
    </w:p>
    <w:p w14:paraId="1CD6FDFF" w14:textId="77777777" w:rsidR="00F6339D" w:rsidRDefault="00F6339D" w:rsidP="00F6339D">
      <w:pPr>
        <w:widowControl w:val="0"/>
        <w:autoSpaceDE w:val="0"/>
        <w:autoSpaceDN w:val="0"/>
        <w:adjustRightInd w:val="0"/>
        <w:spacing w:line="480" w:lineRule="auto"/>
        <w:rPr>
          <w:rFonts w:cs="Times New Roman"/>
          <w:color w:val="000000"/>
        </w:rPr>
      </w:pPr>
      <w:r w:rsidRPr="001B300C">
        <w:rPr>
          <w:rFonts w:cs="Times New Roman"/>
          <w:smallCaps/>
          <w:color w:val="000000"/>
        </w:rPr>
        <w:t>Fig.</w:t>
      </w:r>
      <w:r>
        <w:rPr>
          <w:rFonts w:cs="Times New Roman"/>
          <w:color w:val="000000"/>
        </w:rPr>
        <w:t xml:space="preserve"> 7.</w:t>
      </w:r>
      <w:r w:rsidRPr="00EC7372">
        <w:rPr>
          <w:rFonts w:cs="Times New Roman"/>
          <w:color w:val="000000"/>
        </w:rPr>
        <w:t>—</w:t>
      </w:r>
      <w:r w:rsidRPr="00842B13">
        <w:rPr>
          <w:rFonts w:cs="Times New Roman"/>
          <w:color w:val="000000"/>
        </w:rPr>
        <w:t>Dorsal body (A), head (B), and cloa</w:t>
      </w:r>
      <w:r>
        <w:rPr>
          <w:rFonts w:cs="Times New Roman"/>
          <w:color w:val="000000"/>
        </w:rPr>
        <w:t>c</w:t>
      </w:r>
      <w:r w:rsidRPr="00842B13">
        <w:rPr>
          <w:rFonts w:cs="Times New Roman"/>
          <w:color w:val="000000"/>
        </w:rPr>
        <w:t xml:space="preserve">al region (C) of the holotype of </w:t>
      </w:r>
      <w:r w:rsidRPr="00842B13">
        <w:rPr>
          <w:rFonts w:cs="Times New Roman"/>
          <w:i/>
          <w:iCs/>
          <w:color w:val="000000"/>
        </w:rPr>
        <w:t>Lepidodactylus babuyanensis</w:t>
      </w:r>
      <w:r w:rsidRPr="00842B13">
        <w:rPr>
          <w:rFonts w:cs="Times New Roman"/>
          <w:color w:val="000000"/>
        </w:rPr>
        <w:t>.</w:t>
      </w:r>
    </w:p>
    <w:p w14:paraId="7EDAE77D" w14:textId="3F54FD6C" w:rsidR="00F6339D" w:rsidRDefault="00880D3A" w:rsidP="00F6339D">
      <w:pPr>
        <w:widowControl w:val="0"/>
        <w:autoSpaceDE w:val="0"/>
        <w:autoSpaceDN w:val="0"/>
        <w:adjustRightInd w:val="0"/>
        <w:spacing w:line="480" w:lineRule="auto"/>
        <w:rPr>
          <w:rFonts w:cs="Times New Roman"/>
          <w:color w:val="000000"/>
        </w:rPr>
      </w:pPr>
      <w:r>
        <w:rPr>
          <w:rFonts w:cs="Times New Roman"/>
          <w:noProof/>
          <w:color w:val="000000"/>
        </w:rPr>
        <w:drawing>
          <wp:anchor distT="0" distB="0" distL="114300" distR="114300" simplePos="0" relativeHeight="251665408" behindDoc="0" locked="0" layoutInCell="1" allowOverlap="1" wp14:anchorId="188EFD09" wp14:editId="4F8A6EFA">
            <wp:simplePos x="0" y="0"/>
            <wp:positionH relativeFrom="column">
              <wp:posOffset>428263</wp:posOffset>
            </wp:positionH>
            <wp:positionV relativeFrom="paragraph">
              <wp:posOffset>0</wp:posOffset>
            </wp:positionV>
            <wp:extent cx="5081270" cy="7211060"/>
            <wp:effectExtent l="0" t="0" r="1905" b="635"/>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081270" cy="7211060"/>
                    </a:xfrm>
                    <a:prstGeom prst="rect">
                      <a:avLst/>
                    </a:prstGeom>
                  </pic:spPr>
                </pic:pic>
              </a:graphicData>
            </a:graphic>
            <wp14:sizeRelH relativeFrom="page">
              <wp14:pctWidth>0</wp14:pctWidth>
            </wp14:sizeRelH>
            <wp14:sizeRelV relativeFrom="page">
              <wp14:pctHeight>0</wp14:pctHeight>
            </wp14:sizeRelV>
          </wp:anchor>
        </w:drawing>
      </w:r>
    </w:p>
    <w:p w14:paraId="7CACFE91" w14:textId="1685B429" w:rsidR="005C7880" w:rsidRDefault="00F6339D" w:rsidP="005C7880">
      <w:pPr>
        <w:widowControl w:val="0"/>
        <w:autoSpaceDE w:val="0"/>
        <w:autoSpaceDN w:val="0"/>
        <w:adjustRightInd w:val="0"/>
        <w:spacing w:line="480" w:lineRule="auto"/>
        <w:rPr>
          <w:rFonts w:cs="Times New Roman"/>
          <w:color w:val="000000"/>
        </w:rPr>
      </w:pPr>
      <w:r w:rsidRPr="001B300C">
        <w:rPr>
          <w:rFonts w:cs="Times New Roman"/>
          <w:smallCaps/>
          <w:color w:val="000000"/>
        </w:rPr>
        <w:t>Fig.</w:t>
      </w:r>
      <w:r>
        <w:rPr>
          <w:rFonts w:cs="Times New Roman"/>
          <w:color w:val="000000"/>
        </w:rPr>
        <w:t xml:space="preserve"> 8.</w:t>
      </w:r>
      <w:r w:rsidRPr="00EC7372">
        <w:rPr>
          <w:rFonts w:cs="Times New Roman"/>
          <w:color w:val="000000"/>
        </w:rPr>
        <w:t>—</w:t>
      </w:r>
      <w:r>
        <w:rPr>
          <w:rFonts w:cs="Times New Roman"/>
          <w:color w:val="000000"/>
        </w:rPr>
        <w:t xml:space="preserve">Island distributions of sampled individuals of </w:t>
      </w:r>
      <w:r>
        <w:rPr>
          <w:rFonts w:cs="Times New Roman"/>
          <w:i/>
          <w:color w:val="000000"/>
        </w:rPr>
        <w:t>Lepidodactylus babuyanensis</w:t>
      </w:r>
      <w:r>
        <w:rPr>
          <w:rFonts w:cs="Times New Roman"/>
          <w:color w:val="000000"/>
        </w:rPr>
        <w:t xml:space="preserve">, </w:t>
      </w:r>
      <w:r>
        <w:rPr>
          <w:rFonts w:cs="Times New Roman"/>
          <w:i/>
          <w:color w:val="000000"/>
        </w:rPr>
        <w:t>L. balioburius</w:t>
      </w:r>
      <w:r>
        <w:rPr>
          <w:rFonts w:cs="Times New Roman"/>
          <w:color w:val="000000"/>
        </w:rPr>
        <w:t xml:space="preserve">, and </w:t>
      </w:r>
      <w:r>
        <w:rPr>
          <w:rFonts w:cs="Times New Roman"/>
          <w:i/>
          <w:color w:val="000000"/>
        </w:rPr>
        <w:t xml:space="preserve">L. yami </w:t>
      </w:r>
      <w:r>
        <w:rPr>
          <w:rFonts w:cs="Times New Roman"/>
          <w:color w:val="000000"/>
        </w:rPr>
        <w:t xml:space="preserve">across the northern Philippines and southern Taiwan. Color-coded clades correspond to the islands of specimen origination. Note the non-monophyly of </w:t>
      </w:r>
      <w:r>
        <w:rPr>
          <w:rFonts w:cs="Times New Roman"/>
          <w:i/>
          <w:color w:val="000000"/>
        </w:rPr>
        <w:t xml:space="preserve">L. balioburius </w:t>
      </w:r>
      <w:r>
        <w:rPr>
          <w:rFonts w:cs="Times New Roman"/>
          <w:color w:val="000000"/>
        </w:rPr>
        <w:t>populations from neighboring Batan and Sabtang islands. Asterisks following taxonomic names on the topology denote lineages delimited in PTP modeling analysis; taxa without asterisks were subdivided by PTP analysis.</w:t>
      </w:r>
      <w:r w:rsidR="005C7880">
        <w:rPr>
          <w:rFonts w:cs="Times New Roman"/>
          <w:color w:val="000000"/>
        </w:rPr>
        <w:br w:type="page"/>
      </w:r>
    </w:p>
    <w:p w14:paraId="457B180F" w14:textId="637B0C75" w:rsidR="005C7880" w:rsidRPr="005C7880" w:rsidRDefault="005C7880" w:rsidP="005D4756">
      <w:pPr>
        <w:spacing w:line="480" w:lineRule="auto"/>
        <w:contextualSpacing/>
        <w:jc w:val="center"/>
        <w:rPr>
          <w:rFonts w:cs="Times New Roman"/>
          <w:b/>
          <w:bCs/>
          <w:sz w:val="28"/>
          <w:szCs w:val="28"/>
        </w:rPr>
      </w:pPr>
      <w:r>
        <w:rPr>
          <w:rFonts w:cs="Times New Roman"/>
          <w:b/>
          <w:bCs/>
          <w:sz w:val="28"/>
          <w:szCs w:val="28"/>
        </w:rPr>
        <w:t xml:space="preserve">Chapter 2: </w:t>
      </w:r>
      <w:r w:rsidRPr="005E196F">
        <w:rPr>
          <w:rFonts w:cs="Times New Roman"/>
          <w:b/>
          <w:bCs/>
          <w:sz w:val="28"/>
          <w:szCs w:val="28"/>
        </w:rPr>
        <w:t>Gut microbial ecology of Philippine gekkonids</w:t>
      </w:r>
      <w:r>
        <w:rPr>
          <w:rFonts w:cs="Times New Roman"/>
          <w:b/>
          <w:bCs/>
          <w:sz w:val="28"/>
          <w:szCs w:val="28"/>
        </w:rPr>
        <w:t>:</w:t>
      </w:r>
      <w:r w:rsidRPr="00A078D3">
        <w:rPr>
          <w:rFonts w:cs="Times New Roman"/>
          <w:b/>
          <w:bCs/>
          <w:sz w:val="28"/>
          <w:szCs w:val="28"/>
        </w:rPr>
        <w:t xml:space="preserve"> </w:t>
      </w:r>
      <w:r>
        <w:rPr>
          <w:rFonts w:cs="Times New Roman"/>
          <w:b/>
          <w:bCs/>
          <w:sz w:val="28"/>
          <w:szCs w:val="28"/>
        </w:rPr>
        <w:t>ecoevolutionary effects o</w:t>
      </w:r>
      <w:r w:rsidRPr="005E196F">
        <w:rPr>
          <w:rFonts w:cs="Times New Roman"/>
          <w:b/>
          <w:bCs/>
          <w:sz w:val="28"/>
          <w:szCs w:val="28"/>
        </w:rPr>
        <w:t>n micro</w:t>
      </w:r>
      <w:r>
        <w:rPr>
          <w:rFonts w:cs="Times New Roman"/>
          <w:b/>
          <w:bCs/>
          <w:sz w:val="28"/>
          <w:szCs w:val="28"/>
        </w:rPr>
        <w:t>biome</w:t>
      </w:r>
      <w:r w:rsidRPr="005E196F">
        <w:rPr>
          <w:rFonts w:cs="Times New Roman"/>
          <w:b/>
          <w:bCs/>
          <w:sz w:val="28"/>
          <w:szCs w:val="28"/>
        </w:rPr>
        <w:t xml:space="preserve"> composition</w:t>
      </w:r>
      <w:r>
        <w:rPr>
          <w:rFonts w:cs="Times New Roman"/>
          <w:b/>
          <w:bCs/>
          <w:sz w:val="28"/>
          <w:szCs w:val="28"/>
        </w:rPr>
        <w:t>s</w:t>
      </w:r>
    </w:p>
    <w:p w14:paraId="236C89E2" w14:textId="06093047" w:rsidR="005D4756" w:rsidRPr="005D4756" w:rsidRDefault="005C7880" w:rsidP="005D4756">
      <w:pPr>
        <w:spacing w:line="480" w:lineRule="auto"/>
        <w:contextualSpacing/>
        <w:jc w:val="center"/>
        <w:rPr>
          <w:rFonts w:cs="Times New Roman"/>
        </w:rPr>
      </w:pPr>
      <w:r w:rsidRPr="005D4756">
        <w:rPr>
          <w:rFonts w:cs="Times New Roman"/>
        </w:rPr>
        <w:t xml:space="preserve">Samuel J. Eliades, Timothy J. Colston, </w:t>
      </w:r>
      <w:r w:rsidR="005D4756">
        <w:rPr>
          <w:rFonts w:cs="Times New Roman"/>
        </w:rPr>
        <w:t xml:space="preserve">and </w:t>
      </w:r>
      <w:r w:rsidRPr="005D4756">
        <w:rPr>
          <w:rFonts w:cs="Times New Roman"/>
        </w:rPr>
        <w:t>Cameron D. Siler</w:t>
      </w:r>
    </w:p>
    <w:p w14:paraId="53B33B1C" w14:textId="5DA6358B" w:rsidR="005C7880" w:rsidRDefault="005D4756" w:rsidP="005D4756">
      <w:pPr>
        <w:spacing w:line="480" w:lineRule="auto"/>
        <w:contextualSpacing/>
        <w:jc w:val="center"/>
        <w:rPr>
          <w:rFonts w:cs="Times New Roman"/>
        </w:rPr>
      </w:pPr>
      <w:r>
        <w:rPr>
          <w:rFonts w:cs="Times New Roman"/>
          <w:i/>
          <w:iCs/>
        </w:rPr>
        <w:t>Submitted to FEMS Microbiology Ecology</w:t>
      </w:r>
    </w:p>
    <w:p w14:paraId="4C60EEBC" w14:textId="77777777" w:rsidR="005D4756" w:rsidRPr="005D4756" w:rsidRDefault="005D4756" w:rsidP="005D4756">
      <w:pPr>
        <w:spacing w:line="480" w:lineRule="auto"/>
        <w:contextualSpacing/>
        <w:jc w:val="center"/>
        <w:rPr>
          <w:rFonts w:cs="Times New Roman"/>
        </w:rPr>
      </w:pPr>
    </w:p>
    <w:p w14:paraId="1DEF8E92" w14:textId="77777777" w:rsidR="005C7880" w:rsidRPr="005E196F" w:rsidRDefault="005C7880" w:rsidP="005C7880">
      <w:pPr>
        <w:spacing w:line="480" w:lineRule="auto"/>
        <w:contextualSpacing/>
        <w:rPr>
          <w:rFonts w:cs="Times New Roman"/>
        </w:rPr>
      </w:pPr>
      <w:r w:rsidRPr="005E196F">
        <w:rPr>
          <w:rFonts w:cs="Times New Roman"/>
        </w:rPr>
        <w:t xml:space="preserve">Keywords: Philippines, gecko, microbiome, reptile, </w:t>
      </w:r>
      <w:r>
        <w:rPr>
          <w:rFonts w:cs="Times New Roman"/>
        </w:rPr>
        <w:t>phylogeny, conservation</w:t>
      </w:r>
    </w:p>
    <w:p w14:paraId="0A3D3203" w14:textId="77777777" w:rsidR="005C7880" w:rsidRPr="005E196F" w:rsidRDefault="005C7880" w:rsidP="005C7880">
      <w:pPr>
        <w:spacing w:line="480" w:lineRule="auto"/>
        <w:contextualSpacing/>
        <w:rPr>
          <w:rFonts w:cs="Times New Roman"/>
        </w:rPr>
      </w:pPr>
    </w:p>
    <w:p w14:paraId="68B44EB1" w14:textId="77777777" w:rsidR="005C7880" w:rsidRDefault="005C7880" w:rsidP="005C7880">
      <w:pPr>
        <w:spacing w:line="480" w:lineRule="auto"/>
        <w:contextualSpacing/>
        <w:rPr>
          <w:rFonts w:cs="Times New Roman"/>
          <w:b/>
          <w:bCs/>
          <w:sz w:val="28"/>
          <w:szCs w:val="28"/>
        </w:rPr>
      </w:pPr>
      <w:r w:rsidRPr="005E196F">
        <w:rPr>
          <w:rFonts w:cs="Times New Roman"/>
          <w:b/>
          <w:bCs/>
          <w:sz w:val="28"/>
          <w:szCs w:val="28"/>
        </w:rPr>
        <w:t>Abstract</w:t>
      </w:r>
    </w:p>
    <w:p w14:paraId="683BBF94" w14:textId="77777777" w:rsidR="005C7880" w:rsidRDefault="005C7880" w:rsidP="005C7880">
      <w:pPr>
        <w:spacing w:line="480" w:lineRule="auto"/>
        <w:contextualSpacing/>
        <w:rPr>
          <w:rFonts w:cs="Times New Roman"/>
        </w:rPr>
      </w:pPr>
      <w:r>
        <w:rPr>
          <w:rFonts w:cs="Times New Roman"/>
        </w:rPr>
        <w:t>Given the rapidly changing landscapes of habitats across the globe, a</w:t>
      </w:r>
      <w:r w:rsidRPr="00E91225">
        <w:rPr>
          <w:rFonts w:cs="Times New Roman"/>
        </w:rPr>
        <w:t xml:space="preserve"> sound understanding of host-associated microbial communities and the</w:t>
      </w:r>
      <w:r>
        <w:rPr>
          <w:rFonts w:cs="Times New Roman"/>
        </w:rPr>
        <w:t xml:space="preserve"> ecoevolutionary</w:t>
      </w:r>
      <w:r w:rsidRPr="00E91225">
        <w:rPr>
          <w:rFonts w:cs="Times New Roman"/>
        </w:rPr>
        <w:t xml:space="preserve"> forces that shape them is needed to assess general organismal adaptability</w:t>
      </w:r>
      <w:r>
        <w:rPr>
          <w:rFonts w:cs="Times New Roman"/>
        </w:rPr>
        <w:t>. Knowledge</w:t>
      </w:r>
      <w:r w:rsidRPr="00E91225">
        <w:rPr>
          <w:rFonts w:cs="Times New Roman"/>
        </w:rPr>
        <w:t xml:space="preserve"> </w:t>
      </w:r>
      <w:r>
        <w:rPr>
          <w:rFonts w:cs="Times New Roman"/>
        </w:rPr>
        <w:t>of</w:t>
      </w:r>
      <w:r w:rsidRPr="00E91225">
        <w:rPr>
          <w:rFonts w:cs="Times New Roman"/>
        </w:rPr>
        <w:t xml:space="preserve"> the symbiotic endogenous microbiomes of most</w:t>
      </w:r>
      <w:r>
        <w:rPr>
          <w:rFonts w:cs="Times New Roman"/>
        </w:rPr>
        <w:t xml:space="preserve"> </w:t>
      </w:r>
      <w:r w:rsidRPr="00E91225">
        <w:rPr>
          <w:rFonts w:cs="Times New Roman"/>
        </w:rPr>
        <w:t>reptilian species worldwide</w:t>
      </w:r>
      <w:r>
        <w:rPr>
          <w:rFonts w:cs="Times New Roman"/>
        </w:rPr>
        <w:t xml:space="preserve"> remains limited. </w:t>
      </w:r>
      <w:r w:rsidRPr="005E196F">
        <w:rPr>
          <w:rFonts w:cs="Times New Roman"/>
        </w:rPr>
        <w:t xml:space="preserve">We sampled </w:t>
      </w:r>
      <w:r>
        <w:rPr>
          <w:rFonts w:cs="Times New Roman"/>
        </w:rPr>
        <w:t xml:space="preserve">gut microbiomes of </w:t>
      </w:r>
      <w:r w:rsidRPr="005E196F">
        <w:rPr>
          <w:rFonts w:cs="Times New Roman"/>
        </w:rPr>
        <w:t xml:space="preserve">geckos </w:t>
      </w:r>
      <w:r>
        <w:rPr>
          <w:rFonts w:cs="Times New Roman"/>
        </w:rPr>
        <w:t>spanning</w:t>
      </w:r>
      <w:r w:rsidRPr="005E196F">
        <w:rPr>
          <w:rFonts w:cs="Times New Roman"/>
        </w:rPr>
        <w:t xml:space="preserve"> </w:t>
      </w:r>
      <w:r>
        <w:rPr>
          <w:rFonts w:cs="Times New Roman"/>
        </w:rPr>
        <w:t>nine</w:t>
      </w:r>
      <w:r w:rsidRPr="005E196F">
        <w:rPr>
          <w:rFonts w:cs="Times New Roman"/>
        </w:rPr>
        <w:t xml:space="preserve"> species and </w:t>
      </w:r>
      <w:r>
        <w:rPr>
          <w:rFonts w:cs="Times New Roman"/>
        </w:rPr>
        <w:t>four</w:t>
      </w:r>
      <w:r w:rsidRPr="005E196F">
        <w:rPr>
          <w:rFonts w:cs="Times New Roman"/>
        </w:rPr>
        <w:t xml:space="preserve"> genera </w:t>
      </w:r>
      <w:r>
        <w:rPr>
          <w:rFonts w:cs="Times New Roman"/>
        </w:rPr>
        <w:t xml:space="preserve">in the Philippines </w:t>
      </w:r>
      <w:r w:rsidRPr="005E196F">
        <w:rPr>
          <w:rFonts w:cs="Times New Roman"/>
        </w:rPr>
        <w:t>to</w:t>
      </w:r>
      <w:r>
        <w:rPr>
          <w:rFonts w:cs="Times New Roman"/>
        </w:rPr>
        <w:t xml:space="preserve"> (i)</w:t>
      </w:r>
      <w:r w:rsidRPr="005E196F">
        <w:rPr>
          <w:rFonts w:cs="Times New Roman"/>
        </w:rPr>
        <w:t xml:space="preserve"> </w:t>
      </w:r>
      <w:r>
        <w:rPr>
          <w:rFonts w:cs="Times New Roman"/>
        </w:rPr>
        <w:t xml:space="preserve">provide baseline data on gut </w:t>
      </w:r>
      <w:r w:rsidRPr="005E196F">
        <w:rPr>
          <w:rFonts w:cs="Times New Roman"/>
        </w:rPr>
        <w:t xml:space="preserve">microbiota in these </w:t>
      </w:r>
      <w:r>
        <w:rPr>
          <w:rFonts w:cs="Times New Roman"/>
        </w:rPr>
        <w:t xml:space="preserve">host </w:t>
      </w:r>
      <w:r w:rsidRPr="005E196F">
        <w:rPr>
          <w:rFonts w:cs="Times New Roman"/>
        </w:rPr>
        <w:t>species, (</w:t>
      </w:r>
      <w:r>
        <w:rPr>
          <w:rFonts w:cs="Times New Roman"/>
        </w:rPr>
        <w:t>ii</w:t>
      </w:r>
      <w:r w:rsidRPr="005E196F">
        <w:rPr>
          <w:rFonts w:cs="Times New Roman"/>
        </w:rPr>
        <w:t xml:space="preserve">) </w:t>
      </w:r>
      <w:r>
        <w:rPr>
          <w:rFonts w:cs="Times New Roman"/>
        </w:rPr>
        <w:t xml:space="preserve">test for significant associations between host phylogenetic relationships and observed microbial assemblages, potentially indicative of phylosymbiosis, </w:t>
      </w:r>
      <w:r w:rsidRPr="005E196F">
        <w:rPr>
          <w:rFonts w:cs="Times New Roman"/>
        </w:rPr>
        <w:t>and (</w:t>
      </w:r>
      <w:r>
        <w:rPr>
          <w:rFonts w:cs="Times New Roman"/>
        </w:rPr>
        <w:t>iii</w:t>
      </w:r>
      <w:r w:rsidRPr="005E196F">
        <w:rPr>
          <w:rFonts w:cs="Times New Roman"/>
        </w:rPr>
        <w:t>)</w:t>
      </w:r>
      <w:r w:rsidRPr="00CB4723">
        <w:rPr>
          <w:rFonts w:cs="Times New Roman"/>
        </w:rPr>
        <w:t xml:space="preserve"> </w:t>
      </w:r>
      <w:r>
        <w:rPr>
          <w:rFonts w:cs="Times New Roman"/>
        </w:rPr>
        <w:t>identify correlations between multiple ecoevolutionary factors (</w:t>
      </w:r>
      <w:r w:rsidRPr="001C0E7F">
        <w:rPr>
          <w:rFonts w:cs="Times New Roman"/>
          <w:i/>
          <w:iCs/>
        </w:rPr>
        <w:t>e</w:t>
      </w:r>
      <w:r>
        <w:rPr>
          <w:rFonts w:cs="Times New Roman"/>
        </w:rPr>
        <w:t>.</w:t>
      </w:r>
      <w:r w:rsidRPr="001C0E7F">
        <w:rPr>
          <w:rFonts w:cs="Times New Roman"/>
          <w:i/>
          <w:iCs/>
        </w:rPr>
        <w:t>g</w:t>
      </w:r>
      <w:r>
        <w:rPr>
          <w:rFonts w:cs="Times New Roman"/>
        </w:rPr>
        <w:t>. species identity, habitat tendencies, range extents, and maximum body sizes) and</w:t>
      </w:r>
      <w:r w:rsidRPr="005E196F">
        <w:rPr>
          <w:rFonts w:cs="Times New Roman"/>
        </w:rPr>
        <w:t xml:space="preserve"> </w:t>
      </w:r>
      <w:r>
        <w:rPr>
          <w:rFonts w:cs="Times New Roman"/>
        </w:rPr>
        <w:t>gut microbiomes</w:t>
      </w:r>
      <w:r w:rsidRPr="005E196F">
        <w:rPr>
          <w:rFonts w:cs="Times New Roman"/>
        </w:rPr>
        <w:t xml:space="preserve"> in Philippine gekkonids</w:t>
      </w:r>
      <w:r>
        <w:rPr>
          <w:rFonts w:cs="Times New Roman"/>
        </w:rPr>
        <w:t>. We</w:t>
      </w:r>
      <w:r w:rsidRPr="003438F2">
        <w:rPr>
          <w:rFonts w:cs="Times New Roman"/>
        </w:rPr>
        <w:t xml:space="preserve"> recovered no significant association between </w:t>
      </w:r>
      <w:r>
        <w:rPr>
          <w:rFonts w:cs="Times New Roman"/>
        </w:rPr>
        <w:t xml:space="preserve">interspecific host </w:t>
      </w:r>
      <w:r w:rsidRPr="003438F2">
        <w:rPr>
          <w:rFonts w:cs="Times New Roman"/>
        </w:rPr>
        <w:t xml:space="preserve">genetic distances and </w:t>
      </w:r>
      <w:r>
        <w:rPr>
          <w:rFonts w:cs="Times New Roman"/>
        </w:rPr>
        <w:t xml:space="preserve">observed gut </w:t>
      </w:r>
      <w:r w:rsidRPr="003438F2">
        <w:rPr>
          <w:rFonts w:cs="Times New Roman"/>
        </w:rPr>
        <w:t>microbi</w:t>
      </w:r>
      <w:r>
        <w:rPr>
          <w:rFonts w:cs="Times New Roman"/>
        </w:rPr>
        <w:t>omes, providing limited evidence for phylosymbiosis in this group. Philippine gekkonid microbiomes were associated most heavily with host species identity, though marked variation among conspecifics at distinct sampling sites indicates that host locality influences gut microbiomes as well. Interestingly, individuals grouped as widespread and microendemic regardless of host species identity displayed significant differences in alpha and beta diversity metrics examined, likely driven by differences in rare OTU presence between groups. These results provide much needed insight in host-associated microbiomes in wild reptiles and the ecoevolutionary forces that structure such communities.</w:t>
      </w:r>
    </w:p>
    <w:p w14:paraId="57318474" w14:textId="77777777" w:rsidR="005C7880" w:rsidRDefault="005C7880" w:rsidP="005C7880">
      <w:pPr>
        <w:spacing w:line="480" w:lineRule="auto"/>
        <w:contextualSpacing/>
        <w:rPr>
          <w:rFonts w:cs="Times New Roman"/>
        </w:rPr>
      </w:pPr>
    </w:p>
    <w:p w14:paraId="21B3415D" w14:textId="77777777" w:rsidR="005C7880" w:rsidRDefault="005C7880" w:rsidP="005C7880">
      <w:pPr>
        <w:spacing w:line="480" w:lineRule="auto"/>
        <w:contextualSpacing/>
        <w:rPr>
          <w:rFonts w:cs="Times New Roman"/>
          <w:b/>
          <w:bCs/>
          <w:sz w:val="28"/>
          <w:szCs w:val="28"/>
        </w:rPr>
      </w:pPr>
      <w:r w:rsidRPr="005E196F">
        <w:rPr>
          <w:rFonts w:cs="Times New Roman"/>
          <w:b/>
          <w:bCs/>
          <w:sz w:val="28"/>
          <w:szCs w:val="28"/>
        </w:rPr>
        <w:t>Introduction</w:t>
      </w:r>
    </w:p>
    <w:p w14:paraId="74DF63D9" w14:textId="77777777" w:rsidR="005C7880" w:rsidRDefault="005C7880" w:rsidP="005C7880">
      <w:pPr>
        <w:spacing w:line="480" w:lineRule="auto"/>
        <w:contextualSpacing/>
        <w:rPr>
          <w:rFonts w:cs="Times New Roman"/>
        </w:rPr>
      </w:pPr>
      <w:r>
        <w:rPr>
          <w:rFonts w:cs="Times New Roman"/>
        </w:rPr>
        <w:t>Endogenous</w:t>
      </w:r>
      <w:r w:rsidRPr="00E91225">
        <w:rPr>
          <w:rFonts w:cs="Times New Roman"/>
        </w:rPr>
        <w:t xml:space="preserve"> microbial communities </w:t>
      </w:r>
      <w:r>
        <w:rPr>
          <w:rFonts w:cs="Times New Roman"/>
        </w:rPr>
        <w:t xml:space="preserve">inhabiting vertebrate and invertebrate hosts </w:t>
      </w:r>
      <w:r w:rsidRPr="00E91225">
        <w:rPr>
          <w:rFonts w:cs="Times New Roman"/>
        </w:rPr>
        <w:t xml:space="preserve">are increasingly recognized as essential in maintaining </w:t>
      </w:r>
      <w:r>
        <w:rPr>
          <w:rFonts w:cs="Times New Roman"/>
        </w:rPr>
        <w:t xml:space="preserve">organismal </w:t>
      </w:r>
      <w:r w:rsidRPr="00E91225">
        <w:rPr>
          <w:rFonts w:cs="Times New Roman"/>
        </w:rPr>
        <w:t xml:space="preserve">well-being, </w:t>
      </w:r>
      <w:r>
        <w:rPr>
          <w:rFonts w:cs="Times New Roman"/>
        </w:rPr>
        <w:t>influencing</w:t>
      </w:r>
      <w:r w:rsidRPr="00E91225">
        <w:rPr>
          <w:rFonts w:cs="Times New Roman"/>
        </w:rPr>
        <w:t xml:space="preserve"> a variety of traits </w:t>
      </w:r>
      <w:r>
        <w:rPr>
          <w:rFonts w:cs="Times New Roman"/>
        </w:rPr>
        <w:t>from</w:t>
      </w:r>
      <w:r w:rsidRPr="00E91225">
        <w:rPr>
          <w:rFonts w:cs="Times New Roman"/>
        </w:rPr>
        <w:t xml:space="preserve"> host development</w:t>
      </w:r>
      <w:r>
        <w:rPr>
          <w:rFonts w:cs="Times New Roman"/>
        </w:rPr>
        <w:t xml:space="preserve"> and </w:t>
      </w:r>
      <w:r w:rsidRPr="00E91225">
        <w:rPr>
          <w:rFonts w:cs="Times New Roman"/>
        </w:rPr>
        <w:t>behavior</w:t>
      </w:r>
      <w:r>
        <w:rPr>
          <w:rFonts w:cs="Times New Roman"/>
        </w:rPr>
        <w:t xml:space="preserve"> to </w:t>
      </w:r>
      <w:r w:rsidRPr="00E91225">
        <w:rPr>
          <w:rFonts w:cs="Times New Roman"/>
        </w:rPr>
        <w:t>immune response</w:t>
      </w:r>
      <w:r>
        <w:rPr>
          <w:rFonts w:cs="Times New Roman"/>
        </w:rPr>
        <w:t xml:space="preserve"> and metabolism </w:t>
      </w:r>
      <w:r w:rsidRPr="00E91225">
        <w:rPr>
          <w:rFonts w:cs="Times New Roman"/>
        </w:rPr>
        <w:t xml:space="preserve">(Fraune and Bosch 2010; Cho and Blaser 2012; Lee and Hase 2014). </w:t>
      </w:r>
      <w:r>
        <w:rPr>
          <w:rFonts w:cs="Times New Roman"/>
        </w:rPr>
        <w:t>Furthermore</w:t>
      </w:r>
      <w:r w:rsidRPr="00E91225">
        <w:rPr>
          <w:rFonts w:cs="Times New Roman"/>
        </w:rPr>
        <w:t xml:space="preserve">, </w:t>
      </w:r>
      <w:r>
        <w:rPr>
          <w:rFonts w:cs="Times New Roman"/>
        </w:rPr>
        <w:t>these gut microbiomes</w:t>
      </w:r>
      <w:r w:rsidRPr="00E91225">
        <w:rPr>
          <w:rFonts w:cs="Times New Roman"/>
        </w:rPr>
        <w:t xml:space="preserve"> </w:t>
      </w:r>
      <w:r>
        <w:rPr>
          <w:rFonts w:cs="Times New Roman"/>
        </w:rPr>
        <w:t xml:space="preserve">likely </w:t>
      </w:r>
      <w:r w:rsidRPr="00E91225">
        <w:rPr>
          <w:rFonts w:cs="Times New Roman"/>
        </w:rPr>
        <w:t>contribute to host phenotypic plasticity, allowing for rapid adapt</w:t>
      </w:r>
      <w:r>
        <w:rPr>
          <w:rFonts w:cs="Times New Roman"/>
        </w:rPr>
        <w:t>at</w:t>
      </w:r>
      <w:r w:rsidRPr="00E91225">
        <w:rPr>
          <w:rFonts w:cs="Times New Roman"/>
        </w:rPr>
        <w:t xml:space="preserve">ion to changing environments (Alberdi </w:t>
      </w:r>
      <w:r w:rsidRPr="00B57253">
        <w:rPr>
          <w:rFonts w:cs="Times New Roman"/>
          <w:i/>
        </w:rPr>
        <w:t>et al</w:t>
      </w:r>
      <w:r w:rsidRPr="00E91225">
        <w:rPr>
          <w:rFonts w:cs="Times New Roman"/>
        </w:rPr>
        <w:t xml:space="preserve">. 2016; Bahrndorff </w:t>
      </w:r>
      <w:r w:rsidRPr="00B57253">
        <w:rPr>
          <w:rFonts w:cs="Times New Roman"/>
          <w:i/>
        </w:rPr>
        <w:t>et al</w:t>
      </w:r>
      <w:r w:rsidRPr="00E91225">
        <w:rPr>
          <w:rFonts w:cs="Times New Roman"/>
        </w:rPr>
        <w:t xml:space="preserve">. 2016; Littleford‐Colquhoun </w:t>
      </w:r>
      <w:r w:rsidRPr="00B57253">
        <w:rPr>
          <w:rFonts w:cs="Times New Roman"/>
          <w:i/>
        </w:rPr>
        <w:t>et al</w:t>
      </w:r>
      <w:r w:rsidRPr="00E91225">
        <w:rPr>
          <w:rFonts w:cs="Times New Roman"/>
        </w:rPr>
        <w:t xml:space="preserve">. 2019). Given the </w:t>
      </w:r>
      <w:r>
        <w:rPr>
          <w:rFonts w:cs="Times New Roman"/>
        </w:rPr>
        <w:t xml:space="preserve">dramatic </w:t>
      </w:r>
      <w:r w:rsidRPr="00E91225">
        <w:rPr>
          <w:rFonts w:cs="Times New Roman"/>
        </w:rPr>
        <w:t xml:space="preserve">alteration of habitats globally </w:t>
      </w:r>
      <w:r w:rsidRPr="003E6E5F">
        <w:rPr>
          <w:rFonts w:cs="Times New Roman"/>
        </w:rPr>
        <w:t>during</w:t>
      </w:r>
      <w:r w:rsidRPr="00E91225">
        <w:rPr>
          <w:rFonts w:cs="Times New Roman"/>
        </w:rPr>
        <w:t xml:space="preserve"> the Anthropocene</w:t>
      </w:r>
      <w:r>
        <w:rPr>
          <w:rFonts w:cs="Times New Roman"/>
        </w:rPr>
        <w:t>,</w:t>
      </w:r>
      <w:r w:rsidRPr="00E91225">
        <w:rPr>
          <w:rFonts w:cs="Times New Roman"/>
        </w:rPr>
        <w:t xml:space="preserve"> a sound understanding of host-associated microbial communities and the forces that </w:t>
      </w:r>
      <w:r>
        <w:rPr>
          <w:rFonts w:cs="Times New Roman"/>
        </w:rPr>
        <w:t>influence</w:t>
      </w:r>
      <w:r w:rsidRPr="00E91225">
        <w:rPr>
          <w:rFonts w:cs="Times New Roman"/>
        </w:rPr>
        <w:t xml:space="preserve"> them is needed to </w:t>
      </w:r>
      <w:r>
        <w:rPr>
          <w:rFonts w:cs="Times New Roman"/>
        </w:rPr>
        <w:t>predict</w:t>
      </w:r>
      <w:r w:rsidRPr="00E91225">
        <w:rPr>
          <w:rFonts w:cs="Times New Roman"/>
        </w:rPr>
        <w:t xml:space="preserve"> general organismal adaptability</w:t>
      </w:r>
      <w:r>
        <w:rPr>
          <w:rFonts w:cs="Times New Roman"/>
        </w:rPr>
        <w:t xml:space="preserve"> to future conditions </w:t>
      </w:r>
      <w:r w:rsidRPr="00E91225">
        <w:rPr>
          <w:rFonts w:cs="Times New Roman"/>
        </w:rPr>
        <w:t xml:space="preserve">(Amato 2013; Alberdi </w:t>
      </w:r>
      <w:r w:rsidRPr="00B57253">
        <w:rPr>
          <w:rFonts w:cs="Times New Roman"/>
          <w:i/>
        </w:rPr>
        <w:t>et al</w:t>
      </w:r>
      <w:r w:rsidRPr="00E91225">
        <w:rPr>
          <w:rFonts w:cs="Times New Roman"/>
        </w:rPr>
        <w:t xml:space="preserve">. 2016; Stumpf </w:t>
      </w:r>
      <w:r w:rsidRPr="00B57253">
        <w:rPr>
          <w:rFonts w:cs="Times New Roman"/>
          <w:i/>
        </w:rPr>
        <w:t>et al</w:t>
      </w:r>
      <w:r w:rsidRPr="00E91225">
        <w:rPr>
          <w:rFonts w:cs="Times New Roman"/>
        </w:rPr>
        <w:t>. 2016</w:t>
      </w:r>
      <w:r>
        <w:rPr>
          <w:rFonts w:cs="Times New Roman"/>
        </w:rPr>
        <w:t xml:space="preserve">; </w:t>
      </w:r>
      <w:r w:rsidRPr="00ED74F6">
        <w:rPr>
          <w:rFonts w:cs="Times New Roman"/>
        </w:rPr>
        <w:t>Trevelline</w:t>
      </w:r>
      <w:r>
        <w:rPr>
          <w:rFonts w:cs="Times New Roman"/>
        </w:rPr>
        <w:t xml:space="preserve"> </w:t>
      </w:r>
      <w:r w:rsidRPr="00B57253">
        <w:rPr>
          <w:rFonts w:cs="Times New Roman"/>
          <w:i/>
        </w:rPr>
        <w:t>et al</w:t>
      </w:r>
      <w:r>
        <w:rPr>
          <w:rFonts w:cs="Times New Roman"/>
        </w:rPr>
        <w:t xml:space="preserve">. 2019; Zhu </w:t>
      </w:r>
      <w:r w:rsidRPr="00B57253">
        <w:rPr>
          <w:rFonts w:cs="Times New Roman"/>
          <w:i/>
        </w:rPr>
        <w:t>et al</w:t>
      </w:r>
      <w:r>
        <w:rPr>
          <w:rFonts w:cs="Times New Roman"/>
        </w:rPr>
        <w:t>. 2021</w:t>
      </w:r>
      <w:r w:rsidRPr="00E91225">
        <w:rPr>
          <w:rFonts w:cs="Times New Roman"/>
        </w:rPr>
        <w:t>)</w:t>
      </w:r>
      <w:r>
        <w:rPr>
          <w:rFonts w:cs="Times New Roman"/>
        </w:rPr>
        <w:t>.</w:t>
      </w:r>
    </w:p>
    <w:p w14:paraId="39067E95" w14:textId="77777777" w:rsidR="005C7880" w:rsidRDefault="005C7880" w:rsidP="005C7880">
      <w:pPr>
        <w:spacing w:line="480" w:lineRule="auto"/>
        <w:ind w:firstLine="360"/>
        <w:contextualSpacing/>
        <w:rPr>
          <w:rFonts w:cs="Times New Roman"/>
        </w:rPr>
      </w:pPr>
      <w:r>
        <w:rPr>
          <w:rFonts w:cs="Times New Roman"/>
        </w:rPr>
        <w:t>A</w:t>
      </w:r>
      <w:r w:rsidRPr="00E91225">
        <w:rPr>
          <w:rFonts w:cs="Times New Roman"/>
        </w:rPr>
        <w:t>t a broad taxonomic scale</w:t>
      </w:r>
      <w:r>
        <w:rPr>
          <w:rFonts w:cs="Times New Roman"/>
        </w:rPr>
        <w:t xml:space="preserve"> (generally at the level of family or higher)</w:t>
      </w:r>
      <w:r w:rsidRPr="00E91225">
        <w:rPr>
          <w:rFonts w:cs="Times New Roman"/>
        </w:rPr>
        <w:t xml:space="preserve">, </w:t>
      </w:r>
      <w:r>
        <w:rPr>
          <w:rFonts w:cs="Times New Roman"/>
        </w:rPr>
        <w:t>gut</w:t>
      </w:r>
      <w:r w:rsidRPr="00E91225">
        <w:rPr>
          <w:rFonts w:cs="Times New Roman"/>
        </w:rPr>
        <w:t xml:space="preserve"> microbial communit</w:t>
      </w:r>
      <w:r>
        <w:rPr>
          <w:rFonts w:cs="Times New Roman"/>
        </w:rPr>
        <w:t xml:space="preserve">ies often mirror </w:t>
      </w:r>
      <w:r w:rsidRPr="00E91225">
        <w:rPr>
          <w:rFonts w:cs="Times New Roman"/>
        </w:rPr>
        <w:t xml:space="preserve">phylogenetic relationships </w:t>
      </w:r>
      <w:r>
        <w:rPr>
          <w:rFonts w:cs="Times New Roman"/>
        </w:rPr>
        <w:t>among hosts; a phenomenon known as phylosymbiosis (</w:t>
      </w:r>
      <w:r w:rsidRPr="00E91225">
        <w:rPr>
          <w:rFonts w:cs="Times New Roman"/>
        </w:rPr>
        <w:t xml:space="preserve">Ley </w:t>
      </w:r>
      <w:r w:rsidRPr="00B57253">
        <w:rPr>
          <w:rFonts w:cs="Times New Roman"/>
          <w:i/>
        </w:rPr>
        <w:t>et al</w:t>
      </w:r>
      <w:r w:rsidRPr="00E91225">
        <w:rPr>
          <w:rFonts w:cs="Times New Roman"/>
        </w:rPr>
        <w:t xml:space="preserve">. 2008; Amato 2013; Sanders </w:t>
      </w:r>
      <w:r w:rsidRPr="00B57253">
        <w:rPr>
          <w:rFonts w:cs="Times New Roman"/>
          <w:i/>
        </w:rPr>
        <w:t>et al</w:t>
      </w:r>
      <w:r w:rsidRPr="00E91225">
        <w:rPr>
          <w:rFonts w:cs="Times New Roman"/>
        </w:rPr>
        <w:t xml:space="preserve">. 2014; Groussin </w:t>
      </w:r>
      <w:r w:rsidRPr="00B57253">
        <w:rPr>
          <w:rFonts w:cs="Times New Roman"/>
          <w:i/>
        </w:rPr>
        <w:t>et al</w:t>
      </w:r>
      <w:r w:rsidRPr="00E91225">
        <w:rPr>
          <w:rFonts w:cs="Times New Roman"/>
        </w:rPr>
        <w:t xml:space="preserve">. 2017; Youngblut </w:t>
      </w:r>
      <w:r w:rsidRPr="00B57253">
        <w:rPr>
          <w:rFonts w:cs="Times New Roman"/>
          <w:i/>
        </w:rPr>
        <w:t>et al</w:t>
      </w:r>
      <w:r w:rsidRPr="00E91225">
        <w:rPr>
          <w:rFonts w:cs="Times New Roman"/>
        </w:rPr>
        <w:t>. 2019; Lim &amp; Bordenstein 2020).</w:t>
      </w:r>
      <w:r>
        <w:rPr>
          <w:rFonts w:cs="Times New Roman"/>
        </w:rPr>
        <w:t xml:space="preserve"> Identifying signs of phylosymbiosis is a requisite first step towards understanding the ecoevolutionary forces that drive observed assemblages (Lim &amp; Bordenstein 2020). Evidence of this </w:t>
      </w:r>
      <w:r w:rsidRPr="00E91225">
        <w:rPr>
          <w:rFonts w:cs="Times New Roman"/>
        </w:rPr>
        <w:t>association</w:t>
      </w:r>
      <w:r>
        <w:rPr>
          <w:rFonts w:cs="Times New Roman"/>
        </w:rPr>
        <w:t>, however,</w:t>
      </w:r>
      <w:r w:rsidRPr="00E91225">
        <w:rPr>
          <w:rFonts w:cs="Times New Roman"/>
        </w:rPr>
        <w:t xml:space="preserve"> varies considerably at </w:t>
      </w:r>
      <w:r>
        <w:rPr>
          <w:rFonts w:cs="Times New Roman"/>
        </w:rPr>
        <w:t>differing</w:t>
      </w:r>
      <w:r w:rsidRPr="00E91225">
        <w:rPr>
          <w:rFonts w:cs="Times New Roman"/>
        </w:rPr>
        <w:t xml:space="preserve"> taxonomic </w:t>
      </w:r>
      <w:r>
        <w:rPr>
          <w:rFonts w:cs="Times New Roman"/>
        </w:rPr>
        <w:t>levels</w:t>
      </w:r>
      <w:r w:rsidRPr="00E91225">
        <w:rPr>
          <w:rFonts w:cs="Times New Roman"/>
        </w:rPr>
        <w:t xml:space="preserve">. </w:t>
      </w:r>
      <w:r>
        <w:rPr>
          <w:rFonts w:cs="Times New Roman"/>
        </w:rPr>
        <w:t xml:space="preserve">For example, phylosymbiosis is supported among </w:t>
      </w:r>
      <w:r w:rsidRPr="00E91225">
        <w:rPr>
          <w:rFonts w:cs="Times New Roman"/>
        </w:rPr>
        <w:t xml:space="preserve">turtle ants of the genus </w:t>
      </w:r>
      <w:r w:rsidRPr="00E91225">
        <w:rPr>
          <w:rFonts w:cs="Times New Roman"/>
          <w:i/>
          <w:iCs/>
        </w:rPr>
        <w:t>Cephalote</w:t>
      </w:r>
      <w:r>
        <w:rPr>
          <w:rFonts w:cs="Times New Roman"/>
          <w:i/>
          <w:iCs/>
        </w:rPr>
        <w:t>s</w:t>
      </w:r>
      <w:r>
        <w:rPr>
          <w:rFonts w:cs="Times New Roman"/>
        </w:rPr>
        <w:t>, where</w:t>
      </w:r>
      <w:r w:rsidRPr="00E91225">
        <w:rPr>
          <w:rFonts w:cs="Times New Roman"/>
        </w:rPr>
        <w:t xml:space="preserve"> gut microbiota</w:t>
      </w:r>
      <w:r>
        <w:rPr>
          <w:rFonts w:cs="Times New Roman"/>
        </w:rPr>
        <w:t xml:space="preserve"> are</w:t>
      </w:r>
      <w:r w:rsidRPr="00E91225">
        <w:rPr>
          <w:rFonts w:cs="Times New Roman"/>
        </w:rPr>
        <w:t xml:space="preserve"> strongly correlative with </w:t>
      </w:r>
      <w:r>
        <w:rPr>
          <w:rFonts w:cs="Times New Roman"/>
        </w:rPr>
        <w:t xml:space="preserve">host phylogenetic relationships </w:t>
      </w:r>
      <w:r w:rsidRPr="00E91225">
        <w:rPr>
          <w:rFonts w:cs="Times New Roman"/>
        </w:rPr>
        <w:t xml:space="preserve">(Sanders </w:t>
      </w:r>
      <w:r w:rsidRPr="00B57253">
        <w:rPr>
          <w:rFonts w:cs="Times New Roman"/>
          <w:i/>
        </w:rPr>
        <w:t>et al</w:t>
      </w:r>
      <w:r w:rsidRPr="00E91225">
        <w:rPr>
          <w:rFonts w:cs="Times New Roman"/>
        </w:rPr>
        <w:t xml:space="preserve">. 2014). </w:t>
      </w:r>
      <w:r>
        <w:rPr>
          <w:rFonts w:cs="Times New Roman"/>
        </w:rPr>
        <w:t>Similarly, s</w:t>
      </w:r>
      <w:r w:rsidRPr="00E91225">
        <w:rPr>
          <w:rFonts w:cs="Times New Roman"/>
        </w:rPr>
        <w:t xml:space="preserve">ignificant associations between host phylogenetic </w:t>
      </w:r>
      <w:r>
        <w:rPr>
          <w:rFonts w:cs="Times New Roman"/>
        </w:rPr>
        <w:t xml:space="preserve">affinities </w:t>
      </w:r>
      <w:r w:rsidRPr="00E91225">
        <w:rPr>
          <w:rFonts w:cs="Times New Roman"/>
        </w:rPr>
        <w:t xml:space="preserve">and </w:t>
      </w:r>
      <w:r>
        <w:rPr>
          <w:rFonts w:cs="Times New Roman"/>
        </w:rPr>
        <w:t>microbial communities have been noted among all seven sea turtle species (</w:t>
      </w:r>
      <w:r w:rsidRPr="00185673">
        <w:rPr>
          <w:rFonts w:cs="Times New Roman"/>
        </w:rPr>
        <w:t xml:space="preserve">Scheelings </w:t>
      </w:r>
      <w:r w:rsidRPr="00B57253">
        <w:rPr>
          <w:rFonts w:cs="Times New Roman"/>
          <w:i/>
        </w:rPr>
        <w:t>et al</w:t>
      </w:r>
      <w:r w:rsidRPr="00185673">
        <w:rPr>
          <w:rFonts w:cs="Times New Roman"/>
        </w:rPr>
        <w:t>. 2020</w:t>
      </w:r>
      <w:r>
        <w:rPr>
          <w:rFonts w:cs="Times New Roman"/>
        </w:rPr>
        <w:t xml:space="preserve">) and among 51 species of passerine birds </w:t>
      </w:r>
      <w:r w:rsidRPr="00E91225">
        <w:rPr>
          <w:rFonts w:cs="Times New Roman"/>
        </w:rPr>
        <w:t xml:space="preserve">(Kropackova </w:t>
      </w:r>
      <w:r w:rsidRPr="00B57253">
        <w:rPr>
          <w:rFonts w:cs="Times New Roman"/>
          <w:i/>
        </w:rPr>
        <w:t>et al</w:t>
      </w:r>
      <w:r w:rsidRPr="00E91225">
        <w:rPr>
          <w:rFonts w:cs="Times New Roman"/>
        </w:rPr>
        <w:t>. 2017).</w:t>
      </w:r>
      <w:r>
        <w:rPr>
          <w:rFonts w:cs="Times New Roman"/>
        </w:rPr>
        <w:t xml:space="preserve"> Interestingly though, among passerine bird microbiomes examined, </w:t>
      </w:r>
      <w:r w:rsidRPr="00E91225">
        <w:rPr>
          <w:rFonts w:cs="Times New Roman"/>
        </w:rPr>
        <w:t>most microbial variation</w:t>
      </w:r>
      <w:r>
        <w:rPr>
          <w:rFonts w:cs="Times New Roman"/>
        </w:rPr>
        <w:t xml:space="preserve"> in assemblages</w:t>
      </w:r>
      <w:r w:rsidRPr="00E91225">
        <w:rPr>
          <w:rFonts w:cs="Times New Roman"/>
        </w:rPr>
        <w:t xml:space="preserve"> remain</w:t>
      </w:r>
      <w:r>
        <w:rPr>
          <w:rFonts w:cs="Times New Roman"/>
        </w:rPr>
        <w:t xml:space="preserve">s </w:t>
      </w:r>
      <w:r w:rsidRPr="00E91225">
        <w:rPr>
          <w:rFonts w:cs="Times New Roman"/>
        </w:rPr>
        <w:t>unexplained after accounting for</w:t>
      </w:r>
      <w:r>
        <w:rPr>
          <w:rFonts w:cs="Times New Roman"/>
        </w:rPr>
        <w:t xml:space="preserve"> host phylogeny, and factors operating at the within-species level are suspected of contributing to most individual variance </w:t>
      </w:r>
      <w:r w:rsidRPr="00E91225">
        <w:rPr>
          <w:rFonts w:cs="Times New Roman"/>
        </w:rPr>
        <w:t xml:space="preserve">(Kopackova </w:t>
      </w:r>
      <w:r w:rsidRPr="00B57253">
        <w:rPr>
          <w:rFonts w:cs="Times New Roman"/>
          <w:i/>
        </w:rPr>
        <w:t>et al</w:t>
      </w:r>
      <w:r w:rsidRPr="00E91225">
        <w:rPr>
          <w:rFonts w:cs="Times New Roman"/>
        </w:rPr>
        <w:t>. 2017).</w:t>
      </w:r>
      <w:r>
        <w:rPr>
          <w:rFonts w:cs="Times New Roman"/>
        </w:rPr>
        <w:t xml:space="preserve"> Other studies find less conclusive evidence for the presence of phylosymbiosis. In l</w:t>
      </w:r>
      <w:r w:rsidRPr="00E91225">
        <w:rPr>
          <w:rFonts w:cs="Times New Roman"/>
        </w:rPr>
        <w:t xml:space="preserve">izards </w:t>
      </w:r>
      <w:r>
        <w:rPr>
          <w:rFonts w:cs="Times New Roman"/>
        </w:rPr>
        <w:t>of</w:t>
      </w:r>
      <w:r w:rsidRPr="00E91225">
        <w:rPr>
          <w:rFonts w:cs="Times New Roman"/>
        </w:rPr>
        <w:t xml:space="preserve"> the genus </w:t>
      </w:r>
      <w:r w:rsidRPr="00E91225">
        <w:rPr>
          <w:rFonts w:cs="Times New Roman"/>
          <w:i/>
          <w:iCs/>
        </w:rPr>
        <w:t xml:space="preserve">Anolis </w:t>
      </w:r>
      <w:r w:rsidRPr="00E91225">
        <w:rPr>
          <w:rFonts w:cs="Times New Roman"/>
        </w:rPr>
        <w:t xml:space="preserve">and </w:t>
      </w:r>
      <w:r>
        <w:rPr>
          <w:rFonts w:cs="Times New Roman"/>
        </w:rPr>
        <w:t xml:space="preserve">among 31 species of </w:t>
      </w:r>
      <w:r w:rsidRPr="00E91225">
        <w:rPr>
          <w:rFonts w:cs="Times New Roman"/>
        </w:rPr>
        <w:t>Afrotropical bats</w:t>
      </w:r>
      <w:r>
        <w:rPr>
          <w:rFonts w:cs="Times New Roman"/>
        </w:rPr>
        <w:t xml:space="preserve">, </w:t>
      </w:r>
      <w:r w:rsidRPr="00E91225">
        <w:rPr>
          <w:rFonts w:cs="Times New Roman"/>
        </w:rPr>
        <w:t xml:space="preserve">significant, yet weak, associations between host </w:t>
      </w:r>
      <w:r>
        <w:rPr>
          <w:rFonts w:cs="Times New Roman"/>
        </w:rPr>
        <w:t>phylogenetic relationships</w:t>
      </w:r>
      <w:r w:rsidRPr="00E91225">
        <w:rPr>
          <w:rFonts w:cs="Times New Roman"/>
        </w:rPr>
        <w:t xml:space="preserve"> and microbial compositions</w:t>
      </w:r>
      <w:r>
        <w:rPr>
          <w:rFonts w:cs="Times New Roman"/>
        </w:rPr>
        <w:t xml:space="preserve"> have been recovered</w:t>
      </w:r>
      <w:r w:rsidRPr="00E91225">
        <w:rPr>
          <w:rFonts w:cs="Times New Roman"/>
        </w:rPr>
        <w:t xml:space="preserve"> (Ren </w:t>
      </w:r>
      <w:r w:rsidRPr="00B57253">
        <w:rPr>
          <w:rFonts w:cs="Times New Roman"/>
          <w:i/>
        </w:rPr>
        <w:t>et al</w:t>
      </w:r>
      <w:r w:rsidRPr="00E91225">
        <w:rPr>
          <w:rFonts w:cs="Times New Roman"/>
        </w:rPr>
        <w:t xml:space="preserve">. 2016; Lutz </w:t>
      </w:r>
      <w:r w:rsidRPr="00B57253">
        <w:rPr>
          <w:rFonts w:cs="Times New Roman"/>
          <w:i/>
        </w:rPr>
        <w:t>et al</w:t>
      </w:r>
      <w:r w:rsidRPr="00E91225">
        <w:rPr>
          <w:rFonts w:cs="Times New Roman"/>
        </w:rPr>
        <w:t xml:space="preserve">. 2019). In both </w:t>
      </w:r>
      <w:r>
        <w:rPr>
          <w:rFonts w:cs="Times New Roman"/>
        </w:rPr>
        <w:t>such instances</w:t>
      </w:r>
      <w:r w:rsidRPr="00E91225">
        <w:rPr>
          <w:rFonts w:cs="Times New Roman"/>
        </w:rPr>
        <w:t xml:space="preserve">, </w:t>
      </w:r>
      <w:r>
        <w:rPr>
          <w:rFonts w:cs="Times New Roman"/>
        </w:rPr>
        <w:t xml:space="preserve">host microbial assemblages in individuals are believed to be influenced more by contemporary ecological features rather than phylogenetic ones </w:t>
      </w:r>
      <w:r w:rsidRPr="00E91225">
        <w:rPr>
          <w:rFonts w:cs="Times New Roman"/>
        </w:rPr>
        <w:t xml:space="preserve">(Ren </w:t>
      </w:r>
      <w:r w:rsidRPr="00B57253">
        <w:rPr>
          <w:rFonts w:cs="Times New Roman"/>
          <w:i/>
        </w:rPr>
        <w:t>et al</w:t>
      </w:r>
      <w:r w:rsidRPr="00E91225">
        <w:rPr>
          <w:rFonts w:cs="Times New Roman"/>
        </w:rPr>
        <w:t xml:space="preserve">. 2016; Lutz </w:t>
      </w:r>
      <w:r w:rsidRPr="00B57253">
        <w:rPr>
          <w:rFonts w:cs="Times New Roman"/>
          <w:i/>
        </w:rPr>
        <w:t>et al</w:t>
      </w:r>
      <w:r w:rsidRPr="00E91225">
        <w:rPr>
          <w:rFonts w:cs="Times New Roman"/>
        </w:rPr>
        <w:t>. 2019).</w:t>
      </w:r>
      <w:r>
        <w:rPr>
          <w:rFonts w:cs="Times New Roman"/>
        </w:rPr>
        <w:t xml:space="preserve"> </w:t>
      </w:r>
      <w:r w:rsidRPr="00360904">
        <w:rPr>
          <w:rFonts w:cs="Times New Roman"/>
        </w:rPr>
        <w:t>Additional information is needed to better disentangle the influence</w:t>
      </w:r>
      <w:r>
        <w:rPr>
          <w:rFonts w:cs="Times New Roman"/>
        </w:rPr>
        <w:t>s</w:t>
      </w:r>
      <w:r w:rsidRPr="00360904">
        <w:rPr>
          <w:rFonts w:cs="Times New Roman"/>
        </w:rPr>
        <w:t xml:space="preserve"> of various ecoevolutionary factors on observed host-associated microbi</w:t>
      </w:r>
      <w:r>
        <w:rPr>
          <w:rFonts w:cs="Times New Roman"/>
        </w:rPr>
        <w:t>al communities</w:t>
      </w:r>
      <w:r w:rsidRPr="00360904">
        <w:rPr>
          <w:rFonts w:cs="Times New Roman"/>
        </w:rPr>
        <w:t>, particularly within taxonomic groups that have received li</w:t>
      </w:r>
      <w:r>
        <w:rPr>
          <w:rFonts w:cs="Times New Roman"/>
        </w:rPr>
        <w:t>mited</w:t>
      </w:r>
      <w:r w:rsidRPr="00360904">
        <w:rPr>
          <w:rFonts w:cs="Times New Roman"/>
        </w:rPr>
        <w:t xml:space="preserve"> attention from </w:t>
      </w:r>
      <w:r>
        <w:rPr>
          <w:rFonts w:cs="Times New Roman"/>
        </w:rPr>
        <w:t xml:space="preserve">host-associated </w:t>
      </w:r>
      <w:r w:rsidRPr="00360904">
        <w:rPr>
          <w:rFonts w:cs="Times New Roman"/>
        </w:rPr>
        <w:t>microbial studies to date.</w:t>
      </w:r>
    </w:p>
    <w:p w14:paraId="4932F29E" w14:textId="77777777" w:rsidR="005C7880" w:rsidRDefault="005C7880" w:rsidP="005C7880">
      <w:pPr>
        <w:spacing w:line="480" w:lineRule="auto"/>
        <w:ind w:firstLine="360"/>
        <w:contextualSpacing/>
        <w:rPr>
          <w:rFonts w:cs="Times New Roman"/>
        </w:rPr>
      </w:pPr>
      <w:r w:rsidRPr="00E91225">
        <w:rPr>
          <w:rFonts w:cs="Times New Roman"/>
        </w:rPr>
        <w:t xml:space="preserve">Reptiles represent one of the most </w:t>
      </w:r>
      <w:r>
        <w:rPr>
          <w:rFonts w:cs="Times New Roman"/>
        </w:rPr>
        <w:t>speciose vertebrate</w:t>
      </w:r>
      <w:r w:rsidRPr="00E91225">
        <w:rPr>
          <w:rFonts w:cs="Times New Roman"/>
        </w:rPr>
        <w:t xml:space="preserve"> groups on the planet, with over 11</w:t>
      </w:r>
      <w:r>
        <w:rPr>
          <w:rFonts w:cs="Times New Roman"/>
        </w:rPr>
        <w:t xml:space="preserve"> </w:t>
      </w:r>
      <w:r w:rsidRPr="00E91225">
        <w:rPr>
          <w:rFonts w:cs="Times New Roman"/>
        </w:rPr>
        <w:t>000 recognized lineages</w:t>
      </w:r>
      <w:r>
        <w:rPr>
          <w:rFonts w:cs="Times New Roman"/>
        </w:rPr>
        <w:t xml:space="preserve"> distributed across all continents except Antarctica </w:t>
      </w:r>
      <w:r w:rsidRPr="00E91225">
        <w:rPr>
          <w:rFonts w:cs="Times New Roman"/>
        </w:rPr>
        <w:t>(Uetz, Freed, and Hošek 2021).</w:t>
      </w:r>
      <w:r>
        <w:rPr>
          <w:rFonts w:cs="Times New Roman"/>
        </w:rPr>
        <w:t xml:space="preserve"> These species vary tremendously in body morphologies, habitat preferences, reproductive strategies and more (Vitt and Caldwell 2013). D</w:t>
      </w:r>
      <w:r w:rsidRPr="00E91225">
        <w:rPr>
          <w:rFonts w:cs="Times New Roman"/>
        </w:rPr>
        <w:t>espite a striking array of</w:t>
      </w:r>
      <w:r>
        <w:rPr>
          <w:rFonts w:cs="Times New Roman"/>
        </w:rPr>
        <w:t xml:space="preserve"> species</w:t>
      </w:r>
      <w:r w:rsidRPr="00E91225">
        <w:rPr>
          <w:rFonts w:cs="Times New Roman"/>
        </w:rPr>
        <w:t xml:space="preserve"> diversity and a subcosmopolitan distribution, </w:t>
      </w:r>
      <w:r>
        <w:rPr>
          <w:rFonts w:cs="Times New Roman"/>
        </w:rPr>
        <w:t xml:space="preserve">relatively </w:t>
      </w:r>
      <w:r w:rsidRPr="00E91225">
        <w:rPr>
          <w:rFonts w:cs="Times New Roman"/>
        </w:rPr>
        <w:t xml:space="preserve">little is known about the symbiotic </w:t>
      </w:r>
      <w:r>
        <w:rPr>
          <w:rFonts w:cs="Times New Roman"/>
        </w:rPr>
        <w:t>gut</w:t>
      </w:r>
      <w:r w:rsidRPr="00E91225">
        <w:rPr>
          <w:rFonts w:cs="Times New Roman"/>
        </w:rPr>
        <w:t xml:space="preserve"> microbiomes of most reptilian species worldwide (Colston and Jackson 2016; Kohl </w:t>
      </w:r>
      <w:r w:rsidRPr="00B57253">
        <w:rPr>
          <w:rFonts w:cs="Times New Roman"/>
          <w:i/>
        </w:rPr>
        <w:t>et al</w:t>
      </w:r>
      <w:r w:rsidRPr="00E91225">
        <w:rPr>
          <w:rFonts w:cs="Times New Roman"/>
        </w:rPr>
        <w:t>. 2017).</w:t>
      </w:r>
      <w:r>
        <w:rPr>
          <w:rFonts w:cs="Times New Roman"/>
        </w:rPr>
        <w:t xml:space="preserve"> </w:t>
      </w:r>
      <w:r w:rsidRPr="00E91225">
        <w:rPr>
          <w:rFonts w:cs="Times New Roman"/>
        </w:rPr>
        <w:t>A critical facet of reptile microbiome research in</w:t>
      </w:r>
      <w:r>
        <w:rPr>
          <w:rFonts w:cs="Times New Roman"/>
        </w:rPr>
        <w:t xml:space="preserve"> </w:t>
      </w:r>
      <w:r w:rsidRPr="00E91225">
        <w:rPr>
          <w:rFonts w:cs="Times New Roman"/>
        </w:rPr>
        <w:t xml:space="preserve">particular need of further </w:t>
      </w:r>
      <w:r>
        <w:rPr>
          <w:rFonts w:cs="Times New Roman"/>
        </w:rPr>
        <w:t>investigation</w:t>
      </w:r>
      <w:r w:rsidRPr="00E91225">
        <w:rPr>
          <w:rFonts w:cs="Times New Roman"/>
        </w:rPr>
        <w:t xml:space="preserve"> pertains to </w:t>
      </w:r>
      <w:r>
        <w:rPr>
          <w:rFonts w:cs="Times New Roman"/>
        </w:rPr>
        <w:t>the ecological and evolutionary traits that structure these gut communities.</w:t>
      </w:r>
    </w:p>
    <w:p w14:paraId="42928518" w14:textId="77777777" w:rsidR="005C7880" w:rsidRDefault="005C7880" w:rsidP="005C7880">
      <w:pPr>
        <w:spacing w:line="480" w:lineRule="auto"/>
        <w:ind w:firstLine="360"/>
        <w:contextualSpacing/>
        <w:rPr>
          <w:rFonts w:cs="Times New Roman"/>
        </w:rPr>
      </w:pPr>
      <w:r>
        <w:rPr>
          <w:rFonts w:cs="Times New Roman"/>
        </w:rPr>
        <w:t>In the few studies that examine multiple</w:t>
      </w:r>
      <w:r w:rsidRPr="00E91225">
        <w:rPr>
          <w:rFonts w:cs="Times New Roman"/>
        </w:rPr>
        <w:t xml:space="preserve"> </w:t>
      </w:r>
      <w:r>
        <w:rPr>
          <w:rFonts w:cs="Times New Roman"/>
        </w:rPr>
        <w:t xml:space="preserve">reptile </w:t>
      </w:r>
      <w:r w:rsidRPr="00E91225">
        <w:rPr>
          <w:rFonts w:cs="Times New Roman"/>
        </w:rPr>
        <w:t>species</w:t>
      </w:r>
      <w:r>
        <w:rPr>
          <w:rFonts w:cs="Times New Roman"/>
        </w:rPr>
        <w:t xml:space="preserve"> to date, host taxon identity is a prominent indicator of microbial assemblages, with interspecific differences in microbiome compositions generally greater than intraspecific distinctions (</w:t>
      </w:r>
      <w:r w:rsidRPr="00E91225">
        <w:rPr>
          <w:rFonts w:cs="Times New Roman"/>
        </w:rPr>
        <w:t xml:space="preserve">Lankau </w:t>
      </w:r>
      <w:r w:rsidRPr="00B57253">
        <w:rPr>
          <w:rFonts w:cs="Times New Roman"/>
          <w:i/>
        </w:rPr>
        <w:t>et al</w:t>
      </w:r>
      <w:r w:rsidRPr="00E91225">
        <w:rPr>
          <w:rFonts w:cs="Times New Roman"/>
        </w:rPr>
        <w:t>. 2012</w:t>
      </w:r>
      <w:r>
        <w:rPr>
          <w:rFonts w:cs="Times New Roman"/>
        </w:rPr>
        <w:t xml:space="preserve">; Ren </w:t>
      </w:r>
      <w:r w:rsidRPr="00B57253">
        <w:rPr>
          <w:rFonts w:cs="Times New Roman"/>
          <w:i/>
        </w:rPr>
        <w:t>et al</w:t>
      </w:r>
      <w:r>
        <w:rPr>
          <w:rFonts w:cs="Times New Roman"/>
        </w:rPr>
        <w:t xml:space="preserve">. 2016; Kohl </w:t>
      </w:r>
      <w:r w:rsidRPr="00B57253">
        <w:rPr>
          <w:rFonts w:cs="Times New Roman"/>
          <w:i/>
        </w:rPr>
        <w:t>et al</w:t>
      </w:r>
      <w:r>
        <w:rPr>
          <w:rFonts w:cs="Times New Roman"/>
        </w:rPr>
        <w:t xml:space="preserve">. 2017). Analyses of host ecomorphs recover mixed findings. </w:t>
      </w:r>
      <w:r w:rsidRPr="00E91225">
        <w:rPr>
          <w:rFonts w:cs="Times New Roman"/>
        </w:rPr>
        <w:t xml:space="preserve">Galapagos </w:t>
      </w:r>
      <w:r>
        <w:rPr>
          <w:rFonts w:cs="Times New Roman"/>
        </w:rPr>
        <w:t xml:space="preserve">land and marine </w:t>
      </w:r>
      <w:r w:rsidRPr="00E91225">
        <w:rPr>
          <w:rFonts w:cs="Times New Roman"/>
        </w:rPr>
        <w:t>iguana</w:t>
      </w:r>
      <w:r>
        <w:rPr>
          <w:rFonts w:cs="Times New Roman"/>
        </w:rPr>
        <w:t>s, which differ significantly in diet, show significantly distinct microbiomes (</w:t>
      </w:r>
      <w:r w:rsidRPr="00E91225">
        <w:rPr>
          <w:rFonts w:cs="Times New Roman"/>
        </w:rPr>
        <w:t xml:space="preserve">Lankau </w:t>
      </w:r>
      <w:r w:rsidRPr="00B57253">
        <w:rPr>
          <w:rFonts w:cs="Times New Roman"/>
          <w:i/>
        </w:rPr>
        <w:t>et al</w:t>
      </w:r>
      <w:r w:rsidRPr="00E91225">
        <w:rPr>
          <w:rFonts w:cs="Times New Roman"/>
        </w:rPr>
        <w:t>. 2012</w:t>
      </w:r>
      <w:r>
        <w:rPr>
          <w:rFonts w:cs="Times New Roman"/>
        </w:rPr>
        <w:t>) though few features distinguish various Caribbean</w:t>
      </w:r>
      <w:r w:rsidRPr="00E91225">
        <w:rPr>
          <w:rFonts w:cs="Times New Roman"/>
        </w:rPr>
        <w:t xml:space="preserve"> anole ecomorphs</w:t>
      </w:r>
      <w:r>
        <w:rPr>
          <w:rFonts w:cs="Times New Roman"/>
        </w:rPr>
        <w:t xml:space="preserve">, which all tend to be generalist species </w:t>
      </w:r>
      <w:r w:rsidRPr="00E91225">
        <w:rPr>
          <w:rFonts w:cs="Times New Roman"/>
        </w:rPr>
        <w:t xml:space="preserve">(Ren </w:t>
      </w:r>
      <w:r w:rsidRPr="00B57253">
        <w:rPr>
          <w:rFonts w:cs="Times New Roman"/>
          <w:i/>
        </w:rPr>
        <w:t>et al</w:t>
      </w:r>
      <w:r w:rsidRPr="00E91225">
        <w:rPr>
          <w:rFonts w:cs="Times New Roman"/>
        </w:rPr>
        <w:t>. 2016).</w:t>
      </w:r>
      <w:r>
        <w:rPr>
          <w:rFonts w:cs="Times New Roman"/>
        </w:rPr>
        <w:t xml:space="preserve"> Within species, individual </w:t>
      </w:r>
      <w:r w:rsidRPr="00E91225">
        <w:rPr>
          <w:rFonts w:cs="Times New Roman"/>
        </w:rPr>
        <w:t>diet ha</w:t>
      </w:r>
      <w:r>
        <w:rPr>
          <w:rFonts w:cs="Times New Roman"/>
        </w:rPr>
        <w:t>s</w:t>
      </w:r>
      <w:r w:rsidRPr="00E91225">
        <w:rPr>
          <w:rFonts w:cs="Times New Roman"/>
        </w:rPr>
        <w:t xml:space="preserve"> clear influence</w:t>
      </w:r>
      <w:r>
        <w:rPr>
          <w:rFonts w:cs="Times New Roman"/>
        </w:rPr>
        <w:t>s</w:t>
      </w:r>
      <w:r w:rsidRPr="00E91225">
        <w:rPr>
          <w:rFonts w:cs="Times New Roman"/>
        </w:rPr>
        <w:t xml:space="preserve"> on gut microbiota in reptil</w:t>
      </w:r>
      <w:r>
        <w:rPr>
          <w:rFonts w:cs="Times New Roman"/>
        </w:rPr>
        <w:t>es</w:t>
      </w:r>
      <w:r w:rsidRPr="00E91225">
        <w:rPr>
          <w:rFonts w:cs="Times New Roman"/>
        </w:rPr>
        <w:t xml:space="preserve"> (Lankau </w:t>
      </w:r>
      <w:r w:rsidRPr="00B57253">
        <w:rPr>
          <w:rFonts w:cs="Times New Roman"/>
          <w:i/>
        </w:rPr>
        <w:t>et al</w:t>
      </w:r>
      <w:r w:rsidRPr="00E91225">
        <w:rPr>
          <w:rFonts w:cs="Times New Roman"/>
        </w:rPr>
        <w:t xml:space="preserve">. 2012; Ren </w:t>
      </w:r>
      <w:r w:rsidRPr="00B57253">
        <w:rPr>
          <w:rFonts w:cs="Times New Roman"/>
          <w:i/>
        </w:rPr>
        <w:t>et al</w:t>
      </w:r>
      <w:r w:rsidRPr="00E91225">
        <w:rPr>
          <w:rFonts w:cs="Times New Roman"/>
        </w:rPr>
        <w:t xml:space="preserve">. 2016; Jiang </w:t>
      </w:r>
      <w:r w:rsidRPr="00B57253">
        <w:rPr>
          <w:rFonts w:cs="Times New Roman"/>
          <w:i/>
        </w:rPr>
        <w:t>et al</w:t>
      </w:r>
      <w:r w:rsidRPr="00E91225">
        <w:rPr>
          <w:rFonts w:cs="Times New Roman"/>
        </w:rPr>
        <w:t xml:space="preserve">. 2017; Kohl </w:t>
      </w:r>
      <w:r w:rsidRPr="00B57253">
        <w:rPr>
          <w:rFonts w:cs="Times New Roman"/>
          <w:i/>
        </w:rPr>
        <w:t>et al</w:t>
      </w:r>
      <w:r w:rsidRPr="00E91225">
        <w:rPr>
          <w:rFonts w:cs="Times New Roman"/>
        </w:rPr>
        <w:t>. 2017</w:t>
      </w:r>
      <w:r>
        <w:rPr>
          <w:rFonts w:cs="Times New Roman"/>
        </w:rPr>
        <w:t>). H</w:t>
      </w:r>
      <w:r w:rsidRPr="00E91225">
        <w:rPr>
          <w:rFonts w:cs="Times New Roman"/>
        </w:rPr>
        <w:t xml:space="preserve">ost locality shows strong correlations with microbial compositions in Puerto Rican anoles (Ren </w:t>
      </w:r>
      <w:r w:rsidRPr="00B57253">
        <w:rPr>
          <w:rFonts w:cs="Times New Roman"/>
          <w:i/>
        </w:rPr>
        <w:t>et al</w:t>
      </w:r>
      <w:r w:rsidRPr="00E91225">
        <w:rPr>
          <w:rFonts w:cs="Times New Roman"/>
        </w:rPr>
        <w:t xml:space="preserve">. 2016) and </w:t>
      </w:r>
      <w:r>
        <w:rPr>
          <w:rFonts w:cs="Times New Roman"/>
        </w:rPr>
        <w:t xml:space="preserve">both </w:t>
      </w:r>
      <w:r w:rsidRPr="00E91225">
        <w:rPr>
          <w:rFonts w:cs="Times New Roman"/>
        </w:rPr>
        <w:t>Galapagos</w:t>
      </w:r>
      <w:r>
        <w:rPr>
          <w:rFonts w:cs="Times New Roman"/>
        </w:rPr>
        <w:t xml:space="preserve"> land and marine </w:t>
      </w:r>
      <w:r w:rsidRPr="00E91225">
        <w:rPr>
          <w:rFonts w:cs="Times New Roman"/>
        </w:rPr>
        <w:t xml:space="preserve">iguanas (Lankau </w:t>
      </w:r>
      <w:r w:rsidRPr="00B57253">
        <w:rPr>
          <w:rFonts w:cs="Times New Roman"/>
          <w:i/>
        </w:rPr>
        <w:t>et al</w:t>
      </w:r>
      <w:r w:rsidRPr="00E91225">
        <w:rPr>
          <w:rFonts w:cs="Times New Roman"/>
        </w:rPr>
        <w:t>. 2012) but no such significant correlations have been noted in gopher tortoises</w:t>
      </w:r>
      <w:r>
        <w:rPr>
          <w:rFonts w:cs="Times New Roman"/>
        </w:rPr>
        <w:t xml:space="preserve"> across the southeastern United States</w:t>
      </w:r>
      <w:r w:rsidRPr="00E91225">
        <w:rPr>
          <w:rFonts w:cs="Times New Roman"/>
        </w:rPr>
        <w:t xml:space="preserve"> (Gaillard 2014).</w:t>
      </w:r>
      <w:r w:rsidRPr="00ED7326">
        <w:rPr>
          <w:rFonts w:cs="Times New Roman"/>
        </w:rPr>
        <w:t xml:space="preserve"> </w:t>
      </w:r>
      <w:r>
        <w:rPr>
          <w:rFonts w:cs="Times New Roman"/>
        </w:rPr>
        <w:t>H</w:t>
      </w:r>
      <w:r w:rsidRPr="00E91225">
        <w:rPr>
          <w:rFonts w:cs="Times New Roman"/>
        </w:rPr>
        <w:t xml:space="preserve">ost internal microbial community dynamics </w:t>
      </w:r>
      <w:r>
        <w:rPr>
          <w:rFonts w:cs="Times New Roman"/>
        </w:rPr>
        <w:t xml:space="preserve">clearly </w:t>
      </w:r>
      <w:r w:rsidRPr="00E91225">
        <w:rPr>
          <w:rFonts w:cs="Times New Roman"/>
        </w:rPr>
        <w:t xml:space="preserve">can be influenced strongly across both </w:t>
      </w:r>
      <w:r>
        <w:rPr>
          <w:rFonts w:cs="Times New Roman"/>
        </w:rPr>
        <w:t>ecological</w:t>
      </w:r>
      <w:r w:rsidRPr="00E91225">
        <w:rPr>
          <w:rFonts w:cs="Times New Roman"/>
        </w:rPr>
        <w:t xml:space="preserve"> </w:t>
      </w:r>
      <w:r>
        <w:rPr>
          <w:rFonts w:cs="Times New Roman"/>
        </w:rPr>
        <w:t xml:space="preserve">and evolutionary </w:t>
      </w:r>
      <w:r w:rsidRPr="00E91225">
        <w:rPr>
          <w:rFonts w:cs="Times New Roman"/>
        </w:rPr>
        <w:t>scales</w:t>
      </w:r>
      <w:r>
        <w:rPr>
          <w:rFonts w:cs="Times New Roman"/>
        </w:rPr>
        <w:t xml:space="preserve"> </w:t>
      </w:r>
      <w:r w:rsidRPr="00E91225">
        <w:rPr>
          <w:rFonts w:cs="Times New Roman"/>
        </w:rPr>
        <w:t xml:space="preserve">(Lankau </w:t>
      </w:r>
      <w:r w:rsidRPr="00B57253">
        <w:rPr>
          <w:rFonts w:cs="Times New Roman"/>
          <w:i/>
        </w:rPr>
        <w:t>et al</w:t>
      </w:r>
      <w:r w:rsidRPr="00E91225">
        <w:rPr>
          <w:rFonts w:cs="Times New Roman"/>
        </w:rPr>
        <w:t>. 2012).</w:t>
      </w:r>
    </w:p>
    <w:p w14:paraId="0A08C090" w14:textId="77777777" w:rsidR="005C7880" w:rsidRDefault="005C7880" w:rsidP="005C7880">
      <w:pPr>
        <w:spacing w:line="480" w:lineRule="auto"/>
        <w:ind w:firstLine="360"/>
        <w:contextualSpacing/>
        <w:rPr>
          <w:rFonts w:cs="Times New Roman"/>
        </w:rPr>
      </w:pPr>
      <w:r>
        <w:rPr>
          <w:rFonts w:cs="Times New Roman"/>
        </w:rPr>
        <w:t>In this study, we</w:t>
      </w:r>
      <w:r w:rsidRPr="00E91225">
        <w:rPr>
          <w:rFonts w:cs="Times New Roman"/>
        </w:rPr>
        <w:t xml:space="preserve"> sought to better understand gut microbial community diversity and structure in reptiles using a unique study system,</w:t>
      </w:r>
      <w:r>
        <w:rPr>
          <w:rFonts w:cs="Times New Roman"/>
        </w:rPr>
        <w:t xml:space="preserve"> wild</w:t>
      </w:r>
      <w:r w:rsidRPr="00E91225">
        <w:rPr>
          <w:rFonts w:cs="Times New Roman"/>
        </w:rPr>
        <w:t xml:space="preserve"> gekkonid lizards in the Philippines.</w:t>
      </w:r>
      <w:r w:rsidRPr="00C138B3">
        <w:rPr>
          <w:rFonts w:cs="Times New Roman"/>
        </w:rPr>
        <w:t xml:space="preserve"> </w:t>
      </w:r>
      <w:r w:rsidRPr="00E91225">
        <w:rPr>
          <w:rFonts w:cs="Times New Roman"/>
        </w:rPr>
        <w:t xml:space="preserve">The insular nation of the Philippines in Southeast Asia is home to a remarkable array of reptilian diversity and is considered a global hotspot for reptiles (Mittermeier </w:t>
      </w:r>
      <w:r w:rsidRPr="00B57253">
        <w:rPr>
          <w:rFonts w:cs="Times New Roman"/>
          <w:i/>
        </w:rPr>
        <w:t>et al</w:t>
      </w:r>
      <w:r w:rsidRPr="00E91225">
        <w:rPr>
          <w:rFonts w:cs="Times New Roman"/>
        </w:rPr>
        <w:t xml:space="preserve">. 1999; Roll </w:t>
      </w:r>
      <w:r w:rsidRPr="00B57253">
        <w:rPr>
          <w:rFonts w:cs="Times New Roman"/>
          <w:i/>
        </w:rPr>
        <w:t>et al</w:t>
      </w:r>
      <w:r w:rsidRPr="00E91225">
        <w:rPr>
          <w:rFonts w:cs="Times New Roman"/>
        </w:rPr>
        <w:t xml:space="preserve">. 2017). Over 350 species can be found across the ~7,500 islands in the Philippines (Uetz, Freed, and Hošek 2021). </w:t>
      </w:r>
      <w:r>
        <w:rPr>
          <w:rFonts w:cs="Times New Roman"/>
        </w:rPr>
        <w:t>T</w:t>
      </w:r>
      <w:r w:rsidRPr="00E91225">
        <w:rPr>
          <w:rFonts w:cs="Times New Roman"/>
        </w:rPr>
        <w:t xml:space="preserve">he Philippines </w:t>
      </w:r>
      <w:r>
        <w:rPr>
          <w:rFonts w:cs="Times New Roman"/>
        </w:rPr>
        <w:t>archipelago is home to a spectacular assortment of reptile species diversity in part because of its complex geographic history. Seven</w:t>
      </w:r>
      <w:r w:rsidRPr="00E91225">
        <w:rPr>
          <w:rFonts w:cs="Times New Roman"/>
        </w:rPr>
        <w:t xml:space="preserve"> Pleistocene Aggregate Island Complexes (PAICs</w:t>
      </w:r>
      <w:r>
        <w:rPr>
          <w:rFonts w:cs="Times New Roman"/>
        </w:rPr>
        <w:t xml:space="preserve">; </w:t>
      </w:r>
      <w:r w:rsidRPr="00E91225">
        <w:rPr>
          <w:rFonts w:cs="Times New Roman"/>
        </w:rPr>
        <w:t xml:space="preserve">Brown </w:t>
      </w:r>
      <w:r w:rsidRPr="00B57253">
        <w:rPr>
          <w:rFonts w:cs="Times New Roman"/>
          <w:i/>
        </w:rPr>
        <w:t>et al</w:t>
      </w:r>
      <w:r w:rsidRPr="00E91225">
        <w:rPr>
          <w:rFonts w:cs="Times New Roman"/>
        </w:rPr>
        <w:t>. 2013a)</w:t>
      </w:r>
      <w:r>
        <w:rPr>
          <w:rFonts w:cs="Times New Roman"/>
        </w:rPr>
        <w:t xml:space="preserve"> are generally recognized though many of these PAICS can be divided further still into various endemic biogeographic and even sub-faunal regions of native flora and fauna (Heany 1993; Vallejo 2014). In this complex landscape, g</w:t>
      </w:r>
      <w:r w:rsidRPr="00E91225">
        <w:rPr>
          <w:rFonts w:cs="Times New Roman"/>
        </w:rPr>
        <w:t>eckos</w:t>
      </w:r>
      <w:r>
        <w:rPr>
          <w:rFonts w:cs="Times New Roman"/>
        </w:rPr>
        <w:t xml:space="preserve"> represent</w:t>
      </w:r>
      <w:r w:rsidRPr="00E91225">
        <w:rPr>
          <w:rFonts w:cs="Times New Roman"/>
        </w:rPr>
        <w:t xml:space="preserve"> one of the most </w:t>
      </w:r>
      <w:r>
        <w:rPr>
          <w:rFonts w:cs="Times New Roman"/>
        </w:rPr>
        <w:t xml:space="preserve">taxonomically </w:t>
      </w:r>
      <w:r w:rsidRPr="00E91225">
        <w:rPr>
          <w:rFonts w:cs="Times New Roman"/>
        </w:rPr>
        <w:t xml:space="preserve">diverse groups of all vertebrates </w:t>
      </w:r>
      <w:r>
        <w:rPr>
          <w:rFonts w:cs="Times New Roman"/>
        </w:rPr>
        <w:t xml:space="preserve">with </w:t>
      </w:r>
      <w:r w:rsidRPr="00E91225">
        <w:rPr>
          <w:rFonts w:cs="Times New Roman"/>
        </w:rPr>
        <w:t xml:space="preserve">49 species </w:t>
      </w:r>
      <w:r>
        <w:rPr>
          <w:rFonts w:cs="Times New Roman"/>
        </w:rPr>
        <w:t xml:space="preserve">described </w:t>
      </w:r>
      <w:r w:rsidRPr="00E91225">
        <w:rPr>
          <w:rFonts w:cs="Times New Roman"/>
        </w:rPr>
        <w:t xml:space="preserve">across multiple genera (Uetz, Freed, and Hošek 2021). </w:t>
      </w:r>
      <w:r>
        <w:rPr>
          <w:rFonts w:cs="Times New Roman"/>
        </w:rPr>
        <w:t xml:space="preserve">Precise dietary information for all gekkonid species in the Philippines is lacking, though most are thought to be insectivorous (Bauer 2013; Goldberg </w:t>
      </w:r>
      <w:r w:rsidRPr="00B57253">
        <w:rPr>
          <w:rFonts w:cs="Times New Roman"/>
          <w:i/>
        </w:rPr>
        <w:t>et al</w:t>
      </w:r>
      <w:r>
        <w:rPr>
          <w:rFonts w:cs="Times New Roman"/>
        </w:rPr>
        <w:t>. 2016). Although sharing generalist dietary strategies, Philippine gekkonids display a wide variety of body sizes, distributions, and hypothesized habitat preferences to accompany their phylogenetic distinctiveness (</w:t>
      </w:r>
      <w:r w:rsidRPr="00E91225">
        <w:rPr>
          <w:rFonts w:cs="Times New Roman"/>
        </w:rPr>
        <w:t xml:space="preserve">Brown </w:t>
      </w:r>
      <w:r w:rsidRPr="00B57253">
        <w:rPr>
          <w:rFonts w:cs="Times New Roman"/>
          <w:i/>
        </w:rPr>
        <w:t>et al</w:t>
      </w:r>
      <w:r w:rsidRPr="00E91225">
        <w:rPr>
          <w:rFonts w:cs="Times New Roman"/>
        </w:rPr>
        <w:t xml:space="preserve">. 2008,2009,2010,2011,2013b; Welton </w:t>
      </w:r>
      <w:r w:rsidRPr="00B57253">
        <w:rPr>
          <w:rFonts w:cs="Times New Roman"/>
          <w:i/>
        </w:rPr>
        <w:t>et al</w:t>
      </w:r>
      <w:r w:rsidRPr="00E91225">
        <w:rPr>
          <w:rFonts w:cs="Times New Roman"/>
        </w:rPr>
        <w:t>. 2010</w:t>
      </w:r>
      <w:r>
        <w:rPr>
          <w:rFonts w:cs="Times New Roman"/>
        </w:rPr>
        <w:t xml:space="preserve">). </w:t>
      </w:r>
      <w:r w:rsidRPr="00E91225">
        <w:rPr>
          <w:rFonts w:cs="Times New Roman"/>
        </w:rPr>
        <w:t xml:space="preserve">The marked array of evolutionarily distinct lineages of gekkonids coupled with </w:t>
      </w:r>
      <w:r>
        <w:rPr>
          <w:rFonts w:cs="Times New Roman"/>
        </w:rPr>
        <w:t>microendemics and widespread species across the</w:t>
      </w:r>
      <w:r w:rsidRPr="00E91225">
        <w:rPr>
          <w:rFonts w:cs="Times New Roman"/>
        </w:rPr>
        <w:t xml:space="preserve"> Philippines provide a</w:t>
      </w:r>
      <w:r>
        <w:rPr>
          <w:rFonts w:cs="Times New Roman"/>
        </w:rPr>
        <w:t>n exceptional</w:t>
      </w:r>
      <w:r w:rsidRPr="00E91225">
        <w:rPr>
          <w:rFonts w:cs="Times New Roman"/>
        </w:rPr>
        <w:t xml:space="preserve"> study system to test for phylosymbi</w:t>
      </w:r>
      <w:r>
        <w:rPr>
          <w:rFonts w:cs="Times New Roman"/>
        </w:rPr>
        <w:t>o</w:t>
      </w:r>
      <w:r w:rsidRPr="00E91225">
        <w:rPr>
          <w:rFonts w:cs="Times New Roman"/>
        </w:rPr>
        <w:t>sis among confamilials and to complete eco</w:t>
      </w:r>
      <w:r>
        <w:rPr>
          <w:rFonts w:cs="Times New Roman"/>
        </w:rPr>
        <w:t>evolutionary</w:t>
      </w:r>
      <w:r w:rsidRPr="00E91225">
        <w:rPr>
          <w:rFonts w:cs="Times New Roman"/>
        </w:rPr>
        <w:t xml:space="preserve"> comparisons of </w:t>
      </w:r>
      <w:r>
        <w:rPr>
          <w:rFonts w:cs="Times New Roman"/>
        </w:rPr>
        <w:t xml:space="preserve">reptile </w:t>
      </w:r>
      <w:r w:rsidRPr="00E91225">
        <w:rPr>
          <w:rFonts w:cs="Times New Roman"/>
        </w:rPr>
        <w:t>host</w:t>
      </w:r>
      <w:r>
        <w:rPr>
          <w:rFonts w:cs="Times New Roman"/>
        </w:rPr>
        <w:t>s</w:t>
      </w:r>
      <w:r w:rsidRPr="00E91225">
        <w:rPr>
          <w:rFonts w:cs="Times New Roman"/>
        </w:rPr>
        <w:t xml:space="preserve"> and their microbial assemblages.</w:t>
      </w:r>
    </w:p>
    <w:p w14:paraId="0CD01BCC" w14:textId="77777777" w:rsidR="005C7880" w:rsidRDefault="005C7880" w:rsidP="005C7880">
      <w:pPr>
        <w:spacing w:line="480" w:lineRule="auto"/>
        <w:ind w:firstLine="360"/>
        <w:contextualSpacing/>
        <w:rPr>
          <w:rFonts w:cs="Times New Roman"/>
        </w:rPr>
      </w:pPr>
      <w:r w:rsidRPr="005E196F">
        <w:rPr>
          <w:rFonts w:cs="Times New Roman"/>
        </w:rPr>
        <w:t xml:space="preserve">We sampled </w:t>
      </w:r>
      <w:r>
        <w:rPr>
          <w:rFonts w:cs="Times New Roman"/>
        </w:rPr>
        <w:t>gut microbial communities in 47 individual</w:t>
      </w:r>
      <w:r w:rsidRPr="005E196F">
        <w:rPr>
          <w:rFonts w:cs="Times New Roman"/>
        </w:rPr>
        <w:t xml:space="preserve"> geckos from </w:t>
      </w:r>
      <w:r>
        <w:rPr>
          <w:rFonts w:cs="Times New Roman"/>
        </w:rPr>
        <w:t>nine</w:t>
      </w:r>
      <w:r w:rsidRPr="005E196F">
        <w:rPr>
          <w:rFonts w:cs="Times New Roman"/>
        </w:rPr>
        <w:t xml:space="preserve"> species and </w:t>
      </w:r>
      <w:r>
        <w:rPr>
          <w:rFonts w:cs="Times New Roman"/>
        </w:rPr>
        <w:t>four</w:t>
      </w:r>
      <w:r w:rsidRPr="005E196F">
        <w:rPr>
          <w:rFonts w:cs="Times New Roman"/>
        </w:rPr>
        <w:t xml:space="preserve"> genera </w:t>
      </w:r>
      <w:r>
        <w:rPr>
          <w:rFonts w:cs="Times New Roman"/>
        </w:rPr>
        <w:t xml:space="preserve">in the Philippines </w:t>
      </w:r>
      <w:r w:rsidRPr="005E196F">
        <w:rPr>
          <w:rFonts w:cs="Times New Roman"/>
        </w:rPr>
        <w:t>to (</w:t>
      </w:r>
      <w:r>
        <w:rPr>
          <w:rFonts w:cs="Times New Roman"/>
        </w:rPr>
        <w:t>i</w:t>
      </w:r>
      <w:r w:rsidRPr="005E196F">
        <w:rPr>
          <w:rFonts w:cs="Times New Roman"/>
        </w:rPr>
        <w:t xml:space="preserve">) </w:t>
      </w:r>
      <w:r>
        <w:rPr>
          <w:rFonts w:cs="Times New Roman"/>
        </w:rPr>
        <w:t xml:space="preserve">provide baseline data on endogenous </w:t>
      </w:r>
      <w:r w:rsidRPr="005E196F">
        <w:rPr>
          <w:rFonts w:cs="Times New Roman"/>
        </w:rPr>
        <w:t>microbiota in these</w:t>
      </w:r>
      <w:r>
        <w:rPr>
          <w:rFonts w:cs="Times New Roman"/>
        </w:rPr>
        <w:t xml:space="preserve"> host</w:t>
      </w:r>
      <w:r w:rsidRPr="005E196F">
        <w:rPr>
          <w:rFonts w:cs="Times New Roman"/>
        </w:rPr>
        <w:t xml:space="preserve"> species, (</w:t>
      </w:r>
      <w:r>
        <w:rPr>
          <w:rFonts w:cs="Times New Roman"/>
        </w:rPr>
        <w:t>ii</w:t>
      </w:r>
      <w:r w:rsidRPr="005E196F">
        <w:rPr>
          <w:rFonts w:cs="Times New Roman"/>
        </w:rPr>
        <w:t xml:space="preserve">) </w:t>
      </w:r>
      <w:r>
        <w:rPr>
          <w:rFonts w:cs="Times New Roman"/>
        </w:rPr>
        <w:t>test for evidence of phylosymbiosis; m</w:t>
      </w:r>
      <w:r w:rsidRPr="005E196F">
        <w:rPr>
          <w:rFonts w:cs="Times New Roman"/>
        </w:rPr>
        <w:t>icrobial communit</w:t>
      </w:r>
      <w:r>
        <w:rPr>
          <w:rFonts w:cs="Times New Roman"/>
        </w:rPr>
        <w:t>y relationships that parallel phylogenetic relationships among gekkonid hosts at the family level</w:t>
      </w:r>
      <w:r w:rsidRPr="005E196F">
        <w:rPr>
          <w:rFonts w:cs="Times New Roman"/>
        </w:rPr>
        <w:t>, and (</w:t>
      </w:r>
      <w:r>
        <w:rPr>
          <w:rFonts w:cs="Times New Roman"/>
        </w:rPr>
        <w:t>iii</w:t>
      </w:r>
      <w:r w:rsidRPr="005E196F">
        <w:rPr>
          <w:rFonts w:cs="Times New Roman"/>
        </w:rPr>
        <w:t xml:space="preserve">) </w:t>
      </w:r>
      <w:r>
        <w:rPr>
          <w:rFonts w:cs="Times New Roman"/>
        </w:rPr>
        <w:t>test for correlations between broad ecoevolutionary factors and</w:t>
      </w:r>
      <w:r w:rsidRPr="005E196F">
        <w:rPr>
          <w:rFonts w:cs="Times New Roman"/>
        </w:rPr>
        <w:t xml:space="preserve"> </w:t>
      </w:r>
      <w:r>
        <w:rPr>
          <w:rFonts w:cs="Times New Roman"/>
        </w:rPr>
        <w:t>gut microbial community compositions</w:t>
      </w:r>
      <w:r w:rsidRPr="005E196F">
        <w:rPr>
          <w:rFonts w:cs="Times New Roman"/>
        </w:rPr>
        <w:t xml:space="preserve"> in </w:t>
      </w:r>
      <w:r>
        <w:rPr>
          <w:rFonts w:cs="Times New Roman"/>
        </w:rPr>
        <w:t>wild</w:t>
      </w:r>
      <w:r w:rsidRPr="005E196F">
        <w:rPr>
          <w:rFonts w:cs="Times New Roman"/>
        </w:rPr>
        <w:t xml:space="preserve"> gekkonids</w:t>
      </w:r>
      <w:r>
        <w:rPr>
          <w:rFonts w:cs="Times New Roman"/>
        </w:rPr>
        <w:t>, including host species: identity, range, habitat preferences, and maximum body size as well as individual sampling locality and sampling biogeographic region in the Philippines.</w:t>
      </w:r>
    </w:p>
    <w:p w14:paraId="26C71F87" w14:textId="77777777" w:rsidR="005C7880" w:rsidRPr="005E196F" w:rsidRDefault="005C7880" w:rsidP="005C7880">
      <w:pPr>
        <w:spacing w:line="480" w:lineRule="auto"/>
        <w:contextualSpacing/>
        <w:rPr>
          <w:rFonts w:cs="Times New Roman"/>
        </w:rPr>
      </w:pPr>
    </w:p>
    <w:p w14:paraId="40113D48" w14:textId="77777777" w:rsidR="005C7880" w:rsidRDefault="005C7880" w:rsidP="005C7880">
      <w:pPr>
        <w:spacing w:line="480" w:lineRule="auto"/>
        <w:contextualSpacing/>
        <w:rPr>
          <w:rFonts w:cs="Times New Roman"/>
          <w:b/>
          <w:bCs/>
          <w:sz w:val="28"/>
          <w:szCs w:val="28"/>
        </w:rPr>
      </w:pPr>
      <w:r w:rsidRPr="005E196F">
        <w:rPr>
          <w:rFonts w:cs="Times New Roman"/>
          <w:b/>
          <w:bCs/>
          <w:sz w:val="28"/>
          <w:szCs w:val="28"/>
        </w:rPr>
        <w:t>Materials and Methods</w:t>
      </w:r>
    </w:p>
    <w:p w14:paraId="7068D8AE" w14:textId="77777777" w:rsidR="005C7880" w:rsidRDefault="005C7880" w:rsidP="005C7880">
      <w:pPr>
        <w:spacing w:line="480" w:lineRule="auto"/>
        <w:contextualSpacing/>
        <w:rPr>
          <w:rFonts w:cs="Times New Roman"/>
          <w:b/>
          <w:bCs/>
        </w:rPr>
      </w:pPr>
      <w:r>
        <w:rPr>
          <w:rFonts w:cs="Times New Roman"/>
          <w:b/>
          <w:bCs/>
        </w:rPr>
        <w:t>Host species examined</w:t>
      </w:r>
    </w:p>
    <w:p w14:paraId="014D9023" w14:textId="77777777" w:rsidR="005C7880" w:rsidRDefault="005C7880" w:rsidP="005C7880">
      <w:pPr>
        <w:spacing w:line="480" w:lineRule="auto"/>
        <w:contextualSpacing/>
        <w:rPr>
          <w:rFonts w:cs="Times New Roman"/>
        </w:rPr>
      </w:pPr>
      <w:r w:rsidRPr="0088231E">
        <w:rPr>
          <w:rFonts w:cs="Times New Roman"/>
        </w:rPr>
        <w:t xml:space="preserve">We </w:t>
      </w:r>
      <w:r>
        <w:rPr>
          <w:rFonts w:cs="Times New Roman"/>
        </w:rPr>
        <w:t>analyzed gut microbial communities sampled via cloacal swabbing from 47</w:t>
      </w:r>
      <w:r w:rsidRPr="0088231E">
        <w:rPr>
          <w:rFonts w:cs="Times New Roman"/>
        </w:rPr>
        <w:t xml:space="preserve"> </w:t>
      </w:r>
      <w:r>
        <w:rPr>
          <w:rFonts w:cs="Times New Roman"/>
        </w:rPr>
        <w:t xml:space="preserve">wild </w:t>
      </w:r>
      <w:r w:rsidRPr="0088231E">
        <w:rPr>
          <w:rFonts w:cs="Times New Roman"/>
        </w:rPr>
        <w:t>gekkonid</w:t>
      </w:r>
      <w:r>
        <w:rPr>
          <w:rFonts w:cs="Times New Roman"/>
        </w:rPr>
        <w:t xml:space="preserve"> lizards. These lizards</w:t>
      </w:r>
      <w:r w:rsidRPr="0088231E">
        <w:rPr>
          <w:rFonts w:cs="Times New Roman"/>
        </w:rPr>
        <w:t xml:space="preserve"> </w:t>
      </w:r>
      <w:r>
        <w:rPr>
          <w:rFonts w:cs="Times New Roman"/>
        </w:rPr>
        <w:t>represent</w:t>
      </w:r>
      <w:r w:rsidRPr="0088231E">
        <w:rPr>
          <w:rFonts w:cs="Times New Roman"/>
        </w:rPr>
        <w:t xml:space="preserve"> </w:t>
      </w:r>
      <w:r>
        <w:rPr>
          <w:rFonts w:cs="Times New Roman"/>
        </w:rPr>
        <w:t>the following nine</w:t>
      </w:r>
      <w:r w:rsidRPr="0088231E">
        <w:rPr>
          <w:rFonts w:cs="Times New Roman"/>
        </w:rPr>
        <w:t xml:space="preserve"> species</w:t>
      </w:r>
      <w:r>
        <w:rPr>
          <w:rFonts w:cs="Times New Roman"/>
        </w:rPr>
        <w:t xml:space="preserve"> and four genera</w:t>
      </w:r>
      <w:r w:rsidRPr="0088231E">
        <w:rPr>
          <w:rFonts w:cs="Times New Roman"/>
        </w:rPr>
        <w:t xml:space="preserve"> </w:t>
      </w:r>
      <w:r>
        <w:rPr>
          <w:rFonts w:cs="Times New Roman"/>
        </w:rPr>
        <w:t>from the Philippines</w:t>
      </w:r>
      <w:r w:rsidRPr="0088231E">
        <w:rPr>
          <w:rFonts w:cs="Times New Roman"/>
        </w:rPr>
        <w:t xml:space="preserve">: </w:t>
      </w:r>
      <w:r w:rsidRPr="0088231E">
        <w:rPr>
          <w:rFonts w:cs="Times New Roman"/>
          <w:i/>
          <w:iCs/>
        </w:rPr>
        <w:t>Cyrtodactylus philippinicus</w:t>
      </w:r>
      <w:r>
        <w:rPr>
          <w:rFonts w:cs="Times New Roman"/>
          <w:i/>
          <w:iCs/>
        </w:rPr>
        <w:t xml:space="preserve"> </w:t>
      </w:r>
      <w:r>
        <w:rPr>
          <w:rFonts w:cs="Times New Roman"/>
        </w:rPr>
        <w:t>(</w:t>
      </w:r>
      <w:r w:rsidRPr="00BB1ED4">
        <w:rPr>
          <w:rFonts w:cs="Times New Roman"/>
          <w:i/>
          <w:iCs/>
        </w:rPr>
        <w:t>n</w:t>
      </w:r>
      <w:r>
        <w:rPr>
          <w:rFonts w:cs="Times New Roman"/>
        </w:rPr>
        <w:t xml:space="preserve"> = 12)</w:t>
      </w:r>
      <w:r w:rsidRPr="0088231E">
        <w:rPr>
          <w:rFonts w:cs="Times New Roman"/>
        </w:rPr>
        <w:t xml:space="preserve">, </w:t>
      </w:r>
      <w:r w:rsidRPr="0088231E">
        <w:rPr>
          <w:rFonts w:cs="Times New Roman"/>
          <w:i/>
          <w:iCs/>
        </w:rPr>
        <w:t>Gekko crombota</w:t>
      </w:r>
      <w:r>
        <w:rPr>
          <w:rFonts w:cs="Times New Roman"/>
        </w:rPr>
        <w:t xml:space="preserve"> (</w:t>
      </w:r>
      <w:r w:rsidRPr="00BB1ED4">
        <w:rPr>
          <w:rFonts w:cs="Times New Roman"/>
          <w:i/>
          <w:iCs/>
        </w:rPr>
        <w:t>n</w:t>
      </w:r>
      <w:r>
        <w:rPr>
          <w:rFonts w:cs="Times New Roman"/>
        </w:rPr>
        <w:t xml:space="preserve"> = 7)</w:t>
      </w:r>
      <w:r w:rsidRPr="0088231E">
        <w:rPr>
          <w:rFonts w:cs="Times New Roman"/>
        </w:rPr>
        <w:t xml:space="preserve">, </w:t>
      </w:r>
      <w:r>
        <w:rPr>
          <w:rFonts w:cs="Times New Roman"/>
          <w:i/>
          <w:iCs/>
        </w:rPr>
        <w:t>G.</w:t>
      </w:r>
      <w:r w:rsidRPr="0088231E">
        <w:rPr>
          <w:rFonts w:cs="Times New Roman"/>
          <w:i/>
          <w:iCs/>
        </w:rPr>
        <w:t xml:space="preserve"> gecko</w:t>
      </w:r>
      <w:r>
        <w:rPr>
          <w:rFonts w:cs="Times New Roman"/>
          <w:i/>
          <w:iCs/>
        </w:rPr>
        <w:t xml:space="preserve"> </w:t>
      </w:r>
      <w:r>
        <w:rPr>
          <w:rFonts w:cs="Times New Roman"/>
        </w:rPr>
        <w:t>(</w:t>
      </w:r>
      <w:r w:rsidRPr="00BB1ED4">
        <w:rPr>
          <w:rFonts w:cs="Times New Roman"/>
          <w:i/>
          <w:iCs/>
        </w:rPr>
        <w:t>n</w:t>
      </w:r>
      <w:r>
        <w:rPr>
          <w:rFonts w:cs="Times New Roman"/>
        </w:rPr>
        <w:t xml:space="preserve"> = 4)</w:t>
      </w:r>
      <w:r w:rsidRPr="0088231E">
        <w:rPr>
          <w:rFonts w:cs="Times New Roman"/>
        </w:rPr>
        <w:t xml:space="preserve">, </w:t>
      </w:r>
      <w:r>
        <w:rPr>
          <w:rFonts w:cs="Times New Roman"/>
          <w:i/>
          <w:iCs/>
        </w:rPr>
        <w:t>G.</w:t>
      </w:r>
      <w:r w:rsidRPr="0088231E">
        <w:rPr>
          <w:rFonts w:cs="Times New Roman"/>
          <w:i/>
          <w:iCs/>
        </w:rPr>
        <w:t xml:space="preserve"> kikuchii</w:t>
      </w:r>
      <w:r>
        <w:rPr>
          <w:rFonts w:cs="Times New Roman"/>
          <w:i/>
          <w:iCs/>
        </w:rPr>
        <w:t xml:space="preserve"> </w:t>
      </w:r>
      <w:r>
        <w:rPr>
          <w:rFonts w:cs="Times New Roman"/>
        </w:rPr>
        <w:t>(</w:t>
      </w:r>
      <w:r w:rsidRPr="00BB1ED4">
        <w:rPr>
          <w:rFonts w:cs="Times New Roman"/>
          <w:i/>
          <w:iCs/>
        </w:rPr>
        <w:t>n</w:t>
      </w:r>
      <w:r>
        <w:rPr>
          <w:rFonts w:cs="Times New Roman"/>
        </w:rPr>
        <w:t xml:space="preserve"> = 1)</w:t>
      </w:r>
      <w:r w:rsidRPr="0088231E">
        <w:rPr>
          <w:rFonts w:cs="Times New Roman"/>
        </w:rPr>
        <w:t xml:space="preserve">, </w:t>
      </w:r>
      <w:r>
        <w:rPr>
          <w:rFonts w:cs="Times New Roman"/>
          <w:i/>
          <w:iCs/>
        </w:rPr>
        <w:t>G.</w:t>
      </w:r>
      <w:r w:rsidRPr="0088231E">
        <w:rPr>
          <w:rFonts w:cs="Times New Roman"/>
          <w:i/>
          <w:iCs/>
        </w:rPr>
        <w:t xml:space="preserve"> mindorensis</w:t>
      </w:r>
      <w:r>
        <w:rPr>
          <w:rFonts w:cs="Times New Roman"/>
          <w:i/>
          <w:iCs/>
        </w:rPr>
        <w:t xml:space="preserve"> </w:t>
      </w:r>
      <w:r>
        <w:rPr>
          <w:rFonts w:cs="Times New Roman"/>
        </w:rPr>
        <w:t>(</w:t>
      </w:r>
      <w:r w:rsidRPr="00BB1ED4">
        <w:rPr>
          <w:rFonts w:cs="Times New Roman"/>
          <w:i/>
          <w:iCs/>
        </w:rPr>
        <w:t>n</w:t>
      </w:r>
      <w:r>
        <w:rPr>
          <w:rFonts w:cs="Times New Roman"/>
        </w:rPr>
        <w:t xml:space="preserve"> = 4)</w:t>
      </w:r>
      <w:r w:rsidRPr="0088231E">
        <w:rPr>
          <w:rFonts w:cs="Times New Roman"/>
        </w:rPr>
        <w:t xml:space="preserve">, </w:t>
      </w:r>
      <w:r>
        <w:rPr>
          <w:rFonts w:cs="Times New Roman"/>
          <w:i/>
          <w:iCs/>
        </w:rPr>
        <w:t>G.</w:t>
      </w:r>
      <w:r w:rsidRPr="0088231E">
        <w:rPr>
          <w:rFonts w:cs="Times New Roman"/>
          <w:i/>
          <w:iCs/>
        </w:rPr>
        <w:t xml:space="preserve"> rossi</w:t>
      </w:r>
      <w:r>
        <w:rPr>
          <w:rFonts w:cs="Times New Roman"/>
          <w:i/>
          <w:iCs/>
        </w:rPr>
        <w:t xml:space="preserve"> </w:t>
      </w:r>
      <w:r>
        <w:rPr>
          <w:rFonts w:cs="Times New Roman"/>
        </w:rPr>
        <w:t>(</w:t>
      </w:r>
      <w:r w:rsidRPr="00BB1ED4">
        <w:rPr>
          <w:rFonts w:cs="Times New Roman"/>
          <w:i/>
          <w:iCs/>
        </w:rPr>
        <w:t>n</w:t>
      </w:r>
      <w:r>
        <w:rPr>
          <w:rFonts w:cs="Times New Roman"/>
        </w:rPr>
        <w:t xml:space="preserve"> = 9)</w:t>
      </w:r>
      <w:r w:rsidRPr="0088231E">
        <w:rPr>
          <w:rFonts w:cs="Times New Roman"/>
        </w:rPr>
        <w:t>,</w:t>
      </w:r>
      <w:r>
        <w:rPr>
          <w:rFonts w:cs="Times New Roman"/>
        </w:rPr>
        <w:t xml:space="preserve"> </w:t>
      </w:r>
      <w:r w:rsidRPr="0088231E">
        <w:rPr>
          <w:rFonts w:cs="Times New Roman"/>
          <w:i/>
          <w:iCs/>
        </w:rPr>
        <w:t>Hemidactylus frenatus</w:t>
      </w:r>
      <w:r>
        <w:rPr>
          <w:rFonts w:cs="Times New Roman"/>
          <w:i/>
          <w:iCs/>
        </w:rPr>
        <w:t xml:space="preserve"> </w:t>
      </w:r>
      <w:r>
        <w:rPr>
          <w:rFonts w:cs="Times New Roman"/>
        </w:rPr>
        <w:t>(</w:t>
      </w:r>
      <w:r w:rsidRPr="00BB1ED4">
        <w:rPr>
          <w:rFonts w:cs="Times New Roman"/>
          <w:i/>
          <w:iCs/>
        </w:rPr>
        <w:t>n</w:t>
      </w:r>
      <w:r>
        <w:rPr>
          <w:rFonts w:cs="Times New Roman"/>
        </w:rPr>
        <w:t xml:space="preserve"> = 3)</w:t>
      </w:r>
      <w:r w:rsidRPr="0088231E">
        <w:rPr>
          <w:rFonts w:cs="Times New Roman"/>
        </w:rPr>
        <w:t xml:space="preserve">, </w:t>
      </w:r>
      <w:r>
        <w:rPr>
          <w:rFonts w:cs="Times New Roman"/>
          <w:i/>
          <w:iCs/>
        </w:rPr>
        <w:t>H.</w:t>
      </w:r>
      <w:r w:rsidRPr="0088231E">
        <w:rPr>
          <w:rFonts w:cs="Times New Roman"/>
          <w:i/>
          <w:iCs/>
        </w:rPr>
        <w:t xml:space="preserve"> platyurus</w:t>
      </w:r>
      <w:r>
        <w:rPr>
          <w:rFonts w:cs="Times New Roman"/>
          <w:i/>
          <w:iCs/>
        </w:rPr>
        <w:t xml:space="preserve"> </w:t>
      </w:r>
      <w:r>
        <w:rPr>
          <w:rFonts w:cs="Times New Roman"/>
        </w:rPr>
        <w:t>(</w:t>
      </w:r>
      <w:r w:rsidRPr="00BB1ED4">
        <w:rPr>
          <w:rFonts w:cs="Times New Roman"/>
          <w:i/>
          <w:iCs/>
        </w:rPr>
        <w:t>n</w:t>
      </w:r>
      <w:r>
        <w:rPr>
          <w:rFonts w:cs="Times New Roman"/>
        </w:rPr>
        <w:t xml:space="preserve"> = 3)</w:t>
      </w:r>
      <w:r w:rsidRPr="0088231E">
        <w:rPr>
          <w:rFonts w:cs="Times New Roman"/>
        </w:rPr>
        <w:t xml:space="preserve">, and </w:t>
      </w:r>
      <w:r w:rsidRPr="0088231E">
        <w:rPr>
          <w:rFonts w:cs="Times New Roman"/>
          <w:i/>
          <w:iCs/>
        </w:rPr>
        <w:t>Luperosaurus macgregori</w:t>
      </w:r>
      <w:r w:rsidRPr="005248B4">
        <w:rPr>
          <w:rFonts w:cs="Times New Roman"/>
        </w:rPr>
        <w:t xml:space="preserve"> </w:t>
      </w:r>
      <w:r>
        <w:rPr>
          <w:rFonts w:cs="Times New Roman"/>
        </w:rPr>
        <w:t>(</w:t>
      </w:r>
      <w:r w:rsidRPr="00BB1ED4">
        <w:rPr>
          <w:rFonts w:cs="Times New Roman"/>
          <w:i/>
          <w:iCs/>
        </w:rPr>
        <w:t>n</w:t>
      </w:r>
      <w:r>
        <w:rPr>
          <w:rFonts w:cs="Times New Roman"/>
        </w:rPr>
        <w:t xml:space="preserve"> = 4)</w:t>
      </w:r>
      <w:r w:rsidRPr="0088231E">
        <w:rPr>
          <w:rFonts w:cs="Times New Roman"/>
        </w:rPr>
        <w:t>.</w:t>
      </w:r>
    </w:p>
    <w:p w14:paraId="179F4B2F" w14:textId="77777777" w:rsidR="005C7880" w:rsidRDefault="005C7880" w:rsidP="005C7880">
      <w:pPr>
        <w:spacing w:line="480" w:lineRule="auto"/>
        <w:contextualSpacing/>
        <w:rPr>
          <w:rFonts w:cs="Times New Roman"/>
        </w:rPr>
      </w:pPr>
    </w:p>
    <w:p w14:paraId="551413F4" w14:textId="77777777" w:rsidR="005C7880" w:rsidRDefault="005C7880" w:rsidP="005C7880">
      <w:pPr>
        <w:spacing w:line="480" w:lineRule="auto"/>
        <w:contextualSpacing/>
        <w:rPr>
          <w:rFonts w:cs="Times New Roman"/>
          <w:b/>
          <w:bCs/>
        </w:rPr>
      </w:pPr>
      <w:r>
        <w:rPr>
          <w:rFonts w:cs="Times New Roman"/>
          <w:b/>
          <w:bCs/>
        </w:rPr>
        <w:t>Sampling localities</w:t>
      </w:r>
    </w:p>
    <w:p w14:paraId="7E4E60B9" w14:textId="77777777" w:rsidR="005C7880" w:rsidRDefault="005C7880" w:rsidP="005C7880">
      <w:pPr>
        <w:spacing w:line="480" w:lineRule="auto"/>
        <w:contextualSpacing/>
        <w:rPr>
          <w:rFonts w:cs="Times New Roman"/>
        </w:rPr>
      </w:pPr>
      <w:r>
        <w:rPr>
          <w:rFonts w:cs="Times New Roman"/>
        </w:rPr>
        <w:t>To better address the possible influences of locality-specific factors on gut microbiota in wild gekkonids, we sampled hosts opportunistically at seven distinct localities in the central and northern Philippines. These sites were spread across four discrete biogeographic regions: the Babuyan Islands, northern Luzon, the Bicol Peninsula, and Negros Island</w:t>
      </w:r>
      <w:r w:rsidRPr="00EF1932">
        <w:rPr>
          <w:rFonts w:cs="Times New Roman"/>
        </w:rPr>
        <w:t>.</w:t>
      </w:r>
      <w:r>
        <w:rPr>
          <w:rFonts w:cs="Times New Roman"/>
        </w:rPr>
        <w:t xml:space="preserve"> </w:t>
      </w:r>
      <w:r w:rsidRPr="00E91225">
        <w:rPr>
          <w:rFonts w:cs="Times New Roman"/>
        </w:rPr>
        <w:t>We conducted fieldwork on Calayan</w:t>
      </w:r>
      <w:r>
        <w:rPr>
          <w:rFonts w:cs="Times New Roman"/>
        </w:rPr>
        <w:t xml:space="preserve"> and </w:t>
      </w:r>
      <w:r w:rsidRPr="00E91225">
        <w:rPr>
          <w:rFonts w:cs="Times New Roman"/>
        </w:rPr>
        <w:t>Camiguin Norte</w:t>
      </w:r>
      <w:r>
        <w:rPr>
          <w:rFonts w:cs="Times New Roman"/>
        </w:rPr>
        <w:t xml:space="preserve"> (Babuyan Island Group)</w:t>
      </w:r>
      <w:r w:rsidRPr="00E91225">
        <w:rPr>
          <w:rFonts w:cs="Times New Roman"/>
        </w:rPr>
        <w:t xml:space="preserve">, Luzon, and Negros </w:t>
      </w:r>
      <w:r>
        <w:rPr>
          <w:rFonts w:cs="Times New Roman"/>
        </w:rPr>
        <w:t>i</w:t>
      </w:r>
      <w:r w:rsidRPr="00E91225">
        <w:rPr>
          <w:rFonts w:cs="Times New Roman"/>
        </w:rPr>
        <w:t xml:space="preserve">slands in the Philippines </w:t>
      </w:r>
      <w:r>
        <w:rPr>
          <w:rFonts w:cs="Times New Roman"/>
        </w:rPr>
        <w:t xml:space="preserve">during three field expeditions carried out between </w:t>
      </w:r>
      <w:r w:rsidRPr="00E91225">
        <w:rPr>
          <w:rFonts w:cs="Times New Roman"/>
        </w:rPr>
        <w:t>2016</w:t>
      </w:r>
      <w:r>
        <w:rPr>
          <w:rFonts w:cs="Times New Roman"/>
        </w:rPr>
        <w:t xml:space="preserve"> and </w:t>
      </w:r>
      <w:r w:rsidRPr="00E91225">
        <w:rPr>
          <w:rFonts w:cs="Times New Roman"/>
        </w:rPr>
        <w:t xml:space="preserve">2018. </w:t>
      </w:r>
      <w:r>
        <w:rPr>
          <w:rFonts w:cs="Times New Roman"/>
        </w:rPr>
        <w:t>Individual sampling localities included Magsidel and Tapao Falls in the Babuyan Island Group, Mariroc and Tulay na Lupa on the Bicol Peninsula of Luzon, Mt. Palali and Nasiping in northern Luzon, and Cagbang on Negros Island (</w:t>
      </w:r>
      <w:r w:rsidRPr="00D1647A">
        <w:rPr>
          <w:rFonts w:cs="Times New Roman"/>
        </w:rPr>
        <w:t>Table 1, Fig. 1</w:t>
      </w:r>
      <w:r>
        <w:rPr>
          <w:rFonts w:cs="Times New Roman"/>
        </w:rPr>
        <w:t>).</w:t>
      </w:r>
    </w:p>
    <w:p w14:paraId="1FE1A314" w14:textId="77777777" w:rsidR="005C7880" w:rsidRPr="00CB185E" w:rsidRDefault="005C7880" w:rsidP="005C7880">
      <w:pPr>
        <w:spacing w:line="480" w:lineRule="auto"/>
        <w:contextualSpacing/>
        <w:rPr>
          <w:rFonts w:cs="Times New Roman"/>
        </w:rPr>
      </w:pPr>
    </w:p>
    <w:p w14:paraId="2E39F222" w14:textId="77777777" w:rsidR="005C7880" w:rsidRPr="00E91225" w:rsidRDefault="005C7880" w:rsidP="005C7880">
      <w:pPr>
        <w:spacing w:line="480" w:lineRule="auto"/>
        <w:contextualSpacing/>
        <w:rPr>
          <w:rFonts w:cs="Times New Roman"/>
          <w:b/>
          <w:bCs/>
        </w:rPr>
      </w:pPr>
      <w:r w:rsidRPr="00E91225">
        <w:rPr>
          <w:rFonts w:cs="Times New Roman"/>
          <w:b/>
          <w:bCs/>
        </w:rPr>
        <w:t>Animal and sample collection</w:t>
      </w:r>
    </w:p>
    <w:p w14:paraId="000AE137" w14:textId="77777777" w:rsidR="005C7880" w:rsidRPr="00E91225" w:rsidRDefault="005C7880" w:rsidP="005C7880">
      <w:pPr>
        <w:spacing w:line="480" w:lineRule="auto"/>
        <w:contextualSpacing/>
        <w:rPr>
          <w:rFonts w:cs="Times New Roman"/>
        </w:rPr>
      </w:pPr>
      <w:r>
        <w:rPr>
          <w:rFonts w:cs="Times New Roman"/>
        </w:rPr>
        <w:t>Geckos were captured by hand</w:t>
      </w:r>
      <w:r w:rsidRPr="00E91225">
        <w:rPr>
          <w:rFonts w:cs="Times New Roman"/>
        </w:rPr>
        <w:t xml:space="preserve"> between 1600 and 0200 h and for all locality records we used the WGS-84 datum. </w:t>
      </w:r>
      <w:r>
        <w:rPr>
          <w:rFonts w:cs="Times New Roman"/>
        </w:rPr>
        <w:t xml:space="preserve">We collected cloacal swabs to inventory host-associated gut </w:t>
      </w:r>
      <w:r w:rsidRPr="00E91225">
        <w:rPr>
          <w:rFonts w:cs="Times New Roman"/>
        </w:rPr>
        <w:t xml:space="preserve">microbial </w:t>
      </w:r>
      <w:r>
        <w:rPr>
          <w:rFonts w:cs="Times New Roman"/>
        </w:rPr>
        <w:t xml:space="preserve">communities, which </w:t>
      </w:r>
      <w:r w:rsidRPr="00E91225">
        <w:rPr>
          <w:rFonts w:cs="Times New Roman"/>
        </w:rPr>
        <w:t xml:space="preserve">have been shown to be effective proxies for endogenous microbiome sampling in reptiles (Colston </w:t>
      </w:r>
      <w:r w:rsidRPr="00B57253">
        <w:rPr>
          <w:rFonts w:cs="Times New Roman"/>
          <w:i/>
        </w:rPr>
        <w:t>et al</w:t>
      </w:r>
      <w:r w:rsidRPr="00E91225">
        <w:rPr>
          <w:rFonts w:cs="Times New Roman"/>
        </w:rPr>
        <w:t>. 2015</w:t>
      </w:r>
      <w:r>
        <w:rPr>
          <w:rFonts w:cs="Times New Roman"/>
        </w:rPr>
        <w:t xml:space="preserve">; Eliades </w:t>
      </w:r>
      <w:r w:rsidRPr="00B57253">
        <w:rPr>
          <w:rFonts w:cs="Times New Roman"/>
          <w:i/>
        </w:rPr>
        <w:t>et al</w:t>
      </w:r>
      <w:r>
        <w:rPr>
          <w:rFonts w:cs="Times New Roman"/>
        </w:rPr>
        <w:t>. 2021</w:t>
      </w:r>
      <w:r w:rsidRPr="00E91225">
        <w:rPr>
          <w:rFonts w:cs="Times New Roman"/>
        </w:rPr>
        <w:t>). To collect cloacal microbiome samples, we inserted sterile rayon-tipped swabs approximately 3 cm into the cloacal opening of each animal and rotated them 10 times</w:t>
      </w:r>
      <w:r>
        <w:rPr>
          <w:rFonts w:cs="Times New Roman"/>
        </w:rPr>
        <w:t xml:space="preserve"> (Smith </w:t>
      </w:r>
      <w:r w:rsidRPr="00B57253">
        <w:rPr>
          <w:rFonts w:cs="Times New Roman"/>
          <w:i/>
        </w:rPr>
        <w:t>et al</w:t>
      </w:r>
      <w:r>
        <w:rPr>
          <w:rFonts w:cs="Times New Roman"/>
        </w:rPr>
        <w:t>. 2021).</w:t>
      </w:r>
      <w:r w:rsidRPr="00E91225">
        <w:rPr>
          <w:rFonts w:cs="Times New Roman"/>
        </w:rPr>
        <w:t xml:space="preserve"> For efficient preservation of DNA, we then placed swabs into individual screw-top 1.5</w:t>
      </w:r>
      <w:r>
        <w:rPr>
          <w:rFonts w:cs="Times New Roman"/>
        </w:rPr>
        <w:t xml:space="preserve"> </w:t>
      </w:r>
      <w:r w:rsidRPr="00E91225">
        <w:rPr>
          <w:rFonts w:cs="Times New Roman"/>
        </w:rPr>
        <w:t>mL cryovials with 750 ul Xpedition</w:t>
      </w:r>
      <w:r w:rsidRPr="00E91225">
        <w:rPr>
          <w:rFonts w:cs="Times New Roman"/>
          <w:vertAlign w:val="superscript"/>
        </w:rPr>
        <w:t>TM</w:t>
      </w:r>
      <w:r w:rsidRPr="00E91225">
        <w:rPr>
          <w:rFonts w:cs="Times New Roman"/>
        </w:rPr>
        <w:t xml:space="preserve"> Lysis/Stabilization Solution</w:t>
      </w:r>
      <w:r>
        <w:rPr>
          <w:rFonts w:cs="Times New Roman"/>
        </w:rPr>
        <w:t xml:space="preserve"> (</w:t>
      </w:r>
      <w:r w:rsidRPr="00502046">
        <w:rPr>
          <w:rFonts w:cs="Times New Roman"/>
        </w:rPr>
        <w:t>Zymo Research Products</w:t>
      </w:r>
      <w:r>
        <w:rPr>
          <w:rFonts w:cs="Times New Roman"/>
        </w:rPr>
        <w:t>)</w:t>
      </w:r>
      <w:r w:rsidRPr="00E91225">
        <w:rPr>
          <w:rFonts w:cs="Times New Roman"/>
        </w:rPr>
        <w:t>.</w:t>
      </w:r>
      <w:r>
        <w:rPr>
          <w:rFonts w:cs="Times New Roman"/>
        </w:rPr>
        <w:t xml:space="preserve"> Cloacal swabs</w:t>
      </w:r>
      <w:r w:rsidRPr="00E91225">
        <w:rPr>
          <w:rFonts w:cs="Times New Roman"/>
        </w:rPr>
        <w:t xml:space="preserve"> were stored at ambient temperature while in the field before transportation to the Sam Noble Oklahoma Museum of Natural History for curation and storage</w:t>
      </w:r>
      <w:r>
        <w:rPr>
          <w:rFonts w:cs="Times New Roman"/>
        </w:rPr>
        <w:t xml:space="preserve"> in a -</w:t>
      </w:r>
      <w:r w:rsidRPr="00502046">
        <w:rPr>
          <w:rFonts w:cs="Times New Roman"/>
        </w:rPr>
        <w:t>20°C freezer until DNA extraction</w:t>
      </w:r>
      <w:r>
        <w:rPr>
          <w:rFonts w:cs="Times New Roman"/>
        </w:rPr>
        <w:t xml:space="preserve"> (Smith </w:t>
      </w:r>
      <w:r w:rsidRPr="00B57253">
        <w:rPr>
          <w:rFonts w:cs="Times New Roman"/>
          <w:i/>
        </w:rPr>
        <w:t>et al</w:t>
      </w:r>
      <w:r>
        <w:rPr>
          <w:rFonts w:cs="Times New Roman"/>
        </w:rPr>
        <w:t>. 2021)</w:t>
      </w:r>
      <w:r w:rsidRPr="00502046">
        <w:rPr>
          <w:rFonts w:cs="Times New Roman"/>
        </w:rPr>
        <w:t>.</w:t>
      </w:r>
    </w:p>
    <w:p w14:paraId="3C6EACCF" w14:textId="77777777" w:rsidR="005C7880" w:rsidRPr="00E91225" w:rsidRDefault="005C7880" w:rsidP="005C7880">
      <w:pPr>
        <w:spacing w:line="480" w:lineRule="auto"/>
        <w:contextualSpacing/>
        <w:rPr>
          <w:rFonts w:cs="Times New Roman"/>
        </w:rPr>
      </w:pPr>
    </w:p>
    <w:p w14:paraId="7CE85305" w14:textId="77777777" w:rsidR="005C7880" w:rsidRPr="00E91225" w:rsidRDefault="005C7880" w:rsidP="005C7880">
      <w:pPr>
        <w:spacing w:line="480" w:lineRule="auto"/>
        <w:contextualSpacing/>
        <w:rPr>
          <w:rFonts w:cs="Times New Roman"/>
          <w:b/>
          <w:bCs/>
        </w:rPr>
      </w:pPr>
      <w:r w:rsidRPr="00E91225">
        <w:rPr>
          <w:rFonts w:cs="Times New Roman"/>
          <w:b/>
          <w:bCs/>
        </w:rPr>
        <w:t>Microbial inventories</w:t>
      </w:r>
    </w:p>
    <w:p w14:paraId="77C5DBC7" w14:textId="77777777" w:rsidR="005C7880" w:rsidRPr="00E91225" w:rsidRDefault="005C7880" w:rsidP="005C7880">
      <w:pPr>
        <w:spacing w:line="480" w:lineRule="auto"/>
        <w:contextualSpacing/>
        <w:rPr>
          <w:rFonts w:cs="Times New Roman"/>
        </w:rPr>
      </w:pPr>
      <w:r w:rsidRPr="00E91225">
        <w:rPr>
          <w:rFonts w:cs="Times New Roman"/>
        </w:rPr>
        <w:t xml:space="preserve">Sample processing, data curation, and analysis closely reflect processes from Eliades </w:t>
      </w:r>
      <w:r w:rsidRPr="00B57253">
        <w:rPr>
          <w:rFonts w:cs="Times New Roman"/>
          <w:i/>
        </w:rPr>
        <w:t>et al</w:t>
      </w:r>
      <w:r w:rsidRPr="00E91225">
        <w:rPr>
          <w:rFonts w:cs="Times New Roman"/>
        </w:rPr>
        <w:t xml:space="preserve">. (2021). </w:t>
      </w:r>
      <w:r>
        <w:rPr>
          <w:rFonts w:cs="Times New Roman"/>
        </w:rPr>
        <w:t xml:space="preserve">All DNA extraction and library preparation steps were completed at the </w:t>
      </w:r>
      <w:r w:rsidRPr="00E27A36">
        <w:rPr>
          <w:rFonts w:cs="Times New Roman"/>
        </w:rPr>
        <w:t xml:space="preserve">Sam Noble Museum’s Shared Genetics Laboratories </w:t>
      </w:r>
      <w:r>
        <w:rPr>
          <w:rFonts w:cs="Times New Roman"/>
        </w:rPr>
        <w:t xml:space="preserve">at the University of Oklahoma. </w:t>
      </w:r>
      <w:r w:rsidRPr="00E91225">
        <w:rPr>
          <w:rFonts w:cs="Times New Roman"/>
        </w:rPr>
        <w:t xml:space="preserve">We extracted total DNA from 56 gekkonid samples using Zymo Quick-DNA Fecal/Soil Microbe Kits. Cloacal swabs were incubated at 65° C for 15 minutes on a dry heating block and then vortexed for 15 minutes on an Eppendorf ThermoMixer® at 23°C and maximum speed (2000 rpm) immediately prior to beginning Zymo’s recommended protocol. We amplified the V4 region of the 16S rRNA gene using </w:t>
      </w:r>
      <w:r>
        <w:rPr>
          <w:rFonts w:cs="Times New Roman"/>
        </w:rPr>
        <w:t>published protocols</w:t>
      </w:r>
      <w:r w:rsidRPr="00E91225">
        <w:rPr>
          <w:rFonts w:cs="Times New Roman"/>
        </w:rPr>
        <w:t xml:space="preserve"> index primers and PCR protocols </w:t>
      </w:r>
      <w:r>
        <w:rPr>
          <w:rFonts w:cs="Times New Roman"/>
        </w:rPr>
        <w:t>(K</w:t>
      </w:r>
      <w:r w:rsidRPr="00E91225">
        <w:rPr>
          <w:rFonts w:cs="Times New Roman"/>
        </w:rPr>
        <w:t>ozich</w:t>
      </w:r>
      <w:r>
        <w:rPr>
          <w:rFonts w:cs="Times New Roman"/>
        </w:rPr>
        <w:t xml:space="preserve"> </w:t>
      </w:r>
      <w:r w:rsidRPr="00B57253">
        <w:rPr>
          <w:rFonts w:cs="Times New Roman"/>
          <w:i/>
        </w:rPr>
        <w:t>et al</w:t>
      </w:r>
      <w:r>
        <w:rPr>
          <w:rFonts w:cs="Times New Roman"/>
        </w:rPr>
        <w:t xml:space="preserve">. </w:t>
      </w:r>
      <w:r w:rsidRPr="00E91225">
        <w:rPr>
          <w:rFonts w:cs="Times New Roman"/>
        </w:rPr>
        <w:t xml:space="preserve">2013). PCR products were cleaned, normalized, and pooled using a Sequel Prep Normalization Plate Kit (Invitrogen). Pooled libraries were purified using Agencourt® AMPure® magnetic bead capture and sent to the University of Oklahoma’s Consolidated Core Lab (CCL) for sequencing using 515F and 806R primers targeting 2x300bp reads on an Illumina MiSeq sequencing platform (Caporaso </w:t>
      </w:r>
      <w:r w:rsidRPr="00B57253">
        <w:rPr>
          <w:rFonts w:cs="Times New Roman"/>
          <w:i/>
        </w:rPr>
        <w:t>et al</w:t>
      </w:r>
      <w:r w:rsidRPr="00E91225">
        <w:rPr>
          <w:rFonts w:cs="Times New Roman"/>
        </w:rPr>
        <w:t>. 2012). Libraries were prepared and sequenced in two iterations with 24 samples sequenced in 2018 and 32 samples sequenced in 2019.</w:t>
      </w:r>
    </w:p>
    <w:p w14:paraId="7C8D4FF5" w14:textId="77777777" w:rsidR="005C7880" w:rsidRDefault="005C7880" w:rsidP="005C7880">
      <w:pPr>
        <w:spacing w:line="480" w:lineRule="auto"/>
        <w:ind w:firstLine="360"/>
        <w:contextualSpacing/>
        <w:rPr>
          <w:rFonts w:cs="Times New Roman"/>
        </w:rPr>
      </w:pPr>
      <w:r w:rsidRPr="00E91225">
        <w:rPr>
          <w:rFonts w:cs="Times New Roman"/>
        </w:rPr>
        <w:t xml:space="preserve">Raw sequences from both sequencing iterations were processed concurrently. Reads were first paired and trimmed using AdapterRemoval2 v2.2.2 with default parameters (Lindgreen 2012; Schubert, Lindgreen, and Orlando 2016). Cleaned sequences were clustered de novo into operational taxonomic units (OTUs) using UPARSE in USEARCH v11.0.667 at a minimum sequence identity of 97% and a minimum abundance of four (Edgar 2013). Remaining sample curation and analysis was carried out in QIIME v1.9.1 (Caporaso </w:t>
      </w:r>
      <w:r w:rsidRPr="00B57253">
        <w:rPr>
          <w:rFonts w:cs="Times New Roman"/>
          <w:i/>
        </w:rPr>
        <w:t>et al</w:t>
      </w:r>
      <w:r w:rsidRPr="00E91225">
        <w:rPr>
          <w:rFonts w:cs="Times New Roman"/>
        </w:rPr>
        <w:t xml:space="preserve">. 2010). Taxonomies were assigned to OTUs using GreenGenes v13.8 (DeSantis </w:t>
      </w:r>
      <w:r w:rsidRPr="00B57253">
        <w:rPr>
          <w:rFonts w:cs="Times New Roman"/>
          <w:i/>
        </w:rPr>
        <w:t>et al</w:t>
      </w:r>
      <w:r w:rsidRPr="00E91225">
        <w:rPr>
          <w:rFonts w:cs="Times New Roman"/>
        </w:rPr>
        <w:t xml:space="preserve">. 2006). Archaea, chloroplast, mitochondria, PhiX, and other non-bacterial sequences were removed from processed OTU tables to ensure only bacterial sequences were included in downstream analyses. OTUs found in sample extraction negatives and PCR negatives were filtered and removed from all samples. </w:t>
      </w:r>
      <w:r>
        <w:rPr>
          <w:rFonts w:cs="Times New Roman"/>
        </w:rPr>
        <w:t xml:space="preserve">These samples </w:t>
      </w:r>
      <w:r w:rsidRPr="005E196F">
        <w:rPr>
          <w:rFonts w:cs="Times New Roman"/>
        </w:rPr>
        <w:t>produced 1,063</w:t>
      </w:r>
      <w:r>
        <w:rPr>
          <w:rFonts w:cs="Times New Roman"/>
        </w:rPr>
        <w:t>,934</w:t>
      </w:r>
      <w:r w:rsidRPr="005E196F">
        <w:rPr>
          <w:rFonts w:cs="Times New Roman"/>
        </w:rPr>
        <w:t xml:space="preserve"> reads with a minimum read depth of </w:t>
      </w:r>
      <w:r>
        <w:rPr>
          <w:rFonts w:cs="Times New Roman"/>
        </w:rPr>
        <w:t>111</w:t>
      </w:r>
      <w:r w:rsidRPr="005E196F">
        <w:rPr>
          <w:rFonts w:cs="Times New Roman"/>
        </w:rPr>
        <w:t xml:space="preserve">, maximum of 47,747, and a median of </w:t>
      </w:r>
      <w:r>
        <w:rPr>
          <w:rFonts w:cs="Times New Roman"/>
        </w:rPr>
        <w:t>15,504</w:t>
      </w:r>
      <w:r w:rsidRPr="005E196F">
        <w:rPr>
          <w:rFonts w:cs="Times New Roman"/>
        </w:rPr>
        <w:t xml:space="preserve"> reads per sample. </w:t>
      </w:r>
      <w:r w:rsidRPr="00E91225">
        <w:rPr>
          <w:rFonts w:cs="Times New Roman"/>
        </w:rPr>
        <w:t>Sequences were rarified to 1000 reads per sample (Good’s coverage mean = 0.</w:t>
      </w:r>
      <w:r>
        <w:rPr>
          <w:rFonts w:cs="Times New Roman"/>
        </w:rPr>
        <w:t xml:space="preserve">95 </w:t>
      </w:r>
      <w:r w:rsidRPr="00D412B9">
        <w:rPr>
          <w:rFonts w:cs="Times New Roman"/>
        </w:rPr>
        <w:t>±</w:t>
      </w:r>
      <w:r>
        <w:rPr>
          <w:rFonts w:cs="Times New Roman"/>
        </w:rPr>
        <w:t xml:space="preserve"> 0.03)</w:t>
      </w:r>
      <w:r w:rsidRPr="005E196F">
        <w:rPr>
          <w:rFonts w:cs="Times New Roman"/>
        </w:rPr>
        <w:t>, and samples with insufficient sequencing depth (n = 9) were removed from further analyses</w:t>
      </w:r>
      <w:r>
        <w:rPr>
          <w:rFonts w:cs="Times New Roman"/>
        </w:rPr>
        <w:t xml:space="preserve">, resulting in </w:t>
      </w:r>
      <w:r w:rsidRPr="005E196F">
        <w:rPr>
          <w:rFonts w:cs="Times New Roman"/>
        </w:rPr>
        <w:t xml:space="preserve">47 samples </w:t>
      </w:r>
      <w:r>
        <w:rPr>
          <w:rFonts w:cs="Times New Roman"/>
        </w:rPr>
        <w:t>examined</w:t>
      </w:r>
      <w:r w:rsidRPr="005E196F">
        <w:rPr>
          <w:rFonts w:cs="Times New Roman"/>
        </w:rPr>
        <w:t xml:space="preserve"> (</w:t>
      </w:r>
      <w:r w:rsidRPr="00F40274">
        <w:rPr>
          <w:rFonts w:cs="Times New Roman"/>
        </w:rPr>
        <w:t>Table 1</w:t>
      </w:r>
      <w:r w:rsidRPr="005E196F">
        <w:rPr>
          <w:rFonts w:cs="Times New Roman"/>
        </w:rPr>
        <w:t xml:space="preserve">). All </w:t>
      </w:r>
      <w:r>
        <w:rPr>
          <w:rFonts w:cs="Times New Roman"/>
        </w:rPr>
        <w:t xml:space="preserve">raw </w:t>
      </w:r>
      <w:r w:rsidRPr="005E196F">
        <w:rPr>
          <w:rFonts w:cs="Times New Roman"/>
        </w:rPr>
        <w:t xml:space="preserve">16S rRNA sequences have been deposited in the Sequence Read Archive (SRA) under accession no. </w:t>
      </w:r>
      <w:r w:rsidRPr="00254EFA">
        <w:rPr>
          <w:rFonts w:cs="Times New Roman"/>
        </w:rPr>
        <w:t>XXXX.</w:t>
      </w:r>
    </w:p>
    <w:p w14:paraId="54417525" w14:textId="77777777" w:rsidR="005C7880" w:rsidRDefault="005C7880" w:rsidP="005C7880">
      <w:pPr>
        <w:spacing w:line="480" w:lineRule="auto"/>
        <w:contextualSpacing/>
        <w:rPr>
          <w:rFonts w:cs="Times New Roman"/>
        </w:rPr>
      </w:pPr>
    </w:p>
    <w:p w14:paraId="6E37F21E" w14:textId="77777777" w:rsidR="005C7880" w:rsidRPr="00D26E58" w:rsidRDefault="005C7880" w:rsidP="005C7880">
      <w:pPr>
        <w:spacing w:line="480" w:lineRule="auto"/>
        <w:contextualSpacing/>
        <w:rPr>
          <w:rFonts w:cs="Times New Roman"/>
          <w:b/>
          <w:bCs/>
        </w:rPr>
      </w:pPr>
      <w:r>
        <w:rPr>
          <w:rFonts w:cs="Times New Roman"/>
          <w:b/>
          <w:bCs/>
        </w:rPr>
        <w:t>Assessments for phylosymbiosis</w:t>
      </w:r>
    </w:p>
    <w:p w14:paraId="73505564" w14:textId="77777777" w:rsidR="005C7880" w:rsidRDefault="005C7880" w:rsidP="005C7880">
      <w:pPr>
        <w:spacing w:line="480" w:lineRule="auto"/>
        <w:contextualSpacing/>
        <w:rPr>
          <w:rFonts w:cs="Times New Roman"/>
        </w:rPr>
      </w:pPr>
      <w:r>
        <w:rPr>
          <w:rFonts w:cs="Times New Roman"/>
        </w:rPr>
        <w:t>We used Mantel tests in QIIME with default parameters to test whether host phylogeny, as measured in cophenetic genetic distances, is correlated with observed variation in microbial communities of Philippine gekkonid hosts (</w:t>
      </w:r>
      <w:r w:rsidRPr="00E91225">
        <w:rPr>
          <w:rFonts w:cs="Times New Roman"/>
        </w:rPr>
        <w:t xml:space="preserve">Caporaso </w:t>
      </w:r>
      <w:r w:rsidRPr="00B57253">
        <w:rPr>
          <w:rFonts w:cs="Times New Roman"/>
          <w:i/>
        </w:rPr>
        <w:t>et al</w:t>
      </w:r>
      <w:r w:rsidRPr="00E91225">
        <w:rPr>
          <w:rFonts w:cs="Times New Roman"/>
        </w:rPr>
        <w:t>. 2010</w:t>
      </w:r>
      <w:r>
        <w:rPr>
          <w:rFonts w:cs="Times New Roman"/>
        </w:rPr>
        <w:t xml:space="preserve">). To generate host genetic distances, we downloaded previously published sequence data available on GenBank for the coding region of the mitochondrial </w:t>
      </w:r>
      <w:r w:rsidRPr="002B36F0">
        <w:rPr>
          <w:rFonts w:cs="Times New Roman"/>
        </w:rPr>
        <w:t xml:space="preserve">NADH dehydrogenase 2 </w:t>
      </w:r>
      <w:r>
        <w:rPr>
          <w:rFonts w:cs="Times New Roman"/>
        </w:rPr>
        <w:t xml:space="preserve">(ND2) gene for all nine host species included in this study and 10 other extant gekkonid species to improve phylogenetic resolution and to serve as appropriate outgroups (Appendix 1; Siler </w:t>
      </w:r>
      <w:r w:rsidRPr="00B57253">
        <w:rPr>
          <w:rFonts w:cs="Times New Roman"/>
          <w:i/>
        </w:rPr>
        <w:t>et al</w:t>
      </w:r>
      <w:r>
        <w:rPr>
          <w:rFonts w:cs="Times New Roman"/>
        </w:rPr>
        <w:t xml:space="preserve">. 2012). To estimate a time-calibrated phylogeny, we employed an available fossil calibration, </w:t>
      </w:r>
      <w:r w:rsidRPr="00005CD0">
        <w:rPr>
          <w:rFonts w:cs="Times New Roman"/>
          <w:i/>
          <w:iCs/>
        </w:rPr>
        <w:t>Yantarogekko</w:t>
      </w:r>
      <w:r>
        <w:rPr>
          <w:rFonts w:cs="Times New Roman"/>
          <w:i/>
          <w:iCs/>
        </w:rPr>
        <w:t xml:space="preserve"> </w:t>
      </w:r>
      <w:r>
        <w:rPr>
          <w:rFonts w:cs="Times New Roman"/>
        </w:rPr>
        <w:t xml:space="preserve">(Bauer </w:t>
      </w:r>
      <w:r w:rsidRPr="00B57253">
        <w:rPr>
          <w:rFonts w:cs="Times New Roman"/>
          <w:i/>
        </w:rPr>
        <w:t>et al</w:t>
      </w:r>
      <w:r>
        <w:rPr>
          <w:rFonts w:cs="Times New Roman"/>
        </w:rPr>
        <w:t>. 2005), in divergence dating analyses (</w:t>
      </w:r>
      <w:r w:rsidRPr="00CE27D4">
        <w:rPr>
          <w:rFonts w:cs="Times New Roman"/>
        </w:rPr>
        <w:t>Appendix 1</w:t>
      </w:r>
      <w:r>
        <w:rPr>
          <w:rFonts w:cs="Times New Roman"/>
        </w:rPr>
        <w:t>), which is estimated to date to the Paleogene (33.9–55.8</w:t>
      </w:r>
      <w:r w:rsidRPr="00297AE2">
        <w:rPr>
          <w:rFonts w:cs="Times New Roman"/>
        </w:rPr>
        <w:t xml:space="preserve"> Ma</w:t>
      </w:r>
      <w:r>
        <w:rPr>
          <w:rFonts w:cs="Times New Roman"/>
        </w:rPr>
        <w:t>)</w:t>
      </w:r>
      <w:r w:rsidRPr="00297AE2">
        <w:rPr>
          <w:rFonts w:cs="Times New Roman"/>
        </w:rPr>
        <w:t>.</w:t>
      </w:r>
      <w:r>
        <w:rPr>
          <w:rFonts w:cs="Times New Roman"/>
        </w:rPr>
        <w:t xml:space="preserve"> Sequence data were aligned in </w:t>
      </w:r>
      <w:r w:rsidRPr="00E91225">
        <w:rPr>
          <w:rFonts w:cs="Times New Roman"/>
        </w:rPr>
        <w:t>MUSCLE (Edgar 2004) and trimmed to 1,041 base pairs</w:t>
      </w:r>
      <w:r>
        <w:rPr>
          <w:rFonts w:cs="Times New Roman"/>
        </w:rPr>
        <w:t xml:space="preserve"> of the coding region</w:t>
      </w:r>
      <w:r w:rsidRPr="00E91225">
        <w:rPr>
          <w:rFonts w:cs="Times New Roman"/>
        </w:rPr>
        <w:t>.</w:t>
      </w:r>
      <w:r w:rsidRPr="00297AE2">
        <w:rPr>
          <w:rFonts w:cs="Times New Roman"/>
        </w:rPr>
        <w:t xml:space="preserve"> We </w:t>
      </w:r>
      <w:r>
        <w:rPr>
          <w:rFonts w:cs="Times New Roman"/>
        </w:rPr>
        <w:t xml:space="preserve">used </w:t>
      </w:r>
      <w:r w:rsidRPr="00E91225">
        <w:rPr>
          <w:rFonts w:cs="Times New Roman"/>
        </w:rPr>
        <w:t>JModelTest v2.1.10</w:t>
      </w:r>
      <w:r>
        <w:rPr>
          <w:rFonts w:cs="Times New Roman"/>
        </w:rPr>
        <w:t xml:space="preserve"> to identify t</w:t>
      </w:r>
      <w:r w:rsidRPr="00E91225">
        <w:rPr>
          <w:rFonts w:cs="Times New Roman"/>
        </w:rPr>
        <w:t>he substitution model GTR + I +</w:t>
      </w:r>
      <w:r>
        <w:rPr>
          <w:rFonts w:cs="Times New Roman"/>
        </w:rPr>
        <w:t xml:space="preserve"> </w:t>
      </w:r>
      <w:r w:rsidRPr="00CE27D4">
        <w:rPr>
          <w:rFonts w:cs="Times New Roman"/>
        </w:rPr>
        <w:t>Γ</w:t>
      </w:r>
      <w:r w:rsidRPr="00E91225">
        <w:rPr>
          <w:rFonts w:cs="Times New Roman"/>
        </w:rPr>
        <w:t xml:space="preserve"> </w:t>
      </w:r>
      <w:r>
        <w:rPr>
          <w:rFonts w:cs="Times New Roman"/>
        </w:rPr>
        <w:t xml:space="preserve">for further use with sequence data </w:t>
      </w:r>
      <w:r w:rsidRPr="00E91225">
        <w:rPr>
          <w:rFonts w:cs="Times New Roman"/>
        </w:rPr>
        <w:t>(</w:t>
      </w:r>
      <w:r w:rsidRPr="007D0401">
        <w:rPr>
          <w:rFonts w:cs="Times New Roman"/>
        </w:rPr>
        <w:t>Darriba</w:t>
      </w:r>
      <w:r w:rsidRPr="00E91225">
        <w:rPr>
          <w:rFonts w:cs="Times New Roman"/>
        </w:rPr>
        <w:t xml:space="preserve"> </w:t>
      </w:r>
      <w:r w:rsidRPr="00B57253">
        <w:rPr>
          <w:rFonts w:cs="Times New Roman"/>
          <w:i/>
        </w:rPr>
        <w:t>et al</w:t>
      </w:r>
      <w:r w:rsidRPr="00E91225">
        <w:rPr>
          <w:rFonts w:cs="Times New Roman"/>
        </w:rPr>
        <w:t>. 2012).</w:t>
      </w:r>
    </w:p>
    <w:p w14:paraId="6BE8DE21" w14:textId="77777777" w:rsidR="005C7880" w:rsidRPr="00DD3142" w:rsidRDefault="005C7880" w:rsidP="005C7880">
      <w:pPr>
        <w:spacing w:line="480" w:lineRule="auto"/>
        <w:ind w:firstLine="360"/>
        <w:contextualSpacing/>
        <w:rPr>
          <w:rFonts w:cs="Times New Roman"/>
        </w:rPr>
      </w:pPr>
      <w:r w:rsidRPr="00E91225">
        <w:rPr>
          <w:rFonts w:cs="Times New Roman"/>
        </w:rPr>
        <w:t xml:space="preserve">We </w:t>
      </w:r>
      <w:r>
        <w:rPr>
          <w:rFonts w:cs="Times New Roman"/>
        </w:rPr>
        <w:t>estimated</w:t>
      </w:r>
      <w:r w:rsidRPr="00E91225">
        <w:rPr>
          <w:rFonts w:cs="Times New Roman"/>
        </w:rPr>
        <w:t xml:space="preserve"> </w:t>
      </w:r>
      <w:r>
        <w:rPr>
          <w:rFonts w:cs="Times New Roman"/>
        </w:rPr>
        <w:t xml:space="preserve">an ultrametric, time-calibrated topology </w:t>
      </w:r>
      <w:r w:rsidRPr="00E91225">
        <w:rPr>
          <w:rFonts w:cs="Times New Roman"/>
        </w:rPr>
        <w:t xml:space="preserve">in BEAST v2.6.3 (Bouckaert </w:t>
      </w:r>
      <w:r w:rsidRPr="00B57253">
        <w:rPr>
          <w:rFonts w:cs="Times New Roman"/>
          <w:i/>
        </w:rPr>
        <w:t>et al</w:t>
      </w:r>
      <w:r w:rsidRPr="00E91225">
        <w:rPr>
          <w:rFonts w:cs="Times New Roman"/>
        </w:rPr>
        <w:t>. 2014)</w:t>
      </w:r>
      <w:r>
        <w:rPr>
          <w:rFonts w:cs="Times New Roman"/>
        </w:rPr>
        <w:t>,</w:t>
      </w:r>
      <w:r w:rsidRPr="00E91225">
        <w:rPr>
          <w:rFonts w:cs="Times New Roman"/>
        </w:rPr>
        <w:t xml:space="preserve"> using the Fossilized Birth Death Model following protocols described in (Heath 2014)</w:t>
      </w:r>
      <w:r>
        <w:rPr>
          <w:rFonts w:cs="Times New Roman"/>
        </w:rPr>
        <w:t xml:space="preserve">, with an initial, minimum </w:t>
      </w:r>
      <w:r w:rsidRPr="00E91225">
        <w:rPr>
          <w:rFonts w:cs="Times New Roman"/>
        </w:rPr>
        <w:t xml:space="preserve">date of 33.9 </w:t>
      </w:r>
      <w:r>
        <w:rPr>
          <w:rFonts w:cs="Times New Roman"/>
        </w:rPr>
        <w:t xml:space="preserve">Ma (Bauer </w:t>
      </w:r>
      <w:r w:rsidRPr="00B57253">
        <w:rPr>
          <w:rFonts w:cs="Times New Roman"/>
          <w:i/>
        </w:rPr>
        <w:t>et al</w:t>
      </w:r>
      <w:r>
        <w:rPr>
          <w:rFonts w:cs="Times New Roman"/>
        </w:rPr>
        <w:t xml:space="preserve">. 2005) set </w:t>
      </w:r>
      <w:r w:rsidRPr="00E91225">
        <w:rPr>
          <w:rFonts w:cs="Times New Roman"/>
        </w:rPr>
        <w:t xml:space="preserve">for the fossil </w:t>
      </w:r>
      <w:r w:rsidRPr="00E91225">
        <w:rPr>
          <w:rFonts w:cs="Times New Roman"/>
          <w:i/>
          <w:iCs/>
        </w:rPr>
        <w:t>Yantarogekko</w:t>
      </w:r>
      <w:r w:rsidRPr="00E91225">
        <w:rPr>
          <w:rFonts w:cs="Times New Roman"/>
        </w:rPr>
        <w:t>.</w:t>
      </w:r>
      <w:r w:rsidRPr="00074947">
        <w:rPr>
          <w:rFonts w:cs="Times New Roman"/>
        </w:rPr>
        <w:t xml:space="preserve"> </w:t>
      </w:r>
      <w:r>
        <w:rPr>
          <w:rFonts w:cs="Times New Roman"/>
        </w:rPr>
        <w:t xml:space="preserve">To calibrate </w:t>
      </w:r>
      <w:r w:rsidRPr="009C490B">
        <w:rPr>
          <w:rFonts w:cs="Times New Roman"/>
        </w:rPr>
        <w:t xml:space="preserve">our analyses, we used a uniform prior distribution, U(33.9, 55.8), </w:t>
      </w:r>
      <w:r w:rsidRPr="00DD3142">
        <w:rPr>
          <w:rFonts w:cs="Times New Roman"/>
        </w:rPr>
        <w:t xml:space="preserve">Branch-specific rates of substitution were allowed to vary across the tree according to uncorrelated lognormal distributions (Drummond </w:t>
      </w:r>
      <w:r w:rsidRPr="00B57253">
        <w:rPr>
          <w:rFonts w:cs="Times New Roman"/>
          <w:i/>
        </w:rPr>
        <w:t>et al</w:t>
      </w:r>
      <w:r w:rsidRPr="00DD3142">
        <w:rPr>
          <w:rFonts w:cs="Times New Roman"/>
        </w:rPr>
        <w:t xml:space="preserve">. 2006), with exponential prior distributions with a mean of 0.01 for the standard deviation. All remaining priors were left at default values. </w:t>
      </w:r>
      <w:r w:rsidRPr="009C490B">
        <w:rPr>
          <w:rFonts w:cs="Times New Roman"/>
        </w:rPr>
        <w:t xml:space="preserve">We ran four independent </w:t>
      </w:r>
      <w:r w:rsidRPr="00DD3142">
        <w:rPr>
          <w:rFonts w:cs="Times New Roman"/>
        </w:rPr>
        <w:t>analyses</w:t>
      </w:r>
      <w:r w:rsidRPr="009C490B">
        <w:rPr>
          <w:rFonts w:cs="Times New Roman"/>
        </w:rPr>
        <w:t xml:space="preserve"> of 10</w:t>
      </w:r>
      <w:r w:rsidRPr="00DD3142">
        <w:rPr>
          <w:rFonts w:cs="Times New Roman"/>
        </w:rPr>
        <w:t xml:space="preserve"> million</w:t>
      </w:r>
      <w:r w:rsidRPr="009C490B">
        <w:rPr>
          <w:rFonts w:cs="Times New Roman"/>
        </w:rPr>
        <w:t xml:space="preserve"> generations</w:t>
      </w:r>
      <w:r w:rsidRPr="00DD3142">
        <w:rPr>
          <w:rFonts w:cs="Times New Roman"/>
        </w:rPr>
        <w:t>, logging parameter values every</w:t>
      </w:r>
      <w:r w:rsidRPr="009C490B">
        <w:rPr>
          <w:rFonts w:cs="Times New Roman"/>
        </w:rPr>
        <w:t xml:space="preserve"> 1000 generations</w:t>
      </w:r>
      <w:r w:rsidRPr="00DD3142">
        <w:rPr>
          <w:rFonts w:cs="Times New Roman"/>
        </w:rPr>
        <w:t>, and assessed stationarity of the analyses by plotting parameter values and likelihood scores of all four chains over generations to confirm congruence. Conservatively, we discarded the first 20% of samples</w:t>
      </w:r>
      <w:r>
        <w:rPr>
          <w:rFonts w:cs="Times New Roman"/>
        </w:rPr>
        <w:t xml:space="preserve"> from each run</w:t>
      </w:r>
      <w:r w:rsidRPr="00DD3142">
        <w:rPr>
          <w:rFonts w:cs="Times New Roman"/>
        </w:rPr>
        <w:t xml:space="preserve"> as burn-in and combined and summarized the remaining 8000 samples across all four independent MCMC chains in TreeAnnotator within BEAST.</w:t>
      </w:r>
    </w:p>
    <w:p w14:paraId="5F9E7B1E" w14:textId="77777777" w:rsidR="005C7880" w:rsidRDefault="005C7880" w:rsidP="005C7880">
      <w:pPr>
        <w:spacing w:line="480" w:lineRule="auto"/>
        <w:ind w:firstLine="360"/>
        <w:contextualSpacing/>
        <w:rPr>
          <w:rFonts w:cs="Times New Roman"/>
        </w:rPr>
      </w:pPr>
      <w:r w:rsidRPr="00DD3142">
        <w:rPr>
          <w:rFonts w:cs="Times New Roman"/>
        </w:rPr>
        <w:t xml:space="preserve">The resulting consensus chronogram was </w:t>
      </w:r>
      <w:r w:rsidRPr="009C490B">
        <w:rPr>
          <w:rFonts w:cs="Times New Roman"/>
        </w:rPr>
        <w:t xml:space="preserve">used </w:t>
      </w:r>
      <w:r w:rsidRPr="00DD3142">
        <w:rPr>
          <w:rFonts w:cs="Times New Roman"/>
        </w:rPr>
        <w:t>to</w:t>
      </w:r>
      <w:r>
        <w:rPr>
          <w:rFonts w:cs="Times New Roman"/>
        </w:rPr>
        <w:t xml:space="preserve"> </w:t>
      </w:r>
      <w:r w:rsidRPr="009C490B">
        <w:rPr>
          <w:rFonts w:cs="Times New Roman"/>
        </w:rPr>
        <w:t xml:space="preserve">generate a </w:t>
      </w:r>
      <w:r>
        <w:rPr>
          <w:rFonts w:cs="Times New Roman"/>
        </w:rPr>
        <w:t xml:space="preserve">cophenetic </w:t>
      </w:r>
      <w:r w:rsidRPr="009C490B">
        <w:rPr>
          <w:rFonts w:cs="Times New Roman"/>
        </w:rPr>
        <w:t>distance matrix</w:t>
      </w:r>
      <w:r>
        <w:rPr>
          <w:rFonts w:cs="Times New Roman"/>
        </w:rPr>
        <w:t xml:space="preserve"> via ape v5.4-1 (Paradis &amp; Schliep 2019) in</w:t>
      </w:r>
      <w:r w:rsidRPr="00E91225">
        <w:rPr>
          <w:rFonts w:cs="Times New Roman"/>
        </w:rPr>
        <w:t xml:space="preserve"> R v3.6.2 (</w:t>
      </w:r>
      <w:r w:rsidRPr="0009667F">
        <w:rPr>
          <w:rFonts w:cs="Times New Roman"/>
        </w:rPr>
        <w:t>R Core Team 2013</w:t>
      </w:r>
      <w:r w:rsidRPr="00E91225">
        <w:rPr>
          <w:rFonts w:cs="Times New Roman"/>
        </w:rPr>
        <w:t xml:space="preserve">) </w:t>
      </w:r>
      <w:r w:rsidRPr="00DD3142">
        <w:rPr>
          <w:rFonts w:cs="Times New Roman"/>
        </w:rPr>
        <w:t>for use in</w:t>
      </w:r>
      <w:r w:rsidRPr="009C490B">
        <w:rPr>
          <w:rFonts w:cs="Times New Roman"/>
        </w:rPr>
        <w:t xml:space="preserve"> Mantel tests </w:t>
      </w:r>
      <w:r w:rsidRPr="00DD3142">
        <w:rPr>
          <w:rFonts w:cs="Times New Roman"/>
        </w:rPr>
        <w:t>to assess</w:t>
      </w:r>
      <w:r w:rsidRPr="009C490B">
        <w:rPr>
          <w:rFonts w:cs="Times New Roman"/>
        </w:rPr>
        <w:t xml:space="preserve"> phylosymbiosis</w:t>
      </w:r>
      <w:r w:rsidRPr="00DD3142">
        <w:rPr>
          <w:rFonts w:cs="Times New Roman"/>
        </w:rPr>
        <w:t xml:space="preserve"> in gekkonid microbiomes</w:t>
      </w:r>
      <w:r w:rsidRPr="009C490B">
        <w:rPr>
          <w:rFonts w:cs="Times New Roman"/>
        </w:rPr>
        <w:t xml:space="preserve">. We </w:t>
      </w:r>
      <w:r>
        <w:rPr>
          <w:rFonts w:cs="Times New Roman"/>
        </w:rPr>
        <w:t xml:space="preserve">used vegan v2.5-6 </w:t>
      </w:r>
      <w:r w:rsidRPr="00E91225">
        <w:rPr>
          <w:rFonts w:cs="Times New Roman"/>
        </w:rPr>
        <w:t xml:space="preserve">(Oksanen </w:t>
      </w:r>
      <w:r w:rsidRPr="00B57253">
        <w:rPr>
          <w:rFonts w:cs="Times New Roman"/>
          <w:i/>
        </w:rPr>
        <w:t>et al</w:t>
      </w:r>
      <w:r w:rsidRPr="00E91225">
        <w:rPr>
          <w:rFonts w:cs="Times New Roman"/>
        </w:rPr>
        <w:t>. 2016)</w:t>
      </w:r>
      <w:r>
        <w:rPr>
          <w:rFonts w:cs="Times New Roman"/>
        </w:rPr>
        <w:t xml:space="preserve"> to </w:t>
      </w:r>
      <w:r w:rsidRPr="009C490B">
        <w:rPr>
          <w:rFonts w:cs="Times New Roman"/>
        </w:rPr>
        <w:t>compare cophenetic distances between the nine species sampled in this study and summarized interspecific beta diversity metrics including weighted UniFrac, unweighted UniFrac, and Jaccard distances.</w:t>
      </w:r>
    </w:p>
    <w:p w14:paraId="5DE613B9" w14:textId="77777777" w:rsidR="005C7880" w:rsidRDefault="005C7880" w:rsidP="005C7880">
      <w:pPr>
        <w:spacing w:line="480" w:lineRule="auto"/>
        <w:contextualSpacing/>
        <w:rPr>
          <w:rFonts w:cs="Times New Roman"/>
          <w:b/>
          <w:bCs/>
        </w:rPr>
      </w:pPr>
    </w:p>
    <w:p w14:paraId="5E8F9AA3" w14:textId="77777777" w:rsidR="005C7880" w:rsidRDefault="005C7880" w:rsidP="005C7880">
      <w:pPr>
        <w:spacing w:line="480" w:lineRule="auto"/>
        <w:contextualSpacing/>
        <w:rPr>
          <w:rFonts w:cs="Times New Roman"/>
          <w:b/>
          <w:bCs/>
        </w:rPr>
      </w:pPr>
      <w:r>
        <w:rPr>
          <w:rFonts w:cs="Times New Roman"/>
          <w:b/>
          <w:bCs/>
        </w:rPr>
        <w:t>Endogenous microbial community</w:t>
      </w:r>
      <w:r w:rsidRPr="005E196F">
        <w:rPr>
          <w:rFonts w:cs="Times New Roman"/>
          <w:b/>
          <w:bCs/>
        </w:rPr>
        <w:t xml:space="preserve"> comparisons</w:t>
      </w:r>
    </w:p>
    <w:p w14:paraId="462C57C6" w14:textId="77777777" w:rsidR="005C7880" w:rsidRPr="00E91225" w:rsidRDefault="005C7880" w:rsidP="005C7880">
      <w:pPr>
        <w:spacing w:line="480" w:lineRule="auto"/>
        <w:contextualSpacing/>
        <w:rPr>
          <w:rFonts w:cs="Times New Roman"/>
        </w:rPr>
      </w:pPr>
      <w:r w:rsidRPr="005E196F">
        <w:rPr>
          <w:rFonts w:cs="Times New Roman"/>
        </w:rPr>
        <w:t xml:space="preserve">We compared a variety of community membership metrics </w:t>
      </w:r>
      <w:r>
        <w:rPr>
          <w:rFonts w:cs="Times New Roman"/>
        </w:rPr>
        <w:t>considering multiple ecoevolutionary lenses</w:t>
      </w:r>
      <w:r w:rsidRPr="00E91225">
        <w:rPr>
          <w:rFonts w:cs="Times New Roman"/>
        </w:rPr>
        <w:t>. For all comparisons, we first calculated alpha diversity measurements including number</w:t>
      </w:r>
      <w:r>
        <w:rPr>
          <w:rFonts w:cs="Times New Roman"/>
        </w:rPr>
        <w:t>s</w:t>
      </w:r>
      <w:r w:rsidRPr="00E91225">
        <w:rPr>
          <w:rFonts w:cs="Times New Roman"/>
        </w:rPr>
        <w:t xml:space="preserve"> of observed OTUs, the Shannon index (Shannon 1948), and Faith’s Phylogenetic Diversity (Faith’s PD; Faith 1992). Alpha diversity measurements were compared using analysis of variance (ANOVA) tests in R v3.6.2 (</w:t>
      </w:r>
      <w:r w:rsidRPr="0009667F">
        <w:rPr>
          <w:rFonts w:cs="Times New Roman"/>
        </w:rPr>
        <w:t>R Core Team 2013</w:t>
      </w:r>
      <w:r w:rsidRPr="00E91225">
        <w:rPr>
          <w:rFonts w:cs="Times New Roman"/>
        </w:rPr>
        <w:t>) with the Tukey Test used for post-hoc analyses. ANOVA tests with Bonferroni corrections were used in QIIME to compare relative abundances of bacterial taxa between groups of interest.</w:t>
      </w:r>
    </w:p>
    <w:p w14:paraId="2E302ABC" w14:textId="77777777" w:rsidR="005C7880" w:rsidRPr="005E196F" w:rsidRDefault="005C7880" w:rsidP="005C7880">
      <w:pPr>
        <w:spacing w:line="480" w:lineRule="auto"/>
        <w:ind w:firstLine="360"/>
        <w:contextualSpacing/>
        <w:rPr>
          <w:rFonts w:cs="Times New Roman"/>
          <w:b/>
          <w:bCs/>
        </w:rPr>
      </w:pPr>
      <w:r w:rsidRPr="00E91225">
        <w:rPr>
          <w:rFonts w:cs="Times New Roman"/>
        </w:rPr>
        <w:t xml:space="preserve">Community diversity and structure were compared using principal coordinates analysis (PCoA) on beta diversity metrics including weighted and unweighted UniFrac distances (Lozupone &amp; Knight 2005) and the binary Jaccard index (Jaccard 1901). Beta diversity matrices and PCoA plots were generated from the same rarefied datasets used to measure alpha diversity metrics. The adonis function in the vegan v2.3_4 package (Oksanen </w:t>
      </w:r>
      <w:r w:rsidRPr="00B57253">
        <w:rPr>
          <w:rFonts w:cs="Times New Roman"/>
          <w:i/>
        </w:rPr>
        <w:t>et al</w:t>
      </w:r>
      <w:r w:rsidRPr="00E91225">
        <w:rPr>
          <w:rFonts w:cs="Times New Roman"/>
        </w:rPr>
        <w:t>. 2016) of R v3.3.1 (R Core Team 2013) was used on beta diversity distance matrices with 999 permutations to compare community composition between groups statistically.</w:t>
      </w:r>
    </w:p>
    <w:p w14:paraId="08E4460B" w14:textId="77777777" w:rsidR="005C7880" w:rsidRDefault="005C7880" w:rsidP="005C7880">
      <w:pPr>
        <w:spacing w:line="480" w:lineRule="auto"/>
        <w:ind w:firstLine="360"/>
        <w:contextualSpacing/>
        <w:rPr>
          <w:rFonts w:cs="Times New Roman"/>
        </w:rPr>
      </w:pPr>
      <w:r w:rsidRPr="005E196F">
        <w:rPr>
          <w:rFonts w:cs="Times New Roman"/>
        </w:rPr>
        <w:t>We analyzed bacterial composition among all 47 samples</w:t>
      </w:r>
      <w:r>
        <w:rPr>
          <w:rFonts w:cs="Times New Roman"/>
        </w:rPr>
        <w:t xml:space="preserve"> </w:t>
      </w:r>
      <w:r w:rsidRPr="005E196F">
        <w:rPr>
          <w:rFonts w:cs="Times New Roman"/>
        </w:rPr>
        <w:t xml:space="preserve">to </w:t>
      </w:r>
      <w:r>
        <w:rPr>
          <w:rFonts w:cs="Times New Roman"/>
        </w:rPr>
        <w:t xml:space="preserve">document host-associated microbes in these species and to </w:t>
      </w:r>
      <w:r w:rsidRPr="005E196F">
        <w:rPr>
          <w:rFonts w:cs="Times New Roman"/>
        </w:rPr>
        <w:t xml:space="preserve">visualize patterns across microbial communities </w:t>
      </w:r>
      <w:r>
        <w:rPr>
          <w:rFonts w:cs="Times New Roman"/>
        </w:rPr>
        <w:t>in</w:t>
      </w:r>
      <w:r w:rsidRPr="005E196F">
        <w:rPr>
          <w:rFonts w:cs="Times New Roman"/>
        </w:rPr>
        <w:t xml:space="preserve"> Philippine gekkonid</w:t>
      </w:r>
      <w:r>
        <w:rPr>
          <w:rFonts w:cs="Times New Roman"/>
        </w:rPr>
        <w:t>s</w:t>
      </w:r>
      <w:r w:rsidRPr="005E196F">
        <w:rPr>
          <w:rFonts w:cs="Times New Roman"/>
        </w:rPr>
        <w:t xml:space="preserve">. </w:t>
      </w:r>
      <w:r>
        <w:rPr>
          <w:rFonts w:cs="Times New Roman"/>
        </w:rPr>
        <w:t>Initial analyses grouped samples first by host species identity and then by a suite of ecoevolutionary categories to identify potential correlations with observed gut microbiomes. These schemes included grouping by host species general habitat tendencies, range extents, and host maximum body sizes. We compared species considered human commensal against those believed to be forest obligates, then widespread and microendemic species, and finally larger- (maximum SVL &gt; 95 mm) versus smaller-bodied (maximum SVL &lt; 95 mm) hosts (Table 1). After such initial comparisons, we next analyzed samples as grouped by sampling locality and broader biogeographic region.</w:t>
      </w:r>
    </w:p>
    <w:p w14:paraId="385FBC02" w14:textId="77777777" w:rsidR="005C7880" w:rsidRDefault="005C7880" w:rsidP="005C7880">
      <w:pPr>
        <w:spacing w:line="480" w:lineRule="auto"/>
        <w:ind w:firstLine="360"/>
        <w:contextualSpacing/>
        <w:rPr>
          <w:rFonts w:cs="Times New Roman"/>
        </w:rPr>
      </w:pPr>
      <w:r>
        <w:rPr>
          <w:rFonts w:cs="Times New Roman"/>
        </w:rPr>
        <w:t>After analyzing all 47 samples included in this study concurrently</w:t>
      </w:r>
      <w:r w:rsidRPr="005E196F">
        <w:rPr>
          <w:rFonts w:cs="Times New Roman"/>
        </w:rPr>
        <w:t>, we examined microbial communiti</w:t>
      </w:r>
      <w:r>
        <w:rPr>
          <w:rFonts w:cs="Times New Roman"/>
        </w:rPr>
        <w:t xml:space="preserve">es from specimens within the genus </w:t>
      </w:r>
      <w:r>
        <w:rPr>
          <w:rFonts w:cs="Times New Roman"/>
          <w:i/>
          <w:iCs/>
        </w:rPr>
        <w:t>Gekko</w:t>
      </w:r>
      <w:r>
        <w:rPr>
          <w:rFonts w:cs="Times New Roman"/>
        </w:rPr>
        <w:t xml:space="preserve"> (</w:t>
      </w:r>
      <w:r>
        <w:rPr>
          <w:rFonts w:cs="Times New Roman"/>
          <w:i/>
          <w:iCs/>
        </w:rPr>
        <w:t xml:space="preserve">n </w:t>
      </w:r>
      <w:r>
        <w:rPr>
          <w:rFonts w:cs="Times New Roman"/>
        </w:rPr>
        <w:t>= 25) exclusively to narrow the taxonomic distinctiveness between hosts in analyses and reran ecoevolutionary tests. With this subset, we compared alpha and beta diversity metrics using the same analyses between the following four groups: species identity, habitat tendencies, range extents, and maximum body sizes.</w:t>
      </w:r>
    </w:p>
    <w:p w14:paraId="4BBC726A" w14:textId="77777777" w:rsidR="005C7880" w:rsidRDefault="005C7880" w:rsidP="005C7880">
      <w:pPr>
        <w:spacing w:line="480" w:lineRule="auto"/>
        <w:ind w:firstLine="360"/>
        <w:contextualSpacing/>
        <w:rPr>
          <w:rFonts w:cs="Times New Roman"/>
        </w:rPr>
      </w:pPr>
      <w:r>
        <w:rPr>
          <w:rFonts w:cs="Times New Roman"/>
        </w:rPr>
        <w:t xml:space="preserve">Following these interspecific comparisons within the </w:t>
      </w:r>
      <w:r>
        <w:rPr>
          <w:rFonts w:cs="Times New Roman"/>
          <w:i/>
          <w:iCs/>
        </w:rPr>
        <w:t xml:space="preserve">Gekko </w:t>
      </w:r>
      <w:r>
        <w:rPr>
          <w:rFonts w:cs="Times New Roman"/>
        </w:rPr>
        <w:t xml:space="preserve">genus, we next analyzed microbiomes of only </w:t>
      </w:r>
      <w:r>
        <w:rPr>
          <w:rFonts w:cs="Times New Roman"/>
          <w:i/>
          <w:iCs/>
        </w:rPr>
        <w:t>Cyrtodactylus</w:t>
      </w:r>
      <w:r w:rsidRPr="00A7396C">
        <w:rPr>
          <w:rFonts w:cs="Times New Roman"/>
          <w:b/>
          <w:bCs/>
          <w:i/>
          <w:iCs/>
        </w:rPr>
        <w:t xml:space="preserve"> </w:t>
      </w:r>
      <w:r w:rsidRPr="00A7396C">
        <w:rPr>
          <w:rFonts w:cs="Times New Roman"/>
          <w:i/>
          <w:iCs/>
        </w:rPr>
        <w:t>philippinicus</w:t>
      </w:r>
      <w:r>
        <w:rPr>
          <w:rFonts w:cs="Times New Roman"/>
          <w:i/>
          <w:iCs/>
        </w:rPr>
        <w:t xml:space="preserve"> </w:t>
      </w:r>
      <w:r>
        <w:rPr>
          <w:rFonts w:cs="Times New Roman"/>
        </w:rPr>
        <w:t>specimens (</w:t>
      </w:r>
      <w:r>
        <w:rPr>
          <w:rFonts w:cs="Times New Roman"/>
          <w:i/>
          <w:iCs/>
        </w:rPr>
        <w:t xml:space="preserve">n </w:t>
      </w:r>
      <w:r>
        <w:rPr>
          <w:rFonts w:cs="Times New Roman"/>
        </w:rPr>
        <w:t>= 12) to focus purely on intraspecific variability among distinct, allopatric populations. We compared both alpha and beta diversity metrics between sampling sites using the methods described above.</w:t>
      </w:r>
    </w:p>
    <w:p w14:paraId="177E369C" w14:textId="77777777" w:rsidR="005C7880" w:rsidRPr="007B33C7" w:rsidRDefault="005C7880" w:rsidP="005C7880">
      <w:pPr>
        <w:spacing w:line="480" w:lineRule="auto"/>
        <w:ind w:firstLine="360"/>
        <w:contextualSpacing/>
        <w:rPr>
          <w:rFonts w:cs="Times New Roman"/>
        </w:rPr>
      </w:pPr>
      <w:r w:rsidRPr="005E196F">
        <w:rPr>
          <w:rFonts w:cs="Times New Roman"/>
        </w:rPr>
        <w:t xml:space="preserve">Finally, </w:t>
      </w:r>
      <w:r>
        <w:rPr>
          <w:rFonts w:cs="Times New Roman"/>
        </w:rPr>
        <w:t>to lessen the influence of locality as a variable separating host species,</w:t>
      </w:r>
      <w:r w:rsidRPr="005E196F">
        <w:rPr>
          <w:rFonts w:cs="Times New Roman"/>
        </w:rPr>
        <w:t xml:space="preserve"> </w:t>
      </w:r>
      <w:r>
        <w:rPr>
          <w:rFonts w:cs="Times New Roman"/>
        </w:rPr>
        <w:t xml:space="preserve">we </w:t>
      </w:r>
      <w:r w:rsidRPr="005E196F">
        <w:rPr>
          <w:rFonts w:cs="Times New Roman"/>
        </w:rPr>
        <w:t>compared</w:t>
      </w:r>
      <w:r>
        <w:rPr>
          <w:rFonts w:cs="Times New Roman"/>
        </w:rPr>
        <w:t xml:space="preserve"> </w:t>
      </w:r>
      <w:r w:rsidRPr="005E196F">
        <w:rPr>
          <w:rFonts w:cs="Times New Roman"/>
        </w:rPr>
        <w:t>samples retrieved from three distinct collection sites</w:t>
      </w:r>
      <w:r>
        <w:rPr>
          <w:rFonts w:cs="Times New Roman"/>
        </w:rPr>
        <w:t>: Cagbang (</w:t>
      </w:r>
      <w:r>
        <w:rPr>
          <w:rFonts w:cs="Times New Roman"/>
          <w:i/>
          <w:iCs/>
        </w:rPr>
        <w:t xml:space="preserve">n </w:t>
      </w:r>
      <w:r>
        <w:rPr>
          <w:rFonts w:cs="Times New Roman"/>
        </w:rPr>
        <w:t>= 8)</w:t>
      </w:r>
      <w:r w:rsidRPr="005E196F">
        <w:rPr>
          <w:rFonts w:cs="Times New Roman"/>
        </w:rPr>
        <w:t>, Magsi</w:t>
      </w:r>
      <w:r>
        <w:rPr>
          <w:rFonts w:cs="Times New Roman"/>
        </w:rPr>
        <w:t>d</w:t>
      </w:r>
      <w:r w:rsidRPr="005E196F">
        <w:rPr>
          <w:rFonts w:cs="Times New Roman"/>
        </w:rPr>
        <w:t>el</w:t>
      </w:r>
      <w:r>
        <w:rPr>
          <w:rFonts w:cs="Times New Roman"/>
        </w:rPr>
        <w:t xml:space="preserve"> (</w:t>
      </w:r>
      <w:r>
        <w:rPr>
          <w:rFonts w:cs="Times New Roman"/>
          <w:i/>
          <w:iCs/>
        </w:rPr>
        <w:t xml:space="preserve">n </w:t>
      </w:r>
      <w:r>
        <w:rPr>
          <w:rFonts w:cs="Times New Roman"/>
        </w:rPr>
        <w:t>= 17)</w:t>
      </w:r>
      <w:r w:rsidRPr="005E196F">
        <w:rPr>
          <w:rFonts w:cs="Times New Roman"/>
        </w:rPr>
        <w:t xml:space="preserve">, and </w:t>
      </w:r>
      <w:r>
        <w:rPr>
          <w:rFonts w:cs="Times New Roman"/>
        </w:rPr>
        <w:t xml:space="preserve">Mt. </w:t>
      </w:r>
      <w:r w:rsidRPr="005E196F">
        <w:rPr>
          <w:rFonts w:cs="Times New Roman"/>
        </w:rPr>
        <w:t>Palali</w:t>
      </w:r>
      <w:r>
        <w:rPr>
          <w:rFonts w:cs="Times New Roman"/>
        </w:rPr>
        <w:t xml:space="preserve"> (</w:t>
      </w:r>
      <w:r>
        <w:rPr>
          <w:rFonts w:cs="Times New Roman"/>
          <w:i/>
          <w:iCs/>
        </w:rPr>
        <w:t xml:space="preserve">n </w:t>
      </w:r>
      <w:r>
        <w:rPr>
          <w:rFonts w:cs="Times New Roman"/>
        </w:rPr>
        <w:t>= 11). Here,</w:t>
      </w:r>
      <w:r w:rsidRPr="005E196F">
        <w:rPr>
          <w:rFonts w:cs="Times New Roman"/>
        </w:rPr>
        <w:t xml:space="preserve"> </w:t>
      </w:r>
      <w:r>
        <w:rPr>
          <w:rFonts w:cs="Times New Roman"/>
        </w:rPr>
        <w:t xml:space="preserve">multiple, sympatric gekkonid species were sampled. In each subset, we compared our alpha and beta diversity metrics by host species identity </w:t>
      </w:r>
      <w:r w:rsidRPr="005E196F">
        <w:rPr>
          <w:rFonts w:cs="Times New Roman"/>
        </w:rPr>
        <w:t xml:space="preserve">to </w:t>
      </w:r>
      <w:r>
        <w:rPr>
          <w:rFonts w:cs="Times New Roman"/>
        </w:rPr>
        <w:t xml:space="preserve">ask </w:t>
      </w:r>
      <w:r w:rsidRPr="005E196F">
        <w:rPr>
          <w:rFonts w:cs="Times New Roman"/>
        </w:rPr>
        <w:t xml:space="preserve">whether </w:t>
      </w:r>
      <w:r>
        <w:rPr>
          <w:rFonts w:cs="Times New Roman"/>
        </w:rPr>
        <w:t>sympatric</w:t>
      </w:r>
      <w:r w:rsidRPr="005E196F">
        <w:rPr>
          <w:rFonts w:cs="Times New Roman"/>
        </w:rPr>
        <w:t xml:space="preserve"> species</w:t>
      </w:r>
      <w:r>
        <w:rPr>
          <w:rFonts w:cs="Times New Roman"/>
        </w:rPr>
        <w:t xml:space="preserve"> presence</w:t>
      </w:r>
      <w:r w:rsidRPr="003A3775">
        <w:rPr>
          <w:rFonts w:cs="Times New Roman"/>
        </w:rPr>
        <w:t xml:space="preserve"> </w:t>
      </w:r>
      <w:r>
        <w:rPr>
          <w:rFonts w:cs="Times New Roman"/>
        </w:rPr>
        <w:t xml:space="preserve">and overlapping interspecific ranges </w:t>
      </w:r>
      <w:r w:rsidRPr="005E196F">
        <w:rPr>
          <w:rFonts w:cs="Times New Roman"/>
        </w:rPr>
        <w:t>may</w:t>
      </w:r>
      <w:r>
        <w:rPr>
          <w:rFonts w:cs="Times New Roman"/>
        </w:rPr>
        <w:t xml:space="preserve"> mitigate the host species-specific</w:t>
      </w:r>
      <w:r w:rsidRPr="005E196F">
        <w:rPr>
          <w:rFonts w:cs="Times New Roman"/>
        </w:rPr>
        <w:t xml:space="preserve"> microbial composition</w:t>
      </w:r>
      <w:r>
        <w:rPr>
          <w:rFonts w:cs="Times New Roman"/>
        </w:rPr>
        <w:t>s generally observed in reptiles.</w:t>
      </w:r>
    </w:p>
    <w:p w14:paraId="6001B9F0" w14:textId="77777777" w:rsidR="005C7880" w:rsidRPr="005E196F" w:rsidRDefault="005C7880" w:rsidP="005C7880">
      <w:pPr>
        <w:spacing w:line="480" w:lineRule="auto"/>
        <w:contextualSpacing/>
        <w:rPr>
          <w:rFonts w:cs="Times New Roman"/>
        </w:rPr>
      </w:pPr>
    </w:p>
    <w:p w14:paraId="3D472007" w14:textId="77777777" w:rsidR="005C7880" w:rsidRPr="005E196F" w:rsidRDefault="005C7880" w:rsidP="005C7880">
      <w:pPr>
        <w:spacing w:line="480" w:lineRule="auto"/>
        <w:contextualSpacing/>
        <w:rPr>
          <w:rFonts w:cs="Times New Roman"/>
          <w:b/>
          <w:bCs/>
          <w:sz w:val="28"/>
          <w:szCs w:val="28"/>
        </w:rPr>
      </w:pPr>
      <w:r w:rsidRPr="005E196F">
        <w:rPr>
          <w:rFonts w:cs="Times New Roman"/>
          <w:b/>
          <w:bCs/>
          <w:sz w:val="28"/>
          <w:szCs w:val="28"/>
        </w:rPr>
        <w:t>Results</w:t>
      </w:r>
    </w:p>
    <w:p w14:paraId="6CA47F56" w14:textId="77777777" w:rsidR="005C7880" w:rsidRPr="005E196F" w:rsidRDefault="005C7880" w:rsidP="005C7880">
      <w:pPr>
        <w:spacing w:line="480" w:lineRule="auto"/>
        <w:contextualSpacing/>
        <w:rPr>
          <w:rFonts w:cs="Times New Roman"/>
          <w:b/>
          <w:bCs/>
        </w:rPr>
      </w:pPr>
      <w:r w:rsidRPr="005E196F">
        <w:rPr>
          <w:rFonts w:cs="Times New Roman"/>
          <w:b/>
          <w:bCs/>
        </w:rPr>
        <w:t xml:space="preserve">General </w:t>
      </w:r>
      <w:r>
        <w:rPr>
          <w:rFonts w:cs="Times New Roman"/>
          <w:b/>
          <w:bCs/>
        </w:rPr>
        <w:t>p</w:t>
      </w:r>
      <w:r w:rsidRPr="005E196F">
        <w:rPr>
          <w:rFonts w:cs="Times New Roman"/>
          <w:b/>
          <w:bCs/>
        </w:rPr>
        <w:t xml:space="preserve">atterns in </w:t>
      </w:r>
      <w:r>
        <w:rPr>
          <w:rFonts w:cs="Times New Roman"/>
          <w:b/>
          <w:bCs/>
        </w:rPr>
        <w:t>g</w:t>
      </w:r>
      <w:r w:rsidRPr="005E196F">
        <w:rPr>
          <w:rFonts w:cs="Times New Roman"/>
          <w:b/>
          <w:bCs/>
        </w:rPr>
        <w:t xml:space="preserve">ekkonid </w:t>
      </w:r>
      <w:r>
        <w:rPr>
          <w:rFonts w:cs="Times New Roman"/>
          <w:b/>
          <w:bCs/>
        </w:rPr>
        <w:t>m</w:t>
      </w:r>
      <w:r w:rsidRPr="005E196F">
        <w:rPr>
          <w:rFonts w:cs="Times New Roman"/>
          <w:b/>
          <w:bCs/>
        </w:rPr>
        <w:t>icrobiota</w:t>
      </w:r>
    </w:p>
    <w:p w14:paraId="7DB5FB6D" w14:textId="77777777" w:rsidR="005C7880" w:rsidRDefault="005C7880" w:rsidP="005C7880">
      <w:pPr>
        <w:spacing w:line="480" w:lineRule="auto"/>
        <w:contextualSpacing/>
        <w:rPr>
          <w:rFonts w:cs="Times New Roman"/>
        </w:rPr>
      </w:pPr>
      <w:r w:rsidRPr="005E196F">
        <w:rPr>
          <w:rFonts w:cs="Times New Roman"/>
        </w:rPr>
        <w:t xml:space="preserve">Individual phyla dominating each species’ microbial communities varied by </w:t>
      </w:r>
      <w:r>
        <w:rPr>
          <w:rFonts w:cs="Times New Roman"/>
        </w:rPr>
        <w:t xml:space="preserve">host </w:t>
      </w:r>
      <w:r w:rsidRPr="005E196F">
        <w:rPr>
          <w:rFonts w:cs="Times New Roman"/>
        </w:rPr>
        <w:t>species (</w:t>
      </w:r>
      <w:r w:rsidRPr="00E5138D">
        <w:rPr>
          <w:rFonts w:cs="Times New Roman"/>
        </w:rPr>
        <w:t>Fig. 2</w:t>
      </w:r>
      <w:r w:rsidRPr="005E196F">
        <w:rPr>
          <w:rFonts w:cs="Times New Roman"/>
        </w:rPr>
        <w:t>)</w:t>
      </w:r>
      <w:r>
        <w:rPr>
          <w:rFonts w:cs="Times New Roman"/>
        </w:rPr>
        <w:t>,</w:t>
      </w:r>
      <w:r w:rsidRPr="005E196F">
        <w:rPr>
          <w:rFonts w:cs="Times New Roman"/>
        </w:rPr>
        <w:t xml:space="preserve"> </w:t>
      </w:r>
      <w:r>
        <w:rPr>
          <w:rFonts w:cs="Times New Roman"/>
        </w:rPr>
        <w:t>a</w:t>
      </w:r>
      <w:r w:rsidRPr="005E196F">
        <w:rPr>
          <w:rFonts w:cs="Times New Roman"/>
        </w:rPr>
        <w:t>lthough three phyla, Proteobacteria (54.1%), Firmicutes (20.9%), and Bacteroidetes (16.6%)</w:t>
      </w:r>
      <w:r>
        <w:rPr>
          <w:rFonts w:cs="Times New Roman"/>
        </w:rPr>
        <w:t>,</w:t>
      </w:r>
      <w:r w:rsidRPr="005E196F">
        <w:rPr>
          <w:rFonts w:cs="Times New Roman"/>
        </w:rPr>
        <w:t xml:space="preserve"> were most abundant across all rarefied reads.</w:t>
      </w:r>
      <w:r>
        <w:rPr>
          <w:rFonts w:cs="Times New Roman"/>
        </w:rPr>
        <w:t xml:space="preserve"> </w:t>
      </w:r>
      <w:r w:rsidRPr="005E196F">
        <w:rPr>
          <w:rFonts w:cs="Times New Roman"/>
        </w:rPr>
        <w:t>Philippine gekkonid</w:t>
      </w:r>
      <w:r>
        <w:rPr>
          <w:rFonts w:cs="Times New Roman"/>
        </w:rPr>
        <w:t xml:space="preserve"> samples</w:t>
      </w:r>
      <w:r w:rsidRPr="005E196F">
        <w:rPr>
          <w:rFonts w:cs="Times New Roman"/>
        </w:rPr>
        <w:t xml:space="preserve"> averaged 103 OTUs per 1000 </w:t>
      </w:r>
      <w:r>
        <w:rPr>
          <w:rFonts w:cs="Times New Roman"/>
        </w:rPr>
        <w:t xml:space="preserve">rarified </w:t>
      </w:r>
      <w:r w:rsidRPr="005E196F">
        <w:rPr>
          <w:rFonts w:cs="Times New Roman"/>
        </w:rPr>
        <w:t>sequences, the Shannon index varied from 1.40</w:t>
      </w:r>
      <w:r>
        <w:rPr>
          <w:rFonts w:cs="Times New Roman"/>
        </w:rPr>
        <w:t>–</w:t>
      </w:r>
      <w:r w:rsidRPr="005E196F">
        <w:rPr>
          <w:rFonts w:cs="Times New Roman"/>
        </w:rPr>
        <w:t>6.39 (mean = 4.19 ± 1.39), and Faith’s PD varied from 3.62</w:t>
      </w:r>
      <w:r>
        <w:rPr>
          <w:rFonts w:cs="Times New Roman"/>
        </w:rPr>
        <w:t>–</w:t>
      </w:r>
      <w:r w:rsidRPr="005E196F">
        <w:rPr>
          <w:rFonts w:cs="Times New Roman"/>
        </w:rPr>
        <w:t>21.78 (mean = 11.25 ± 4.20). The average Jaccard distance between all pairs of samples was 0.83. Six OTUs were found across rarefied sequences from ≥</w:t>
      </w:r>
      <w:r>
        <w:rPr>
          <w:rFonts w:cs="Times New Roman"/>
        </w:rPr>
        <w:t xml:space="preserve"> </w:t>
      </w:r>
      <w:r w:rsidRPr="005E196F">
        <w:rPr>
          <w:rFonts w:cs="Times New Roman"/>
        </w:rPr>
        <w:t>70% of all host</w:t>
      </w:r>
      <w:r>
        <w:rPr>
          <w:rFonts w:cs="Times New Roman"/>
        </w:rPr>
        <w:t xml:space="preserve"> cloacal samples, including:</w:t>
      </w:r>
      <w:r w:rsidRPr="005E196F">
        <w:rPr>
          <w:rFonts w:cs="Times New Roman"/>
        </w:rPr>
        <w:t xml:space="preserve"> two </w:t>
      </w:r>
      <w:r w:rsidRPr="00E42D8F">
        <w:rPr>
          <w:rFonts w:cs="Times New Roman"/>
          <w:i/>
          <w:iCs/>
        </w:rPr>
        <w:t>Acinetobacter</w:t>
      </w:r>
      <w:r w:rsidRPr="005E196F">
        <w:rPr>
          <w:rFonts w:cs="Times New Roman"/>
        </w:rPr>
        <w:t xml:space="preserve"> spp., </w:t>
      </w:r>
      <w:r w:rsidRPr="00E42D8F">
        <w:rPr>
          <w:rFonts w:cs="Times New Roman"/>
          <w:i/>
          <w:iCs/>
        </w:rPr>
        <w:t>Serratia</w:t>
      </w:r>
      <w:r w:rsidRPr="005E196F">
        <w:rPr>
          <w:rFonts w:cs="Times New Roman"/>
        </w:rPr>
        <w:t xml:space="preserve"> sp., </w:t>
      </w:r>
      <w:r w:rsidRPr="00E42D8F">
        <w:rPr>
          <w:rFonts w:cs="Times New Roman"/>
          <w:i/>
          <w:iCs/>
        </w:rPr>
        <w:t>Staphylococcus</w:t>
      </w:r>
      <w:r w:rsidRPr="005E196F">
        <w:rPr>
          <w:rFonts w:cs="Times New Roman"/>
        </w:rPr>
        <w:t xml:space="preserve"> sp., </w:t>
      </w:r>
      <w:r w:rsidRPr="00E42D8F">
        <w:rPr>
          <w:rFonts w:cs="Times New Roman"/>
          <w:i/>
          <w:iCs/>
        </w:rPr>
        <w:t>Bacteroides</w:t>
      </w:r>
      <w:r w:rsidRPr="005E196F">
        <w:rPr>
          <w:rFonts w:cs="Times New Roman"/>
        </w:rPr>
        <w:t xml:space="preserve"> sp., and an unidentified taxon in the family Enterobacteriaceae</w:t>
      </w:r>
      <w:r>
        <w:rPr>
          <w:rFonts w:cs="Times New Roman"/>
        </w:rPr>
        <w:t>.</w:t>
      </w:r>
    </w:p>
    <w:p w14:paraId="497B8819" w14:textId="77777777" w:rsidR="005C7880" w:rsidRDefault="005C7880" w:rsidP="005C7880">
      <w:pPr>
        <w:spacing w:line="480" w:lineRule="auto"/>
        <w:ind w:firstLine="360"/>
        <w:contextualSpacing/>
        <w:rPr>
          <w:rFonts w:cs="Times New Roman"/>
        </w:rPr>
      </w:pPr>
      <w:r>
        <w:rPr>
          <w:rFonts w:cs="Times New Roman"/>
        </w:rPr>
        <w:t>Across Philippine samples from hosts in the family Gekkonidae, M</w:t>
      </w:r>
      <w:r w:rsidRPr="003438F2">
        <w:rPr>
          <w:rFonts w:cs="Times New Roman"/>
        </w:rPr>
        <w:t xml:space="preserve">antel tests recovered no significant association between </w:t>
      </w:r>
      <w:r>
        <w:rPr>
          <w:rFonts w:cs="Times New Roman"/>
        </w:rPr>
        <w:t xml:space="preserve">host species </w:t>
      </w:r>
      <w:r w:rsidRPr="003438F2">
        <w:rPr>
          <w:rFonts w:cs="Times New Roman"/>
        </w:rPr>
        <w:t>genetic distances and microbial assemblages as measured by any of the three beta diversity metrics examined (weighted UniFrac</w:t>
      </w:r>
      <w:r>
        <w:rPr>
          <w:rFonts w:cs="Times New Roman"/>
        </w:rPr>
        <w:t xml:space="preserve"> </w:t>
      </w:r>
      <w:r w:rsidRPr="003438F2">
        <w:rPr>
          <w:rFonts w:cs="Times New Roman"/>
        </w:rPr>
        <w:t>r = 0.20</w:t>
      </w:r>
      <w:r>
        <w:rPr>
          <w:rFonts w:cs="Times New Roman"/>
        </w:rPr>
        <w:t>7</w:t>
      </w:r>
      <w:r w:rsidRPr="003438F2">
        <w:rPr>
          <w:rFonts w:cs="Times New Roman"/>
        </w:rPr>
        <w:t xml:space="preserve">, </w:t>
      </w:r>
      <w:r>
        <w:rPr>
          <w:rFonts w:cs="Times New Roman"/>
        </w:rPr>
        <w:t>P</w:t>
      </w:r>
      <w:r w:rsidRPr="003438F2">
        <w:rPr>
          <w:rFonts w:cs="Times New Roman"/>
        </w:rPr>
        <w:t xml:space="preserve"> = 0.438; unweighted UniFrac r = 0.1</w:t>
      </w:r>
      <w:r>
        <w:rPr>
          <w:rFonts w:cs="Times New Roman"/>
        </w:rPr>
        <w:t>10</w:t>
      </w:r>
      <w:r w:rsidRPr="003438F2">
        <w:rPr>
          <w:rFonts w:cs="Times New Roman"/>
        </w:rPr>
        <w:t xml:space="preserve">, </w:t>
      </w:r>
      <w:r>
        <w:rPr>
          <w:rFonts w:cs="Times New Roman"/>
        </w:rPr>
        <w:t>P</w:t>
      </w:r>
      <w:r w:rsidRPr="003438F2">
        <w:rPr>
          <w:rFonts w:cs="Times New Roman"/>
        </w:rPr>
        <w:t xml:space="preserve"> = 0.60</w:t>
      </w:r>
      <w:r>
        <w:rPr>
          <w:rFonts w:cs="Times New Roman"/>
        </w:rPr>
        <w:t>7</w:t>
      </w:r>
      <w:r w:rsidRPr="003438F2">
        <w:rPr>
          <w:rFonts w:cs="Times New Roman"/>
        </w:rPr>
        <w:t>; Jaccard r = 0.11</w:t>
      </w:r>
      <w:r>
        <w:rPr>
          <w:rFonts w:cs="Times New Roman"/>
        </w:rPr>
        <w:t>9</w:t>
      </w:r>
      <w:r w:rsidRPr="003438F2">
        <w:rPr>
          <w:rFonts w:cs="Times New Roman"/>
        </w:rPr>
        <w:t xml:space="preserve">, </w:t>
      </w:r>
      <w:r>
        <w:rPr>
          <w:rFonts w:cs="Times New Roman"/>
        </w:rPr>
        <w:t>P</w:t>
      </w:r>
      <w:r w:rsidRPr="003438F2">
        <w:rPr>
          <w:rFonts w:cs="Times New Roman"/>
        </w:rPr>
        <w:t xml:space="preserve"> = 0.599).</w:t>
      </w:r>
    </w:p>
    <w:p w14:paraId="2320F888" w14:textId="77777777" w:rsidR="005C7880" w:rsidRDefault="005C7880" w:rsidP="005C7880">
      <w:pPr>
        <w:spacing w:line="480" w:lineRule="auto"/>
        <w:ind w:firstLine="360"/>
        <w:contextualSpacing/>
        <w:rPr>
          <w:rFonts w:cs="Times New Roman"/>
        </w:rPr>
      </w:pPr>
      <w:r>
        <w:rPr>
          <w:rFonts w:cs="Times New Roman"/>
        </w:rPr>
        <w:t>In comparing alpha diversity metrics across Philippine gekkonid microbiome samples, we found no significant differences in the number of OTUs or the Shannon index among host species. There was, however, a significant difference between host species in Faith’s PD (</w:t>
      </w:r>
      <w:r w:rsidRPr="008673C9">
        <w:rPr>
          <w:rFonts w:cs="Times New Roman"/>
          <w:i/>
          <w:iCs/>
        </w:rPr>
        <w:t>F</w:t>
      </w:r>
      <w:r>
        <w:rPr>
          <w:rFonts w:cs="Times New Roman"/>
        </w:rPr>
        <w:t xml:space="preserve"> = </w:t>
      </w:r>
      <w:r w:rsidRPr="008673C9">
        <w:rPr>
          <w:rFonts w:cs="Times New Roman"/>
        </w:rPr>
        <w:t>2.636</w:t>
      </w:r>
      <w:r>
        <w:rPr>
          <w:rFonts w:cs="Times New Roman"/>
        </w:rPr>
        <w:t xml:space="preserve">, P = </w:t>
      </w:r>
      <w:r w:rsidRPr="00A16A87">
        <w:rPr>
          <w:rFonts w:cs="Times New Roman"/>
        </w:rPr>
        <w:t>0.021</w:t>
      </w:r>
      <w:r>
        <w:rPr>
          <w:rFonts w:cs="Times New Roman"/>
        </w:rPr>
        <w:t xml:space="preserve">; </w:t>
      </w:r>
      <w:r w:rsidRPr="00E5138D">
        <w:rPr>
          <w:rFonts w:cs="Times New Roman"/>
        </w:rPr>
        <w:t>Sup. 1A</w:t>
      </w:r>
      <w:r>
        <w:rPr>
          <w:rFonts w:cs="Times New Roman"/>
        </w:rPr>
        <w:t xml:space="preserve">). Tukey post-hoc analyses identified the </w:t>
      </w:r>
      <w:r>
        <w:rPr>
          <w:rFonts w:cs="Times New Roman"/>
          <w:i/>
          <w:iCs/>
        </w:rPr>
        <w:t>Gekko mindorensis</w:t>
      </w:r>
      <w:r>
        <w:rPr>
          <w:rFonts w:cs="Times New Roman"/>
        </w:rPr>
        <w:t>-</w:t>
      </w:r>
      <w:r>
        <w:rPr>
          <w:rFonts w:cs="Times New Roman"/>
          <w:i/>
          <w:iCs/>
        </w:rPr>
        <w:t>Luperosaurus macgregori</w:t>
      </w:r>
      <w:r>
        <w:rPr>
          <w:rFonts w:cs="Times New Roman"/>
        </w:rPr>
        <w:t xml:space="preserve"> and </w:t>
      </w:r>
      <w:r>
        <w:rPr>
          <w:rFonts w:cs="Times New Roman"/>
          <w:i/>
          <w:iCs/>
        </w:rPr>
        <w:t>Cyrtodactylus philippinicus</w:t>
      </w:r>
      <w:r>
        <w:rPr>
          <w:rFonts w:cs="Times New Roman"/>
        </w:rPr>
        <w:t>-</w:t>
      </w:r>
      <w:r>
        <w:rPr>
          <w:rFonts w:cs="Times New Roman"/>
          <w:i/>
          <w:iCs/>
        </w:rPr>
        <w:t>L. macgregori</w:t>
      </w:r>
      <w:r>
        <w:rPr>
          <w:rFonts w:cs="Times New Roman"/>
        </w:rPr>
        <w:t xml:space="preserve"> pairwise comparisons as likely driving such differences. Grouping samples by host habitat preferences (human commensal or forest obligate) and maximum body size (larger or smaller) failed to retrieve significant differences in any alpha diversity metrics. In comparing widespread and microendemic samples, significant differences were noted in observed OTUs (mean widespread = 120.11, microendemic = 80.95; </w:t>
      </w:r>
      <w:r w:rsidRPr="008673C9">
        <w:rPr>
          <w:rFonts w:cs="Times New Roman"/>
          <w:i/>
          <w:iCs/>
        </w:rPr>
        <w:t>F</w:t>
      </w:r>
      <w:r>
        <w:rPr>
          <w:rFonts w:cs="Times New Roman"/>
        </w:rPr>
        <w:t xml:space="preserve"> = 8.225, P = 0.006), Shannon index (</w:t>
      </w:r>
      <w:r w:rsidRPr="0078470A">
        <w:rPr>
          <w:rFonts w:cs="Times New Roman"/>
          <w:i/>
          <w:iCs/>
        </w:rPr>
        <w:t>F</w:t>
      </w:r>
      <w:r>
        <w:rPr>
          <w:rFonts w:cs="Times New Roman"/>
        </w:rPr>
        <w:t xml:space="preserve"> = 5.467, P = 0.024), and Faith’s PD (</w:t>
      </w:r>
      <w:r w:rsidRPr="0078470A">
        <w:rPr>
          <w:rFonts w:cs="Times New Roman"/>
          <w:i/>
          <w:iCs/>
        </w:rPr>
        <w:t>F</w:t>
      </w:r>
      <w:r>
        <w:rPr>
          <w:rFonts w:cs="Times New Roman"/>
        </w:rPr>
        <w:t xml:space="preserve"> = 8.866, P = 0.005;</w:t>
      </w:r>
      <w:r w:rsidRPr="00A6727A">
        <w:rPr>
          <w:rFonts w:cs="Times New Roman"/>
        </w:rPr>
        <w:t xml:space="preserve"> </w:t>
      </w:r>
      <w:r w:rsidRPr="00856F71">
        <w:rPr>
          <w:rFonts w:cs="Times New Roman"/>
        </w:rPr>
        <w:t>Sup. 2B</w:t>
      </w:r>
      <w:r>
        <w:rPr>
          <w:rFonts w:cs="Times New Roman"/>
        </w:rPr>
        <w:t>).</w:t>
      </w:r>
      <w:r w:rsidRPr="00856F71">
        <w:rPr>
          <w:rFonts w:cs="Times New Roman"/>
        </w:rPr>
        <w:t xml:space="preserve"> </w:t>
      </w:r>
      <w:r>
        <w:rPr>
          <w:rFonts w:cs="Times New Roman"/>
        </w:rPr>
        <w:t xml:space="preserve">Differentiating by individual host sampling locality and biogeographic region both showed significant distinction in number of observed OTUs (locality </w:t>
      </w:r>
      <w:r>
        <w:rPr>
          <w:rFonts w:cs="Times New Roman"/>
          <w:i/>
          <w:iCs/>
        </w:rPr>
        <w:t xml:space="preserve">F </w:t>
      </w:r>
      <w:r>
        <w:rPr>
          <w:rFonts w:cs="Times New Roman"/>
        </w:rPr>
        <w:t xml:space="preserve">= 3.672, P = 0.005; region </w:t>
      </w:r>
      <w:r>
        <w:rPr>
          <w:rFonts w:cs="Times New Roman"/>
          <w:i/>
          <w:iCs/>
        </w:rPr>
        <w:t xml:space="preserve">F </w:t>
      </w:r>
      <w:r>
        <w:rPr>
          <w:rFonts w:cs="Times New Roman"/>
        </w:rPr>
        <w:t xml:space="preserve">= 5.464, P = 0.003) and in Faith’s PD (locality </w:t>
      </w:r>
      <w:r>
        <w:rPr>
          <w:rFonts w:cs="Times New Roman"/>
          <w:i/>
          <w:iCs/>
        </w:rPr>
        <w:t xml:space="preserve">F </w:t>
      </w:r>
      <w:r>
        <w:rPr>
          <w:rFonts w:cs="Times New Roman"/>
        </w:rPr>
        <w:t xml:space="preserve">= 4.301, P = 0.020; region </w:t>
      </w:r>
      <w:r>
        <w:rPr>
          <w:rFonts w:cs="Times New Roman"/>
          <w:i/>
          <w:iCs/>
        </w:rPr>
        <w:t xml:space="preserve">F </w:t>
      </w:r>
      <w:r>
        <w:rPr>
          <w:rFonts w:cs="Times New Roman"/>
        </w:rPr>
        <w:t xml:space="preserve">= 6.021, P = 0.016) but not in the Shannon index </w:t>
      </w:r>
      <w:r w:rsidRPr="00113B16">
        <w:rPr>
          <w:rFonts w:cs="Times New Roman"/>
        </w:rPr>
        <w:t>(Sup. 1B, 2A</w:t>
      </w:r>
      <w:r>
        <w:rPr>
          <w:rFonts w:cs="Times New Roman"/>
        </w:rPr>
        <w:t>).</w:t>
      </w:r>
    </w:p>
    <w:p w14:paraId="42EB3DE4" w14:textId="77777777" w:rsidR="005C7880" w:rsidRDefault="005C7880" w:rsidP="005C7880">
      <w:pPr>
        <w:spacing w:line="480" w:lineRule="auto"/>
        <w:ind w:firstLine="360"/>
        <w:contextualSpacing/>
        <w:rPr>
          <w:rFonts w:cs="Times New Roman"/>
        </w:rPr>
      </w:pPr>
      <w:r>
        <w:rPr>
          <w:rFonts w:cs="Times New Roman"/>
        </w:rPr>
        <w:t>We found strong, significant associations between host species and microbial compositions based on all three beta diversity metrics examined (weighted UniFrac R</w:t>
      </w:r>
      <w:r>
        <w:rPr>
          <w:rFonts w:cs="Times New Roman"/>
          <w:vertAlign w:val="superscript"/>
        </w:rPr>
        <w:t>2</w:t>
      </w:r>
      <w:r>
        <w:rPr>
          <w:rFonts w:cs="Times New Roman"/>
        </w:rPr>
        <w:t xml:space="preserve"> = </w:t>
      </w:r>
      <w:r w:rsidRPr="00000C29">
        <w:rPr>
          <w:rFonts w:cs="Times New Roman"/>
        </w:rPr>
        <w:t>0.310</w:t>
      </w:r>
      <w:r>
        <w:rPr>
          <w:rFonts w:cs="Times New Roman"/>
        </w:rPr>
        <w:t>,</w:t>
      </w:r>
      <w:r w:rsidRPr="00000C29">
        <w:rPr>
          <w:rFonts w:cs="Times New Roman"/>
        </w:rPr>
        <w:t xml:space="preserve"> </w:t>
      </w:r>
      <w:r>
        <w:rPr>
          <w:rFonts w:cs="Times New Roman"/>
        </w:rPr>
        <w:t>P =</w:t>
      </w:r>
      <w:r w:rsidRPr="00000C29">
        <w:rPr>
          <w:rFonts w:cs="Times New Roman"/>
        </w:rPr>
        <w:t xml:space="preserve"> 0.005</w:t>
      </w:r>
      <w:r>
        <w:rPr>
          <w:rFonts w:cs="Times New Roman"/>
        </w:rPr>
        <w:t>; unweighted UniFrac R</w:t>
      </w:r>
      <w:r>
        <w:rPr>
          <w:rFonts w:cs="Times New Roman"/>
          <w:vertAlign w:val="superscript"/>
        </w:rPr>
        <w:t>2</w:t>
      </w:r>
      <w:r>
        <w:rPr>
          <w:rFonts w:cs="Times New Roman"/>
        </w:rPr>
        <w:t xml:space="preserve"> = </w:t>
      </w:r>
      <w:r w:rsidRPr="00000C29">
        <w:rPr>
          <w:rFonts w:cs="Times New Roman"/>
        </w:rPr>
        <w:t>0.28</w:t>
      </w:r>
      <w:r>
        <w:rPr>
          <w:rFonts w:cs="Times New Roman"/>
        </w:rPr>
        <w:t>5,</w:t>
      </w:r>
      <w:r w:rsidRPr="00000C29">
        <w:rPr>
          <w:rFonts w:cs="Times New Roman"/>
        </w:rPr>
        <w:t xml:space="preserve"> </w:t>
      </w:r>
      <w:r>
        <w:rPr>
          <w:rFonts w:cs="Times New Roman"/>
        </w:rPr>
        <w:t>P =</w:t>
      </w:r>
      <w:r w:rsidRPr="00000C29">
        <w:rPr>
          <w:rFonts w:cs="Times New Roman"/>
        </w:rPr>
        <w:t xml:space="preserve"> 0.001</w:t>
      </w:r>
      <w:r>
        <w:rPr>
          <w:rFonts w:cs="Times New Roman"/>
        </w:rPr>
        <w:t>; Jaccard R</w:t>
      </w:r>
      <w:r>
        <w:rPr>
          <w:rFonts w:cs="Times New Roman"/>
          <w:vertAlign w:val="superscript"/>
        </w:rPr>
        <w:t>2</w:t>
      </w:r>
      <w:r>
        <w:rPr>
          <w:rFonts w:cs="Times New Roman"/>
        </w:rPr>
        <w:t xml:space="preserve"> = </w:t>
      </w:r>
      <w:r w:rsidRPr="00000C29">
        <w:rPr>
          <w:rFonts w:cs="Times New Roman"/>
        </w:rPr>
        <w:t>0.25</w:t>
      </w:r>
      <w:r>
        <w:rPr>
          <w:rFonts w:cs="Times New Roman"/>
        </w:rPr>
        <w:t>7,</w:t>
      </w:r>
      <w:r w:rsidRPr="00000C29">
        <w:rPr>
          <w:rFonts w:cs="Times New Roman"/>
        </w:rPr>
        <w:t xml:space="preserve"> </w:t>
      </w:r>
      <w:r>
        <w:rPr>
          <w:rFonts w:cs="Times New Roman"/>
        </w:rPr>
        <w:t>P =</w:t>
      </w:r>
      <w:r w:rsidRPr="00000C29">
        <w:rPr>
          <w:rFonts w:cs="Times New Roman"/>
        </w:rPr>
        <w:t xml:space="preserve"> 0.001</w:t>
      </w:r>
      <w:r>
        <w:rPr>
          <w:rFonts w:cs="Times New Roman"/>
        </w:rPr>
        <w:t xml:space="preserve">; </w:t>
      </w:r>
      <w:r w:rsidRPr="000D0A20">
        <w:rPr>
          <w:rFonts w:cs="Times New Roman"/>
        </w:rPr>
        <w:t>Fig. 3</w:t>
      </w:r>
      <w:r>
        <w:rPr>
          <w:rFonts w:cs="Times New Roman"/>
        </w:rPr>
        <w:t xml:space="preserve">). Adonis comparisons of beta diversity metrics showed no differences in human commensal and forest obligate groupings. Significant, yet weak, differences in two beta diversity metrics were found by widespread and microendemic species distribution patterns (unweighted UniFrac </w:t>
      </w:r>
      <w:r w:rsidRPr="00E023AE">
        <w:rPr>
          <w:rFonts w:cs="Times New Roman"/>
        </w:rPr>
        <w:t>R</w:t>
      </w:r>
      <w:r w:rsidRPr="00E023AE">
        <w:rPr>
          <w:rFonts w:cs="Times New Roman"/>
          <w:vertAlign w:val="superscript"/>
        </w:rPr>
        <w:t>2</w:t>
      </w:r>
      <w:r w:rsidRPr="00E023AE">
        <w:rPr>
          <w:rFonts w:cs="Times New Roman"/>
        </w:rPr>
        <w:t xml:space="preserve"> =</w:t>
      </w:r>
      <w:r>
        <w:rPr>
          <w:rFonts w:cs="Times New Roman"/>
        </w:rPr>
        <w:t xml:space="preserve"> 0.060, P = 0.001; Jaccard </w:t>
      </w:r>
      <w:r w:rsidRPr="00E023AE">
        <w:rPr>
          <w:rFonts w:cs="Times New Roman"/>
        </w:rPr>
        <w:t>R</w:t>
      </w:r>
      <w:r w:rsidRPr="00E023AE">
        <w:rPr>
          <w:rFonts w:cs="Times New Roman"/>
          <w:vertAlign w:val="superscript"/>
        </w:rPr>
        <w:t>2</w:t>
      </w:r>
      <w:r w:rsidRPr="00E023AE">
        <w:rPr>
          <w:rFonts w:cs="Times New Roman"/>
        </w:rPr>
        <w:t xml:space="preserve"> =</w:t>
      </w:r>
      <w:r>
        <w:rPr>
          <w:rFonts w:cs="Times New Roman"/>
        </w:rPr>
        <w:t xml:space="preserve"> 0.051, P = 0.001) and in the Jaccard index between maximum body size conditions (</w:t>
      </w:r>
      <w:r w:rsidRPr="00E023AE">
        <w:rPr>
          <w:rFonts w:cs="Times New Roman"/>
        </w:rPr>
        <w:t>R</w:t>
      </w:r>
      <w:r w:rsidRPr="00E023AE">
        <w:rPr>
          <w:rFonts w:cs="Times New Roman"/>
          <w:vertAlign w:val="superscript"/>
        </w:rPr>
        <w:t>2</w:t>
      </w:r>
      <w:r w:rsidRPr="00E023AE">
        <w:rPr>
          <w:rFonts w:cs="Times New Roman"/>
        </w:rPr>
        <w:t xml:space="preserve"> =</w:t>
      </w:r>
      <w:r w:rsidRPr="000167C9">
        <w:t xml:space="preserve"> </w:t>
      </w:r>
      <w:r w:rsidRPr="000167C9">
        <w:rPr>
          <w:rFonts w:cs="Times New Roman"/>
        </w:rPr>
        <w:t>0.02</w:t>
      </w:r>
      <w:r>
        <w:rPr>
          <w:rFonts w:cs="Times New Roman"/>
        </w:rPr>
        <w:t>9, P =</w:t>
      </w:r>
      <w:r w:rsidRPr="000167C9">
        <w:rPr>
          <w:rFonts w:cs="Times New Roman"/>
        </w:rPr>
        <w:t xml:space="preserve"> 0.043</w:t>
      </w:r>
      <w:r>
        <w:rPr>
          <w:rFonts w:cs="Times New Roman"/>
        </w:rPr>
        <w:t>). Correlations between host locality and microbial communities were found in all three metrics (weighted UniFrac R</w:t>
      </w:r>
      <w:r>
        <w:rPr>
          <w:rFonts w:cs="Times New Roman"/>
          <w:vertAlign w:val="superscript"/>
        </w:rPr>
        <w:t>2</w:t>
      </w:r>
      <w:r>
        <w:rPr>
          <w:rFonts w:cs="Times New Roman"/>
        </w:rPr>
        <w:t xml:space="preserve"> = </w:t>
      </w:r>
      <w:r w:rsidRPr="00000C29">
        <w:rPr>
          <w:rFonts w:cs="Times New Roman"/>
        </w:rPr>
        <w:t>0.208</w:t>
      </w:r>
      <w:r>
        <w:rPr>
          <w:rFonts w:cs="Times New Roman"/>
        </w:rPr>
        <w:t>,</w:t>
      </w:r>
      <w:r w:rsidRPr="00000C29">
        <w:rPr>
          <w:rFonts w:cs="Times New Roman"/>
        </w:rPr>
        <w:t xml:space="preserve"> </w:t>
      </w:r>
      <w:r>
        <w:rPr>
          <w:rFonts w:cs="Times New Roman"/>
        </w:rPr>
        <w:t xml:space="preserve">P = </w:t>
      </w:r>
      <w:r w:rsidRPr="00000C29">
        <w:rPr>
          <w:rFonts w:cs="Times New Roman"/>
        </w:rPr>
        <w:t>0.028</w:t>
      </w:r>
      <w:r>
        <w:rPr>
          <w:rFonts w:cs="Times New Roman"/>
        </w:rPr>
        <w:t>; unweighted UniFrac R</w:t>
      </w:r>
      <w:r>
        <w:rPr>
          <w:rFonts w:cs="Times New Roman"/>
          <w:vertAlign w:val="superscript"/>
        </w:rPr>
        <w:t>2</w:t>
      </w:r>
      <w:r>
        <w:rPr>
          <w:rFonts w:cs="Times New Roman"/>
        </w:rPr>
        <w:t xml:space="preserve"> = </w:t>
      </w:r>
      <w:r w:rsidRPr="00000C29">
        <w:rPr>
          <w:rFonts w:cs="Times New Roman"/>
        </w:rPr>
        <w:t>0.209</w:t>
      </w:r>
      <w:r>
        <w:rPr>
          <w:rFonts w:cs="Times New Roman"/>
        </w:rPr>
        <w:t>, P =</w:t>
      </w:r>
      <w:r w:rsidRPr="00000C29">
        <w:rPr>
          <w:rFonts w:cs="Times New Roman"/>
        </w:rPr>
        <w:t xml:space="preserve"> 0.001</w:t>
      </w:r>
      <w:r>
        <w:rPr>
          <w:rFonts w:cs="Times New Roman"/>
        </w:rPr>
        <w:t>; Jaccard R</w:t>
      </w:r>
      <w:r>
        <w:rPr>
          <w:rFonts w:cs="Times New Roman"/>
          <w:vertAlign w:val="superscript"/>
        </w:rPr>
        <w:t>2</w:t>
      </w:r>
      <w:r>
        <w:rPr>
          <w:rFonts w:cs="Times New Roman"/>
        </w:rPr>
        <w:t xml:space="preserve"> = </w:t>
      </w:r>
      <w:r w:rsidRPr="00000C29">
        <w:rPr>
          <w:rFonts w:cs="Times New Roman"/>
        </w:rPr>
        <w:t>0.20</w:t>
      </w:r>
      <w:r>
        <w:rPr>
          <w:rFonts w:cs="Times New Roman"/>
        </w:rPr>
        <w:t xml:space="preserve">1, P = </w:t>
      </w:r>
      <w:r w:rsidRPr="00000C29">
        <w:rPr>
          <w:rFonts w:cs="Times New Roman"/>
        </w:rPr>
        <w:t>0.001</w:t>
      </w:r>
      <w:r>
        <w:rPr>
          <w:rFonts w:cs="Times New Roman"/>
        </w:rPr>
        <w:t>). Slightly weaker results were recovered in grouping cloacal samples by source host biogeographic region as opposed to specific locality (weighted UniFrac R</w:t>
      </w:r>
      <w:r>
        <w:rPr>
          <w:rFonts w:cs="Times New Roman"/>
          <w:vertAlign w:val="superscript"/>
        </w:rPr>
        <w:t>2</w:t>
      </w:r>
      <w:r>
        <w:rPr>
          <w:rFonts w:cs="Times New Roman"/>
        </w:rPr>
        <w:t xml:space="preserve"> = </w:t>
      </w:r>
      <w:r w:rsidRPr="00E4770D">
        <w:rPr>
          <w:rFonts w:cs="Times New Roman"/>
        </w:rPr>
        <w:t>0.132</w:t>
      </w:r>
      <w:r>
        <w:rPr>
          <w:rFonts w:cs="Times New Roman"/>
        </w:rPr>
        <w:t>,</w:t>
      </w:r>
      <w:r w:rsidRPr="00E4770D">
        <w:rPr>
          <w:rFonts w:cs="Times New Roman"/>
        </w:rPr>
        <w:t xml:space="preserve"> </w:t>
      </w:r>
      <w:r>
        <w:rPr>
          <w:rFonts w:cs="Times New Roman"/>
        </w:rPr>
        <w:t xml:space="preserve">P = </w:t>
      </w:r>
      <w:r w:rsidRPr="00E4770D">
        <w:rPr>
          <w:rFonts w:cs="Times New Roman"/>
        </w:rPr>
        <w:t>0.021</w:t>
      </w:r>
      <w:r>
        <w:rPr>
          <w:rFonts w:cs="Times New Roman"/>
        </w:rPr>
        <w:t>; unweighted UniFrac R</w:t>
      </w:r>
      <w:r>
        <w:rPr>
          <w:rFonts w:cs="Times New Roman"/>
          <w:vertAlign w:val="superscript"/>
        </w:rPr>
        <w:t>2</w:t>
      </w:r>
      <w:r>
        <w:rPr>
          <w:rFonts w:cs="Times New Roman"/>
        </w:rPr>
        <w:t xml:space="preserve"> = </w:t>
      </w:r>
      <w:r w:rsidRPr="00E4770D">
        <w:rPr>
          <w:rFonts w:cs="Times New Roman"/>
        </w:rPr>
        <w:t>0.11</w:t>
      </w:r>
      <w:r>
        <w:rPr>
          <w:rFonts w:cs="Times New Roman"/>
        </w:rPr>
        <w:t xml:space="preserve">9, P = </w:t>
      </w:r>
      <w:r w:rsidRPr="00E4770D">
        <w:rPr>
          <w:rFonts w:cs="Times New Roman"/>
        </w:rPr>
        <w:t>0.001</w:t>
      </w:r>
      <w:r>
        <w:rPr>
          <w:rFonts w:cs="Times New Roman"/>
        </w:rPr>
        <w:t>; Jaccard R</w:t>
      </w:r>
      <w:r>
        <w:rPr>
          <w:rFonts w:cs="Times New Roman"/>
          <w:vertAlign w:val="superscript"/>
        </w:rPr>
        <w:t>2</w:t>
      </w:r>
      <w:r>
        <w:rPr>
          <w:rFonts w:cs="Times New Roman"/>
        </w:rPr>
        <w:t xml:space="preserve"> = </w:t>
      </w:r>
      <w:r w:rsidRPr="00E4770D">
        <w:rPr>
          <w:rFonts w:cs="Times New Roman"/>
        </w:rPr>
        <w:t>0.111</w:t>
      </w:r>
      <w:r>
        <w:rPr>
          <w:rFonts w:cs="Times New Roman"/>
        </w:rPr>
        <w:t xml:space="preserve">, P = </w:t>
      </w:r>
      <w:r w:rsidRPr="00E4770D">
        <w:rPr>
          <w:rFonts w:cs="Times New Roman"/>
        </w:rPr>
        <w:t>0.001</w:t>
      </w:r>
      <w:r>
        <w:rPr>
          <w:rFonts w:cs="Times New Roman"/>
        </w:rPr>
        <w:t>).</w:t>
      </w:r>
    </w:p>
    <w:p w14:paraId="55B22E6A" w14:textId="77777777" w:rsidR="005C7880" w:rsidRPr="005E196F" w:rsidRDefault="005C7880" w:rsidP="005C7880">
      <w:pPr>
        <w:spacing w:line="480" w:lineRule="auto"/>
        <w:contextualSpacing/>
        <w:rPr>
          <w:rFonts w:cs="Times New Roman"/>
        </w:rPr>
      </w:pPr>
    </w:p>
    <w:p w14:paraId="2FAB8980" w14:textId="77777777" w:rsidR="005C7880" w:rsidRDefault="005C7880" w:rsidP="005C7880">
      <w:pPr>
        <w:spacing w:line="480" w:lineRule="auto"/>
        <w:contextualSpacing/>
        <w:rPr>
          <w:rFonts w:cs="Times New Roman"/>
        </w:rPr>
      </w:pPr>
      <w:r w:rsidRPr="005E196F">
        <w:rPr>
          <w:rFonts w:cs="Times New Roman"/>
          <w:b/>
          <w:bCs/>
        </w:rPr>
        <w:t xml:space="preserve">Endogenous </w:t>
      </w:r>
      <w:r>
        <w:rPr>
          <w:rFonts w:cs="Times New Roman"/>
          <w:b/>
          <w:bCs/>
        </w:rPr>
        <w:t xml:space="preserve">microbiota across geckos in the genus </w:t>
      </w:r>
      <w:r w:rsidRPr="007B3DF8">
        <w:rPr>
          <w:rFonts w:cs="Times New Roman"/>
          <w:b/>
          <w:bCs/>
          <w:i/>
          <w:iCs/>
        </w:rPr>
        <w:t>Gekko</w:t>
      </w:r>
    </w:p>
    <w:p w14:paraId="62C6CA0A" w14:textId="77777777" w:rsidR="005C7880" w:rsidRDefault="005C7880" w:rsidP="005C7880">
      <w:pPr>
        <w:spacing w:line="480" w:lineRule="auto"/>
        <w:contextualSpacing/>
        <w:rPr>
          <w:rFonts w:cs="Times New Roman"/>
        </w:rPr>
      </w:pPr>
      <w:r>
        <w:rPr>
          <w:rFonts w:cs="Times New Roman"/>
        </w:rPr>
        <w:t xml:space="preserve">We collected samples from five </w:t>
      </w:r>
      <w:r>
        <w:rPr>
          <w:rFonts w:cs="Times New Roman"/>
          <w:i/>
          <w:iCs/>
        </w:rPr>
        <w:t xml:space="preserve">Gekko </w:t>
      </w:r>
      <w:r>
        <w:rPr>
          <w:rFonts w:cs="Times New Roman"/>
        </w:rPr>
        <w:t>species</w:t>
      </w:r>
      <w:r>
        <w:rPr>
          <w:rFonts w:cs="Times New Roman"/>
          <w:i/>
          <w:iCs/>
        </w:rPr>
        <w:t xml:space="preserve"> </w:t>
      </w:r>
      <w:r>
        <w:rPr>
          <w:rFonts w:cs="Times New Roman"/>
        </w:rPr>
        <w:t xml:space="preserve">at five distinct sites across the Philippines: </w:t>
      </w:r>
      <w:r w:rsidRPr="0098667A">
        <w:rPr>
          <w:rFonts w:cs="Times New Roman"/>
        </w:rPr>
        <w:t>Cagbang</w:t>
      </w:r>
      <w:r>
        <w:rPr>
          <w:rFonts w:cs="Times New Roman"/>
        </w:rPr>
        <w:t xml:space="preserve">, </w:t>
      </w:r>
      <w:r w:rsidRPr="0098667A">
        <w:rPr>
          <w:rFonts w:cs="Times New Roman"/>
        </w:rPr>
        <w:t>Magsidel</w:t>
      </w:r>
      <w:r>
        <w:rPr>
          <w:rFonts w:cs="Times New Roman"/>
        </w:rPr>
        <w:t>,</w:t>
      </w:r>
      <w:r w:rsidRPr="0098667A">
        <w:rPr>
          <w:rFonts w:cs="Times New Roman"/>
        </w:rPr>
        <w:t xml:space="preserve"> Mt. Palali</w:t>
      </w:r>
      <w:r>
        <w:rPr>
          <w:rFonts w:cs="Times New Roman"/>
        </w:rPr>
        <w:t>,</w:t>
      </w:r>
      <w:r w:rsidRPr="0098667A">
        <w:rPr>
          <w:rFonts w:cs="Times New Roman"/>
        </w:rPr>
        <w:t xml:space="preserve"> Nasiping</w:t>
      </w:r>
      <w:r>
        <w:rPr>
          <w:rFonts w:cs="Times New Roman"/>
        </w:rPr>
        <w:t>, and</w:t>
      </w:r>
      <w:r w:rsidRPr="0098667A">
        <w:rPr>
          <w:rFonts w:cs="Times New Roman"/>
        </w:rPr>
        <w:t xml:space="preserve"> Tapao Falls </w:t>
      </w:r>
      <w:r>
        <w:rPr>
          <w:rFonts w:cs="Times New Roman"/>
        </w:rPr>
        <w:t>(</w:t>
      </w:r>
      <w:r w:rsidRPr="000D0A20">
        <w:rPr>
          <w:rFonts w:cs="Times New Roman"/>
        </w:rPr>
        <w:t>Table 1, Fig. 1</w:t>
      </w:r>
      <w:r>
        <w:rPr>
          <w:rFonts w:cs="Times New Roman"/>
        </w:rPr>
        <w:t xml:space="preserve">). We only sampled one species of </w:t>
      </w:r>
      <w:r>
        <w:rPr>
          <w:rFonts w:cs="Times New Roman"/>
          <w:i/>
          <w:iCs/>
        </w:rPr>
        <w:t>Gekko</w:t>
      </w:r>
      <w:r>
        <w:rPr>
          <w:rFonts w:cs="Times New Roman"/>
        </w:rPr>
        <w:t xml:space="preserve"> per site and, as such, host species and host locality are confounded in subsequent analyses here and only host species comparisons are included. Microbial compositions within samples from species of </w:t>
      </w:r>
      <w:r>
        <w:rPr>
          <w:rFonts w:cs="Times New Roman"/>
          <w:i/>
          <w:iCs/>
        </w:rPr>
        <w:t>Gekko</w:t>
      </w:r>
      <w:r>
        <w:rPr>
          <w:rFonts w:cs="Times New Roman"/>
        </w:rPr>
        <w:t xml:space="preserve"> varied by host taxon with consistent, high prevalence of Proteobacteria, Firmicutes, and Bacteroidetes (</w:t>
      </w:r>
      <w:r w:rsidRPr="000D0A20">
        <w:rPr>
          <w:rFonts w:cs="Times New Roman"/>
        </w:rPr>
        <w:t>Figs. 2, 4</w:t>
      </w:r>
      <w:r>
        <w:rPr>
          <w:rFonts w:cs="Times New Roman"/>
        </w:rPr>
        <w:t xml:space="preserve">). No OTUs were found to vary in relative abundance across all five host species in the genus </w:t>
      </w:r>
      <w:r>
        <w:rPr>
          <w:rFonts w:cs="Times New Roman"/>
          <w:i/>
          <w:iCs/>
        </w:rPr>
        <w:t>Gekko</w:t>
      </w:r>
      <w:r>
        <w:rPr>
          <w:rFonts w:cs="Times New Roman"/>
        </w:rPr>
        <w:t xml:space="preserve">. Only nine OTUs were found in </w:t>
      </w:r>
      <w:r w:rsidRPr="005E196F">
        <w:rPr>
          <w:rFonts w:cs="Times New Roman"/>
        </w:rPr>
        <w:t>≥</w:t>
      </w:r>
      <w:r>
        <w:rPr>
          <w:rFonts w:cs="Times New Roman"/>
        </w:rPr>
        <w:t xml:space="preserve"> </w:t>
      </w:r>
      <w:r w:rsidRPr="005E196F">
        <w:rPr>
          <w:rFonts w:cs="Times New Roman"/>
        </w:rPr>
        <w:t>70%</w:t>
      </w:r>
      <w:r>
        <w:rPr>
          <w:rFonts w:cs="Times New Roman"/>
        </w:rPr>
        <w:t xml:space="preserve"> of all rarified samples from these hosts although within species, a greater number of shared OTUs was common (</w:t>
      </w:r>
      <w:r w:rsidRPr="000D0A20">
        <w:rPr>
          <w:rFonts w:cs="Times New Roman"/>
        </w:rPr>
        <w:t>Appendix 2</w:t>
      </w:r>
      <w:r>
        <w:rPr>
          <w:rFonts w:cs="Times New Roman"/>
        </w:rPr>
        <w:t xml:space="preserve">). For instance, 24 OTUs were found in all </w:t>
      </w:r>
      <w:r>
        <w:rPr>
          <w:rFonts w:cs="Times New Roman"/>
          <w:i/>
          <w:iCs/>
        </w:rPr>
        <w:t>G</w:t>
      </w:r>
      <w:r w:rsidRPr="002812CE">
        <w:rPr>
          <w:rFonts w:cs="Times New Roman"/>
        </w:rPr>
        <w:t xml:space="preserve">. </w:t>
      </w:r>
      <w:r w:rsidRPr="00831E03">
        <w:rPr>
          <w:rFonts w:cs="Times New Roman"/>
          <w:i/>
          <w:iCs/>
        </w:rPr>
        <w:t>mindorensis</w:t>
      </w:r>
      <w:r>
        <w:rPr>
          <w:rFonts w:cs="Times New Roman"/>
        </w:rPr>
        <w:t xml:space="preserve"> samples while 13 OTUs were identified in all </w:t>
      </w:r>
      <w:r>
        <w:rPr>
          <w:rFonts w:cs="Times New Roman"/>
          <w:i/>
          <w:iCs/>
        </w:rPr>
        <w:t xml:space="preserve">G. gecko </w:t>
      </w:r>
      <w:r>
        <w:rPr>
          <w:rFonts w:cs="Times New Roman"/>
        </w:rPr>
        <w:t xml:space="preserve">samples, four in all </w:t>
      </w:r>
      <w:r w:rsidRPr="002812CE">
        <w:rPr>
          <w:rFonts w:cs="Times New Roman"/>
        </w:rPr>
        <w:t>G</w:t>
      </w:r>
      <w:r>
        <w:rPr>
          <w:rFonts w:cs="Times New Roman"/>
          <w:i/>
          <w:iCs/>
        </w:rPr>
        <w:t xml:space="preserve">. crombota </w:t>
      </w:r>
      <w:r>
        <w:rPr>
          <w:rFonts w:cs="Times New Roman"/>
        </w:rPr>
        <w:t>samples, and four in most (</w:t>
      </w:r>
      <w:r w:rsidRPr="005E196F">
        <w:rPr>
          <w:rFonts w:cs="Times New Roman"/>
        </w:rPr>
        <w:t>≥</w:t>
      </w:r>
      <w:r>
        <w:rPr>
          <w:rFonts w:cs="Times New Roman"/>
        </w:rPr>
        <w:t xml:space="preserve"> 85</w:t>
      </w:r>
      <w:r w:rsidRPr="005E196F">
        <w:rPr>
          <w:rFonts w:cs="Times New Roman"/>
        </w:rPr>
        <w:t>%</w:t>
      </w:r>
      <w:r>
        <w:rPr>
          <w:rFonts w:cs="Times New Roman"/>
        </w:rPr>
        <w:t xml:space="preserve">) </w:t>
      </w:r>
      <w:r>
        <w:rPr>
          <w:rFonts w:cs="Times New Roman"/>
          <w:i/>
          <w:iCs/>
        </w:rPr>
        <w:t xml:space="preserve">G. rossi </w:t>
      </w:r>
      <w:r>
        <w:rPr>
          <w:rFonts w:cs="Times New Roman"/>
        </w:rPr>
        <w:t>samples.</w:t>
      </w:r>
    </w:p>
    <w:p w14:paraId="7F41D9F7" w14:textId="77777777" w:rsidR="005C7880" w:rsidRDefault="005C7880" w:rsidP="005C7880">
      <w:pPr>
        <w:spacing w:line="480" w:lineRule="auto"/>
        <w:ind w:firstLine="360"/>
        <w:contextualSpacing/>
        <w:rPr>
          <w:rFonts w:cs="Times New Roman"/>
        </w:rPr>
      </w:pPr>
      <w:r>
        <w:rPr>
          <w:rFonts w:cs="Times New Roman"/>
        </w:rPr>
        <w:t xml:space="preserve">We found no significant difference in the number of OTUs between host species nor a difference in the Shannon index, though there was significant differentiation in Faith’s PD between </w:t>
      </w:r>
      <w:r>
        <w:rPr>
          <w:rFonts w:cs="Times New Roman"/>
          <w:i/>
          <w:iCs/>
        </w:rPr>
        <w:t xml:space="preserve">Gekko </w:t>
      </w:r>
      <w:r>
        <w:rPr>
          <w:rFonts w:cs="Times New Roman"/>
        </w:rPr>
        <w:t>species (</w:t>
      </w:r>
      <w:r>
        <w:rPr>
          <w:rFonts w:cs="Times New Roman"/>
          <w:i/>
          <w:iCs/>
        </w:rPr>
        <w:t xml:space="preserve">F </w:t>
      </w:r>
      <w:r>
        <w:rPr>
          <w:rFonts w:cs="Times New Roman"/>
        </w:rPr>
        <w:t xml:space="preserve">= 3.287, P = </w:t>
      </w:r>
      <w:r w:rsidRPr="00296BB6">
        <w:rPr>
          <w:rFonts w:cs="Times New Roman"/>
        </w:rPr>
        <w:t>0.03</w:t>
      </w:r>
      <w:r>
        <w:rPr>
          <w:rFonts w:cs="Times New Roman"/>
        </w:rPr>
        <w:t xml:space="preserve">2). Post-hoc analyses indicated this significance was driven by the </w:t>
      </w:r>
      <w:r>
        <w:rPr>
          <w:rFonts w:cs="Times New Roman"/>
          <w:i/>
          <w:iCs/>
        </w:rPr>
        <w:t>G. rossi</w:t>
      </w:r>
      <w:r>
        <w:rPr>
          <w:rFonts w:cs="Times New Roman"/>
        </w:rPr>
        <w:t>-</w:t>
      </w:r>
      <w:r>
        <w:rPr>
          <w:rFonts w:cs="Times New Roman"/>
          <w:i/>
          <w:iCs/>
        </w:rPr>
        <w:t>G. mindorensis</w:t>
      </w:r>
      <w:r>
        <w:rPr>
          <w:rFonts w:cs="Times New Roman"/>
        </w:rPr>
        <w:t xml:space="preserve"> pairwise comparison (P = 0.</w:t>
      </w:r>
      <w:r w:rsidRPr="00296BB6">
        <w:rPr>
          <w:rFonts w:cs="Times New Roman"/>
        </w:rPr>
        <w:t>01</w:t>
      </w:r>
      <w:r>
        <w:rPr>
          <w:rFonts w:cs="Times New Roman"/>
        </w:rPr>
        <w:t xml:space="preserve">3; </w:t>
      </w:r>
      <w:r w:rsidRPr="000D0A20">
        <w:rPr>
          <w:rFonts w:cs="Times New Roman"/>
        </w:rPr>
        <w:t>Sup. 3A</w:t>
      </w:r>
      <w:r w:rsidRPr="008312EA">
        <w:rPr>
          <w:rFonts w:cs="Times New Roman"/>
        </w:rPr>
        <w:t>).</w:t>
      </w:r>
      <w:r>
        <w:rPr>
          <w:rFonts w:cs="Times New Roman"/>
        </w:rPr>
        <w:t xml:space="preserve"> Grouping by host range extents and host body size classes respectively found significant differences in observed OTUs (widespread mean = 130.22, microendemic = 92.00; </w:t>
      </w:r>
      <w:r>
        <w:rPr>
          <w:rFonts w:cs="Times New Roman"/>
          <w:i/>
          <w:iCs/>
        </w:rPr>
        <w:t xml:space="preserve">F </w:t>
      </w:r>
      <w:r>
        <w:rPr>
          <w:rFonts w:cs="Times New Roman"/>
        </w:rPr>
        <w:t xml:space="preserve">= 5.198, P = 0.032; larger body mean = 96.10, smaller = 144.40; </w:t>
      </w:r>
      <w:r>
        <w:rPr>
          <w:rFonts w:cs="Times New Roman"/>
          <w:i/>
          <w:iCs/>
        </w:rPr>
        <w:t xml:space="preserve">F </w:t>
      </w:r>
      <w:r>
        <w:rPr>
          <w:rFonts w:cs="Times New Roman"/>
        </w:rPr>
        <w:t xml:space="preserve">= 5.909, P = </w:t>
      </w:r>
      <w:r w:rsidRPr="002324E1">
        <w:rPr>
          <w:rFonts w:cs="Times New Roman"/>
        </w:rPr>
        <w:t>0.023</w:t>
      </w:r>
      <w:r>
        <w:rPr>
          <w:rFonts w:cs="Times New Roman"/>
        </w:rPr>
        <w:t xml:space="preserve">; </w:t>
      </w:r>
      <w:r w:rsidRPr="00113B16">
        <w:rPr>
          <w:rFonts w:cs="Times New Roman"/>
        </w:rPr>
        <w:t>Sup. 4A) and Faith’s PD (</w:t>
      </w:r>
      <w:r>
        <w:rPr>
          <w:rFonts w:cs="Times New Roman"/>
          <w:i/>
          <w:iCs/>
        </w:rPr>
        <w:t xml:space="preserve">F </w:t>
      </w:r>
      <w:r>
        <w:rPr>
          <w:rFonts w:cs="Times New Roman"/>
        </w:rPr>
        <w:t xml:space="preserve">= 6.004, </w:t>
      </w:r>
      <w:r w:rsidRPr="00113B16">
        <w:rPr>
          <w:rFonts w:cs="Times New Roman"/>
        </w:rPr>
        <w:t xml:space="preserve">P = 0.022; </w:t>
      </w:r>
      <w:r>
        <w:rPr>
          <w:rFonts w:cs="Times New Roman"/>
          <w:i/>
          <w:iCs/>
        </w:rPr>
        <w:t xml:space="preserve">F </w:t>
      </w:r>
      <w:r>
        <w:rPr>
          <w:rFonts w:cs="Times New Roman"/>
        </w:rPr>
        <w:t xml:space="preserve">= 9.846, </w:t>
      </w:r>
      <w:r w:rsidRPr="00113B16">
        <w:rPr>
          <w:rFonts w:cs="Times New Roman"/>
        </w:rPr>
        <w:t>P =</w:t>
      </w:r>
      <w:r w:rsidRPr="00113B16">
        <w:t xml:space="preserve"> </w:t>
      </w:r>
      <w:r w:rsidRPr="00113B16">
        <w:rPr>
          <w:rFonts w:cs="Times New Roman"/>
        </w:rPr>
        <w:t>0.00</w:t>
      </w:r>
      <w:r>
        <w:rPr>
          <w:rFonts w:cs="Times New Roman"/>
        </w:rPr>
        <w:t>5</w:t>
      </w:r>
      <w:r w:rsidRPr="00113B16">
        <w:rPr>
          <w:rFonts w:cs="Times New Roman"/>
        </w:rPr>
        <w:t>; Sup. 4B</w:t>
      </w:r>
      <w:r>
        <w:rPr>
          <w:rFonts w:cs="Times New Roman"/>
        </w:rPr>
        <w:t>). No significant differences were found when grouping by forest obligates and human commensals.</w:t>
      </w:r>
    </w:p>
    <w:p w14:paraId="1C53CDFF" w14:textId="77777777" w:rsidR="005C7880" w:rsidRDefault="005C7880" w:rsidP="005C7880">
      <w:pPr>
        <w:spacing w:line="480" w:lineRule="auto"/>
        <w:ind w:firstLine="360"/>
        <w:contextualSpacing/>
        <w:rPr>
          <w:rFonts w:cs="Times New Roman"/>
        </w:rPr>
      </w:pPr>
      <w:r>
        <w:rPr>
          <w:rFonts w:cs="Times New Roman"/>
        </w:rPr>
        <w:t>Microbial community composition varied significantly by host species in the unweighted UniFrac and Jaccard index metrics (</w:t>
      </w:r>
      <w:r w:rsidRPr="00E023AE">
        <w:rPr>
          <w:rFonts w:cs="Times New Roman"/>
        </w:rPr>
        <w:t>R</w:t>
      </w:r>
      <w:r w:rsidRPr="00E023AE">
        <w:rPr>
          <w:rFonts w:cs="Times New Roman"/>
          <w:vertAlign w:val="superscript"/>
        </w:rPr>
        <w:t>2</w:t>
      </w:r>
      <w:r w:rsidRPr="00E023AE">
        <w:rPr>
          <w:rFonts w:cs="Times New Roman"/>
        </w:rPr>
        <w:t xml:space="preserve"> = </w:t>
      </w:r>
      <w:r w:rsidRPr="00296BB6">
        <w:rPr>
          <w:rFonts w:cs="Times New Roman"/>
        </w:rPr>
        <w:t>0.270</w:t>
      </w:r>
      <w:r>
        <w:rPr>
          <w:rFonts w:cs="Times New Roman"/>
        </w:rPr>
        <w:t>,</w:t>
      </w:r>
      <w:r w:rsidRPr="00296BB6">
        <w:rPr>
          <w:rFonts w:cs="Times New Roman"/>
        </w:rPr>
        <w:t xml:space="preserve"> </w:t>
      </w:r>
      <w:r w:rsidRPr="00E023AE">
        <w:rPr>
          <w:rFonts w:cs="Times New Roman"/>
        </w:rPr>
        <w:t xml:space="preserve">P = </w:t>
      </w:r>
      <w:r w:rsidRPr="00296BB6">
        <w:rPr>
          <w:rFonts w:cs="Times New Roman"/>
        </w:rPr>
        <w:t>0.001</w:t>
      </w:r>
      <w:r>
        <w:rPr>
          <w:rFonts w:cs="Times New Roman"/>
        </w:rPr>
        <w:t xml:space="preserve">; </w:t>
      </w:r>
      <w:r w:rsidRPr="00E023AE">
        <w:rPr>
          <w:rFonts w:cs="Times New Roman"/>
        </w:rPr>
        <w:t>R</w:t>
      </w:r>
      <w:r w:rsidRPr="00E023AE">
        <w:rPr>
          <w:rFonts w:cs="Times New Roman"/>
          <w:vertAlign w:val="superscript"/>
        </w:rPr>
        <w:t>2</w:t>
      </w:r>
      <w:r w:rsidRPr="00E023AE">
        <w:rPr>
          <w:rFonts w:cs="Times New Roman"/>
        </w:rPr>
        <w:t xml:space="preserve"> = </w:t>
      </w:r>
      <w:r w:rsidRPr="00296BB6">
        <w:rPr>
          <w:rFonts w:cs="Times New Roman"/>
        </w:rPr>
        <w:t>0.25</w:t>
      </w:r>
      <w:r>
        <w:rPr>
          <w:rFonts w:cs="Times New Roman"/>
        </w:rPr>
        <w:t>6,</w:t>
      </w:r>
      <w:r w:rsidRPr="00296BB6">
        <w:rPr>
          <w:rFonts w:cs="Times New Roman"/>
        </w:rPr>
        <w:t xml:space="preserve"> </w:t>
      </w:r>
      <w:r w:rsidRPr="00E023AE">
        <w:rPr>
          <w:rFonts w:cs="Times New Roman"/>
        </w:rPr>
        <w:t xml:space="preserve">P = </w:t>
      </w:r>
      <w:r w:rsidRPr="00296BB6">
        <w:rPr>
          <w:rFonts w:cs="Times New Roman"/>
        </w:rPr>
        <w:t>0.001</w:t>
      </w:r>
      <w:r>
        <w:rPr>
          <w:rFonts w:cs="Times New Roman"/>
        </w:rPr>
        <w:t xml:space="preserve">; Fig. 4) but not in the weighted UniFrac metric, suggesting rare OTUs rather than more relatively abundant taxa are driving observed differences in microbial assemblages between hosts in the genus </w:t>
      </w:r>
      <w:r>
        <w:rPr>
          <w:rFonts w:cs="Times New Roman"/>
          <w:i/>
          <w:iCs/>
        </w:rPr>
        <w:t>Gekko</w:t>
      </w:r>
      <w:r>
        <w:rPr>
          <w:rFonts w:cs="Times New Roman"/>
        </w:rPr>
        <w:t>. Aside from host species identity, multiple other ecoevolutionary factors showed statistically significant, yet weaker differences between grouping schemes in the unweighted UniFrac and Jaccard distance metrics. These included grouping by</w:t>
      </w:r>
      <w:r w:rsidRPr="00D14822">
        <w:rPr>
          <w:rFonts w:cs="Times New Roman"/>
        </w:rPr>
        <w:t xml:space="preserve"> </w:t>
      </w:r>
      <w:r>
        <w:rPr>
          <w:rFonts w:cs="Times New Roman"/>
        </w:rPr>
        <w:t>species distribution patterns (R</w:t>
      </w:r>
      <w:r w:rsidRPr="00E023AE">
        <w:rPr>
          <w:rFonts w:cs="Times New Roman"/>
          <w:vertAlign w:val="superscript"/>
        </w:rPr>
        <w:t>2</w:t>
      </w:r>
      <w:r w:rsidRPr="00E023AE">
        <w:rPr>
          <w:rFonts w:cs="Times New Roman"/>
        </w:rPr>
        <w:t xml:space="preserve"> =</w:t>
      </w:r>
      <w:r>
        <w:rPr>
          <w:rFonts w:cs="Times New Roman"/>
        </w:rPr>
        <w:t xml:space="preserve"> </w:t>
      </w:r>
      <w:r w:rsidRPr="007B6CB3">
        <w:rPr>
          <w:rFonts w:cs="Times New Roman"/>
        </w:rPr>
        <w:t>0.07</w:t>
      </w:r>
      <w:r>
        <w:rPr>
          <w:rFonts w:cs="Times New Roman"/>
        </w:rPr>
        <w:t>6, P =</w:t>
      </w:r>
      <w:r w:rsidRPr="007B6CB3">
        <w:rPr>
          <w:rFonts w:cs="Times New Roman"/>
        </w:rPr>
        <w:t xml:space="preserve"> 0.014</w:t>
      </w:r>
      <w:r>
        <w:rPr>
          <w:rFonts w:cs="Times New Roman"/>
        </w:rPr>
        <w:t>; Jaccard R</w:t>
      </w:r>
      <w:r w:rsidRPr="00E023AE">
        <w:rPr>
          <w:rFonts w:cs="Times New Roman"/>
          <w:vertAlign w:val="superscript"/>
        </w:rPr>
        <w:t>2</w:t>
      </w:r>
      <w:r w:rsidRPr="00E023AE">
        <w:rPr>
          <w:rFonts w:cs="Times New Roman"/>
        </w:rPr>
        <w:t xml:space="preserve"> =</w:t>
      </w:r>
      <w:r>
        <w:rPr>
          <w:rFonts w:cs="Times New Roman"/>
        </w:rPr>
        <w:t xml:space="preserve"> </w:t>
      </w:r>
      <w:r w:rsidRPr="007B6CB3">
        <w:rPr>
          <w:rFonts w:cs="Times New Roman"/>
        </w:rPr>
        <w:t>0.073</w:t>
      </w:r>
      <w:r>
        <w:rPr>
          <w:rFonts w:cs="Times New Roman"/>
        </w:rPr>
        <w:t>, P</w:t>
      </w:r>
      <w:r w:rsidRPr="00E023AE">
        <w:rPr>
          <w:rFonts w:cs="Times New Roman"/>
        </w:rPr>
        <w:t xml:space="preserve"> =</w:t>
      </w:r>
      <w:r>
        <w:rPr>
          <w:rFonts w:cs="Times New Roman"/>
        </w:rPr>
        <w:t xml:space="preserve"> </w:t>
      </w:r>
      <w:r w:rsidRPr="007B6CB3">
        <w:rPr>
          <w:rFonts w:cs="Times New Roman"/>
        </w:rPr>
        <w:t>0.003</w:t>
      </w:r>
      <w:r>
        <w:rPr>
          <w:rFonts w:cs="Times New Roman"/>
        </w:rPr>
        <w:t>) and host maximum body size (unweighted UniFrac R</w:t>
      </w:r>
      <w:r w:rsidRPr="00E023AE">
        <w:rPr>
          <w:rFonts w:cs="Times New Roman"/>
          <w:vertAlign w:val="superscript"/>
        </w:rPr>
        <w:t>2</w:t>
      </w:r>
      <w:r w:rsidRPr="00E023AE">
        <w:rPr>
          <w:rFonts w:cs="Times New Roman"/>
        </w:rPr>
        <w:t xml:space="preserve"> =</w:t>
      </w:r>
      <w:r>
        <w:rPr>
          <w:rFonts w:cs="Times New Roman"/>
        </w:rPr>
        <w:t xml:space="preserve"> </w:t>
      </w:r>
      <w:r w:rsidRPr="007B6CB3">
        <w:rPr>
          <w:rFonts w:cs="Times New Roman"/>
        </w:rPr>
        <w:t>0.10</w:t>
      </w:r>
      <w:r>
        <w:rPr>
          <w:rFonts w:cs="Times New Roman"/>
        </w:rPr>
        <w:t>4,</w:t>
      </w:r>
      <w:r w:rsidRPr="007B6CB3">
        <w:rPr>
          <w:rFonts w:cs="Times New Roman"/>
        </w:rPr>
        <w:t xml:space="preserve"> </w:t>
      </w:r>
      <w:r>
        <w:rPr>
          <w:rFonts w:cs="Times New Roman"/>
        </w:rPr>
        <w:t>P =</w:t>
      </w:r>
      <w:r w:rsidRPr="007B6CB3">
        <w:rPr>
          <w:rFonts w:cs="Times New Roman"/>
        </w:rPr>
        <w:t xml:space="preserve"> 0.001</w:t>
      </w:r>
      <w:r>
        <w:rPr>
          <w:rFonts w:cs="Times New Roman"/>
        </w:rPr>
        <w:t>; Jaccard R</w:t>
      </w:r>
      <w:r w:rsidRPr="00E023AE">
        <w:rPr>
          <w:rFonts w:cs="Times New Roman"/>
          <w:vertAlign w:val="superscript"/>
        </w:rPr>
        <w:t>2</w:t>
      </w:r>
      <w:r w:rsidRPr="00E023AE">
        <w:rPr>
          <w:rFonts w:cs="Times New Roman"/>
        </w:rPr>
        <w:t xml:space="preserve"> =</w:t>
      </w:r>
      <w:r>
        <w:rPr>
          <w:rFonts w:cs="Times New Roman"/>
        </w:rPr>
        <w:t xml:space="preserve"> </w:t>
      </w:r>
      <w:r w:rsidRPr="007B6CB3">
        <w:rPr>
          <w:rFonts w:cs="Times New Roman"/>
        </w:rPr>
        <w:t>0.0</w:t>
      </w:r>
      <w:r>
        <w:rPr>
          <w:rFonts w:cs="Times New Roman"/>
        </w:rPr>
        <w:t>80,</w:t>
      </w:r>
      <w:r w:rsidRPr="007B6CB3">
        <w:rPr>
          <w:rFonts w:cs="Times New Roman"/>
        </w:rPr>
        <w:t xml:space="preserve"> </w:t>
      </w:r>
      <w:r>
        <w:rPr>
          <w:rFonts w:cs="Times New Roman"/>
        </w:rPr>
        <w:t>P =</w:t>
      </w:r>
      <w:r w:rsidRPr="007B6CB3">
        <w:rPr>
          <w:rFonts w:cs="Times New Roman"/>
        </w:rPr>
        <w:t xml:space="preserve"> 0.001</w:t>
      </w:r>
      <w:r>
        <w:rPr>
          <w:rFonts w:cs="Times New Roman"/>
        </w:rPr>
        <w:t>). Grouping by broad habitat associations only recovered significant, yet weak, distinctions in the Jaccard metric (R</w:t>
      </w:r>
      <w:r w:rsidRPr="00E023AE">
        <w:rPr>
          <w:rFonts w:cs="Times New Roman"/>
          <w:vertAlign w:val="superscript"/>
        </w:rPr>
        <w:t>2</w:t>
      </w:r>
      <w:r w:rsidRPr="00E023AE">
        <w:rPr>
          <w:rFonts w:cs="Times New Roman"/>
        </w:rPr>
        <w:t xml:space="preserve"> =</w:t>
      </w:r>
      <w:r>
        <w:rPr>
          <w:rFonts w:cs="Times New Roman"/>
        </w:rPr>
        <w:t xml:space="preserve"> </w:t>
      </w:r>
      <w:r w:rsidRPr="007B6CB3">
        <w:rPr>
          <w:rFonts w:cs="Times New Roman"/>
        </w:rPr>
        <w:t>0.06</w:t>
      </w:r>
      <w:r>
        <w:rPr>
          <w:rFonts w:cs="Times New Roman"/>
        </w:rPr>
        <w:t>4, P =</w:t>
      </w:r>
      <w:r w:rsidRPr="007B6CB3">
        <w:rPr>
          <w:rFonts w:cs="Times New Roman"/>
        </w:rPr>
        <w:t xml:space="preserve"> 0.009</w:t>
      </w:r>
      <w:r>
        <w:rPr>
          <w:rFonts w:cs="Times New Roman"/>
        </w:rPr>
        <w:t xml:space="preserve">). The average Jaccard distance between any two species within the genus was 0.88 and pairwise comparisons between species varied from 0.84 on average between </w:t>
      </w:r>
      <w:r>
        <w:rPr>
          <w:rFonts w:cs="Times New Roman"/>
          <w:i/>
          <w:iCs/>
        </w:rPr>
        <w:t>G. crombota</w:t>
      </w:r>
      <w:r>
        <w:rPr>
          <w:rFonts w:cs="Times New Roman"/>
        </w:rPr>
        <w:t xml:space="preserve"> and </w:t>
      </w:r>
      <w:r>
        <w:rPr>
          <w:rFonts w:cs="Times New Roman"/>
          <w:i/>
          <w:iCs/>
        </w:rPr>
        <w:t xml:space="preserve">G. mindorensis </w:t>
      </w:r>
      <w:r>
        <w:rPr>
          <w:rFonts w:cs="Times New Roman"/>
        </w:rPr>
        <w:t xml:space="preserve">and 0.94 between </w:t>
      </w:r>
      <w:r>
        <w:rPr>
          <w:rFonts w:cs="Times New Roman"/>
          <w:i/>
          <w:iCs/>
        </w:rPr>
        <w:t xml:space="preserve">G. gecko </w:t>
      </w:r>
      <w:r>
        <w:rPr>
          <w:rFonts w:cs="Times New Roman"/>
        </w:rPr>
        <w:t xml:space="preserve">and </w:t>
      </w:r>
      <w:r>
        <w:rPr>
          <w:rFonts w:cs="Times New Roman"/>
          <w:i/>
          <w:iCs/>
        </w:rPr>
        <w:t>G. kikuchii</w:t>
      </w:r>
      <w:r>
        <w:rPr>
          <w:rFonts w:cs="Times New Roman"/>
        </w:rPr>
        <w:t>.</w:t>
      </w:r>
    </w:p>
    <w:p w14:paraId="56126D74" w14:textId="77777777" w:rsidR="005C7880" w:rsidRPr="002812CE" w:rsidRDefault="005C7880" w:rsidP="005C7880">
      <w:pPr>
        <w:spacing w:line="480" w:lineRule="auto"/>
        <w:contextualSpacing/>
        <w:rPr>
          <w:rFonts w:cs="Times New Roman"/>
        </w:rPr>
      </w:pPr>
    </w:p>
    <w:p w14:paraId="1BFDCF5D" w14:textId="77777777" w:rsidR="005C7880" w:rsidRDefault="005C7880" w:rsidP="005C7880">
      <w:pPr>
        <w:spacing w:line="480" w:lineRule="auto"/>
        <w:contextualSpacing/>
        <w:rPr>
          <w:rFonts w:cs="Times New Roman"/>
          <w:b/>
          <w:bCs/>
        </w:rPr>
      </w:pPr>
      <w:r w:rsidRPr="005E196F">
        <w:rPr>
          <w:rFonts w:cs="Times New Roman"/>
          <w:b/>
          <w:bCs/>
        </w:rPr>
        <w:t xml:space="preserve">Endogenous </w:t>
      </w:r>
      <w:r>
        <w:rPr>
          <w:rFonts w:cs="Times New Roman"/>
          <w:b/>
          <w:bCs/>
        </w:rPr>
        <w:t xml:space="preserve">microbiomes at the species level in </w:t>
      </w:r>
      <w:r w:rsidRPr="005E196F">
        <w:rPr>
          <w:rFonts w:cs="Times New Roman"/>
          <w:b/>
          <w:bCs/>
          <w:i/>
          <w:iCs/>
        </w:rPr>
        <w:t>Cyrtodactylus philippinicus</w:t>
      </w:r>
    </w:p>
    <w:p w14:paraId="7308DC8D" w14:textId="77777777" w:rsidR="005C7880" w:rsidRDefault="005C7880" w:rsidP="005C7880">
      <w:pPr>
        <w:spacing w:line="480" w:lineRule="auto"/>
        <w:contextualSpacing/>
        <w:rPr>
          <w:rFonts w:cs="Times New Roman"/>
        </w:rPr>
      </w:pPr>
      <w:r>
        <w:rPr>
          <w:rFonts w:cs="Times New Roman"/>
        </w:rPr>
        <w:t xml:space="preserve">We sampled gut microbial communities in 12 </w:t>
      </w:r>
      <w:r>
        <w:rPr>
          <w:rFonts w:cs="Times New Roman"/>
          <w:i/>
          <w:iCs/>
        </w:rPr>
        <w:t xml:space="preserve">Cyrtodactylus philippinicus </w:t>
      </w:r>
      <w:r>
        <w:rPr>
          <w:rFonts w:cs="Times New Roman"/>
        </w:rPr>
        <w:t>specimens at four distinct sites, three on Luzon Island and another on Negros Island, to assess intraspecific variability in host microbiomes at discreet sampling localities (</w:t>
      </w:r>
      <w:r w:rsidRPr="00113B16">
        <w:rPr>
          <w:rFonts w:cs="Times New Roman"/>
        </w:rPr>
        <w:t>Table 1, Fig. 1</w:t>
      </w:r>
      <w:r>
        <w:rPr>
          <w:rFonts w:cs="Times New Roman"/>
        </w:rPr>
        <w:t>). Phyla dominating microbial compositions in</w:t>
      </w:r>
      <w:r w:rsidRPr="00113B16">
        <w:rPr>
          <w:rFonts w:cs="Times New Roman"/>
          <w:i/>
          <w:iCs/>
        </w:rPr>
        <w:t xml:space="preserve"> </w:t>
      </w:r>
      <w:r>
        <w:rPr>
          <w:rFonts w:cs="Times New Roman"/>
          <w:i/>
          <w:iCs/>
        </w:rPr>
        <w:t>C</w:t>
      </w:r>
      <w:r>
        <w:rPr>
          <w:rFonts w:cs="Times New Roman"/>
        </w:rPr>
        <w:t>.</w:t>
      </w:r>
      <w:r>
        <w:rPr>
          <w:rFonts w:cs="Times New Roman"/>
          <w:i/>
          <w:iCs/>
        </w:rPr>
        <w:t xml:space="preserve"> philippinicus</w:t>
      </w:r>
      <w:r>
        <w:rPr>
          <w:rFonts w:cs="Times New Roman"/>
        </w:rPr>
        <w:t xml:space="preserve"> hosts differed by locality, with Proteobacteria always most common </w:t>
      </w:r>
      <w:r w:rsidRPr="00113B16">
        <w:rPr>
          <w:rFonts w:cs="Times New Roman"/>
        </w:rPr>
        <w:t>(Fig. 5).</w:t>
      </w:r>
      <w:r>
        <w:rPr>
          <w:rFonts w:cs="Times New Roman"/>
        </w:rPr>
        <w:t xml:space="preserve"> Firmicutes, Bacteroidetes, and Actinobacteria comprised most of the remaining reads though proportions in individual hosts varied by </w:t>
      </w:r>
      <w:r w:rsidRPr="00113B16">
        <w:rPr>
          <w:rFonts w:cs="Times New Roman"/>
        </w:rPr>
        <w:t>site (Fig. 5). Just</w:t>
      </w:r>
      <w:r>
        <w:rPr>
          <w:rFonts w:cs="Times New Roman"/>
        </w:rPr>
        <w:t xml:space="preserve"> three specific OTUs were shown to differ statistically between localities including </w:t>
      </w:r>
      <w:r w:rsidRPr="00F80892">
        <w:rPr>
          <w:rFonts w:cs="Times New Roman"/>
          <w:i/>
          <w:iCs/>
        </w:rPr>
        <w:t>Ochrobactrum</w:t>
      </w:r>
      <w:r>
        <w:rPr>
          <w:rFonts w:cs="Times New Roman"/>
          <w:i/>
          <w:iCs/>
        </w:rPr>
        <w:t xml:space="preserve"> </w:t>
      </w:r>
      <w:r>
        <w:rPr>
          <w:rFonts w:cs="Times New Roman"/>
        </w:rPr>
        <w:t xml:space="preserve">sp., an unidentified taxon in the order </w:t>
      </w:r>
      <w:r w:rsidRPr="00F80892">
        <w:rPr>
          <w:rFonts w:cs="Times New Roman"/>
        </w:rPr>
        <w:t>Bacillales</w:t>
      </w:r>
      <w:r>
        <w:rPr>
          <w:rFonts w:cs="Times New Roman"/>
        </w:rPr>
        <w:t xml:space="preserve">, and another in the family </w:t>
      </w:r>
      <w:r w:rsidRPr="00F80892">
        <w:rPr>
          <w:rFonts w:cs="Times New Roman"/>
        </w:rPr>
        <w:t>Bacteriovoracacea</w:t>
      </w:r>
      <w:r>
        <w:rPr>
          <w:rFonts w:cs="Times New Roman"/>
        </w:rPr>
        <w:t xml:space="preserve"> (</w:t>
      </w:r>
      <w:r w:rsidRPr="00113B16">
        <w:rPr>
          <w:rFonts w:cs="Times New Roman"/>
        </w:rPr>
        <w:t>Appendix 3</w:t>
      </w:r>
      <w:r>
        <w:rPr>
          <w:rFonts w:cs="Times New Roman"/>
        </w:rPr>
        <w:t xml:space="preserve">). Three OTUs were found in all </w:t>
      </w:r>
      <w:r>
        <w:rPr>
          <w:rFonts w:cs="Times New Roman"/>
          <w:i/>
          <w:iCs/>
        </w:rPr>
        <w:t xml:space="preserve">C. philippinicus </w:t>
      </w:r>
      <w:r>
        <w:rPr>
          <w:rFonts w:cs="Times New Roman"/>
        </w:rPr>
        <w:t xml:space="preserve">specimens sampled, two </w:t>
      </w:r>
      <w:r w:rsidRPr="00AE5186">
        <w:rPr>
          <w:rFonts w:cs="Times New Roman"/>
          <w:i/>
          <w:iCs/>
        </w:rPr>
        <w:t xml:space="preserve">Acinetobacter </w:t>
      </w:r>
      <w:r>
        <w:rPr>
          <w:rFonts w:cs="Times New Roman"/>
        </w:rPr>
        <w:t xml:space="preserve">spp. and a </w:t>
      </w:r>
      <w:r w:rsidRPr="00AE5186">
        <w:rPr>
          <w:rFonts w:cs="Times New Roman"/>
          <w:i/>
          <w:iCs/>
        </w:rPr>
        <w:t xml:space="preserve">Serratia </w:t>
      </w:r>
      <w:r>
        <w:rPr>
          <w:rFonts w:cs="Times New Roman"/>
        </w:rPr>
        <w:t xml:space="preserve">sp., while 13 OTUs were found in </w:t>
      </w:r>
      <w:r w:rsidRPr="005E196F">
        <w:rPr>
          <w:rFonts w:cs="Times New Roman"/>
        </w:rPr>
        <w:t>≥</w:t>
      </w:r>
      <w:r>
        <w:rPr>
          <w:rFonts w:cs="Times New Roman"/>
        </w:rPr>
        <w:t xml:space="preserve"> </w:t>
      </w:r>
      <w:r w:rsidRPr="005E196F">
        <w:rPr>
          <w:rFonts w:cs="Times New Roman"/>
        </w:rPr>
        <w:t xml:space="preserve">70% of </w:t>
      </w:r>
      <w:r>
        <w:rPr>
          <w:rFonts w:cs="Times New Roman"/>
          <w:i/>
          <w:iCs/>
        </w:rPr>
        <w:t xml:space="preserve">C. philippinicus </w:t>
      </w:r>
      <w:r>
        <w:rPr>
          <w:rFonts w:cs="Times New Roman"/>
        </w:rPr>
        <w:t>hosts.</w:t>
      </w:r>
    </w:p>
    <w:p w14:paraId="36020F26" w14:textId="77777777" w:rsidR="005C7880" w:rsidRDefault="005C7880" w:rsidP="005C7880">
      <w:pPr>
        <w:spacing w:line="480" w:lineRule="auto"/>
        <w:ind w:firstLine="360"/>
        <w:contextualSpacing/>
        <w:rPr>
          <w:rFonts w:cs="Times New Roman"/>
        </w:rPr>
      </w:pPr>
      <w:r>
        <w:rPr>
          <w:rFonts w:cs="Times New Roman"/>
        </w:rPr>
        <w:t xml:space="preserve">The number of OTUs per 1000 rarefied sequences did not vary significantly between sites, neither did the Shannon index, nor Faith’s PD. Principal coordinates analysis revealed a degree of clustering by locality in weighted and unweighted UniFrac measures and pronounced grouping in Jaccard distances. Adonis tests found significant differentiation by locality in all three beta diversity metrics (weighted UniFrac </w:t>
      </w:r>
      <w:r w:rsidRPr="00E023AE">
        <w:rPr>
          <w:rFonts w:cs="Times New Roman"/>
        </w:rPr>
        <w:t>R</w:t>
      </w:r>
      <w:r w:rsidRPr="00E023AE">
        <w:rPr>
          <w:rFonts w:cs="Times New Roman"/>
          <w:vertAlign w:val="superscript"/>
        </w:rPr>
        <w:t>2</w:t>
      </w:r>
      <w:r w:rsidRPr="00E023AE">
        <w:rPr>
          <w:rFonts w:cs="Times New Roman"/>
        </w:rPr>
        <w:t xml:space="preserve"> = 0.</w:t>
      </w:r>
      <w:r>
        <w:rPr>
          <w:rFonts w:cs="Times New Roman"/>
        </w:rPr>
        <w:t>513</w:t>
      </w:r>
      <w:r w:rsidRPr="00E023AE">
        <w:rPr>
          <w:rFonts w:cs="Times New Roman"/>
        </w:rPr>
        <w:t>, P = 0.00</w:t>
      </w:r>
      <w:r>
        <w:rPr>
          <w:rFonts w:cs="Times New Roman"/>
        </w:rPr>
        <w:t xml:space="preserve">2; unweighted UniFrac </w:t>
      </w:r>
      <w:r w:rsidRPr="00E023AE">
        <w:rPr>
          <w:rFonts w:cs="Times New Roman"/>
        </w:rPr>
        <w:t>R</w:t>
      </w:r>
      <w:r w:rsidRPr="00E023AE">
        <w:rPr>
          <w:rFonts w:cs="Times New Roman"/>
          <w:vertAlign w:val="superscript"/>
        </w:rPr>
        <w:t>2</w:t>
      </w:r>
      <w:r w:rsidRPr="00E023AE">
        <w:rPr>
          <w:rFonts w:cs="Times New Roman"/>
        </w:rPr>
        <w:t xml:space="preserve"> = 0.</w:t>
      </w:r>
      <w:r>
        <w:rPr>
          <w:rFonts w:cs="Times New Roman"/>
        </w:rPr>
        <w:t>350</w:t>
      </w:r>
      <w:r w:rsidRPr="00E023AE">
        <w:rPr>
          <w:rFonts w:cs="Times New Roman"/>
        </w:rPr>
        <w:t>, P = 0.0</w:t>
      </w:r>
      <w:r>
        <w:rPr>
          <w:rFonts w:cs="Times New Roman"/>
        </w:rPr>
        <w:t>35;</w:t>
      </w:r>
      <w:r w:rsidRPr="00E023AE">
        <w:rPr>
          <w:rFonts w:cs="Times New Roman"/>
        </w:rPr>
        <w:t xml:space="preserve"> </w:t>
      </w:r>
      <w:r>
        <w:rPr>
          <w:rFonts w:cs="Times New Roman"/>
        </w:rPr>
        <w:t xml:space="preserve">Jaccard </w:t>
      </w:r>
      <w:r w:rsidRPr="00E023AE">
        <w:rPr>
          <w:rFonts w:cs="Times New Roman"/>
        </w:rPr>
        <w:t>R</w:t>
      </w:r>
      <w:r w:rsidRPr="00E023AE">
        <w:rPr>
          <w:rFonts w:cs="Times New Roman"/>
          <w:vertAlign w:val="superscript"/>
        </w:rPr>
        <w:t>2</w:t>
      </w:r>
      <w:r w:rsidRPr="00E023AE">
        <w:rPr>
          <w:rFonts w:cs="Times New Roman"/>
        </w:rPr>
        <w:t xml:space="preserve"> = 0.</w:t>
      </w:r>
      <w:r>
        <w:rPr>
          <w:rFonts w:cs="Times New Roman"/>
        </w:rPr>
        <w:t>362</w:t>
      </w:r>
      <w:r w:rsidRPr="00E023AE">
        <w:rPr>
          <w:rFonts w:cs="Times New Roman"/>
        </w:rPr>
        <w:t>, P = 0.00</w:t>
      </w:r>
      <w:r>
        <w:rPr>
          <w:rFonts w:cs="Times New Roman"/>
        </w:rPr>
        <w:t xml:space="preserve">1; </w:t>
      </w:r>
      <w:r w:rsidRPr="00F67384">
        <w:rPr>
          <w:rFonts w:cs="Times New Roman"/>
        </w:rPr>
        <w:t>Fig. 6</w:t>
      </w:r>
      <w:r>
        <w:rPr>
          <w:rFonts w:cs="Times New Roman"/>
        </w:rPr>
        <w:t>), suggesting distinct microbial compositions between sampling sites. Grouping host-associated microbiota by host biogeographic region rather than specific host locality produced similar, though weaker, results in weighted UniFrac (</w:t>
      </w:r>
      <w:r w:rsidRPr="00E023AE">
        <w:rPr>
          <w:rFonts w:cs="Times New Roman"/>
        </w:rPr>
        <w:t>R</w:t>
      </w:r>
      <w:r w:rsidRPr="00E023AE">
        <w:rPr>
          <w:rFonts w:cs="Times New Roman"/>
          <w:vertAlign w:val="superscript"/>
        </w:rPr>
        <w:t>2</w:t>
      </w:r>
      <w:r w:rsidRPr="00E023AE">
        <w:rPr>
          <w:rFonts w:cs="Times New Roman"/>
        </w:rPr>
        <w:t xml:space="preserve"> = </w:t>
      </w:r>
      <w:r w:rsidRPr="00CD67C2">
        <w:rPr>
          <w:rFonts w:cs="Times New Roman"/>
        </w:rPr>
        <w:t>0.335</w:t>
      </w:r>
      <w:r>
        <w:rPr>
          <w:rFonts w:cs="Times New Roman"/>
        </w:rPr>
        <w:t>,</w:t>
      </w:r>
      <w:r w:rsidRPr="00CD67C2">
        <w:rPr>
          <w:rFonts w:cs="Times New Roman"/>
        </w:rPr>
        <w:t xml:space="preserve"> </w:t>
      </w:r>
      <w:r w:rsidRPr="00E023AE">
        <w:rPr>
          <w:rFonts w:cs="Times New Roman"/>
        </w:rPr>
        <w:t xml:space="preserve">P = </w:t>
      </w:r>
      <w:r w:rsidRPr="00CD67C2">
        <w:rPr>
          <w:rFonts w:cs="Times New Roman"/>
        </w:rPr>
        <w:t>0.014</w:t>
      </w:r>
      <w:r>
        <w:rPr>
          <w:rFonts w:cs="Times New Roman"/>
        </w:rPr>
        <w:t>), unweighted UniFrac (</w:t>
      </w:r>
      <w:r w:rsidRPr="00E023AE">
        <w:rPr>
          <w:rFonts w:cs="Times New Roman"/>
        </w:rPr>
        <w:t>R</w:t>
      </w:r>
      <w:r w:rsidRPr="00E023AE">
        <w:rPr>
          <w:rFonts w:cs="Times New Roman"/>
          <w:vertAlign w:val="superscript"/>
        </w:rPr>
        <w:t>2</w:t>
      </w:r>
      <w:r w:rsidRPr="00E023AE">
        <w:rPr>
          <w:rFonts w:cs="Times New Roman"/>
        </w:rPr>
        <w:t xml:space="preserve"> = </w:t>
      </w:r>
      <w:r w:rsidRPr="00CD67C2">
        <w:rPr>
          <w:rFonts w:cs="Times New Roman"/>
        </w:rPr>
        <w:t>0.241</w:t>
      </w:r>
      <w:r>
        <w:rPr>
          <w:rFonts w:cs="Times New Roman"/>
        </w:rPr>
        <w:t>,</w:t>
      </w:r>
      <w:r w:rsidRPr="00CD67C2">
        <w:rPr>
          <w:rFonts w:cs="Times New Roman"/>
        </w:rPr>
        <w:t xml:space="preserve"> </w:t>
      </w:r>
      <w:r w:rsidRPr="00E023AE">
        <w:rPr>
          <w:rFonts w:cs="Times New Roman"/>
        </w:rPr>
        <w:t xml:space="preserve">P = </w:t>
      </w:r>
      <w:r w:rsidRPr="00CD67C2">
        <w:rPr>
          <w:rFonts w:cs="Times New Roman"/>
        </w:rPr>
        <w:t>0.035</w:t>
      </w:r>
      <w:r>
        <w:rPr>
          <w:rFonts w:cs="Times New Roman"/>
        </w:rPr>
        <w:t>), and Jaccard metrics (</w:t>
      </w:r>
      <w:r w:rsidRPr="00E023AE">
        <w:rPr>
          <w:rFonts w:cs="Times New Roman"/>
        </w:rPr>
        <w:t>R</w:t>
      </w:r>
      <w:r w:rsidRPr="00E023AE">
        <w:rPr>
          <w:rFonts w:cs="Times New Roman"/>
          <w:vertAlign w:val="superscript"/>
        </w:rPr>
        <w:t>2</w:t>
      </w:r>
      <w:r w:rsidRPr="00E023AE">
        <w:rPr>
          <w:rFonts w:cs="Times New Roman"/>
        </w:rPr>
        <w:t xml:space="preserve"> = </w:t>
      </w:r>
      <w:r w:rsidRPr="00CD67C2">
        <w:rPr>
          <w:rFonts w:cs="Times New Roman"/>
        </w:rPr>
        <w:t>0.24</w:t>
      </w:r>
      <w:r>
        <w:rPr>
          <w:rFonts w:cs="Times New Roman"/>
        </w:rPr>
        <w:t xml:space="preserve">5, </w:t>
      </w:r>
      <w:r w:rsidRPr="00E023AE">
        <w:rPr>
          <w:rFonts w:cs="Times New Roman"/>
        </w:rPr>
        <w:t xml:space="preserve">P = </w:t>
      </w:r>
      <w:r w:rsidRPr="00CD67C2">
        <w:rPr>
          <w:rFonts w:cs="Times New Roman"/>
        </w:rPr>
        <w:t>0.008</w:t>
      </w:r>
      <w:r>
        <w:rPr>
          <w:rFonts w:cs="Times New Roman"/>
        </w:rPr>
        <w:t xml:space="preserve">). Jaccard distances varied by locality, ranging from 0.68 within samples at </w:t>
      </w:r>
      <w:r w:rsidRPr="00227368">
        <w:rPr>
          <w:rFonts w:cs="Times New Roman"/>
        </w:rPr>
        <w:t>Tulay</w:t>
      </w:r>
      <w:r>
        <w:rPr>
          <w:rFonts w:cs="Times New Roman"/>
        </w:rPr>
        <w:t xml:space="preserve"> </w:t>
      </w:r>
      <w:r w:rsidRPr="00227368">
        <w:rPr>
          <w:rFonts w:cs="Times New Roman"/>
        </w:rPr>
        <w:t>na</w:t>
      </w:r>
      <w:r>
        <w:rPr>
          <w:rFonts w:cs="Times New Roman"/>
        </w:rPr>
        <w:t xml:space="preserve"> </w:t>
      </w:r>
      <w:r w:rsidRPr="00227368">
        <w:rPr>
          <w:rFonts w:cs="Times New Roman"/>
        </w:rPr>
        <w:t>Lupa</w:t>
      </w:r>
      <w:r>
        <w:rPr>
          <w:rFonts w:cs="Times New Roman"/>
        </w:rPr>
        <w:t xml:space="preserve">, to 0.74 at </w:t>
      </w:r>
      <w:r w:rsidRPr="00227368">
        <w:rPr>
          <w:rFonts w:cs="Times New Roman"/>
        </w:rPr>
        <w:t>Mariroc</w:t>
      </w:r>
      <w:r>
        <w:rPr>
          <w:rFonts w:cs="Times New Roman"/>
        </w:rPr>
        <w:t xml:space="preserve">, 0.84 at Cagbang, and finally 0.86 at </w:t>
      </w:r>
      <w:r w:rsidRPr="00227368">
        <w:rPr>
          <w:rFonts w:cs="Times New Roman"/>
        </w:rPr>
        <w:t>Mt.</w:t>
      </w:r>
      <w:r>
        <w:rPr>
          <w:rFonts w:cs="Times New Roman"/>
        </w:rPr>
        <w:t xml:space="preserve"> </w:t>
      </w:r>
      <w:r w:rsidRPr="00227368">
        <w:rPr>
          <w:rFonts w:cs="Times New Roman"/>
        </w:rPr>
        <w:t>Palal</w:t>
      </w:r>
      <w:r>
        <w:rPr>
          <w:rFonts w:cs="Times New Roman"/>
        </w:rPr>
        <w:t>i.</w:t>
      </w:r>
    </w:p>
    <w:p w14:paraId="080BFD73" w14:textId="77777777" w:rsidR="005C7880" w:rsidRDefault="005C7880" w:rsidP="005C7880">
      <w:pPr>
        <w:spacing w:line="480" w:lineRule="auto"/>
        <w:contextualSpacing/>
        <w:rPr>
          <w:rFonts w:cs="Times New Roman"/>
        </w:rPr>
      </w:pPr>
    </w:p>
    <w:p w14:paraId="4F06D3AF" w14:textId="77777777" w:rsidR="005C7880" w:rsidRPr="005E196F" w:rsidRDefault="005C7880" w:rsidP="005C7880">
      <w:pPr>
        <w:spacing w:line="480" w:lineRule="auto"/>
        <w:contextualSpacing/>
        <w:rPr>
          <w:rFonts w:cs="Times New Roman"/>
          <w:b/>
          <w:bCs/>
        </w:rPr>
      </w:pPr>
      <w:r>
        <w:rPr>
          <w:rFonts w:cs="Times New Roman"/>
          <w:b/>
          <w:bCs/>
        </w:rPr>
        <w:t>Locality-specific assessments of microbial inventories in gekkonids</w:t>
      </w:r>
    </w:p>
    <w:p w14:paraId="53F3AF2C" w14:textId="77777777" w:rsidR="005C7880" w:rsidRDefault="005C7880" w:rsidP="005C7880">
      <w:pPr>
        <w:spacing w:line="480" w:lineRule="auto"/>
        <w:contextualSpacing/>
        <w:rPr>
          <w:rFonts w:cs="Times New Roman"/>
        </w:rPr>
      </w:pPr>
      <w:r>
        <w:rPr>
          <w:rFonts w:cs="Times New Roman"/>
        </w:rPr>
        <w:t xml:space="preserve">Three sites yielded samples from multiple, sympatric gekkonid species: Cagbang, Magsidel, and Mt. Palali. At Cagbang, on Negros Island, we sampled </w:t>
      </w:r>
      <w:r>
        <w:rPr>
          <w:rFonts w:cs="Times New Roman"/>
          <w:i/>
          <w:iCs/>
        </w:rPr>
        <w:t xml:space="preserve">Cyrtodactylus philippinicus </w:t>
      </w:r>
      <w:r>
        <w:rPr>
          <w:rFonts w:cs="Times New Roman"/>
        </w:rPr>
        <w:t>(</w:t>
      </w:r>
      <w:r>
        <w:rPr>
          <w:rFonts w:cs="Times New Roman"/>
          <w:i/>
          <w:iCs/>
        </w:rPr>
        <w:t>n</w:t>
      </w:r>
      <w:r>
        <w:rPr>
          <w:rFonts w:cs="Times New Roman"/>
        </w:rPr>
        <w:t xml:space="preserve"> = 2), </w:t>
      </w:r>
      <w:r>
        <w:rPr>
          <w:rFonts w:cs="Times New Roman"/>
          <w:i/>
          <w:iCs/>
        </w:rPr>
        <w:t xml:space="preserve">Gekko gecko </w:t>
      </w:r>
      <w:r>
        <w:rPr>
          <w:rFonts w:cs="Times New Roman"/>
        </w:rPr>
        <w:t>(</w:t>
      </w:r>
      <w:r>
        <w:rPr>
          <w:rFonts w:cs="Times New Roman"/>
          <w:i/>
          <w:iCs/>
        </w:rPr>
        <w:t>n</w:t>
      </w:r>
      <w:r>
        <w:rPr>
          <w:rFonts w:cs="Times New Roman"/>
        </w:rPr>
        <w:t xml:space="preserve"> = 4),</w:t>
      </w:r>
      <w:r>
        <w:rPr>
          <w:rFonts w:cs="Times New Roman"/>
          <w:i/>
          <w:iCs/>
        </w:rPr>
        <w:t xml:space="preserve"> Hemidactylus frenatus</w:t>
      </w:r>
      <w:r>
        <w:rPr>
          <w:rFonts w:cs="Times New Roman"/>
        </w:rPr>
        <w:t xml:space="preserve"> (</w:t>
      </w:r>
      <w:r>
        <w:rPr>
          <w:rFonts w:cs="Times New Roman"/>
          <w:i/>
          <w:iCs/>
        </w:rPr>
        <w:t>n</w:t>
      </w:r>
      <w:r>
        <w:rPr>
          <w:rFonts w:cs="Times New Roman"/>
        </w:rPr>
        <w:t xml:space="preserve"> = 1), and </w:t>
      </w:r>
      <w:r>
        <w:rPr>
          <w:rFonts w:cs="Times New Roman"/>
          <w:i/>
          <w:iCs/>
        </w:rPr>
        <w:t xml:space="preserve">H. platyurus </w:t>
      </w:r>
      <w:r>
        <w:rPr>
          <w:rFonts w:cs="Times New Roman"/>
        </w:rPr>
        <w:t>(</w:t>
      </w:r>
      <w:r>
        <w:rPr>
          <w:rFonts w:cs="Times New Roman"/>
          <w:i/>
          <w:iCs/>
        </w:rPr>
        <w:t>n</w:t>
      </w:r>
      <w:r>
        <w:rPr>
          <w:rFonts w:cs="Times New Roman"/>
        </w:rPr>
        <w:t xml:space="preserve"> = 1) hosts </w:t>
      </w:r>
      <w:r w:rsidRPr="002E671A">
        <w:rPr>
          <w:rFonts w:cs="Times New Roman"/>
        </w:rPr>
        <w:t>(Table 1, Fig. 1). There was a high degree of intraspecific variation within host microbial compositions at this site (Sup. 5A). Most microbiomes were dominated by Proteobacteria, Firmicutes, and Bacteroidetes</w:t>
      </w:r>
      <w:r>
        <w:rPr>
          <w:rFonts w:cs="Times New Roman"/>
        </w:rPr>
        <w:t>,</w:t>
      </w:r>
      <w:r w:rsidRPr="002E671A">
        <w:rPr>
          <w:rFonts w:cs="Times New Roman"/>
        </w:rPr>
        <w:t xml:space="preserve"> except for our single </w:t>
      </w:r>
      <w:r w:rsidRPr="002E671A">
        <w:rPr>
          <w:rFonts w:cs="Times New Roman"/>
          <w:i/>
          <w:iCs/>
        </w:rPr>
        <w:t>H. frenatus</w:t>
      </w:r>
      <w:r w:rsidRPr="002E671A">
        <w:rPr>
          <w:rFonts w:cs="Times New Roman"/>
        </w:rPr>
        <w:t xml:space="preserve"> sample at this site, with a high proportion of Tenericutes (Sup. 5A).</w:t>
      </w:r>
      <w:r>
        <w:rPr>
          <w:rFonts w:cs="Times New Roman"/>
        </w:rPr>
        <w:t xml:space="preserve"> We found no significant difference in microbial community structure between host species based on alpha diversity metrics measured. Despite limited sampling sizes, clustering was apparent in PCoA plots with strong, significant distinction in community composition between host species in weighted UniFrac (</w:t>
      </w:r>
      <w:r w:rsidRPr="00E023AE">
        <w:rPr>
          <w:rFonts w:cs="Times New Roman"/>
        </w:rPr>
        <w:t>R</w:t>
      </w:r>
      <w:r w:rsidRPr="00E023AE">
        <w:rPr>
          <w:rFonts w:cs="Times New Roman"/>
          <w:vertAlign w:val="superscript"/>
        </w:rPr>
        <w:t>2</w:t>
      </w:r>
      <w:r w:rsidRPr="00E023AE">
        <w:rPr>
          <w:rFonts w:cs="Times New Roman"/>
        </w:rPr>
        <w:t xml:space="preserve"> = </w:t>
      </w:r>
      <w:r w:rsidRPr="00296BB6">
        <w:rPr>
          <w:rFonts w:cs="Times New Roman"/>
        </w:rPr>
        <w:t>0.</w:t>
      </w:r>
      <w:r>
        <w:rPr>
          <w:rFonts w:cs="Times New Roman"/>
        </w:rPr>
        <w:t>678,</w:t>
      </w:r>
      <w:r w:rsidRPr="00296BB6">
        <w:rPr>
          <w:rFonts w:cs="Times New Roman"/>
        </w:rPr>
        <w:t xml:space="preserve"> </w:t>
      </w:r>
      <w:r w:rsidRPr="00E023AE">
        <w:rPr>
          <w:rFonts w:cs="Times New Roman"/>
        </w:rPr>
        <w:t xml:space="preserve">P = </w:t>
      </w:r>
      <w:r w:rsidRPr="00296BB6">
        <w:rPr>
          <w:rFonts w:cs="Times New Roman"/>
        </w:rPr>
        <w:t>0.0</w:t>
      </w:r>
      <w:r>
        <w:rPr>
          <w:rFonts w:cs="Times New Roman"/>
        </w:rPr>
        <w:t>200), unweighted UniFrac (</w:t>
      </w:r>
      <w:r w:rsidRPr="00E023AE">
        <w:rPr>
          <w:rFonts w:cs="Times New Roman"/>
        </w:rPr>
        <w:t>R</w:t>
      </w:r>
      <w:r w:rsidRPr="00E023AE">
        <w:rPr>
          <w:rFonts w:cs="Times New Roman"/>
          <w:vertAlign w:val="superscript"/>
        </w:rPr>
        <w:t>2</w:t>
      </w:r>
      <w:r w:rsidRPr="00E023AE">
        <w:rPr>
          <w:rFonts w:cs="Times New Roman"/>
        </w:rPr>
        <w:t xml:space="preserve"> = </w:t>
      </w:r>
      <w:r w:rsidRPr="00296BB6">
        <w:rPr>
          <w:rFonts w:cs="Times New Roman"/>
        </w:rPr>
        <w:t>0.</w:t>
      </w:r>
      <w:r w:rsidRPr="00C77656">
        <w:t xml:space="preserve"> </w:t>
      </w:r>
      <w:r w:rsidRPr="00C77656">
        <w:rPr>
          <w:rFonts w:cs="Times New Roman"/>
        </w:rPr>
        <w:t>566</w:t>
      </w:r>
      <w:r>
        <w:rPr>
          <w:rFonts w:cs="Times New Roman"/>
        </w:rPr>
        <w:t>,</w:t>
      </w:r>
      <w:r w:rsidRPr="00296BB6">
        <w:rPr>
          <w:rFonts w:cs="Times New Roman"/>
        </w:rPr>
        <w:t xml:space="preserve"> </w:t>
      </w:r>
      <w:r w:rsidRPr="00E023AE">
        <w:rPr>
          <w:rFonts w:cs="Times New Roman"/>
        </w:rPr>
        <w:t xml:space="preserve">P = </w:t>
      </w:r>
      <w:r w:rsidRPr="00296BB6">
        <w:rPr>
          <w:rFonts w:cs="Times New Roman"/>
        </w:rPr>
        <w:t>0.00</w:t>
      </w:r>
      <w:r>
        <w:rPr>
          <w:rFonts w:cs="Times New Roman"/>
        </w:rPr>
        <w:t>8), and Jaccard distances (</w:t>
      </w:r>
      <w:r w:rsidRPr="00E023AE">
        <w:rPr>
          <w:rFonts w:cs="Times New Roman"/>
        </w:rPr>
        <w:t>R</w:t>
      </w:r>
      <w:r w:rsidRPr="00E023AE">
        <w:rPr>
          <w:rFonts w:cs="Times New Roman"/>
          <w:vertAlign w:val="superscript"/>
        </w:rPr>
        <w:t>2</w:t>
      </w:r>
      <w:r w:rsidRPr="00E023AE">
        <w:rPr>
          <w:rFonts w:cs="Times New Roman"/>
        </w:rPr>
        <w:t xml:space="preserve"> = </w:t>
      </w:r>
      <w:r w:rsidRPr="00296BB6">
        <w:rPr>
          <w:rFonts w:cs="Times New Roman"/>
        </w:rPr>
        <w:t>0.</w:t>
      </w:r>
      <w:r w:rsidRPr="00C77656">
        <w:t xml:space="preserve"> </w:t>
      </w:r>
      <w:r w:rsidRPr="00C77656">
        <w:rPr>
          <w:rFonts w:cs="Times New Roman"/>
        </w:rPr>
        <w:t>53</w:t>
      </w:r>
      <w:r>
        <w:rPr>
          <w:rFonts w:cs="Times New Roman"/>
        </w:rPr>
        <w:t>4,</w:t>
      </w:r>
      <w:r w:rsidRPr="00296BB6">
        <w:rPr>
          <w:rFonts w:cs="Times New Roman"/>
        </w:rPr>
        <w:t xml:space="preserve"> </w:t>
      </w:r>
      <w:r w:rsidRPr="00E023AE">
        <w:rPr>
          <w:rFonts w:cs="Times New Roman"/>
        </w:rPr>
        <w:t xml:space="preserve">P = </w:t>
      </w:r>
      <w:r w:rsidRPr="00296BB6">
        <w:rPr>
          <w:rFonts w:cs="Times New Roman"/>
        </w:rPr>
        <w:t>0.0</w:t>
      </w:r>
      <w:r>
        <w:rPr>
          <w:rFonts w:cs="Times New Roman"/>
        </w:rPr>
        <w:t xml:space="preserve">04; </w:t>
      </w:r>
      <w:r w:rsidRPr="002E671A">
        <w:rPr>
          <w:rFonts w:cs="Times New Roman"/>
        </w:rPr>
        <w:t>Sup. 6A–C</w:t>
      </w:r>
      <w:r>
        <w:rPr>
          <w:rFonts w:cs="Times New Roman"/>
        </w:rPr>
        <w:t xml:space="preserve">). At this site, Jaccard distances within </w:t>
      </w:r>
      <w:r>
        <w:rPr>
          <w:rFonts w:cs="Times New Roman"/>
          <w:i/>
          <w:iCs/>
        </w:rPr>
        <w:t xml:space="preserve">C. philippinicus </w:t>
      </w:r>
      <w:r>
        <w:rPr>
          <w:rFonts w:cs="Times New Roman"/>
        </w:rPr>
        <w:t xml:space="preserve">hosts were 0.84 and among </w:t>
      </w:r>
      <w:r>
        <w:rPr>
          <w:rFonts w:cs="Times New Roman"/>
          <w:i/>
          <w:iCs/>
        </w:rPr>
        <w:t xml:space="preserve">G. gecko </w:t>
      </w:r>
      <w:r>
        <w:rPr>
          <w:rFonts w:cs="Times New Roman"/>
        </w:rPr>
        <w:t>samples 0.81. Jaccard distances between these two species averaged 0.92, suggesting a greater proportion of shared diversity intraspecifically rather than interspecifically.</w:t>
      </w:r>
    </w:p>
    <w:p w14:paraId="46941994" w14:textId="77777777" w:rsidR="005C7880" w:rsidRDefault="005C7880" w:rsidP="005C7880">
      <w:pPr>
        <w:spacing w:line="480" w:lineRule="auto"/>
        <w:ind w:firstLine="360"/>
        <w:contextualSpacing/>
        <w:rPr>
          <w:rFonts w:cs="Times New Roman"/>
        </w:rPr>
      </w:pPr>
      <w:r>
        <w:rPr>
          <w:rFonts w:cs="Times New Roman"/>
        </w:rPr>
        <w:t xml:space="preserve">At Magsidel, in the Babuyan Island chain, both </w:t>
      </w:r>
      <w:r>
        <w:rPr>
          <w:rFonts w:cs="Times New Roman"/>
          <w:i/>
          <w:iCs/>
        </w:rPr>
        <w:t xml:space="preserve">G. rossi </w:t>
      </w:r>
      <w:r>
        <w:rPr>
          <w:rFonts w:cs="Times New Roman"/>
        </w:rPr>
        <w:t>(</w:t>
      </w:r>
      <w:r>
        <w:rPr>
          <w:rFonts w:cs="Times New Roman"/>
          <w:i/>
          <w:iCs/>
        </w:rPr>
        <w:t>n</w:t>
      </w:r>
      <w:r>
        <w:rPr>
          <w:rFonts w:cs="Times New Roman"/>
        </w:rPr>
        <w:t xml:space="preserve"> = 9) and </w:t>
      </w:r>
      <w:r>
        <w:rPr>
          <w:rFonts w:cs="Times New Roman"/>
          <w:i/>
          <w:iCs/>
        </w:rPr>
        <w:t xml:space="preserve">Luperosaurus macgregori </w:t>
      </w:r>
      <w:r>
        <w:rPr>
          <w:rFonts w:cs="Times New Roman"/>
        </w:rPr>
        <w:t>(</w:t>
      </w:r>
      <w:r>
        <w:rPr>
          <w:rFonts w:cs="Times New Roman"/>
          <w:i/>
          <w:iCs/>
        </w:rPr>
        <w:t>n</w:t>
      </w:r>
      <w:r>
        <w:rPr>
          <w:rFonts w:cs="Times New Roman"/>
        </w:rPr>
        <w:t xml:space="preserve"> = 4) were sampled with marked variability apparent among individual </w:t>
      </w:r>
      <w:r>
        <w:rPr>
          <w:rFonts w:cs="Times New Roman"/>
          <w:i/>
          <w:iCs/>
        </w:rPr>
        <w:t xml:space="preserve">G. rossi </w:t>
      </w:r>
      <w:r>
        <w:rPr>
          <w:rFonts w:cs="Times New Roman"/>
        </w:rPr>
        <w:t>compositions, where some samples were dominated by Bacteroidetes, others Firmicutes, and others still Proteobacteria (</w:t>
      </w:r>
      <w:r w:rsidRPr="002E671A">
        <w:rPr>
          <w:rFonts w:cs="Times New Roman"/>
        </w:rPr>
        <w:t>Sup. 5B</w:t>
      </w:r>
      <w:r>
        <w:rPr>
          <w:rFonts w:cs="Times New Roman"/>
        </w:rPr>
        <w:t xml:space="preserve">). Cloacal samples from </w:t>
      </w:r>
      <w:r>
        <w:rPr>
          <w:rFonts w:cs="Times New Roman"/>
          <w:i/>
          <w:iCs/>
        </w:rPr>
        <w:t>L</w:t>
      </w:r>
      <w:r>
        <w:rPr>
          <w:rFonts w:cs="Times New Roman"/>
        </w:rPr>
        <w:t>.</w:t>
      </w:r>
      <w:r>
        <w:rPr>
          <w:rFonts w:cs="Times New Roman"/>
          <w:i/>
          <w:iCs/>
        </w:rPr>
        <w:t xml:space="preserve"> macgregori </w:t>
      </w:r>
      <w:r>
        <w:rPr>
          <w:rFonts w:cs="Times New Roman"/>
        </w:rPr>
        <w:t>hosts were composed predominantly of Proteobacteria followed by Firmicutes (</w:t>
      </w:r>
      <w:r w:rsidRPr="002E671A">
        <w:rPr>
          <w:rFonts w:cs="Times New Roman"/>
        </w:rPr>
        <w:t>Sup. 5B</w:t>
      </w:r>
      <w:r>
        <w:rPr>
          <w:rFonts w:cs="Times New Roman"/>
        </w:rPr>
        <w:t>). Significant differences were found in the number of OTUs observed per 1000 sequences between each host species (</w:t>
      </w:r>
      <w:r>
        <w:rPr>
          <w:rFonts w:cs="Times New Roman"/>
          <w:i/>
          <w:iCs/>
        </w:rPr>
        <w:t xml:space="preserve">G. rossi </w:t>
      </w:r>
      <w:r>
        <w:rPr>
          <w:rFonts w:cs="Times New Roman"/>
        </w:rPr>
        <w:t xml:space="preserve">mean = 86.78, </w:t>
      </w:r>
      <w:r>
        <w:rPr>
          <w:rFonts w:cs="Times New Roman"/>
          <w:i/>
          <w:iCs/>
        </w:rPr>
        <w:t>L. macgregori</w:t>
      </w:r>
      <w:r>
        <w:rPr>
          <w:rFonts w:cs="Times New Roman"/>
        </w:rPr>
        <w:t xml:space="preserve"> mean = 36.75; </w:t>
      </w:r>
      <w:r>
        <w:rPr>
          <w:rFonts w:cs="Times New Roman"/>
          <w:i/>
          <w:iCs/>
        </w:rPr>
        <w:t xml:space="preserve">F </w:t>
      </w:r>
      <w:r>
        <w:rPr>
          <w:rFonts w:cs="Times New Roman"/>
        </w:rPr>
        <w:t xml:space="preserve">= 5.308, P = </w:t>
      </w:r>
      <w:r w:rsidRPr="00F62EC5">
        <w:rPr>
          <w:rFonts w:cs="Times New Roman"/>
        </w:rPr>
        <w:t>0.04</w:t>
      </w:r>
      <w:r>
        <w:rPr>
          <w:rFonts w:cs="Times New Roman"/>
        </w:rPr>
        <w:t>2), Shannon index (</w:t>
      </w:r>
      <w:r>
        <w:rPr>
          <w:rFonts w:cs="Times New Roman"/>
          <w:i/>
          <w:iCs/>
        </w:rPr>
        <w:t xml:space="preserve">F </w:t>
      </w:r>
      <w:r>
        <w:rPr>
          <w:rFonts w:cs="Times New Roman"/>
        </w:rPr>
        <w:t xml:space="preserve">= 6.787, P = </w:t>
      </w:r>
      <w:r w:rsidRPr="00F62EC5">
        <w:rPr>
          <w:rFonts w:cs="Times New Roman"/>
        </w:rPr>
        <w:t>0.02</w:t>
      </w:r>
      <w:r>
        <w:rPr>
          <w:rFonts w:cs="Times New Roman"/>
        </w:rPr>
        <w:t>5), and Faith’s PD (</w:t>
      </w:r>
      <w:r>
        <w:rPr>
          <w:rFonts w:cs="Times New Roman"/>
          <w:i/>
          <w:iCs/>
        </w:rPr>
        <w:t xml:space="preserve">F </w:t>
      </w:r>
      <w:r>
        <w:rPr>
          <w:rFonts w:cs="Times New Roman"/>
        </w:rPr>
        <w:t xml:space="preserve">= 5.732, P = </w:t>
      </w:r>
      <w:r w:rsidRPr="00F62EC5">
        <w:rPr>
          <w:rFonts w:cs="Times New Roman"/>
        </w:rPr>
        <w:t>0.03</w:t>
      </w:r>
      <w:r>
        <w:rPr>
          <w:rFonts w:cs="Times New Roman"/>
        </w:rPr>
        <w:t>6). Grouping in PCoA plots was unclear, with insignificant differentiation between species in weighted UniFrac measures and significant, yet weak distinctions in unweighted UniFrac (</w:t>
      </w:r>
      <w:r w:rsidRPr="00E023AE">
        <w:rPr>
          <w:rFonts w:cs="Times New Roman"/>
        </w:rPr>
        <w:t>R</w:t>
      </w:r>
      <w:r w:rsidRPr="00E023AE">
        <w:rPr>
          <w:rFonts w:cs="Times New Roman"/>
          <w:vertAlign w:val="superscript"/>
        </w:rPr>
        <w:t>2</w:t>
      </w:r>
      <w:r w:rsidRPr="00E023AE">
        <w:rPr>
          <w:rFonts w:cs="Times New Roman"/>
        </w:rPr>
        <w:t xml:space="preserve"> =</w:t>
      </w:r>
      <w:r>
        <w:rPr>
          <w:rFonts w:cs="Times New Roman"/>
        </w:rPr>
        <w:t xml:space="preserve"> </w:t>
      </w:r>
      <w:r w:rsidRPr="008753A6">
        <w:rPr>
          <w:rFonts w:cs="Times New Roman"/>
        </w:rPr>
        <w:t>0.17</w:t>
      </w:r>
      <w:r>
        <w:rPr>
          <w:rFonts w:cs="Times New Roman"/>
        </w:rPr>
        <w:t>9, P =</w:t>
      </w:r>
      <w:r w:rsidRPr="008753A6">
        <w:t xml:space="preserve"> </w:t>
      </w:r>
      <w:r w:rsidRPr="008753A6">
        <w:rPr>
          <w:rFonts w:cs="Times New Roman"/>
        </w:rPr>
        <w:t>0.009</w:t>
      </w:r>
      <w:r>
        <w:rPr>
          <w:rFonts w:cs="Times New Roman"/>
        </w:rPr>
        <w:t>) and Jaccard distances (</w:t>
      </w:r>
      <w:r w:rsidRPr="00E023AE">
        <w:rPr>
          <w:rFonts w:cs="Times New Roman"/>
        </w:rPr>
        <w:t>R</w:t>
      </w:r>
      <w:r w:rsidRPr="00E023AE">
        <w:rPr>
          <w:rFonts w:cs="Times New Roman"/>
          <w:vertAlign w:val="superscript"/>
        </w:rPr>
        <w:t>2</w:t>
      </w:r>
      <w:r w:rsidRPr="00E023AE">
        <w:rPr>
          <w:rFonts w:cs="Times New Roman"/>
        </w:rPr>
        <w:t xml:space="preserve"> =</w:t>
      </w:r>
      <w:r>
        <w:rPr>
          <w:rFonts w:cs="Times New Roman"/>
        </w:rPr>
        <w:t xml:space="preserve"> </w:t>
      </w:r>
      <w:r w:rsidRPr="008753A6">
        <w:rPr>
          <w:rFonts w:cs="Times New Roman"/>
        </w:rPr>
        <w:t>0.14</w:t>
      </w:r>
      <w:r>
        <w:rPr>
          <w:rFonts w:cs="Times New Roman"/>
        </w:rPr>
        <w:t xml:space="preserve">5, P = </w:t>
      </w:r>
      <w:r w:rsidRPr="008753A6">
        <w:rPr>
          <w:rFonts w:cs="Times New Roman"/>
        </w:rPr>
        <w:t>0.008</w:t>
      </w:r>
      <w:r>
        <w:rPr>
          <w:rFonts w:cs="Times New Roman"/>
        </w:rPr>
        <w:t xml:space="preserve">; Sup. 6D–F). Jaccard distances within </w:t>
      </w:r>
      <w:r>
        <w:rPr>
          <w:rFonts w:cs="Times New Roman"/>
          <w:i/>
          <w:iCs/>
        </w:rPr>
        <w:t>G. rossi</w:t>
      </w:r>
      <w:r>
        <w:rPr>
          <w:rFonts w:cs="Times New Roman"/>
        </w:rPr>
        <w:t xml:space="preserve"> and </w:t>
      </w:r>
      <w:r>
        <w:rPr>
          <w:rFonts w:cs="Times New Roman"/>
          <w:i/>
          <w:iCs/>
        </w:rPr>
        <w:t>L. macgregori</w:t>
      </w:r>
      <w:r>
        <w:rPr>
          <w:rFonts w:cs="Times New Roman"/>
        </w:rPr>
        <w:t xml:space="preserve"> samples were both </w:t>
      </w:r>
      <w:r w:rsidRPr="00AA001E">
        <w:rPr>
          <w:rFonts w:cs="Times New Roman"/>
        </w:rPr>
        <w:t>0.86</w:t>
      </w:r>
      <w:r>
        <w:rPr>
          <w:rFonts w:cs="Times New Roman"/>
        </w:rPr>
        <w:t>, while interspecific comparisons averaged 0.91.</w:t>
      </w:r>
    </w:p>
    <w:p w14:paraId="3AA62080" w14:textId="77777777" w:rsidR="005C7880" w:rsidRDefault="005C7880" w:rsidP="005C7880">
      <w:pPr>
        <w:spacing w:line="480" w:lineRule="auto"/>
        <w:ind w:firstLine="360"/>
        <w:contextualSpacing/>
        <w:rPr>
          <w:rFonts w:cs="Times New Roman"/>
        </w:rPr>
      </w:pPr>
      <w:r>
        <w:rPr>
          <w:rFonts w:cs="Times New Roman"/>
        </w:rPr>
        <w:t xml:space="preserve">Finally, we sampled </w:t>
      </w:r>
      <w:r>
        <w:rPr>
          <w:rFonts w:cs="Times New Roman"/>
          <w:i/>
          <w:iCs/>
        </w:rPr>
        <w:t xml:space="preserve">C. philippinicus </w:t>
      </w:r>
      <w:r>
        <w:rPr>
          <w:rFonts w:cs="Times New Roman"/>
        </w:rPr>
        <w:t>(</w:t>
      </w:r>
      <w:r>
        <w:rPr>
          <w:rFonts w:cs="Times New Roman"/>
          <w:i/>
          <w:iCs/>
        </w:rPr>
        <w:t>n</w:t>
      </w:r>
      <w:r>
        <w:rPr>
          <w:rFonts w:cs="Times New Roman"/>
        </w:rPr>
        <w:t xml:space="preserve"> = 5), </w:t>
      </w:r>
      <w:r>
        <w:rPr>
          <w:rFonts w:cs="Times New Roman"/>
          <w:i/>
          <w:iCs/>
        </w:rPr>
        <w:t xml:space="preserve">G. mindorensis </w:t>
      </w:r>
      <w:r>
        <w:rPr>
          <w:rFonts w:cs="Times New Roman"/>
        </w:rPr>
        <w:t>(</w:t>
      </w:r>
      <w:r>
        <w:rPr>
          <w:rFonts w:cs="Times New Roman"/>
          <w:i/>
          <w:iCs/>
        </w:rPr>
        <w:t>n</w:t>
      </w:r>
      <w:r>
        <w:rPr>
          <w:rFonts w:cs="Times New Roman"/>
        </w:rPr>
        <w:t xml:space="preserve"> = 4), and a lone </w:t>
      </w:r>
      <w:r>
        <w:rPr>
          <w:rFonts w:cs="Times New Roman"/>
          <w:i/>
          <w:iCs/>
        </w:rPr>
        <w:t>H. frenatus</w:t>
      </w:r>
      <w:r>
        <w:rPr>
          <w:rFonts w:cs="Times New Roman"/>
        </w:rPr>
        <w:t xml:space="preserve"> specimen at Mt. Palali on Luzon Island. Proteobacteria dominated gut microbial communities in geckos sampled on Mt. Palali followed in relative abundance by Firmicutes then Bacteroidetes across all host species (</w:t>
      </w:r>
      <w:r w:rsidRPr="002E671A">
        <w:rPr>
          <w:rFonts w:cs="Times New Roman"/>
        </w:rPr>
        <w:t>Sup. 5C</w:t>
      </w:r>
      <w:r>
        <w:rPr>
          <w:rFonts w:cs="Times New Roman"/>
        </w:rPr>
        <w:t>). At this site, no significant differences in alpha diversity metrics were recorded between host species. Statistically significant community clusters between host taxa were most clear in weighted UniFrac composition plots (</w:t>
      </w:r>
      <w:r w:rsidRPr="00E023AE">
        <w:rPr>
          <w:rFonts w:cs="Times New Roman"/>
        </w:rPr>
        <w:t>R</w:t>
      </w:r>
      <w:r w:rsidRPr="00E023AE">
        <w:rPr>
          <w:rFonts w:cs="Times New Roman"/>
          <w:vertAlign w:val="superscript"/>
        </w:rPr>
        <w:t>2</w:t>
      </w:r>
      <w:r w:rsidRPr="00E023AE">
        <w:rPr>
          <w:rFonts w:cs="Times New Roman"/>
        </w:rPr>
        <w:t xml:space="preserve"> =</w:t>
      </w:r>
      <w:r>
        <w:rPr>
          <w:rFonts w:cs="Times New Roman"/>
        </w:rPr>
        <w:t xml:space="preserve"> </w:t>
      </w:r>
      <w:r w:rsidRPr="006E0EEA">
        <w:rPr>
          <w:rFonts w:cs="Times New Roman"/>
        </w:rPr>
        <w:t>0.48</w:t>
      </w:r>
      <w:r>
        <w:rPr>
          <w:rFonts w:cs="Times New Roman"/>
        </w:rPr>
        <w:t xml:space="preserve">1, P = </w:t>
      </w:r>
      <w:r w:rsidRPr="006E0EEA">
        <w:rPr>
          <w:rFonts w:cs="Times New Roman"/>
        </w:rPr>
        <w:t>0.015</w:t>
      </w:r>
      <w:r>
        <w:rPr>
          <w:rFonts w:cs="Times New Roman"/>
        </w:rPr>
        <w:t>), unweighted UniFrac (</w:t>
      </w:r>
      <w:r w:rsidRPr="00E023AE">
        <w:rPr>
          <w:rFonts w:cs="Times New Roman"/>
        </w:rPr>
        <w:t>R</w:t>
      </w:r>
      <w:r w:rsidRPr="00E023AE">
        <w:rPr>
          <w:rFonts w:cs="Times New Roman"/>
          <w:vertAlign w:val="superscript"/>
        </w:rPr>
        <w:t>2</w:t>
      </w:r>
      <w:r w:rsidRPr="00E023AE">
        <w:rPr>
          <w:rFonts w:cs="Times New Roman"/>
        </w:rPr>
        <w:t xml:space="preserve"> =</w:t>
      </w:r>
      <w:r>
        <w:rPr>
          <w:rFonts w:cs="Times New Roman"/>
        </w:rPr>
        <w:t xml:space="preserve"> </w:t>
      </w:r>
      <w:r w:rsidRPr="006E0EEA">
        <w:rPr>
          <w:rFonts w:cs="Times New Roman"/>
        </w:rPr>
        <w:t>0.294</w:t>
      </w:r>
      <w:r>
        <w:rPr>
          <w:rFonts w:cs="Times New Roman"/>
        </w:rPr>
        <w:t xml:space="preserve">, P = </w:t>
      </w:r>
      <w:r w:rsidRPr="006E0EEA">
        <w:rPr>
          <w:rFonts w:cs="Times New Roman"/>
        </w:rPr>
        <w:t>0.023</w:t>
      </w:r>
      <w:r>
        <w:rPr>
          <w:rFonts w:cs="Times New Roman"/>
        </w:rPr>
        <w:t>) and Jaccard distance (</w:t>
      </w:r>
      <w:r w:rsidRPr="00E023AE">
        <w:rPr>
          <w:rFonts w:cs="Times New Roman"/>
        </w:rPr>
        <w:t>R</w:t>
      </w:r>
      <w:r w:rsidRPr="00E023AE">
        <w:rPr>
          <w:rFonts w:cs="Times New Roman"/>
          <w:vertAlign w:val="superscript"/>
        </w:rPr>
        <w:t>2</w:t>
      </w:r>
      <w:r w:rsidRPr="00E023AE">
        <w:rPr>
          <w:rFonts w:cs="Times New Roman"/>
        </w:rPr>
        <w:t xml:space="preserve"> =</w:t>
      </w:r>
      <w:r>
        <w:rPr>
          <w:rFonts w:cs="Times New Roman"/>
        </w:rPr>
        <w:t xml:space="preserve"> </w:t>
      </w:r>
      <w:r w:rsidRPr="006E0EEA">
        <w:rPr>
          <w:rFonts w:cs="Times New Roman"/>
        </w:rPr>
        <w:t>0.288</w:t>
      </w:r>
      <w:r>
        <w:rPr>
          <w:rFonts w:cs="Times New Roman"/>
        </w:rPr>
        <w:t xml:space="preserve">, P = </w:t>
      </w:r>
      <w:r w:rsidRPr="006E0EEA">
        <w:rPr>
          <w:rFonts w:cs="Times New Roman"/>
        </w:rPr>
        <w:t>0.007</w:t>
      </w:r>
      <w:r>
        <w:rPr>
          <w:rFonts w:cs="Times New Roman"/>
        </w:rPr>
        <w:t>) clusters were more ambiguous (</w:t>
      </w:r>
      <w:r w:rsidRPr="002E671A">
        <w:rPr>
          <w:rFonts w:cs="Times New Roman"/>
        </w:rPr>
        <w:t>Sup. 6G–I</w:t>
      </w:r>
      <w:r>
        <w:rPr>
          <w:rFonts w:cs="Times New Roman"/>
        </w:rPr>
        <w:t xml:space="preserve">). Average Jaccard distances within </w:t>
      </w:r>
      <w:r>
        <w:rPr>
          <w:rFonts w:cs="Times New Roman"/>
          <w:i/>
          <w:iCs/>
        </w:rPr>
        <w:t xml:space="preserve">C. philippinicus </w:t>
      </w:r>
      <w:r>
        <w:rPr>
          <w:rFonts w:cs="Times New Roman"/>
        </w:rPr>
        <w:t xml:space="preserve">samples at this site were 0.86 and were 0.82 for </w:t>
      </w:r>
      <w:r>
        <w:rPr>
          <w:rFonts w:cs="Times New Roman"/>
          <w:i/>
          <w:iCs/>
        </w:rPr>
        <w:t>G. mindorensis</w:t>
      </w:r>
      <w:r>
        <w:rPr>
          <w:rFonts w:cs="Times New Roman"/>
        </w:rPr>
        <w:t xml:space="preserve">. Between </w:t>
      </w:r>
      <w:r>
        <w:rPr>
          <w:rFonts w:cs="Times New Roman"/>
          <w:i/>
          <w:iCs/>
        </w:rPr>
        <w:t>C. philippinicus</w:t>
      </w:r>
      <w:r>
        <w:rPr>
          <w:rFonts w:cs="Times New Roman"/>
        </w:rPr>
        <w:t xml:space="preserve"> and </w:t>
      </w:r>
      <w:r>
        <w:rPr>
          <w:rFonts w:cs="Times New Roman"/>
          <w:i/>
          <w:iCs/>
        </w:rPr>
        <w:t>G. mindorensis</w:t>
      </w:r>
      <w:r>
        <w:rPr>
          <w:rFonts w:cs="Times New Roman"/>
        </w:rPr>
        <w:t xml:space="preserve"> the average Jaccard distance was 0.87, suggesting slightly more shared OTUs within species rather than between species on average. Between </w:t>
      </w:r>
      <w:r>
        <w:rPr>
          <w:rFonts w:cs="Times New Roman"/>
          <w:i/>
          <w:iCs/>
        </w:rPr>
        <w:t xml:space="preserve">H. frenatus </w:t>
      </w:r>
      <w:r>
        <w:rPr>
          <w:rFonts w:cs="Times New Roman"/>
        </w:rPr>
        <w:t xml:space="preserve">and the other two sympatric confamilials, the Jaccard distances between species averaged 0.89 and 0.94 compared to </w:t>
      </w:r>
      <w:r>
        <w:rPr>
          <w:rFonts w:cs="Times New Roman"/>
          <w:i/>
          <w:iCs/>
        </w:rPr>
        <w:t xml:space="preserve">G. mindorensis </w:t>
      </w:r>
      <w:r>
        <w:rPr>
          <w:rFonts w:cs="Times New Roman"/>
        </w:rPr>
        <w:t xml:space="preserve">and </w:t>
      </w:r>
      <w:r>
        <w:rPr>
          <w:rFonts w:cs="Times New Roman"/>
          <w:i/>
          <w:iCs/>
        </w:rPr>
        <w:t>C. philippinicus,</w:t>
      </w:r>
      <w:r>
        <w:rPr>
          <w:rFonts w:cs="Times New Roman"/>
        </w:rPr>
        <w:t xml:space="preserve"> respectively.</w:t>
      </w:r>
    </w:p>
    <w:p w14:paraId="1239B142" w14:textId="77777777" w:rsidR="005C7880" w:rsidRPr="005E196F" w:rsidRDefault="005C7880" w:rsidP="005C7880">
      <w:pPr>
        <w:spacing w:line="480" w:lineRule="auto"/>
        <w:contextualSpacing/>
        <w:rPr>
          <w:rFonts w:cs="Times New Roman"/>
        </w:rPr>
      </w:pPr>
    </w:p>
    <w:p w14:paraId="4A51F3E3" w14:textId="77777777" w:rsidR="005C7880" w:rsidRDefault="005C7880" w:rsidP="005C7880">
      <w:pPr>
        <w:spacing w:line="480" w:lineRule="auto"/>
        <w:contextualSpacing/>
        <w:rPr>
          <w:rFonts w:cs="Times New Roman"/>
          <w:b/>
          <w:bCs/>
          <w:sz w:val="28"/>
          <w:szCs w:val="28"/>
        </w:rPr>
      </w:pPr>
      <w:r w:rsidRPr="00CD67C2">
        <w:rPr>
          <w:rFonts w:cs="Times New Roman"/>
          <w:b/>
          <w:bCs/>
          <w:sz w:val="28"/>
          <w:szCs w:val="28"/>
        </w:rPr>
        <w:t>Discussion</w:t>
      </w:r>
    </w:p>
    <w:p w14:paraId="45062D2C" w14:textId="77777777" w:rsidR="005C7880" w:rsidRPr="00E91225" w:rsidRDefault="005C7880" w:rsidP="005C7880">
      <w:pPr>
        <w:spacing w:line="480" w:lineRule="auto"/>
        <w:contextualSpacing/>
        <w:rPr>
          <w:rFonts w:cs="Times New Roman"/>
        </w:rPr>
      </w:pPr>
      <w:r>
        <w:rPr>
          <w:rFonts w:cs="Times New Roman"/>
        </w:rPr>
        <w:t>This study provides baseline information on symbiotic gut microbes in wild Philippine gekkonids and points toward several ecoevolutionary forces shaping such compositions. At the family level in Philippine gekkonids, we found limited evidence of phylosymbiosis or host evolutionary history strongly reflecting current microbial compositions. Although</w:t>
      </w:r>
      <w:r w:rsidRPr="00E91225">
        <w:rPr>
          <w:rFonts w:cs="Times New Roman"/>
        </w:rPr>
        <w:t xml:space="preserve"> previous studies have noted that evolutionary history influences gut microbial communities at various taxonomic levels (Ley </w:t>
      </w:r>
      <w:r w:rsidRPr="00B57253">
        <w:rPr>
          <w:rFonts w:cs="Times New Roman"/>
          <w:i/>
        </w:rPr>
        <w:t>et al</w:t>
      </w:r>
      <w:r w:rsidRPr="00E91225">
        <w:rPr>
          <w:rFonts w:cs="Times New Roman"/>
        </w:rPr>
        <w:t xml:space="preserve">. 2008; Sanders </w:t>
      </w:r>
      <w:r w:rsidRPr="00B57253">
        <w:rPr>
          <w:rFonts w:cs="Times New Roman"/>
          <w:i/>
        </w:rPr>
        <w:t>et al</w:t>
      </w:r>
      <w:r w:rsidRPr="00E91225">
        <w:rPr>
          <w:rFonts w:cs="Times New Roman"/>
        </w:rPr>
        <w:t xml:space="preserve">. 2014; Groussin </w:t>
      </w:r>
      <w:r w:rsidRPr="00B57253">
        <w:rPr>
          <w:rFonts w:cs="Times New Roman"/>
          <w:i/>
        </w:rPr>
        <w:t>et al</w:t>
      </w:r>
      <w:r w:rsidRPr="00E91225">
        <w:rPr>
          <w:rFonts w:cs="Times New Roman"/>
        </w:rPr>
        <w:t xml:space="preserve">. 2017; Youngblut </w:t>
      </w:r>
      <w:r w:rsidRPr="00B57253">
        <w:rPr>
          <w:rFonts w:cs="Times New Roman"/>
          <w:i/>
        </w:rPr>
        <w:t>et al</w:t>
      </w:r>
      <w:r w:rsidRPr="00E91225">
        <w:rPr>
          <w:rFonts w:cs="Times New Roman"/>
        </w:rPr>
        <w:t xml:space="preserve">. 2019), such impacts may be unevenly distributed across taxonomic groups. For instance, Youngblut </w:t>
      </w:r>
      <w:r w:rsidRPr="00B57253">
        <w:rPr>
          <w:rFonts w:cs="Times New Roman"/>
          <w:i/>
        </w:rPr>
        <w:t>et al</w:t>
      </w:r>
      <w:r w:rsidRPr="00E91225">
        <w:rPr>
          <w:rFonts w:cs="Times New Roman"/>
        </w:rPr>
        <w:t xml:space="preserve">. (2019) found that evolutionary history had a stronger effect on intestinal microbiome diversity in mammals than in non-mammalian species. Ren </w:t>
      </w:r>
      <w:r w:rsidRPr="00B57253">
        <w:rPr>
          <w:rFonts w:cs="Times New Roman"/>
          <w:i/>
        </w:rPr>
        <w:t>et al</w:t>
      </w:r>
      <w:r w:rsidRPr="00E91225">
        <w:rPr>
          <w:rFonts w:cs="Times New Roman"/>
        </w:rPr>
        <w:t xml:space="preserve">. (2016) noted only weak associations between host genetic distances and microbial assemblages in congeneric reptiles of the genus </w:t>
      </w:r>
      <w:r w:rsidRPr="00E91225">
        <w:rPr>
          <w:rFonts w:cs="Times New Roman"/>
          <w:i/>
          <w:iCs/>
        </w:rPr>
        <w:t>Anolis</w:t>
      </w:r>
      <w:r w:rsidRPr="00E91225">
        <w:rPr>
          <w:rFonts w:cs="Times New Roman"/>
        </w:rPr>
        <w:t xml:space="preserve">. High degrees of intraspecific variation in host-associated microbiomes may explain the lack of evidence for phylogenetic past </w:t>
      </w:r>
      <w:r>
        <w:rPr>
          <w:rFonts w:cs="Times New Roman"/>
        </w:rPr>
        <w:t xml:space="preserve">reflecting </w:t>
      </w:r>
      <w:r w:rsidRPr="00E91225">
        <w:rPr>
          <w:rFonts w:cs="Times New Roman"/>
        </w:rPr>
        <w:t>contemporary community compositions here and in other reptile hosts (</w:t>
      </w:r>
      <w:r>
        <w:rPr>
          <w:rFonts w:cs="Times New Roman"/>
        </w:rPr>
        <w:t xml:space="preserve">Brooks </w:t>
      </w:r>
      <w:r w:rsidRPr="00B57253">
        <w:rPr>
          <w:rFonts w:cs="Times New Roman"/>
          <w:i/>
        </w:rPr>
        <w:t>et al</w:t>
      </w:r>
      <w:r>
        <w:rPr>
          <w:rFonts w:cs="Times New Roman"/>
        </w:rPr>
        <w:t xml:space="preserve">. 2016; </w:t>
      </w:r>
      <w:r w:rsidRPr="00E91225">
        <w:rPr>
          <w:rFonts w:cs="Times New Roman"/>
        </w:rPr>
        <w:t xml:space="preserve">Ren </w:t>
      </w:r>
      <w:r w:rsidRPr="00B57253">
        <w:rPr>
          <w:rFonts w:cs="Times New Roman"/>
          <w:i/>
        </w:rPr>
        <w:t>et al</w:t>
      </w:r>
      <w:r w:rsidRPr="00E91225">
        <w:rPr>
          <w:rFonts w:cs="Times New Roman"/>
        </w:rPr>
        <w:t xml:space="preserve">. 2016). </w:t>
      </w:r>
      <w:r>
        <w:rPr>
          <w:rFonts w:cs="Times New Roman"/>
        </w:rPr>
        <w:t>A</w:t>
      </w:r>
      <w:r w:rsidRPr="00E91225">
        <w:rPr>
          <w:rFonts w:cs="Times New Roman"/>
        </w:rPr>
        <w:t xml:space="preserve">t the scale of host family, </w:t>
      </w:r>
      <w:r>
        <w:rPr>
          <w:rFonts w:cs="Times New Roman"/>
        </w:rPr>
        <w:t xml:space="preserve">various ecoevolutionary </w:t>
      </w:r>
      <w:r w:rsidRPr="00E91225">
        <w:rPr>
          <w:rFonts w:cs="Times New Roman"/>
        </w:rPr>
        <w:t xml:space="preserve">factors </w:t>
      </w:r>
      <w:r>
        <w:rPr>
          <w:rFonts w:cs="Times New Roman"/>
        </w:rPr>
        <w:t xml:space="preserve">outside of phylogenetic histories </w:t>
      </w:r>
      <w:r w:rsidRPr="00E91225">
        <w:rPr>
          <w:rFonts w:cs="Times New Roman"/>
        </w:rPr>
        <w:t xml:space="preserve">likely serve pivotal roles in shaping and maintaining </w:t>
      </w:r>
      <w:r>
        <w:rPr>
          <w:rFonts w:cs="Times New Roman"/>
        </w:rPr>
        <w:t>gut</w:t>
      </w:r>
      <w:r w:rsidRPr="00E91225">
        <w:rPr>
          <w:rFonts w:cs="Times New Roman"/>
        </w:rPr>
        <w:t xml:space="preserve"> microbial communities in</w:t>
      </w:r>
      <w:r>
        <w:rPr>
          <w:rFonts w:cs="Times New Roman"/>
        </w:rPr>
        <w:t xml:space="preserve"> </w:t>
      </w:r>
      <w:r w:rsidRPr="00E91225">
        <w:rPr>
          <w:rFonts w:cs="Times New Roman"/>
        </w:rPr>
        <w:t xml:space="preserve">gecko hosts from the Philippines (Kropackova </w:t>
      </w:r>
      <w:r w:rsidRPr="00B57253">
        <w:rPr>
          <w:rFonts w:cs="Times New Roman"/>
          <w:i/>
        </w:rPr>
        <w:t>et al</w:t>
      </w:r>
      <w:r w:rsidRPr="00E91225">
        <w:rPr>
          <w:rFonts w:cs="Times New Roman"/>
        </w:rPr>
        <w:t xml:space="preserve">. 2017; Lutz </w:t>
      </w:r>
      <w:r w:rsidRPr="00B57253">
        <w:rPr>
          <w:rFonts w:cs="Times New Roman"/>
          <w:i/>
        </w:rPr>
        <w:t>et al</w:t>
      </w:r>
      <w:r w:rsidRPr="00E91225">
        <w:rPr>
          <w:rFonts w:cs="Times New Roman"/>
        </w:rPr>
        <w:t>. 2019).</w:t>
      </w:r>
    </w:p>
    <w:p w14:paraId="18FFC56E" w14:textId="77777777" w:rsidR="005C7880" w:rsidRDefault="005C7880" w:rsidP="005C7880">
      <w:pPr>
        <w:spacing w:line="480" w:lineRule="auto"/>
        <w:ind w:firstLine="360"/>
        <w:contextualSpacing/>
        <w:rPr>
          <w:rFonts w:cs="Times New Roman"/>
        </w:rPr>
      </w:pPr>
      <w:r w:rsidRPr="00E91225">
        <w:rPr>
          <w:rFonts w:cs="Times New Roman"/>
        </w:rPr>
        <w:t>Of all eco</w:t>
      </w:r>
      <w:r>
        <w:rPr>
          <w:rFonts w:cs="Times New Roman"/>
        </w:rPr>
        <w:t>evolutionary</w:t>
      </w:r>
      <w:r w:rsidRPr="00E91225">
        <w:rPr>
          <w:rFonts w:cs="Times New Roman"/>
        </w:rPr>
        <w:t xml:space="preserve"> factors examined, we found that observed host-associated microbial assemblage</w:t>
      </w:r>
      <w:r>
        <w:rPr>
          <w:rFonts w:cs="Times New Roman"/>
        </w:rPr>
        <w:t>s were most correlative</w:t>
      </w:r>
      <w:r w:rsidRPr="00E91225">
        <w:rPr>
          <w:rFonts w:cs="Times New Roman"/>
        </w:rPr>
        <w:t xml:space="preserve"> </w:t>
      </w:r>
      <w:r>
        <w:rPr>
          <w:rFonts w:cs="Times New Roman"/>
        </w:rPr>
        <w:t xml:space="preserve">with </w:t>
      </w:r>
      <w:r w:rsidRPr="00E91225">
        <w:rPr>
          <w:rFonts w:cs="Times New Roman"/>
        </w:rPr>
        <w:t>host species</w:t>
      </w:r>
      <w:r>
        <w:rPr>
          <w:rFonts w:cs="Times New Roman"/>
        </w:rPr>
        <w:t xml:space="preserve">, </w:t>
      </w:r>
      <w:r w:rsidRPr="00E91225">
        <w:rPr>
          <w:rFonts w:cs="Times New Roman"/>
        </w:rPr>
        <w:t xml:space="preserve">as seen previously in other reptile groups (Lankau </w:t>
      </w:r>
      <w:r w:rsidRPr="00B57253">
        <w:rPr>
          <w:rFonts w:cs="Times New Roman"/>
          <w:i/>
        </w:rPr>
        <w:t>et al</w:t>
      </w:r>
      <w:r w:rsidRPr="00E91225">
        <w:rPr>
          <w:rFonts w:cs="Times New Roman"/>
        </w:rPr>
        <w:t xml:space="preserve">. 2012; Ren </w:t>
      </w:r>
      <w:r w:rsidRPr="00B57253">
        <w:rPr>
          <w:rFonts w:cs="Times New Roman"/>
          <w:i/>
        </w:rPr>
        <w:t>et al</w:t>
      </w:r>
      <w:r w:rsidRPr="00E91225">
        <w:rPr>
          <w:rFonts w:cs="Times New Roman"/>
        </w:rPr>
        <w:t xml:space="preserve">. 2016; Kohl </w:t>
      </w:r>
      <w:r w:rsidRPr="00B57253">
        <w:rPr>
          <w:rFonts w:cs="Times New Roman"/>
          <w:i/>
        </w:rPr>
        <w:t>et al</w:t>
      </w:r>
      <w:r w:rsidRPr="00E91225">
        <w:rPr>
          <w:rFonts w:cs="Times New Roman"/>
        </w:rPr>
        <w:t xml:space="preserve">. 2017). Sampling locality and broader </w:t>
      </w:r>
      <w:r>
        <w:rPr>
          <w:rFonts w:cs="Times New Roman"/>
        </w:rPr>
        <w:t>biogeographic zones</w:t>
      </w:r>
      <w:r w:rsidRPr="00E91225">
        <w:rPr>
          <w:rFonts w:cs="Times New Roman"/>
        </w:rPr>
        <w:t xml:space="preserve"> irrespective of host species </w:t>
      </w:r>
      <w:r>
        <w:rPr>
          <w:rFonts w:cs="Times New Roman"/>
        </w:rPr>
        <w:t xml:space="preserve">identity </w:t>
      </w:r>
      <w:r w:rsidRPr="00E91225">
        <w:rPr>
          <w:rFonts w:cs="Times New Roman"/>
        </w:rPr>
        <w:t>were also significant</w:t>
      </w:r>
      <w:r>
        <w:rPr>
          <w:rFonts w:cs="Times New Roman"/>
        </w:rPr>
        <w:t>ly associated with</w:t>
      </w:r>
      <w:r w:rsidRPr="00E91225">
        <w:rPr>
          <w:rFonts w:cs="Times New Roman"/>
        </w:rPr>
        <w:t xml:space="preserve"> microbial assemblages, agreeing with previous findings (Lankau </w:t>
      </w:r>
      <w:r w:rsidRPr="00B57253">
        <w:rPr>
          <w:rFonts w:cs="Times New Roman"/>
          <w:i/>
        </w:rPr>
        <w:t>et al</w:t>
      </w:r>
      <w:r w:rsidRPr="00E91225">
        <w:rPr>
          <w:rFonts w:cs="Times New Roman"/>
        </w:rPr>
        <w:t xml:space="preserve">. 2012; Ren </w:t>
      </w:r>
      <w:r w:rsidRPr="00B57253">
        <w:rPr>
          <w:rFonts w:cs="Times New Roman"/>
          <w:i/>
        </w:rPr>
        <w:t>et al</w:t>
      </w:r>
      <w:r w:rsidRPr="00E91225">
        <w:rPr>
          <w:rFonts w:cs="Times New Roman"/>
        </w:rPr>
        <w:t>. 2016)</w:t>
      </w:r>
      <w:r>
        <w:rPr>
          <w:rFonts w:cs="Times New Roman"/>
        </w:rPr>
        <w:t>. Within our interspecific comparisons,</w:t>
      </w:r>
      <w:r w:rsidRPr="00E91225">
        <w:rPr>
          <w:rFonts w:cs="Times New Roman"/>
        </w:rPr>
        <w:t xml:space="preserve"> </w:t>
      </w:r>
      <w:r>
        <w:rPr>
          <w:rFonts w:cs="Times New Roman"/>
        </w:rPr>
        <w:t>we note that observed patterns</w:t>
      </w:r>
      <w:r w:rsidRPr="00E91225">
        <w:rPr>
          <w:rFonts w:cs="Times New Roman"/>
        </w:rPr>
        <w:t xml:space="preserve"> may be at least partially confounded with host species due to</w:t>
      </w:r>
      <w:r>
        <w:rPr>
          <w:rFonts w:cs="Times New Roman"/>
        </w:rPr>
        <w:t xml:space="preserve"> uneven opportunistic sampling of wild gekkonid specimens (Table 1, Fig. 1). Although future sampling designs that can capture spatial variation within and between species would help resolve such confounding, the variation in host-associated assemblages in </w:t>
      </w:r>
      <w:r>
        <w:rPr>
          <w:rFonts w:cs="Times New Roman"/>
          <w:i/>
          <w:iCs/>
        </w:rPr>
        <w:t>Cyrtodactylus</w:t>
      </w:r>
      <w:r>
        <w:rPr>
          <w:rFonts w:cs="Times New Roman"/>
        </w:rPr>
        <w:t xml:space="preserve"> </w:t>
      </w:r>
      <w:r>
        <w:rPr>
          <w:rFonts w:cs="Times New Roman"/>
          <w:i/>
          <w:iCs/>
        </w:rPr>
        <w:t>philippinicus</w:t>
      </w:r>
      <w:r>
        <w:rPr>
          <w:rFonts w:cs="Times New Roman"/>
        </w:rPr>
        <w:t xml:space="preserve"> samples observed across multiple sites here (Fig. 6) suggests that individual host locality does influence gut microbiomes significantly even within species.</w:t>
      </w:r>
    </w:p>
    <w:p w14:paraId="2745DBA3" w14:textId="77777777" w:rsidR="005C7880" w:rsidRPr="00E91225" w:rsidRDefault="005C7880" w:rsidP="005C7880">
      <w:pPr>
        <w:spacing w:line="480" w:lineRule="auto"/>
        <w:ind w:firstLine="360"/>
        <w:contextualSpacing/>
        <w:rPr>
          <w:rFonts w:cs="Times New Roman"/>
        </w:rPr>
      </w:pPr>
      <w:r>
        <w:rPr>
          <w:rFonts w:cs="Times New Roman"/>
        </w:rPr>
        <w:t xml:space="preserve">The site specificity seen in compositions from </w:t>
      </w:r>
      <w:r>
        <w:rPr>
          <w:rFonts w:cs="Times New Roman"/>
          <w:i/>
          <w:iCs/>
        </w:rPr>
        <w:t>C</w:t>
      </w:r>
      <w:r>
        <w:rPr>
          <w:rFonts w:cs="Times New Roman"/>
        </w:rPr>
        <w:t>.</w:t>
      </w:r>
      <w:r>
        <w:rPr>
          <w:rFonts w:cs="Times New Roman"/>
          <w:i/>
          <w:iCs/>
        </w:rPr>
        <w:t xml:space="preserve"> philippinicus</w:t>
      </w:r>
      <w:r>
        <w:rPr>
          <w:rFonts w:cs="Times New Roman"/>
        </w:rPr>
        <w:t xml:space="preserve"> specimens at discrete locations shows that locality can and does influence observed intraspecific variation in microbial compositions </w:t>
      </w:r>
      <w:r w:rsidRPr="00856C31">
        <w:rPr>
          <w:rFonts w:cs="Times New Roman"/>
        </w:rPr>
        <w:t>(Fig. 6).</w:t>
      </w:r>
      <w:r>
        <w:rPr>
          <w:rFonts w:cs="Times New Roman"/>
        </w:rPr>
        <w:t xml:space="preserve"> Site-specific factors that alter these compositions need further investigation in wild hosts </w:t>
      </w:r>
      <w:r w:rsidRPr="00E91225">
        <w:rPr>
          <w:rFonts w:cs="Times New Roman"/>
        </w:rPr>
        <w:t xml:space="preserve">(Ren </w:t>
      </w:r>
      <w:r w:rsidRPr="00B57253">
        <w:rPr>
          <w:rFonts w:cs="Times New Roman"/>
          <w:i/>
        </w:rPr>
        <w:t>et al</w:t>
      </w:r>
      <w:r w:rsidRPr="00E91225">
        <w:rPr>
          <w:rFonts w:cs="Times New Roman"/>
        </w:rPr>
        <w:t xml:space="preserve">. 2016). Preliminary evidence suggests that differences in individual diet </w:t>
      </w:r>
      <w:r>
        <w:rPr>
          <w:rFonts w:cs="Times New Roman"/>
        </w:rPr>
        <w:t>at least i</w:t>
      </w:r>
      <w:r w:rsidRPr="00E91225">
        <w:rPr>
          <w:rFonts w:cs="Times New Roman"/>
        </w:rPr>
        <w:t>n captive reptiles may be responsible for marked intraspecific variation in</w:t>
      </w:r>
      <w:r>
        <w:rPr>
          <w:rFonts w:cs="Times New Roman"/>
        </w:rPr>
        <w:t xml:space="preserve"> host-associated</w:t>
      </w:r>
      <w:r w:rsidRPr="00E91225">
        <w:rPr>
          <w:rFonts w:cs="Times New Roman"/>
        </w:rPr>
        <w:t xml:space="preserve"> gut microbiomes (Jiang </w:t>
      </w:r>
      <w:r w:rsidRPr="00B57253">
        <w:rPr>
          <w:rFonts w:cs="Times New Roman"/>
          <w:i/>
        </w:rPr>
        <w:t>et al</w:t>
      </w:r>
      <w:r w:rsidRPr="00E91225">
        <w:rPr>
          <w:rFonts w:cs="Times New Roman"/>
        </w:rPr>
        <w:t xml:space="preserve">. 2017; Fong, Sung, and Ding 2020). </w:t>
      </w:r>
      <w:r>
        <w:rPr>
          <w:rFonts w:cs="Times New Roman"/>
        </w:rPr>
        <w:t>S</w:t>
      </w:r>
      <w:r w:rsidRPr="00E91225">
        <w:rPr>
          <w:rFonts w:cs="Times New Roman"/>
        </w:rPr>
        <w:t xml:space="preserve">tudies on specific microhabitat tendencies and improved ecological knowledge on </w:t>
      </w:r>
      <w:r>
        <w:rPr>
          <w:rFonts w:cs="Times New Roman"/>
        </w:rPr>
        <w:t xml:space="preserve">host </w:t>
      </w:r>
      <w:r w:rsidRPr="00E91225">
        <w:rPr>
          <w:rFonts w:cs="Times New Roman"/>
        </w:rPr>
        <w:t>species are needed to better understand drivers of gut microbiome formation and maintenance.</w:t>
      </w:r>
    </w:p>
    <w:p w14:paraId="3E07CB6A" w14:textId="77777777" w:rsidR="005C7880" w:rsidRPr="00E91225" w:rsidRDefault="005C7880" w:rsidP="005C7880">
      <w:pPr>
        <w:spacing w:line="480" w:lineRule="auto"/>
        <w:ind w:firstLine="360"/>
        <w:contextualSpacing/>
        <w:rPr>
          <w:rFonts w:cs="Times New Roman"/>
        </w:rPr>
      </w:pPr>
      <w:r w:rsidRPr="00E91225">
        <w:rPr>
          <w:rFonts w:cs="Times New Roman"/>
        </w:rPr>
        <w:t xml:space="preserve">All gecko species included in this study have only </w:t>
      </w:r>
      <w:r>
        <w:rPr>
          <w:rFonts w:cs="Times New Roman"/>
        </w:rPr>
        <w:t>broad</w:t>
      </w:r>
      <w:r w:rsidRPr="00E91225">
        <w:rPr>
          <w:rFonts w:cs="Times New Roman"/>
        </w:rPr>
        <w:t xml:space="preserve"> ecological data available (Brown </w:t>
      </w:r>
      <w:r w:rsidRPr="00B57253">
        <w:rPr>
          <w:rFonts w:cs="Times New Roman"/>
          <w:i/>
        </w:rPr>
        <w:t>et al</w:t>
      </w:r>
      <w:r w:rsidRPr="00E91225">
        <w:rPr>
          <w:rFonts w:cs="Times New Roman"/>
        </w:rPr>
        <w:t xml:space="preserve">. 2008,2009,2010,2011,2013b; Welton </w:t>
      </w:r>
      <w:r w:rsidRPr="00B57253">
        <w:rPr>
          <w:rFonts w:cs="Times New Roman"/>
          <w:i/>
        </w:rPr>
        <w:t>et al</w:t>
      </w:r>
      <w:r w:rsidRPr="00E91225">
        <w:rPr>
          <w:rFonts w:cs="Times New Roman"/>
        </w:rPr>
        <w:t>. 2010). The categorizations used in this investigation failed to recover much differentiation based on ecological traits</w:t>
      </w:r>
      <w:r>
        <w:rPr>
          <w:rFonts w:cs="Times New Roman"/>
        </w:rPr>
        <w:t>;</w:t>
      </w:r>
      <w:r w:rsidRPr="00E91225">
        <w:rPr>
          <w:rFonts w:cs="Times New Roman"/>
        </w:rPr>
        <w:t xml:space="preserve"> however</w:t>
      </w:r>
      <w:r>
        <w:rPr>
          <w:rFonts w:cs="Times New Roman"/>
        </w:rPr>
        <w:t>,</w:t>
      </w:r>
      <w:r w:rsidRPr="00E91225">
        <w:rPr>
          <w:rFonts w:cs="Times New Roman"/>
        </w:rPr>
        <w:t xml:space="preserve"> it is possible that more fine-scale ecological partitioning would prove intuitive (Lankau </w:t>
      </w:r>
      <w:r w:rsidRPr="00B57253">
        <w:rPr>
          <w:rFonts w:cs="Times New Roman"/>
          <w:i/>
        </w:rPr>
        <w:t>et al</w:t>
      </w:r>
      <w:r w:rsidRPr="00E91225">
        <w:rPr>
          <w:rFonts w:cs="Times New Roman"/>
        </w:rPr>
        <w:t xml:space="preserve">. 2012; Ren </w:t>
      </w:r>
      <w:r w:rsidRPr="00B57253">
        <w:rPr>
          <w:rFonts w:cs="Times New Roman"/>
          <w:i/>
        </w:rPr>
        <w:t>et al</w:t>
      </w:r>
      <w:r w:rsidRPr="00E91225">
        <w:rPr>
          <w:rFonts w:cs="Times New Roman"/>
        </w:rPr>
        <w:t>. 2016). Widespread and microendemic species comparisons offer promising avenues for more targeted testing, as alpha</w:t>
      </w:r>
      <w:r>
        <w:rPr>
          <w:rFonts w:cs="Times New Roman"/>
        </w:rPr>
        <w:t xml:space="preserve"> and beta diversity metrics were significantly distinct between groups (</w:t>
      </w:r>
      <w:r w:rsidRPr="00856C31">
        <w:rPr>
          <w:rFonts w:cs="Times New Roman"/>
        </w:rPr>
        <w:t>Sup 2B</w:t>
      </w:r>
      <w:r>
        <w:rPr>
          <w:rFonts w:cs="Times New Roman"/>
        </w:rPr>
        <w:t xml:space="preserve">). Widespread species sampled in this study showed greater OTU diversity, Shannon Index values, and Faith’s PD as compared to microendemic counterparts. They also displayed distinct communities in the unweighted UniFrac and Jaccard metrics as compared to microendmic counterparts, suggesting differentiation in rare OTU presence. This significance could be preliminary evidence for a valid ecological phenomenon in which widespread and microendemic hosts exhibit distinct strategies in harboring endogenous microbiome compositions. Internal </w:t>
      </w:r>
      <w:r w:rsidRPr="00E91225">
        <w:rPr>
          <w:rFonts w:cs="Times New Roman"/>
        </w:rPr>
        <w:t xml:space="preserve">microbial communities are critical facets of organismal adaptability to novel environments (Amato 2013; Stumpf </w:t>
      </w:r>
      <w:r w:rsidRPr="00B57253">
        <w:rPr>
          <w:rFonts w:cs="Times New Roman"/>
          <w:i/>
        </w:rPr>
        <w:t>et al</w:t>
      </w:r>
      <w:r w:rsidRPr="00E91225">
        <w:rPr>
          <w:rFonts w:cs="Times New Roman"/>
        </w:rPr>
        <w:t>. 2016</w:t>
      </w:r>
      <w:r>
        <w:rPr>
          <w:rFonts w:cs="Times New Roman"/>
        </w:rPr>
        <w:t xml:space="preserve">; </w:t>
      </w:r>
      <w:r w:rsidRPr="00ED74F6">
        <w:rPr>
          <w:rFonts w:cs="Times New Roman"/>
        </w:rPr>
        <w:t>Trevelline</w:t>
      </w:r>
      <w:r>
        <w:rPr>
          <w:rFonts w:cs="Times New Roman"/>
        </w:rPr>
        <w:t xml:space="preserve"> </w:t>
      </w:r>
      <w:r w:rsidRPr="00B57253">
        <w:rPr>
          <w:rFonts w:cs="Times New Roman"/>
          <w:i/>
        </w:rPr>
        <w:t>et al</w:t>
      </w:r>
      <w:r>
        <w:rPr>
          <w:rFonts w:cs="Times New Roman"/>
        </w:rPr>
        <w:t>. 2019</w:t>
      </w:r>
      <w:r w:rsidRPr="00E91225">
        <w:rPr>
          <w:rFonts w:cs="Times New Roman"/>
        </w:rPr>
        <w:t xml:space="preserve">), and the increased diversity presence or transient microbe acquisition may play a role in widespread species’ capacities to invade novel habitats (Alberdi </w:t>
      </w:r>
      <w:r w:rsidRPr="00B57253">
        <w:rPr>
          <w:rFonts w:cs="Times New Roman"/>
          <w:i/>
        </w:rPr>
        <w:t>et al</w:t>
      </w:r>
      <w:r w:rsidRPr="00E91225">
        <w:rPr>
          <w:rFonts w:cs="Times New Roman"/>
        </w:rPr>
        <w:t>. 2016). Additional insight into the functional capacity of reptile microbiomes and the way endogenous microbiota influence adaptive capacity of hosts is of critical importance for conservation considerations of reptile species in the future (</w:t>
      </w:r>
      <w:r>
        <w:rPr>
          <w:rFonts w:cs="Times New Roman"/>
        </w:rPr>
        <w:t xml:space="preserve">Brooks </w:t>
      </w:r>
      <w:r w:rsidRPr="00B57253">
        <w:rPr>
          <w:rFonts w:cs="Times New Roman"/>
          <w:i/>
        </w:rPr>
        <w:t>et al</w:t>
      </w:r>
      <w:r>
        <w:rPr>
          <w:rFonts w:cs="Times New Roman"/>
        </w:rPr>
        <w:t xml:space="preserve">. 2016; </w:t>
      </w:r>
      <w:r w:rsidRPr="00E91225">
        <w:rPr>
          <w:rFonts w:cs="Times New Roman"/>
        </w:rPr>
        <w:t xml:space="preserve">Colston and Jackson 2016; Littleford‐Colquhoun </w:t>
      </w:r>
      <w:r w:rsidRPr="00B57253">
        <w:rPr>
          <w:rFonts w:cs="Times New Roman"/>
          <w:i/>
        </w:rPr>
        <w:t>et al</w:t>
      </w:r>
      <w:r w:rsidRPr="00E91225">
        <w:rPr>
          <w:rFonts w:cs="Times New Roman"/>
        </w:rPr>
        <w:t>. 2019</w:t>
      </w:r>
      <w:r>
        <w:rPr>
          <w:rFonts w:cs="Times New Roman"/>
        </w:rPr>
        <w:t xml:space="preserve">; </w:t>
      </w:r>
      <w:r w:rsidRPr="00ED74F6">
        <w:rPr>
          <w:rFonts w:cs="Times New Roman"/>
        </w:rPr>
        <w:t>Trevelline</w:t>
      </w:r>
      <w:r>
        <w:rPr>
          <w:rFonts w:cs="Times New Roman"/>
        </w:rPr>
        <w:t xml:space="preserve"> </w:t>
      </w:r>
      <w:r w:rsidRPr="00B57253">
        <w:rPr>
          <w:rFonts w:cs="Times New Roman"/>
          <w:i/>
        </w:rPr>
        <w:t>et al</w:t>
      </w:r>
      <w:r>
        <w:rPr>
          <w:rFonts w:cs="Times New Roman"/>
        </w:rPr>
        <w:t>. 2019</w:t>
      </w:r>
      <w:r w:rsidRPr="00E91225">
        <w:rPr>
          <w:rFonts w:cs="Times New Roman"/>
        </w:rPr>
        <w:t>).</w:t>
      </w:r>
    </w:p>
    <w:p w14:paraId="4C137B1F" w14:textId="77777777" w:rsidR="005C7880" w:rsidRDefault="005C7880" w:rsidP="005C7880">
      <w:pPr>
        <w:spacing w:line="480" w:lineRule="auto"/>
        <w:ind w:firstLine="360"/>
        <w:contextualSpacing/>
        <w:rPr>
          <w:rFonts w:cs="Times New Roman"/>
        </w:rPr>
      </w:pPr>
      <w:r w:rsidRPr="00E91225">
        <w:rPr>
          <w:rFonts w:cs="Times New Roman"/>
        </w:rPr>
        <w:t xml:space="preserve">Here we expand upon what is known on endogenous microbial communities in wild reptiles and </w:t>
      </w:r>
      <w:r>
        <w:rPr>
          <w:rFonts w:cs="Times New Roman"/>
        </w:rPr>
        <w:t>identify a suite of</w:t>
      </w:r>
      <w:r w:rsidRPr="00E91225">
        <w:rPr>
          <w:rFonts w:cs="Times New Roman"/>
        </w:rPr>
        <w:t xml:space="preserve"> contemporary </w:t>
      </w:r>
      <w:r>
        <w:rPr>
          <w:rFonts w:cs="Times New Roman"/>
        </w:rPr>
        <w:t xml:space="preserve">and historical </w:t>
      </w:r>
      <w:r w:rsidRPr="00E91225">
        <w:rPr>
          <w:rFonts w:cs="Times New Roman"/>
        </w:rPr>
        <w:t xml:space="preserve">influences that </w:t>
      </w:r>
      <w:r>
        <w:rPr>
          <w:rFonts w:cs="Times New Roman"/>
        </w:rPr>
        <w:t>structure</w:t>
      </w:r>
      <w:r w:rsidRPr="00E91225">
        <w:rPr>
          <w:rFonts w:cs="Times New Roman"/>
        </w:rPr>
        <w:t xml:space="preserve"> such compositions using gekkonids</w:t>
      </w:r>
      <w:r>
        <w:rPr>
          <w:rFonts w:cs="Times New Roman"/>
        </w:rPr>
        <w:t xml:space="preserve"> from across the Philippine archipelago. We found no correlations between host genetic distances and observed microbial compositions, suggesting a muted influence of evolutionary history on present variation in Philippine geckos. Despite this, host species was consistently the greatest determinate in microbial assemblages with marked intraspecific variation observed based on sampling locality. While these results suggest that contemporary ecological traits may play a more central role than do evolutionary pasts in the maintaining of enteric microbial diversity in gekkonid hosts, future research investigating these factors more precisely in wild specimens remains essential.</w:t>
      </w:r>
    </w:p>
    <w:p w14:paraId="22673765" w14:textId="77777777" w:rsidR="005C7880" w:rsidRDefault="005C7880" w:rsidP="005C7880">
      <w:pPr>
        <w:spacing w:line="480" w:lineRule="auto"/>
        <w:contextualSpacing/>
        <w:rPr>
          <w:rFonts w:cs="Times New Roman"/>
        </w:rPr>
      </w:pPr>
    </w:p>
    <w:p w14:paraId="6CC4DD14" w14:textId="77777777" w:rsidR="005C7880" w:rsidRPr="002B0DCE" w:rsidRDefault="005C7880" w:rsidP="005C7880">
      <w:pPr>
        <w:spacing w:line="480" w:lineRule="auto"/>
        <w:contextualSpacing/>
        <w:rPr>
          <w:rFonts w:cs="Times New Roman"/>
        </w:rPr>
      </w:pPr>
      <w:r w:rsidRPr="005E196F">
        <w:rPr>
          <w:rFonts w:cs="Times New Roman"/>
          <w:b/>
          <w:bCs/>
          <w:sz w:val="28"/>
          <w:szCs w:val="28"/>
        </w:rPr>
        <w:t>Funding</w:t>
      </w:r>
    </w:p>
    <w:p w14:paraId="57623BBB" w14:textId="77777777" w:rsidR="005C7880" w:rsidRDefault="005C7880" w:rsidP="005C7880">
      <w:pPr>
        <w:spacing w:line="480" w:lineRule="auto"/>
        <w:contextualSpacing/>
        <w:rPr>
          <w:rFonts w:cs="Times New Roman"/>
        </w:rPr>
      </w:pPr>
      <w:r>
        <w:rPr>
          <w:rFonts w:cs="Times New Roman"/>
        </w:rPr>
        <w:t xml:space="preserve">This work was supported by </w:t>
      </w:r>
      <w:r w:rsidRPr="00CD1676">
        <w:t xml:space="preserve">the </w:t>
      </w:r>
      <w:r>
        <w:rPr>
          <w:rFonts w:cs="Times New Roman"/>
        </w:rPr>
        <w:t>National Science Foundation</w:t>
      </w:r>
      <w:r w:rsidRPr="00A72B0E">
        <w:rPr>
          <w:rFonts w:cs="Times New Roman"/>
        </w:rPr>
        <w:t xml:space="preserve"> </w:t>
      </w:r>
      <w:r>
        <w:rPr>
          <w:rFonts w:cs="Times New Roman"/>
        </w:rPr>
        <w:t>[</w:t>
      </w:r>
      <w:r w:rsidRPr="00A72B0E">
        <w:rPr>
          <w:rFonts w:cs="Times New Roman"/>
        </w:rPr>
        <w:t>DEB 1657648</w:t>
      </w:r>
      <w:r>
        <w:rPr>
          <w:rFonts w:cs="Times New Roman"/>
        </w:rPr>
        <w:t>]</w:t>
      </w:r>
      <w:r w:rsidRPr="00A72B0E">
        <w:rPr>
          <w:rFonts w:cs="Times New Roman"/>
        </w:rPr>
        <w:t xml:space="preserve"> and </w:t>
      </w:r>
      <w:r>
        <w:rPr>
          <w:rFonts w:cs="Times New Roman"/>
        </w:rPr>
        <w:t>[</w:t>
      </w:r>
      <w:r w:rsidRPr="00A72B0E">
        <w:rPr>
          <w:rFonts w:cs="Times New Roman"/>
        </w:rPr>
        <w:t>IOS 1353683</w:t>
      </w:r>
      <w:r>
        <w:rPr>
          <w:rFonts w:cs="Times New Roman"/>
        </w:rPr>
        <w:t>]</w:t>
      </w:r>
      <w:r w:rsidRPr="00A72B0E">
        <w:rPr>
          <w:rFonts w:cs="Times New Roman"/>
        </w:rPr>
        <w:t xml:space="preserve"> to C</w:t>
      </w:r>
      <w:r>
        <w:rPr>
          <w:rFonts w:cs="Times New Roman"/>
        </w:rPr>
        <w:t>D</w:t>
      </w:r>
      <w:r w:rsidRPr="00A72B0E">
        <w:rPr>
          <w:rFonts w:cs="Times New Roman"/>
        </w:rPr>
        <w:t>S.</w:t>
      </w:r>
    </w:p>
    <w:p w14:paraId="6E9A4B53" w14:textId="77777777" w:rsidR="005C7880" w:rsidRDefault="005C7880" w:rsidP="005C7880">
      <w:pPr>
        <w:spacing w:line="480" w:lineRule="auto"/>
        <w:contextualSpacing/>
        <w:rPr>
          <w:rFonts w:cs="Times New Roman"/>
          <w:b/>
          <w:bCs/>
        </w:rPr>
      </w:pPr>
    </w:p>
    <w:p w14:paraId="3048998D" w14:textId="77777777" w:rsidR="005C7880" w:rsidRPr="00935474" w:rsidRDefault="005C7880" w:rsidP="005C7880">
      <w:pPr>
        <w:spacing w:line="480" w:lineRule="auto"/>
        <w:contextualSpacing/>
        <w:rPr>
          <w:rFonts w:cs="Times New Roman"/>
          <w:b/>
          <w:bCs/>
          <w:sz w:val="28"/>
          <w:szCs w:val="28"/>
        </w:rPr>
      </w:pPr>
      <w:r w:rsidRPr="00935474">
        <w:rPr>
          <w:rFonts w:cs="Times New Roman"/>
          <w:b/>
          <w:bCs/>
          <w:sz w:val="28"/>
          <w:szCs w:val="28"/>
        </w:rPr>
        <w:t>Conflict of interest</w:t>
      </w:r>
    </w:p>
    <w:p w14:paraId="6C378D5D" w14:textId="77777777" w:rsidR="005C7880" w:rsidRPr="00935474" w:rsidRDefault="005C7880" w:rsidP="005C7880">
      <w:pPr>
        <w:spacing w:line="480" w:lineRule="auto"/>
        <w:contextualSpacing/>
        <w:rPr>
          <w:rFonts w:cs="Times New Roman"/>
        </w:rPr>
      </w:pPr>
      <w:r w:rsidRPr="00935474">
        <w:rPr>
          <w:rFonts w:cs="Times New Roman"/>
        </w:rPr>
        <w:t>The authors declare no conflict of interest.</w:t>
      </w:r>
    </w:p>
    <w:p w14:paraId="2A370C24" w14:textId="77777777" w:rsidR="005C7880" w:rsidRPr="005E196F" w:rsidRDefault="005C7880" w:rsidP="005C7880">
      <w:pPr>
        <w:spacing w:line="480" w:lineRule="auto"/>
        <w:contextualSpacing/>
        <w:rPr>
          <w:rFonts w:cs="Times New Roman"/>
        </w:rPr>
      </w:pPr>
    </w:p>
    <w:p w14:paraId="1CD99586" w14:textId="77777777" w:rsidR="005C7880" w:rsidRDefault="005C7880" w:rsidP="005C7880">
      <w:pPr>
        <w:spacing w:line="480" w:lineRule="auto"/>
        <w:contextualSpacing/>
        <w:rPr>
          <w:rFonts w:cs="Times New Roman"/>
          <w:b/>
          <w:bCs/>
          <w:sz w:val="28"/>
          <w:szCs w:val="28"/>
        </w:rPr>
      </w:pPr>
      <w:r w:rsidRPr="005E196F">
        <w:rPr>
          <w:rFonts w:cs="Times New Roman"/>
          <w:b/>
          <w:bCs/>
          <w:sz w:val="28"/>
          <w:szCs w:val="28"/>
        </w:rPr>
        <w:t>Acknowledgements</w:t>
      </w:r>
    </w:p>
    <w:p w14:paraId="624A045A" w14:textId="77777777" w:rsidR="005C7880" w:rsidRDefault="005C7880" w:rsidP="005C7880">
      <w:pPr>
        <w:spacing w:line="480" w:lineRule="auto"/>
        <w:contextualSpacing/>
        <w:rPr>
          <w:rFonts w:cs="Times New Roman"/>
        </w:rPr>
      </w:pPr>
      <w:r w:rsidRPr="00A72B0E">
        <w:rPr>
          <w:rFonts w:cs="Times New Roman"/>
        </w:rPr>
        <w:t>We thank M. Lim, C. Custodio, J. de Leon, and A. Tagtag of the Biodiversity Management Bureau (BMB) of the Philippine Department of Environment and Natural Resources (DENR) for help facilitating collecting and export permits, and provincial and municipal authorities in northern Luzon for facilitating research in regional study sites. We thank J. Fernandez</w:t>
      </w:r>
      <w:r>
        <w:rPr>
          <w:rFonts w:cs="Times New Roman"/>
        </w:rPr>
        <w:t>, our</w:t>
      </w:r>
      <w:r w:rsidRPr="00A72B0E">
        <w:rPr>
          <w:rFonts w:cs="Times New Roman"/>
        </w:rPr>
        <w:t xml:space="preserve"> Philippine field team</w:t>
      </w:r>
      <w:r w:rsidRPr="00913177">
        <w:rPr>
          <w:rFonts w:cs="Times New Roman"/>
        </w:rPr>
        <w:t>, S. Smith, and E. Ellsworth for</w:t>
      </w:r>
      <w:r w:rsidRPr="00A72B0E">
        <w:rPr>
          <w:rFonts w:cs="Times New Roman"/>
        </w:rPr>
        <w:t xml:space="preserve"> assistance in the field and E. Higgins</w:t>
      </w:r>
      <w:r>
        <w:rPr>
          <w:rFonts w:cs="Times New Roman"/>
        </w:rPr>
        <w:t xml:space="preserve"> and S. Smith </w:t>
      </w:r>
      <w:r w:rsidRPr="00A72B0E">
        <w:rPr>
          <w:rFonts w:cs="Times New Roman"/>
        </w:rPr>
        <w:t>for assistance in sample extraction</w:t>
      </w:r>
      <w:r>
        <w:rPr>
          <w:rFonts w:cs="Times New Roman"/>
        </w:rPr>
        <w:t xml:space="preserve"> and processing</w:t>
      </w:r>
      <w:r w:rsidRPr="00A72B0E">
        <w:rPr>
          <w:rFonts w:cs="Times New Roman"/>
        </w:rPr>
        <w:t xml:space="preserve">. We are particularly grateful for the assistance and support of the Reynon family during our expedition. </w:t>
      </w:r>
      <w:r>
        <w:rPr>
          <w:rFonts w:cs="Times New Roman"/>
        </w:rPr>
        <w:t xml:space="preserve">We sincerely appreciate both B. Stevenson and K. </w:t>
      </w:r>
      <w:r w:rsidRPr="00497E55">
        <w:rPr>
          <w:rFonts w:cs="Times New Roman"/>
        </w:rPr>
        <w:t xml:space="preserve">Sankaranarayanan </w:t>
      </w:r>
      <w:r>
        <w:rPr>
          <w:rFonts w:cs="Times New Roman"/>
        </w:rPr>
        <w:t>for data pipeline development and analysis training. W</w:t>
      </w:r>
      <w:r w:rsidRPr="00A72B0E">
        <w:rPr>
          <w:rFonts w:cs="Times New Roman"/>
        </w:rPr>
        <w:t>e thank</w:t>
      </w:r>
      <w:r>
        <w:rPr>
          <w:rFonts w:cs="Times New Roman"/>
        </w:rPr>
        <w:t xml:space="preserve"> E. Freitas for invaluable assistance in phylogenetic methodology implementation</w:t>
      </w:r>
      <w:r w:rsidRPr="00A72B0E">
        <w:rPr>
          <w:rFonts w:cs="Times New Roman"/>
        </w:rPr>
        <w:t>.</w:t>
      </w:r>
      <w:r>
        <w:rPr>
          <w:rFonts w:cs="Times New Roman"/>
        </w:rPr>
        <w:t xml:space="preserve"> </w:t>
      </w:r>
      <w:r w:rsidRPr="00A72B0E">
        <w:rPr>
          <w:rFonts w:cs="Times New Roman"/>
        </w:rPr>
        <w:t>Fieldwork in the Philippines was conducted under the Memorandum of Agreement with the Protected Areas and Wildlife Bureau of the Philippines (2015–20), and Gratuitous Permit to Collect #273 (renewal).</w:t>
      </w:r>
    </w:p>
    <w:p w14:paraId="4C95E642" w14:textId="77777777" w:rsidR="005C7880" w:rsidRPr="00B57253" w:rsidRDefault="005C7880" w:rsidP="005C7880">
      <w:pPr>
        <w:spacing w:line="480" w:lineRule="auto"/>
        <w:contextualSpacing/>
        <w:rPr>
          <w:rFonts w:cs="Times New Roman"/>
        </w:rPr>
      </w:pPr>
    </w:p>
    <w:p w14:paraId="2DAF4B98" w14:textId="77777777" w:rsidR="005C7880" w:rsidRDefault="005C7880" w:rsidP="005C7880">
      <w:pPr>
        <w:spacing w:line="480" w:lineRule="auto"/>
        <w:contextualSpacing/>
        <w:rPr>
          <w:rFonts w:cs="Times New Roman"/>
          <w:b/>
          <w:bCs/>
          <w:sz w:val="28"/>
          <w:szCs w:val="28"/>
        </w:rPr>
      </w:pPr>
      <w:r w:rsidRPr="005E196F">
        <w:rPr>
          <w:rFonts w:cs="Times New Roman"/>
          <w:b/>
          <w:bCs/>
          <w:sz w:val="28"/>
          <w:szCs w:val="28"/>
        </w:rPr>
        <w:t>References</w:t>
      </w:r>
    </w:p>
    <w:p w14:paraId="38F3C2FD" w14:textId="77777777" w:rsidR="005C7880" w:rsidRPr="004B6A60" w:rsidRDefault="005C7880" w:rsidP="005C7880">
      <w:pPr>
        <w:spacing w:line="480" w:lineRule="auto"/>
        <w:ind w:left="360" w:hanging="360"/>
        <w:contextualSpacing/>
        <w:rPr>
          <w:rFonts w:cs="Times New Roman"/>
        </w:rPr>
      </w:pPr>
      <w:r w:rsidRPr="004B6A60">
        <w:rPr>
          <w:rFonts w:cs="Times New Roman"/>
        </w:rPr>
        <w:t>Alberdi A, Aizpurua O, Bohmann K</w:t>
      </w:r>
      <w:r>
        <w:rPr>
          <w:rFonts w:cs="Times New Roman"/>
        </w:rPr>
        <w:t xml:space="preserve"> </w:t>
      </w:r>
      <w:r w:rsidRPr="00B57253">
        <w:rPr>
          <w:rFonts w:cs="Times New Roman"/>
          <w:i/>
          <w:iCs/>
        </w:rPr>
        <w:t>et al</w:t>
      </w:r>
      <w:r w:rsidRPr="00E24622">
        <w:rPr>
          <w:rFonts w:cs="Times New Roman"/>
          <w:i/>
          <w:iCs/>
        </w:rPr>
        <w:t>.</w:t>
      </w:r>
      <w:r w:rsidRPr="004B6A60">
        <w:rPr>
          <w:rFonts w:cs="Times New Roman"/>
        </w:rPr>
        <w:t xml:space="preserve"> Do vertebrate gut metagenomes confer rapid ecological adaptation?</w:t>
      </w:r>
      <w:r>
        <w:rPr>
          <w:rFonts w:cs="Times New Roman"/>
        </w:rPr>
        <w:t xml:space="preserve"> </w:t>
      </w:r>
      <w:r w:rsidRPr="00E24622">
        <w:rPr>
          <w:rFonts w:cs="Times New Roman"/>
        </w:rPr>
        <w:t xml:space="preserve">Trends </w:t>
      </w:r>
      <w:r>
        <w:rPr>
          <w:rFonts w:cs="Times New Roman"/>
        </w:rPr>
        <w:t>Ecol Evol 2</w:t>
      </w:r>
      <w:r w:rsidRPr="004B6A60">
        <w:rPr>
          <w:rFonts w:cs="Times New Roman"/>
        </w:rPr>
        <w:t>016</w:t>
      </w:r>
      <w:r>
        <w:rPr>
          <w:rFonts w:cs="Times New Roman"/>
        </w:rPr>
        <w:t>;</w:t>
      </w:r>
      <w:r w:rsidRPr="00E24622">
        <w:rPr>
          <w:rFonts w:cs="Times New Roman"/>
          <w:b/>
          <w:bCs/>
        </w:rPr>
        <w:t>31</w:t>
      </w:r>
      <w:r>
        <w:rPr>
          <w:rFonts w:cs="Times New Roman"/>
        </w:rPr>
        <w:t>:</w:t>
      </w:r>
      <w:r w:rsidRPr="004B6A60">
        <w:rPr>
          <w:rFonts w:cs="Times New Roman"/>
        </w:rPr>
        <w:t>689</w:t>
      </w:r>
      <w:r>
        <w:rPr>
          <w:rFonts w:cs="Times New Roman"/>
        </w:rPr>
        <w:t>–</w:t>
      </w:r>
      <w:r w:rsidRPr="004B6A60">
        <w:rPr>
          <w:rFonts w:cs="Times New Roman"/>
        </w:rPr>
        <w:t>699.</w:t>
      </w:r>
    </w:p>
    <w:p w14:paraId="7A8C234C" w14:textId="77777777" w:rsidR="005C7880" w:rsidRPr="004B6A60" w:rsidRDefault="005C7880" w:rsidP="005C7880">
      <w:pPr>
        <w:spacing w:line="480" w:lineRule="auto"/>
        <w:ind w:left="360" w:hanging="360"/>
        <w:contextualSpacing/>
        <w:rPr>
          <w:rFonts w:cs="Times New Roman"/>
        </w:rPr>
      </w:pPr>
      <w:r w:rsidRPr="004B6A60">
        <w:rPr>
          <w:rFonts w:cs="Times New Roman"/>
        </w:rPr>
        <w:t>Amato KR</w:t>
      </w:r>
      <w:r>
        <w:rPr>
          <w:rFonts w:cs="Times New Roman"/>
        </w:rPr>
        <w:t>.</w:t>
      </w:r>
      <w:r w:rsidRPr="004B6A60">
        <w:rPr>
          <w:rFonts w:cs="Times New Roman"/>
        </w:rPr>
        <w:t xml:space="preserve"> Co-evolution in context: the importance of studying gut microbiomes in wild animals.</w:t>
      </w:r>
      <w:r>
        <w:rPr>
          <w:rFonts w:cs="Times New Roman"/>
        </w:rPr>
        <w:t xml:space="preserve"> </w:t>
      </w:r>
      <w:r w:rsidRPr="00E24622">
        <w:rPr>
          <w:rFonts w:cs="Times New Roman"/>
        </w:rPr>
        <w:t xml:space="preserve">Microbiome </w:t>
      </w:r>
      <w:r>
        <w:rPr>
          <w:rFonts w:cs="Times New Roman"/>
        </w:rPr>
        <w:t>Sci Med</w:t>
      </w:r>
      <w:r>
        <w:rPr>
          <w:rFonts w:cs="Times New Roman"/>
          <w:i/>
          <w:iCs/>
        </w:rPr>
        <w:t xml:space="preserve"> </w:t>
      </w:r>
      <w:r>
        <w:rPr>
          <w:rFonts w:cs="Times New Roman"/>
        </w:rPr>
        <w:t>2</w:t>
      </w:r>
      <w:r w:rsidRPr="004B6A60">
        <w:rPr>
          <w:rFonts w:cs="Times New Roman"/>
        </w:rPr>
        <w:t>013</w:t>
      </w:r>
      <w:r>
        <w:rPr>
          <w:rFonts w:cs="Times New Roman"/>
        </w:rPr>
        <w:t>;</w:t>
      </w:r>
      <w:r w:rsidRPr="00E24622">
        <w:rPr>
          <w:rFonts w:cs="Times New Roman"/>
          <w:b/>
          <w:bCs/>
        </w:rPr>
        <w:t>1</w:t>
      </w:r>
      <w:r>
        <w:rPr>
          <w:rFonts w:cs="Times New Roman"/>
        </w:rPr>
        <w:t>:10–29</w:t>
      </w:r>
      <w:r w:rsidRPr="004B6A60">
        <w:rPr>
          <w:rFonts w:cs="Times New Roman"/>
        </w:rPr>
        <w:t>.</w:t>
      </w:r>
    </w:p>
    <w:p w14:paraId="6D330E12" w14:textId="77777777" w:rsidR="005C7880" w:rsidRPr="004B6A60" w:rsidRDefault="005C7880" w:rsidP="005C7880">
      <w:pPr>
        <w:spacing w:line="480" w:lineRule="auto"/>
        <w:ind w:left="360" w:hanging="360"/>
        <w:contextualSpacing/>
        <w:rPr>
          <w:rFonts w:cs="Times New Roman"/>
        </w:rPr>
      </w:pPr>
      <w:r w:rsidRPr="004B6A60">
        <w:rPr>
          <w:rFonts w:cs="Times New Roman"/>
        </w:rPr>
        <w:t>Bahrndorff S, Alemu T, Alemneh T</w:t>
      </w:r>
      <w:r w:rsidRPr="00F5712D">
        <w:rPr>
          <w:rFonts w:cs="Times New Roman"/>
          <w:i/>
          <w:iCs/>
        </w:rPr>
        <w:t xml:space="preserve"> </w:t>
      </w:r>
      <w:r w:rsidRPr="00B57253">
        <w:rPr>
          <w:rFonts w:cs="Times New Roman"/>
          <w:i/>
          <w:iCs/>
        </w:rPr>
        <w:t>et al</w:t>
      </w:r>
      <w:r w:rsidRPr="00D05276">
        <w:rPr>
          <w:rFonts w:cs="Times New Roman"/>
          <w:i/>
          <w:iCs/>
        </w:rPr>
        <w:t>.</w:t>
      </w:r>
      <w:r w:rsidRPr="004B6A60">
        <w:rPr>
          <w:rFonts w:cs="Times New Roman"/>
        </w:rPr>
        <w:t xml:space="preserve"> The microbiome of animals: implications for conservation biology.</w:t>
      </w:r>
      <w:r>
        <w:rPr>
          <w:rFonts w:cs="Times New Roman"/>
        </w:rPr>
        <w:t xml:space="preserve"> Int J </w:t>
      </w:r>
      <w:r w:rsidRPr="00E24622">
        <w:rPr>
          <w:rFonts w:cs="Times New Roman"/>
        </w:rPr>
        <w:t>Genomics</w:t>
      </w:r>
      <w:r>
        <w:rPr>
          <w:rFonts w:cs="Times New Roman"/>
        </w:rPr>
        <w:t xml:space="preserve"> 2016;</w:t>
      </w:r>
      <w:r w:rsidRPr="00E24622">
        <w:rPr>
          <w:rFonts w:cs="Times New Roman"/>
          <w:b/>
          <w:bCs/>
        </w:rPr>
        <w:t>2016</w:t>
      </w:r>
      <w:r>
        <w:rPr>
          <w:rFonts w:cs="Times New Roman"/>
        </w:rPr>
        <w:t>:1–7</w:t>
      </w:r>
      <w:r w:rsidRPr="004B6A60">
        <w:rPr>
          <w:rFonts w:cs="Times New Roman"/>
        </w:rPr>
        <w:t>.</w:t>
      </w:r>
    </w:p>
    <w:p w14:paraId="5AAFC54B" w14:textId="77777777" w:rsidR="005C7880" w:rsidRDefault="005C7880" w:rsidP="005C7880">
      <w:pPr>
        <w:spacing w:line="480" w:lineRule="auto"/>
        <w:ind w:left="360" w:hanging="360"/>
        <w:contextualSpacing/>
        <w:rPr>
          <w:rFonts w:cs="Times New Roman"/>
        </w:rPr>
      </w:pPr>
      <w:r w:rsidRPr="00C27AB3">
        <w:rPr>
          <w:rFonts w:cs="Times New Roman"/>
        </w:rPr>
        <w:t xml:space="preserve">Bauer AM, Böhme W, Weitschat W. An Early Eocene gecko from Baltic amber and its implications for the evolution of gecko adhesion. </w:t>
      </w:r>
      <w:r>
        <w:rPr>
          <w:rFonts w:cs="Times New Roman"/>
        </w:rPr>
        <w:t>J Zool 2</w:t>
      </w:r>
      <w:r w:rsidRPr="00C27AB3">
        <w:rPr>
          <w:rFonts w:cs="Times New Roman"/>
        </w:rPr>
        <w:t>005</w:t>
      </w:r>
      <w:r>
        <w:rPr>
          <w:rFonts w:cs="Times New Roman"/>
        </w:rPr>
        <w:t>;</w:t>
      </w:r>
      <w:r w:rsidRPr="00E24622">
        <w:rPr>
          <w:rFonts w:cs="Times New Roman"/>
          <w:b/>
          <w:bCs/>
        </w:rPr>
        <w:t>265</w:t>
      </w:r>
      <w:r>
        <w:rPr>
          <w:rFonts w:cs="Times New Roman"/>
        </w:rPr>
        <w:t>:</w:t>
      </w:r>
      <w:r w:rsidRPr="00C27AB3">
        <w:rPr>
          <w:rFonts w:cs="Times New Roman"/>
        </w:rPr>
        <w:t>327</w:t>
      </w:r>
      <w:r>
        <w:rPr>
          <w:rFonts w:cs="Times New Roman"/>
        </w:rPr>
        <w:t>–</w:t>
      </w:r>
      <w:r w:rsidRPr="00C27AB3">
        <w:rPr>
          <w:rFonts w:cs="Times New Roman"/>
        </w:rPr>
        <w:t>332.</w:t>
      </w:r>
    </w:p>
    <w:p w14:paraId="2430B8B9" w14:textId="77777777" w:rsidR="005C7880" w:rsidRDefault="005C7880" w:rsidP="005C7880">
      <w:pPr>
        <w:spacing w:line="480" w:lineRule="auto"/>
        <w:ind w:left="720" w:hanging="720"/>
        <w:contextualSpacing/>
        <w:rPr>
          <w:rFonts w:cs="Times New Roman"/>
        </w:rPr>
      </w:pPr>
      <w:r w:rsidRPr="00C27AB3">
        <w:rPr>
          <w:rFonts w:cs="Times New Roman"/>
        </w:rPr>
        <w:t>Bauer AM</w:t>
      </w:r>
      <w:r>
        <w:rPr>
          <w:rFonts w:cs="Times New Roman"/>
        </w:rPr>
        <w:t>.</w:t>
      </w:r>
      <w:r w:rsidRPr="009D67EE">
        <w:rPr>
          <w:rFonts w:cs="Times New Roman"/>
        </w:rPr>
        <w:t xml:space="preserve"> </w:t>
      </w:r>
      <w:r w:rsidRPr="009E58FA">
        <w:rPr>
          <w:rFonts w:cs="Times New Roman"/>
          <w:i/>
          <w:iCs/>
        </w:rPr>
        <w:t xml:space="preserve">Geckos: </w:t>
      </w:r>
      <w:r>
        <w:rPr>
          <w:rFonts w:cs="Times New Roman"/>
          <w:i/>
          <w:iCs/>
        </w:rPr>
        <w:t>T</w:t>
      </w:r>
      <w:r w:rsidRPr="009E58FA">
        <w:rPr>
          <w:rFonts w:cs="Times New Roman"/>
          <w:i/>
          <w:iCs/>
        </w:rPr>
        <w:t xml:space="preserve">he </w:t>
      </w:r>
      <w:r>
        <w:rPr>
          <w:rFonts w:cs="Times New Roman"/>
          <w:i/>
          <w:iCs/>
        </w:rPr>
        <w:t>A</w:t>
      </w:r>
      <w:r w:rsidRPr="009E58FA">
        <w:rPr>
          <w:rFonts w:cs="Times New Roman"/>
          <w:i/>
          <w:iCs/>
        </w:rPr>
        <w:t xml:space="preserve">nimal </w:t>
      </w:r>
      <w:r>
        <w:rPr>
          <w:rFonts w:cs="Times New Roman"/>
          <w:i/>
          <w:iCs/>
        </w:rPr>
        <w:t>A</w:t>
      </w:r>
      <w:r w:rsidRPr="009E58FA">
        <w:rPr>
          <w:rFonts w:cs="Times New Roman"/>
          <w:i/>
          <w:iCs/>
        </w:rPr>
        <w:t xml:space="preserve">nswer </w:t>
      </w:r>
      <w:r>
        <w:rPr>
          <w:rFonts w:cs="Times New Roman"/>
          <w:i/>
          <w:iCs/>
        </w:rPr>
        <w:t>G</w:t>
      </w:r>
      <w:r w:rsidRPr="009E58FA">
        <w:rPr>
          <w:rFonts w:cs="Times New Roman"/>
          <w:i/>
          <w:iCs/>
        </w:rPr>
        <w:t>uide</w:t>
      </w:r>
      <w:r w:rsidRPr="009D67EE">
        <w:rPr>
          <w:rFonts w:cs="Times New Roman"/>
        </w:rPr>
        <w:t xml:space="preserve">. </w:t>
      </w:r>
      <w:r>
        <w:rPr>
          <w:rFonts w:cs="Times New Roman"/>
        </w:rPr>
        <w:t xml:space="preserve">Baltimore: </w:t>
      </w:r>
      <w:r w:rsidRPr="009D67EE">
        <w:rPr>
          <w:rFonts w:cs="Times New Roman"/>
        </w:rPr>
        <w:t>J</w:t>
      </w:r>
      <w:r>
        <w:rPr>
          <w:rFonts w:cs="Times New Roman"/>
        </w:rPr>
        <w:t xml:space="preserve">ohns </w:t>
      </w:r>
      <w:r w:rsidRPr="009D67EE">
        <w:rPr>
          <w:rFonts w:cs="Times New Roman"/>
        </w:rPr>
        <w:t>H</w:t>
      </w:r>
      <w:r>
        <w:rPr>
          <w:rFonts w:cs="Times New Roman"/>
        </w:rPr>
        <w:t xml:space="preserve">opkins </w:t>
      </w:r>
      <w:r w:rsidRPr="009D67EE">
        <w:rPr>
          <w:rFonts w:cs="Times New Roman"/>
        </w:rPr>
        <w:t>U</w:t>
      </w:r>
      <w:r>
        <w:rPr>
          <w:rFonts w:cs="Times New Roman"/>
        </w:rPr>
        <w:t>niversity</w:t>
      </w:r>
      <w:r w:rsidRPr="009D67EE">
        <w:rPr>
          <w:rFonts w:cs="Times New Roman"/>
        </w:rPr>
        <w:t xml:space="preserve"> Press</w:t>
      </w:r>
      <w:r>
        <w:rPr>
          <w:rFonts w:cs="Times New Roman"/>
        </w:rPr>
        <w:t>, 2</w:t>
      </w:r>
      <w:r w:rsidRPr="009D67EE">
        <w:rPr>
          <w:rFonts w:cs="Times New Roman"/>
        </w:rPr>
        <w:t>013.</w:t>
      </w:r>
    </w:p>
    <w:p w14:paraId="7C2B48F3" w14:textId="77777777" w:rsidR="005C7880" w:rsidRPr="004B6A60" w:rsidRDefault="005C7880" w:rsidP="005C7880">
      <w:pPr>
        <w:spacing w:line="480" w:lineRule="auto"/>
        <w:ind w:left="360" w:hanging="360"/>
        <w:contextualSpacing/>
        <w:rPr>
          <w:rFonts w:cs="Times New Roman"/>
        </w:rPr>
      </w:pPr>
      <w:r w:rsidRPr="004B6A60">
        <w:rPr>
          <w:rFonts w:cs="Times New Roman"/>
        </w:rPr>
        <w:t xml:space="preserve">Bouckaert R, Heled J, Kühnert D </w:t>
      </w:r>
      <w:r w:rsidRPr="00B57253">
        <w:rPr>
          <w:rFonts w:cs="Times New Roman"/>
          <w:i/>
          <w:iCs/>
        </w:rPr>
        <w:t>et al</w:t>
      </w:r>
      <w:r w:rsidRPr="00D05276">
        <w:rPr>
          <w:rFonts w:cs="Times New Roman"/>
          <w:i/>
          <w:iCs/>
        </w:rPr>
        <w:t>.</w:t>
      </w:r>
      <w:r w:rsidRPr="004B6A60">
        <w:rPr>
          <w:rFonts w:cs="Times New Roman"/>
        </w:rPr>
        <w:t xml:space="preserve"> BEAST 2: a software platform for Bayesian evolutionary analysis.</w:t>
      </w:r>
      <w:r>
        <w:rPr>
          <w:rFonts w:cs="Times New Roman"/>
        </w:rPr>
        <w:t xml:space="preserve"> PLOS</w:t>
      </w:r>
      <w:r w:rsidRPr="004B6A60">
        <w:rPr>
          <w:rFonts w:cs="Times New Roman"/>
          <w:i/>
          <w:iCs/>
        </w:rPr>
        <w:t xml:space="preserve"> </w:t>
      </w:r>
      <w:r>
        <w:rPr>
          <w:rFonts w:cs="Times New Roman"/>
        </w:rPr>
        <w:t>Comput Biol</w:t>
      </w:r>
      <w:r>
        <w:rPr>
          <w:rFonts w:cs="Times New Roman"/>
          <w:i/>
          <w:iCs/>
        </w:rPr>
        <w:t xml:space="preserve"> </w:t>
      </w:r>
      <w:r>
        <w:rPr>
          <w:rFonts w:cs="Times New Roman"/>
        </w:rPr>
        <w:t>2</w:t>
      </w:r>
      <w:r w:rsidRPr="004B6A60">
        <w:rPr>
          <w:rFonts w:cs="Times New Roman"/>
        </w:rPr>
        <w:t>014</w:t>
      </w:r>
      <w:r>
        <w:rPr>
          <w:rFonts w:cs="Times New Roman"/>
        </w:rPr>
        <w:t>;</w:t>
      </w:r>
      <w:r w:rsidRPr="00E24622">
        <w:rPr>
          <w:rFonts w:cs="Times New Roman"/>
          <w:b/>
          <w:bCs/>
        </w:rPr>
        <w:t>10</w:t>
      </w:r>
      <w:r>
        <w:rPr>
          <w:rFonts w:cs="Times New Roman"/>
        </w:rPr>
        <w:t>:</w:t>
      </w:r>
      <w:r w:rsidRPr="004B6A60">
        <w:rPr>
          <w:rFonts w:cs="Times New Roman"/>
        </w:rPr>
        <w:t>e1003537.</w:t>
      </w:r>
    </w:p>
    <w:p w14:paraId="239A97E0" w14:textId="77777777" w:rsidR="005C7880" w:rsidRPr="00CD1676" w:rsidRDefault="005C7880" w:rsidP="005C7880">
      <w:pPr>
        <w:spacing w:line="480" w:lineRule="auto"/>
        <w:ind w:left="360" w:hanging="360"/>
        <w:contextualSpacing/>
      </w:pPr>
      <w:r w:rsidRPr="00B660BE">
        <w:rPr>
          <w:rFonts w:cs="Times New Roman"/>
        </w:rPr>
        <w:t>Brooks AW, Kohl KD, Brucker RM</w:t>
      </w:r>
      <w:r w:rsidRPr="00A753BE">
        <w:rPr>
          <w:rFonts w:cs="Times New Roman"/>
          <w:i/>
          <w:iCs/>
        </w:rPr>
        <w:t xml:space="preserve"> </w:t>
      </w:r>
      <w:r w:rsidRPr="00B57253">
        <w:rPr>
          <w:rFonts w:cs="Times New Roman"/>
          <w:i/>
          <w:iCs/>
        </w:rPr>
        <w:t>et al</w:t>
      </w:r>
      <w:r w:rsidRPr="00D05276">
        <w:rPr>
          <w:rFonts w:cs="Times New Roman"/>
          <w:i/>
          <w:iCs/>
        </w:rPr>
        <w:t>.</w:t>
      </w:r>
      <w:r w:rsidRPr="00B660BE">
        <w:rPr>
          <w:rFonts w:cs="Times New Roman"/>
        </w:rPr>
        <w:t xml:space="preserve"> Phylosymbiosis: relationships and functional effects of microbial communities across host evolutionary history.</w:t>
      </w:r>
      <w:r>
        <w:rPr>
          <w:rFonts w:cs="Times New Roman"/>
        </w:rPr>
        <w:t xml:space="preserve"> </w:t>
      </w:r>
      <w:r w:rsidRPr="00E24622">
        <w:rPr>
          <w:iCs/>
        </w:rPr>
        <w:t xml:space="preserve">PLOS </w:t>
      </w:r>
      <w:r>
        <w:rPr>
          <w:rFonts w:cs="Times New Roman"/>
          <w:iCs/>
        </w:rPr>
        <w:t>Biol</w:t>
      </w:r>
      <w:r>
        <w:rPr>
          <w:rFonts w:cs="Times New Roman"/>
        </w:rPr>
        <w:t xml:space="preserve"> 2</w:t>
      </w:r>
      <w:r w:rsidRPr="00B660BE">
        <w:rPr>
          <w:rFonts w:cs="Times New Roman"/>
        </w:rPr>
        <w:t>016</w:t>
      </w:r>
      <w:r>
        <w:rPr>
          <w:rFonts w:cs="Times New Roman"/>
        </w:rPr>
        <w:t>;</w:t>
      </w:r>
      <w:r w:rsidRPr="00E24622">
        <w:rPr>
          <w:rFonts w:cs="Times New Roman"/>
          <w:b/>
          <w:bCs/>
        </w:rPr>
        <w:t>14</w:t>
      </w:r>
      <w:r>
        <w:t>:</w:t>
      </w:r>
      <w:r w:rsidRPr="00CD1676">
        <w:t>e2000225.</w:t>
      </w:r>
    </w:p>
    <w:p w14:paraId="7CC1411E" w14:textId="77777777" w:rsidR="005C7880" w:rsidRPr="005D0892" w:rsidRDefault="005C7880" w:rsidP="005C7880">
      <w:pPr>
        <w:spacing w:line="480" w:lineRule="auto"/>
        <w:ind w:left="360" w:hanging="360"/>
        <w:contextualSpacing/>
        <w:rPr>
          <w:rFonts w:cs="Times New Roman"/>
        </w:rPr>
      </w:pPr>
      <w:r w:rsidRPr="00CD1676">
        <w:t>Brown RM, Oliveros CH, Siler C</w:t>
      </w:r>
      <w:r>
        <w:t>D</w:t>
      </w:r>
      <w:r w:rsidRPr="00CD1676">
        <w:t xml:space="preserve"> </w:t>
      </w:r>
      <w:r w:rsidRPr="00B57253">
        <w:rPr>
          <w:rFonts w:cs="Times New Roman"/>
          <w:i/>
          <w:iCs/>
        </w:rPr>
        <w:t>et al</w:t>
      </w:r>
      <w:r w:rsidRPr="00D05276">
        <w:rPr>
          <w:rFonts w:cs="Times New Roman"/>
          <w:i/>
          <w:iCs/>
        </w:rPr>
        <w:t>.</w:t>
      </w:r>
      <w:r w:rsidRPr="004B6A60">
        <w:rPr>
          <w:rFonts w:cs="Times New Roman"/>
        </w:rPr>
        <w:t xml:space="preserve"> </w:t>
      </w:r>
      <w:r w:rsidRPr="005D0892">
        <w:rPr>
          <w:rFonts w:cs="Times New Roman"/>
        </w:rPr>
        <w:t xml:space="preserve">A new </w:t>
      </w:r>
      <w:r w:rsidRPr="005D0892">
        <w:rPr>
          <w:rFonts w:cs="Times New Roman"/>
          <w:i/>
          <w:iCs/>
        </w:rPr>
        <w:t>Gekko</w:t>
      </w:r>
      <w:r w:rsidRPr="005D0892">
        <w:rPr>
          <w:rFonts w:cs="Times New Roman"/>
        </w:rPr>
        <w:t xml:space="preserve"> from the Babuyan Islands, northern Philippines.</w:t>
      </w:r>
      <w:r>
        <w:rPr>
          <w:rFonts w:cs="Times New Roman"/>
        </w:rPr>
        <w:t xml:space="preserve"> </w:t>
      </w:r>
      <w:r w:rsidRPr="00E24622">
        <w:rPr>
          <w:rFonts w:cs="Times New Roman"/>
        </w:rPr>
        <w:t>Herpetologica</w:t>
      </w:r>
      <w:r>
        <w:rPr>
          <w:rFonts w:cs="Times New Roman"/>
          <w:i/>
          <w:iCs/>
        </w:rPr>
        <w:t xml:space="preserve"> </w:t>
      </w:r>
      <w:r>
        <w:t>2</w:t>
      </w:r>
      <w:r w:rsidRPr="00CD1676">
        <w:t>008</w:t>
      </w:r>
      <w:r>
        <w:t>;</w:t>
      </w:r>
      <w:r w:rsidRPr="00E24622">
        <w:rPr>
          <w:rFonts w:cs="Times New Roman"/>
          <w:b/>
          <w:bCs/>
        </w:rPr>
        <w:t>64</w:t>
      </w:r>
      <w:r>
        <w:rPr>
          <w:rFonts w:cs="Times New Roman"/>
        </w:rPr>
        <w:t>:</w:t>
      </w:r>
      <w:r w:rsidRPr="005D0892">
        <w:rPr>
          <w:rFonts w:cs="Times New Roman"/>
        </w:rPr>
        <w:t>305</w:t>
      </w:r>
      <w:r>
        <w:rPr>
          <w:rFonts w:cs="Times New Roman"/>
        </w:rPr>
        <w:t>–</w:t>
      </w:r>
      <w:r w:rsidRPr="005D0892">
        <w:rPr>
          <w:rFonts w:cs="Times New Roman"/>
        </w:rPr>
        <w:t>320.</w:t>
      </w:r>
    </w:p>
    <w:p w14:paraId="1CEC0673" w14:textId="77777777" w:rsidR="005C7880" w:rsidRDefault="005C7880" w:rsidP="005C7880">
      <w:pPr>
        <w:spacing w:line="480" w:lineRule="auto"/>
        <w:ind w:left="360" w:hanging="360"/>
        <w:contextualSpacing/>
        <w:rPr>
          <w:rFonts w:cs="Times New Roman"/>
        </w:rPr>
      </w:pPr>
      <w:r w:rsidRPr="00CD1676">
        <w:t>Brown RM, Oliveros CH, Siler C</w:t>
      </w:r>
      <w:r>
        <w:t>D</w:t>
      </w:r>
      <w:r w:rsidRPr="00CD1676">
        <w:t xml:space="preserve"> </w:t>
      </w:r>
      <w:r w:rsidRPr="00B57253">
        <w:rPr>
          <w:rFonts w:cs="Times New Roman"/>
          <w:i/>
          <w:iCs/>
        </w:rPr>
        <w:t>et al</w:t>
      </w:r>
      <w:r w:rsidRPr="00D05276">
        <w:rPr>
          <w:rFonts w:cs="Times New Roman"/>
          <w:i/>
          <w:iCs/>
        </w:rPr>
        <w:t>.</w:t>
      </w:r>
      <w:r w:rsidRPr="004B6A60">
        <w:rPr>
          <w:rFonts w:cs="Times New Roman"/>
        </w:rPr>
        <w:t xml:space="preserve"> </w:t>
      </w:r>
      <w:r w:rsidRPr="005D0892">
        <w:rPr>
          <w:rFonts w:cs="Times New Roman"/>
        </w:rPr>
        <w:t xml:space="preserve">Phylogeny of </w:t>
      </w:r>
      <w:r w:rsidRPr="005D0892">
        <w:rPr>
          <w:rFonts w:cs="Times New Roman"/>
          <w:i/>
          <w:iCs/>
        </w:rPr>
        <w:t xml:space="preserve">Gekko </w:t>
      </w:r>
      <w:r w:rsidRPr="005D0892">
        <w:rPr>
          <w:rFonts w:cs="Times New Roman"/>
        </w:rPr>
        <w:t xml:space="preserve">from the northern Philippines, and description of a new species from Calayan Island. </w:t>
      </w:r>
      <w:r>
        <w:rPr>
          <w:rFonts w:cs="Times New Roman"/>
        </w:rPr>
        <w:t>J Herpetol 2</w:t>
      </w:r>
      <w:r w:rsidRPr="005D0892">
        <w:rPr>
          <w:rFonts w:cs="Times New Roman"/>
        </w:rPr>
        <w:t>009</w:t>
      </w:r>
      <w:r>
        <w:rPr>
          <w:rFonts w:cs="Times New Roman"/>
        </w:rPr>
        <w:t>;</w:t>
      </w:r>
      <w:r w:rsidRPr="00E24622">
        <w:rPr>
          <w:rFonts w:cs="Times New Roman"/>
          <w:b/>
          <w:bCs/>
        </w:rPr>
        <w:t>43</w:t>
      </w:r>
      <w:r>
        <w:rPr>
          <w:rFonts w:cs="Times New Roman"/>
        </w:rPr>
        <w:t>:</w:t>
      </w:r>
      <w:r w:rsidRPr="005D0892">
        <w:rPr>
          <w:rFonts w:cs="Times New Roman"/>
        </w:rPr>
        <w:t>620</w:t>
      </w:r>
      <w:r>
        <w:rPr>
          <w:rFonts w:cs="Times New Roman"/>
        </w:rPr>
        <w:t>–</w:t>
      </w:r>
      <w:r w:rsidRPr="005D0892">
        <w:rPr>
          <w:rFonts w:cs="Times New Roman"/>
        </w:rPr>
        <w:t>635.</w:t>
      </w:r>
    </w:p>
    <w:p w14:paraId="25C028A5" w14:textId="77777777" w:rsidR="005C7880" w:rsidRDefault="005C7880" w:rsidP="005C7880">
      <w:pPr>
        <w:spacing w:line="480" w:lineRule="auto"/>
        <w:ind w:left="360" w:hanging="360"/>
        <w:contextualSpacing/>
        <w:rPr>
          <w:rFonts w:cs="Times New Roman"/>
        </w:rPr>
      </w:pPr>
      <w:r w:rsidRPr="00CD1676">
        <w:t xml:space="preserve">Brown RM, </w:t>
      </w:r>
      <w:r w:rsidRPr="005D0892">
        <w:rPr>
          <w:rFonts w:cs="Times New Roman"/>
        </w:rPr>
        <w:t>Diesmos AC, Duya MV</w:t>
      </w:r>
      <w:r w:rsidRPr="00A753BE">
        <w:rPr>
          <w:rFonts w:cs="Times New Roman"/>
          <w:i/>
          <w:iCs/>
        </w:rPr>
        <w:t xml:space="preserve"> </w:t>
      </w:r>
      <w:r w:rsidRPr="00B57253">
        <w:rPr>
          <w:rFonts w:cs="Times New Roman"/>
          <w:i/>
          <w:iCs/>
        </w:rPr>
        <w:t>et al</w:t>
      </w:r>
      <w:r w:rsidRPr="00D05276">
        <w:rPr>
          <w:rFonts w:cs="Times New Roman"/>
          <w:i/>
          <w:iCs/>
        </w:rPr>
        <w:t>.</w:t>
      </w:r>
      <w:r>
        <w:rPr>
          <w:rFonts w:cs="Times New Roman"/>
          <w:i/>
          <w:iCs/>
        </w:rPr>
        <w:t xml:space="preserve"> </w:t>
      </w:r>
      <w:r w:rsidRPr="005D0892">
        <w:rPr>
          <w:rFonts w:cs="Times New Roman"/>
        </w:rPr>
        <w:t xml:space="preserve">New </w:t>
      </w:r>
      <w:r>
        <w:rPr>
          <w:rFonts w:cs="Times New Roman"/>
        </w:rPr>
        <w:t>f</w:t>
      </w:r>
      <w:r w:rsidRPr="005D0892">
        <w:rPr>
          <w:rFonts w:cs="Times New Roman"/>
        </w:rPr>
        <w:t xml:space="preserve">orest </w:t>
      </w:r>
      <w:r>
        <w:rPr>
          <w:rFonts w:cs="Times New Roman"/>
        </w:rPr>
        <w:t>g</w:t>
      </w:r>
      <w:r w:rsidRPr="005D0892">
        <w:rPr>
          <w:rFonts w:cs="Times New Roman"/>
        </w:rPr>
        <w:t xml:space="preserve">ecko (Squamata; Gekkonidae; </w:t>
      </w:r>
      <w:r>
        <w:rPr>
          <w:rFonts w:cs="Times New Roman"/>
        </w:rPr>
        <w:t>g</w:t>
      </w:r>
      <w:r w:rsidRPr="005D0892">
        <w:rPr>
          <w:rFonts w:cs="Times New Roman"/>
        </w:rPr>
        <w:t xml:space="preserve">enus </w:t>
      </w:r>
      <w:r w:rsidRPr="005D0892">
        <w:rPr>
          <w:rFonts w:cs="Times New Roman"/>
          <w:i/>
          <w:iCs/>
        </w:rPr>
        <w:t>Luperosaurus</w:t>
      </w:r>
      <w:r w:rsidRPr="005D0892">
        <w:rPr>
          <w:rFonts w:cs="Times New Roman"/>
        </w:rPr>
        <w:t xml:space="preserve">) from Mt. Mantalingajan, </w:t>
      </w:r>
      <w:r>
        <w:rPr>
          <w:rFonts w:cs="Times New Roman"/>
        </w:rPr>
        <w:t>s</w:t>
      </w:r>
      <w:r w:rsidRPr="005D0892">
        <w:rPr>
          <w:rFonts w:cs="Times New Roman"/>
        </w:rPr>
        <w:t>outhern Palawan Island, Philippines.</w:t>
      </w:r>
      <w:r>
        <w:rPr>
          <w:rFonts w:cs="Times New Roman"/>
        </w:rPr>
        <w:t xml:space="preserve"> J Herpetol 2</w:t>
      </w:r>
      <w:r w:rsidRPr="005D0892">
        <w:rPr>
          <w:rFonts w:cs="Times New Roman"/>
        </w:rPr>
        <w:t>010</w:t>
      </w:r>
      <w:r>
        <w:rPr>
          <w:rFonts w:cs="Times New Roman"/>
        </w:rPr>
        <w:t>;</w:t>
      </w:r>
      <w:r w:rsidRPr="00E24622">
        <w:rPr>
          <w:rFonts w:cs="Times New Roman"/>
          <w:b/>
          <w:bCs/>
        </w:rPr>
        <w:t>44</w:t>
      </w:r>
      <w:r>
        <w:rPr>
          <w:rFonts w:cs="Times New Roman"/>
        </w:rPr>
        <w:t>:</w:t>
      </w:r>
      <w:r w:rsidRPr="005D0892">
        <w:rPr>
          <w:rFonts w:cs="Times New Roman"/>
        </w:rPr>
        <w:t>37</w:t>
      </w:r>
      <w:r>
        <w:rPr>
          <w:rFonts w:cs="Times New Roman"/>
        </w:rPr>
        <w:t>–</w:t>
      </w:r>
      <w:r w:rsidRPr="005D0892">
        <w:rPr>
          <w:rFonts w:cs="Times New Roman"/>
        </w:rPr>
        <w:t>48.</w:t>
      </w:r>
    </w:p>
    <w:p w14:paraId="57E404A0" w14:textId="77777777" w:rsidR="005C7880" w:rsidRPr="005D0892" w:rsidRDefault="005C7880" w:rsidP="005C7880">
      <w:pPr>
        <w:spacing w:line="480" w:lineRule="auto"/>
        <w:ind w:left="360" w:hanging="360"/>
        <w:contextualSpacing/>
        <w:rPr>
          <w:rFonts w:cs="Times New Roman"/>
        </w:rPr>
      </w:pPr>
      <w:r w:rsidRPr="00CD1676">
        <w:t xml:space="preserve">Brown RM, </w:t>
      </w:r>
      <w:r w:rsidRPr="005D0892">
        <w:rPr>
          <w:rFonts w:cs="Times New Roman"/>
        </w:rPr>
        <w:t>Diesmos AC, Oliveros CH</w:t>
      </w:r>
      <w:r>
        <w:rPr>
          <w:rFonts w:cs="Times New Roman"/>
        </w:rPr>
        <w:t>.</w:t>
      </w:r>
      <w:r w:rsidRPr="005D0892">
        <w:rPr>
          <w:rFonts w:cs="Times New Roman"/>
        </w:rPr>
        <w:t xml:space="preserve"> New flap-legged forest gecko (genus </w:t>
      </w:r>
      <w:r w:rsidRPr="003F3921">
        <w:rPr>
          <w:rFonts w:cs="Times New Roman"/>
          <w:i/>
          <w:iCs/>
        </w:rPr>
        <w:t>Luperosaurus</w:t>
      </w:r>
      <w:r w:rsidRPr="005D0892">
        <w:rPr>
          <w:rFonts w:cs="Times New Roman"/>
        </w:rPr>
        <w:t>) from the northern Philippines.</w:t>
      </w:r>
      <w:r>
        <w:rPr>
          <w:rFonts w:cs="Times New Roman"/>
        </w:rPr>
        <w:t xml:space="preserve"> J Herpetol 2</w:t>
      </w:r>
      <w:r w:rsidRPr="005D0892">
        <w:rPr>
          <w:rFonts w:cs="Times New Roman"/>
        </w:rPr>
        <w:t>011</w:t>
      </w:r>
      <w:r>
        <w:rPr>
          <w:rFonts w:cs="Times New Roman"/>
        </w:rPr>
        <w:t>;</w:t>
      </w:r>
      <w:r w:rsidRPr="00E24622">
        <w:rPr>
          <w:rFonts w:cs="Times New Roman"/>
          <w:b/>
          <w:bCs/>
        </w:rPr>
        <w:t>45</w:t>
      </w:r>
      <w:r>
        <w:rPr>
          <w:rFonts w:cs="Times New Roman"/>
        </w:rPr>
        <w:t>:</w:t>
      </w:r>
      <w:r w:rsidRPr="005D0892">
        <w:rPr>
          <w:rFonts w:cs="Times New Roman"/>
        </w:rPr>
        <w:t>202</w:t>
      </w:r>
      <w:r>
        <w:rPr>
          <w:rFonts w:cs="Times New Roman"/>
        </w:rPr>
        <w:t>–</w:t>
      </w:r>
      <w:r w:rsidRPr="005D0892">
        <w:rPr>
          <w:rFonts w:cs="Times New Roman"/>
        </w:rPr>
        <w:t>210.</w:t>
      </w:r>
    </w:p>
    <w:p w14:paraId="6192614A" w14:textId="77777777" w:rsidR="005C7880" w:rsidRPr="005D0892" w:rsidRDefault="005C7880" w:rsidP="005C7880">
      <w:pPr>
        <w:spacing w:line="480" w:lineRule="auto"/>
        <w:ind w:left="360" w:hanging="360"/>
        <w:contextualSpacing/>
        <w:rPr>
          <w:rFonts w:cs="Times New Roman"/>
        </w:rPr>
      </w:pPr>
      <w:r w:rsidRPr="00CD1676">
        <w:t xml:space="preserve">Brown RM, </w:t>
      </w:r>
      <w:r w:rsidRPr="005D0892">
        <w:rPr>
          <w:rFonts w:cs="Times New Roman"/>
        </w:rPr>
        <w:t xml:space="preserve">Siler CD, Oliveros CH </w:t>
      </w:r>
      <w:r w:rsidRPr="00B57253">
        <w:rPr>
          <w:rFonts w:cs="Times New Roman"/>
          <w:i/>
          <w:iCs/>
        </w:rPr>
        <w:t>et al</w:t>
      </w:r>
      <w:r w:rsidRPr="00D05276">
        <w:rPr>
          <w:rFonts w:cs="Times New Roman"/>
          <w:i/>
          <w:iCs/>
        </w:rPr>
        <w:t>.</w:t>
      </w:r>
      <w:r w:rsidRPr="004B6A60">
        <w:rPr>
          <w:rFonts w:cs="Times New Roman"/>
        </w:rPr>
        <w:t xml:space="preserve"> </w:t>
      </w:r>
      <w:r w:rsidRPr="005D0892">
        <w:rPr>
          <w:rFonts w:cs="Times New Roman"/>
        </w:rPr>
        <w:t>Evolutionary processes of diversification in a model island archipelago.</w:t>
      </w:r>
      <w:r>
        <w:rPr>
          <w:rFonts w:cs="Times New Roman"/>
        </w:rPr>
        <w:t xml:space="preserve"> Annu Rev Ecol Evol S 2</w:t>
      </w:r>
      <w:r w:rsidRPr="005D0892">
        <w:rPr>
          <w:rFonts w:cs="Times New Roman"/>
        </w:rPr>
        <w:t>013</w:t>
      </w:r>
      <w:r>
        <w:rPr>
          <w:rFonts w:cs="Times New Roman"/>
        </w:rPr>
        <w:t>a;</w:t>
      </w:r>
      <w:r w:rsidRPr="00D05276">
        <w:rPr>
          <w:rFonts w:cs="Times New Roman"/>
          <w:b/>
          <w:bCs/>
        </w:rPr>
        <w:t>44</w:t>
      </w:r>
      <w:r>
        <w:rPr>
          <w:rFonts w:cs="Times New Roman"/>
        </w:rPr>
        <w:t>:</w:t>
      </w:r>
      <w:r w:rsidRPr="005D0892">
        <w:rPr>
          <w:rFonts w:cs="Times New Roman"/>
        </w:rPr>
        <w:t>411</w:t>
      </w:r>
      <w:r>
        <w:rPr>
          <w:rFonts w:cs="Times New Roman"/>
        </w:rPr>
        <w:t>–</w:t>
      </w:r>
      <w:r w:rsidRPr="005D0892">
        <w:rPr>
          <w:rFonts w:cs="Times New Roman"/>
        </w:rPr>
        <w:t>435.</w:t>
      </w:r>
    </w:p>
    <w:p w14:paraId="47AB34B1" w14:textId="77777777" w:rsidR="005C7880" w:rsidRPr="005D0892" w:rsidRDefault="005C7880" w:rsidP="005C7880">
      <w:pPr>
        <w:spacing w:line="480" w:lineRule="auto"/>
        <w:ind w:left="360" w:hanging="360"/>
        <w:contextualSpacing/>
        <w:rPr>
          <w:rFonts w:cs="Times New Roman"/>
        </w:rPr>
      </w:pPr>
      <w:r w:rsidRPr="00CD1676">
        <w:t xml:space="preserve">Brown RM, </w:t>
      </w:r>
      <w:r w:rsidRPr="005D0892">
        <w:rPr>
          <w:rFonts w:cs="Times New Roman"/>
        </w:rPr>
        <w:t>Siler CD, Oliveros CH</w:t>
      </w:r>
      <w:r w:rsidRPr="00F5712D">
        <w:rPr>
          <w:rFonts w:cs="Times New Roman"/>
          <w:i/>
          <w:iCs/>
        </w:rPr>
        <w:t xml:space="preserve"> </w:t>
      </w:r>
      <w:r w:rsidRPr="00B57253">
        <w:rPr>
          <w:rFonts w:cs="Times New Roman"/>
          <w:i/>
          <w:iCs/>
        </w:rPr>
        <w:t>et al</w:t>
      </w:r>
      <w:r w:rsidRPr="00D05276">
        <w:rPr>
          <w:rFonts w:cs="Times New Roman"/>
          <w:i/>
          <w:iCs/>
        </w:rPr>
        <w:t>.</w:t>
      </w:r>
      <w:r>
        <w:rPr>
          <w:rFonts w:cs="Times New Roman"/>
          <w:i/>
          <w:iCs/>
        </w:rPr>
        <w:t xml:space="preserve"> </w:t>
      </w:r>
      <w:r w:rsidRPr="005D0892">
        <w:rPr>
          <w:rFonts w:cs="Times New Roman"/>
        </w:rPr>
        <w:t xml:space="preserve">The amphibians and reptiles of Luzon Island, Philippines, VIII: the herpetofauna of Cagayan and Isabela Provinces, northern Sierra Madre </w:t>
      </w:r>
      <w:r>
        <w:rPr>
          <w:rFonts w:cs="Times New Roman"/>
        </w:rPr>
        <w:t>M</w:t>
      </w:r>
      <w:r w:rsidRPr="005D0892">
        <w:rPr>
          <w:rFonts w:cs="Times New Roman"/>
        </w:rPr>
        <w:t xml:space="preserve">ountain </w:t>
      </w:r>
      <w:r>
        <w:rPr>
          <w:rFonts w:cs="Times New Roman"/>
        </w:rPr>
        <w:t>R</w:t>
      </w:r>
      <w:r w:rsidRPr="005D0892">
        <w:rPr>
          <w:rFonts w:cs="Times New Roman"/>
        </w:rPr>
        <w:t>ange.</w:t>
      </w:r>
      <w:r>
        <w:rPr>
          <w:rFonts w:cs="Times New Roman"/>
        </w:rPr>
        <w:t xml:space="preserve"> </w:t>
      </w:r>
      <w:r w:rsidRPr="00E24622">
        <w:rPr>
          <w:rFonts w:cs="Times New Roman"/>
        </w:rPr>
        <w:t>ZooKeys</w:t>
      </w:r>
      <w:r>
        <w:rPr>
          <w:rFonts w:cs="Times New Roman"/>
        </w:rPr>
        <w:t xml:space="preserve"> 2</w:t>
      </w:r>
      <w:r w:rsidRPr="005D0892">
        <w:rPr>
          <w:rFonts w:cs="Times New Roman"/>
        </w:rPr>
        <w:t>013</w:t>
      </w:r>
      <w:r>
        <w:rPr>
          <w:rFonts w:cs="Times New Roman"/>
        </w:rPr>
        <w:t>b;</w:t>
      </w:r>
      <w:r>
        <w:rPr>
          <w:rFonts w:cs="Times New Roman"/>
          <w:b/>
          <w:bCs/>
        </w:rPr>
        <w:t>266</w:t>
      </w:r>
      <w:r>
        <w:rPr>
          <w:rFonts w:cs="Times New Roman"/>
        </w:rPr>
        <w:t>:</w:t>
      </w:r>
      <w:r w:rsidRPr="005D0892">
        <w:rPr>
          <w:rFonts w:cs="Times New Roman"/>
        </w:rPr>
        <w:t>1</w:t>
      </w:r>
      <w:r>
        <w:rPr>
          <w:rFonts w:cs="Times New Roman"/>
        </w:rPr>
        <w:t>–120</w:t>
      </w:r>
      <w:r w:rsidRPr="005D0892">
        <w:rPr>
          <w:rFonts w:cs="Times New Roman"/>
        </w:rPr>
        <w:t>.</w:t>
      </w:r>
    </w:p>
    <w:p w14:paraId="0E1137DB" w14:textId="77777777" w:rsidR="005C7880" w:rsidRPr="005D0892" w:rsidRDefault="005C7880" w:rsidP="005C7880">
      <w:pPr>
        <w:spacing w:line="480" w:lineRule="auto"/>
        <w:ind w:left="450" w:hanging="450"/>
        <w:contextualSpacing/>
        <w:rPr>
          <w:rFonts w:cs="Times New Roman"/>
        </w:rPr>
      </w:pPr>
      <w:r w:rsidRPr="005D0892">
        <w:rPr>
          <w:rFonts w:cs="Times New Roman"/>
        </w:rPr>
        <w:t xml:space="preserve">Caporaso JG, Kuczynski J, Stombaugh J </w:t>
      </w:r>
      <w:r w:rsidRPr="00B57253">
        <w:rPr>
          <w:rFonts w:cs="Times New Roman"/>
          <w:i/>
          <w:iCs/>
        </w:rPr>
        <w:t>et al</w:t>
      </w:r>
      <w:r w:rsidRPr="00D05276">
        <w:rPr>
          <w:rFonts w:cs="Times New Roman"/>
          <w:i/>
          <w:iCs/>
        </w:rPr>
        <w:t>.</w:t>
      </w:r>
      <w:r w:rsidRPr="004B6A60">
        <w:rPr>
          <w:rFonts w:cs="Times New Roman"/>
        </w:rPr>
        <w:t xml:space="preserve"> </w:t>
      </w:r>
      <w:r w:rsidRPr="005D0892">
        <w:rPr>
          <w:rFonts w:cs="Times New Roman"/>
        </w:rPr>
        <w:t>QIIME allows analysis of high-throughput community sequencing data.</w:t>
      </w:r>
      <w:r>
        <w:rPr>
          <w:rFonts w:cs="Times New Roman"/>
        </w:rPr>
        <w:t xml:space="preserve"> Nat</w:t>
      </w:r>
      <w:r w:rsidRPr="00E24622">
        <w:rPr>
          <w:rFonts w:cs="Times New Roman"/>
        </w:rPr>
        <w:t xml:space="preserve"> Methods</w:t>
      </w:r>
      <w:r>
        <w:rPr>
          <w:rFonts w:cs="Times New Roman"/>
        </w:rPr>
        <w:t xml:space="preserve"> 2</w:t>
      </w:r>
      <w:r w:rsidRPr="005D0892">
        <w:rPr>
          <w:rFonts w:cs="Times New Roman"/>
        </w:rPr>
        <w:t>010</w:t>
      </w:r>
      <w:r>
        <w:rPr>
          <w:rFonts w:cs="Times New Roman"/>
        </w:rPr>
        <w:t>;</w:t>
      </w:r>
      <w:r>
        <w:rPr>
          <w:rFonts w:cs="Times New Roman"/>
          <w:b/>
          <w:bCs/>
        </w:rPr>
        <w:t>7</w:t>
      </w:r>
      <w:r>
        <w:rPr>
          <w:rFonts w:cs="Times New Roman"/>
        </w:rPr>
        <w:t>:</w:t>
      </w:r>
      <w:r w:rsidRPr="005D0892">
        <w:rPr>
          <w:rFonts w:cs="Times New Roman"/>
        </w:rPr>
        <w:t>335</w:t>
      </w:r>
      <w:r>
        <w:rPr>
          <w:rFonts w:cs="Times New Roman"/>
        </w:rPr>
        <w:t>–</w:t>
      </w:r>
      <w:r w:rsidRPr="005D0892">
        <w:rPr>
          <w:rFonts w:cs="Times New Roman"/>
        </w:rPr>
        <w:t>336.</w:t>
      </w:r>
    </w:p>
    <w:p w14:paraId="45987FF6" w14:textId="77777777" w:rsidR="005C7880" w:rsidRPr="005D0892" w:rsidRDefault="005C7880" w:rsidP="005C7880">
      <w:pPr>
        <w:spacing w:line="480" w:lineRule="auto"/>
        <w:ind w:left="360" w:hanging="360"/>
        <w:contextualSpacing/>
        <w:rPr>
          <w:rFonts w:cs="Times New Roman"/>
        </w:rPr>
      </w:pPr>
      <w:r w:rsidRPr="005D0892">
        <w:rPr>
          <w:rFonts w:cs="Times New Roman"/>
        </w:rPr>
        <w:t xml:space="preserve">Caporaso JG, Lauber CL, Walters WA </w:t>
      </w:r>
      <w:r w:rsidRPr="00B57253">
        <w:rPr>
          <w:rFonts w:cs="Times New Roman"/>
          <w:i/>
          <w:iCs/>
        </w:rPr>
        <w:t>et al</w:t>
      </w:r>
      <w:r w:rsidRPr="00D05276">
        <w:rPr>
          <w:rFonts w:cs="Times New Roman"/>
          <w:i/>
          <w:iCs/>
        </w:rPr>
        <w:t>.</w:t>
      </w:r>
      <w:r w:rsidRPr="004B6A60">
        <w:rPr>
          <w:rFonts w:cs="Times New Roman"/>
        </w:rPr>
        <w:t xml:space="preserve"> </w:t>
      </w:r>
      <w:r w:rsidRPr="005D0892">
        <w:rPr>
          <w:rFonts w:cs="Times New Roman"/>
        </w:rPr>
        <w:t>Ultra-high-throughput microbial community analysis on the Illumina HiSeq and MiSeq platforms.</w:t>
      </w:r>
      <w:r>
        <w:rPr>
          <w:rFonts w:cs="Times New Roman"/>
        </w:rPr>
        <w:t xml:space="preserve"> </w:t>
      </w:r>
      <w:r w:rsidRPr="00E24622">
        <w:rPr>
          <w:rFonts w:cs="Times New Roman"/>
        </w:rPr>
        <w:t xml:space="preserve">ISME </w:t>
      </w:r>
      <w:r>
        <w:rPr>
          <w:rFonts w:cs="Times New Roman"/>
        </w:rPr>
        <w:t>J 2</w:t>
      </w:r>
      <w:r w:rsidRPr="005D0892">
        <w:rPr>
          <w:rFonts w:cs="Times New Roman"/>
        </w:rPr>
        <w:t>012</w:t>
      </w:r>
      <w:r>
        <w:rPr>
          <w:rFonts w:cs="Times New Roman"/>
        </w:rPr>
        <w:t>;</w:t>
      </w:r>
      <w:r>
        <w:rPr>
          <w:rFonts w:cs="Times New Roman"/>
          <w:b/>
          <w:bCs/>
        </w:rPr>
        <w:t>6</w:t>
      </w:r>
      <w:r>
        <w:rPr>
          <w:rFonts w:cs="Times New Roman"/>
        </w:rPr>
        <w:t>:</w:t>
      </w:r>
      <w:r w:rsidRPr="005D0892">
        <w:rPr>
          <w:rFonts w:cs="Times New Roman"/>
        </w:rPr>
        <w:t>1621</w:t>
      </w:r>
      <w:r>
        <w:rPr>
          <w:rFonts w:cs="Times New Roman"/>
        </w:rPr>
        <w:t>–</w:t>
      </w:r>
      <w:r w:rsidRPr="005D0892">
        <w:rPr>
          <w:rFonts w:cs="Times New Roman"/>
        </w:rPr>
        <w:t>1624.</w:t>
      </w:r>
    </w:p>
    <w:p w14:paraId="0671CB13" w14:textId="77777777" w:rsidR="005C7880" w:rsidRPr="005D0892" w:rsidRDefault="005C7880" w:rsidP="005C7880">
      <w:pPr>
        <w:spacing w:line="480" w:lineRule="auto"/>
        <w:ind w:left="360" w:hanging="360"/>
        <w:contextualSpacing/>
        <w:rPr>
          <w:rFonts w:cs="Times New Roman"/>
        </w:rPr>
      </w:pPr>
      <w:r w:rsidRPr="005D0892">
        <w:rPr>
          <w:rFonts w:cs="Times New Roman"/>
        </w:rPr>
        <w:t>Cho I, Blaser MJ. The human microbiome: at the interface of health and disease.</w:t>
      </w:r>
      <w:r>
        <w:rPr>
          <w:rFonts w:cs="Times New Roman"/>
        </w:rPr>
        <w:t xml:space="preserve"> Nat</w:t>
      </w:r>
      <w:r w:rsidRPr="00E24622">
        <w:rPr>
          <w:rFonts w:cs="Times New Roman"/>
        </w:rPr>
        <w:t xml:space="preserve"> </w:t>
      </w:r>
      <w:r>
        <w:rPr>
          <w:rFonts w:cs="Times New Roman"/>
        </w:rPr>
        <w:t>Rev</w:t>
      </w:r>
      <w:r w:rsidRPr="00E24622">
        <w:rPr>
          <w:rFonts w:cs="Times New Roman"/>
        </w:rPr>
        <w:t xml:space="preserve"> Genet</w:t>
      </w:r>
      <w:r>
        <w:rPr>
          <w:rFonts w:cs="Times New Roman"/>
        </w:rPr>
        <w:t xml:space="preserve"> 2</w:t>
      </w:r>
      <w:r w:rsidRPr="005D0892">
        <w:rPr>
          <w:rFonts w:cs="Times New Roman"/>
        </w:rPr>
        <w:t>012</w:t>
      </w:r>
      <w:r>
        <w:rPr>
          <w:rFonts w:cs="Times New Roman"/>
        </w:rPr>
        <w:t>;</w:t>
      </w:r>
      <w:r>
        <w:rPr>
          <w:rFonts w:cs="Times New Roman"/>
          <w:b/>
          <w:bCs/>
        </w:rPr>
        <w:t>13</w:t>
      </w:r>
      <w:r>
        <w:rPr>
          <w:rFonts w:cs="Times New Roman"/>
        </w:rPr>
        <w:t>:</w:t>
      </w:r>
      <w:r w:rsidRPr="005D0892">
        <w:rPr>
          <w:rFonts w:cs="Times New Roman"/>
        </w:rPr>
        <w:t>260</w:t>
      </w:r>
      <w:r>
        <w:rPr>
          <w:rFonts w:cs="Times New Roman"/>
        </w:rPr>
        <w:t>–</w:t>
      </w:r>
      <w:r w:rsidRPr="005D0892">
        <w:rPr>
          <w:rFonts w:cs="Times New Roman"/>
        </w:rPr>
        <w:t>270.</w:t>
      </w:r>
    </w:p>
    <w:p w14:paraId="56884F0C" w14:textId="77777777" w:rsidR="005C7880" w:rsidRPr="005D0892" w:rsidRDefault="005C7880" w:rsidP="005C7880">
      <w:pPr>
        <w:spacing w:line="480" w:lineRule="auto"/>
        <w:ind w:left="360" w:hanging="360"/>
        <w:contextualSpacing/>
        <w:rPr>
          <w:rFonts w:cs="Times New Roman"/>
        </w:rPr>
      </w:pPr>
      <w:r w:rsidRPr="005D0892">
        <w:rPr>
          <w:rFonts w:cs="Times New Roman"/>
        </w:rPr>
        <w:t>Colston TJ, Jackson CR. Microbiome evolution along divergent branches of the vertebrate tree of life: what is known and unknown.</w:t>
      </w:r>
      <w:r>
        <w:rPr>
          <w:rFonts w:cs="Times New Roman"/>
        </w:rPr>
        <w:t xml:space="preserve"> </w:t>
      </w:r>
      <w:r w:rsidRPr="00D05276">
        <w:rPr>
          <w:rFonts w:cs="Times New Roman"/>
        </w:rPr>
        <w:t>Mol Ecol</w:t>
      </w:r>
      <w:r>
        <w:rPr>
          <w:rFonts w:cs="Times New Roman"/>
        </w:rPr>
        <w:t xml:space="preserve"> 2</w:t>
      </w:r>
      <w:r w:rsidRPr="005D0892">
        <w:rPr>
          <w:rFonts w:cs="Times New Roman"/>
        </w:rPr>
        <w:t>016</w:t>
      </w:r>
      <w:r>
        <w:rPr>
          <w:rFonts w:cs="Times New Roman"/>
        </w:rPr>
        <w:t>;</w:t>
      </w:r>
      <w:r>
        <w:rPr>
          <w:rFonts w:cs="Times New Roman"/>
          <w:b/>
          <w:bCs/>
        </w:rPr>
        <w:t>25</w:t>
      </w:r>
      <w:r>
        <w:rPr>
          <w:rFonts w:cs="Times New Roman"/>
        </w:rPr>
        <w:t>:</w:t>
      </w:r>
      <w:r w:rsidRPr="005D0892">
        <w:rPr>
          <w:rFonts w:cs="Times New Roman"/>
        </w:rPr>
        <w:t>3776</w:t>
      </w:r>
      <w:r>
        <w:rPr>
          <w:rFonts w:cs="Times New Roman"/>
        </w:rPr>
        <w:t>–</w:t>
      </w:r>
      <w:r w:rsidRPr="005D0892">
        <w:rPr>
          <w:rFonts w:cs="Times New Roman"/>
        </w:rPr>
        <w:t>3800.</w:t>
      </w:r>
    </w:p>
    <w:p w14:paraId="464D7393" w14:textId="77777777" w:rsidR="005C7880" w:rsidRDefault="005C7880" w:rsidP="005C7880">
      <w:pPr>
        <w:spacing w:line="480" w:lineRule="auto"/>
        <w:ind w:left="360" w:hanging="360"/>
        <w:contextualSpacing/>
        <w:rPr>
          <w:rFonts w:cs="Times New Roman"/>
        </w:rPr>
      </w:pPr>
      <w:r w:rsidRPr="005D0892">
        <w:rPr>
          <w:rFonts w:cs="Times New Roman"/>
        </w:rPr>
        <w:t xml:space="preserve">Colston TJ, Noonan BP, Jackson CR. Phylogenetic analysis of bacterial communities in different regions of the gastrointestinal tract of </w:t>
      </w:r>
      <w:r w:rsidRPr="003F3921">
        <w:rPr>
          <w:rFonts w:cs="Times New Roman"/>
          <w:i/>
          <w:iCs/>
        </w:rPr>
        <w:t>Agkistrodon piscivorus</w:t>
      </w:r>
      <w:r w:rsidRPr="005D0892">
        <w:rPr>
          <w:rFonts w:cs="Times New Roman"/>
        </w:rPr>
        <w:t>, the cottonmouth snake.</w:t>
      </w:r>
      <w:r>
        <w:rPr>
          <w:rFonts w:cs="Times New Roman"/>
        </w:rPr>
        <w:t xml:space="preserve"> </w:t>
      </w:r>
      <w:r w:rsidRPr="00E24622">
        <w:rPr>
          <w:rFonts w:cs="Times New Roman"/>
        </w:rPr>
        <w:t>PLOS ONE</w:t>
      </w:r>
      <w:r w:rsidRPr="0018259B">
        <w:rPr>
          <w:rFonts w:cs="Times New Roman"/>
        </w:rPr>
        <w:t xml:space="preserve"> </w:t>
      </w:r>
      <w:r>
        <w:rPr>
          <w:rFonts w:cs="Times New Roman"/>
        </w:rPr>
        <w:t>2</w:t>
      </w:r>
      <w:r w:rsidRPr="005D0892">
        <w:rPr>
          <w:rFonts w:cs="Times New Roman"/>
        </w:rPr>
        <w:t>015</w:t>
      </w:r>
      <w:r>
        <w:rPr>
          <w:rFonts w:cs="Times New Roman"/>
        </w:rPr>
        <w:t>;</w:t>
      </w:r>
      <w:r>
        <w:rPr>
          <w:rFonts w:cs="Times New Roman"/>
          <w:b/>
          <w:bCs/>
        </w:rPr>
        <w:t>10</w:t>
      </w:r>
      <w:r>
        <w:rPr>
          <w:rFonts w:cs="Times New Roman"/>
        </w:rPr>
        <w:t>:</w:t>
      </w:r>
      <w:r w:rsidRPr="005D0892">
        <w:rPr>
          <w:rFonts w:cs="Times New Roman"/>
        </w:rPr>
        <w:t>e0128793.</w:t>
      </w:r>
    </w:p>
    <w:p w14:paraId="24579DAE" w14:textId="77777777" w:rsidR="005C7880" w:rsidRPr="005D0892" w:rsidRDefault="005C7880" w:rsidP="005C7880">
      <w:pPr>
        <w:spacing w:line="480" w:lineRule="auto"/>
        <w:ind w:left="360" w:hanging="360"/>
        <w:contextualSpacing/>
        <w:rPr>
          <w:rFonts w:cs="Times New Roman"/>
        </w:rPr>
      </w:pPr>
      <w:r w:rsidRPr="005D0892">
        <w:rPr>
          <w:rFonts w:cs="Times New Roman"/>
        </w:rPr>
        <w:t>Colston TJ</w:t>
      </w:r>
      <w:r>
        <w:rPr>
          <w:rFonts w:cs="Times New Roman"/>
        </w:rPr>
        <w:t>.</w:t>
      </w:r>
      <w:r w:rsidRPr="005D0892">
        <w:rPr>
          <w:rFonts w:cs="Times New Roman"/>
        </w:rPr>
        <w:t xml:space="preserve"> </w:t>
      </w:r>
      <w:r w:rsidRPr="0036421F">
        <w:rPr>
          <w:rFonts w:cs="Times New Roman"/>
        </w:rPr>
        <w:t>Gut microbiome transmission in lizards.</w:t>
      </w:r>
      <w:r>
        <w:rPr>
          <w:rFonts w:cs="Times New Roman"/>
        </w:rPr>
        <w:t xml:space="preserve"> </w:t>
      </w:r>
      <w:r w:rsidRPr="00D05276">
        <w:rPr>
          <w:rFonts w:cs="Times New Roman"/>
        </w:rPr>
        <w:t>Mol Ecol</w:t>
      </w:r>
      <w:r>
        <w:rPr>
          <w:rFonts w:cs="Times New Roman"/>
        </w:rPr>
        <w:t xml:space="preserve"> 2</w:t>
      </w:r>
      <w:r w:rsidRPr="0036421F">
        <w:rPr>
          <w:rFonts w:cs="Times New Roman"/>
        </w:rPr>
        <w:t>017</w:t>
      </w:r>
      <w:r>
        <w:rPr>
          <w:rFonts w:cs="Times New Roman"/>
        </w:rPr>
        <w:t>;</w:t>
      </w:r>
      <w:r>
        <w:rPr>
          <w:rFonts w:cs="Times New Roman"/>
          <w:b/>
          <w:bCs/>
        </w:rPr>
        <w:t>26</w:t>
      </w:r>
      <w:r>
        <w:rPr>
          <w:rFonts w:cs="Times New Roman"/>
        </w:rPr>
        <w:t>:972–974.</w:t>
      </w:r>
    </w:p>
    <w:p w14:paraId="5048D66E" w14:textId="77777777" w:rsidR="005C7880" w:rsidRPr="00CD2A33" w:rsidRDefault="005C7880" w:rsidP="005C7880">
      <w:pPr>
        <w:spacing w:line="480" w:lineRule="auto"/>
        <w:ind w:left="360" w:hanging="360"/>
        <w:contextualSpacing/>
        <w:rPr>
          <w:rFonts w:cs="Times New Roman"/>
        </w:rPr>
      </w:pPr>
      <w:r w:rsidRPr="005D0892">
        <w:rPr>
          <w:rFonts w:cs="Times New Roman"/>
        </w:rPr>
        <w:t xml:space="preserve">Colston TJ, </w:t>
      </w:r>
      <w:r w:rsidRPr="00CD2A33">
        <w:rPr>
          <w:rFonts w:cs="Times New Roman"/>
        </w:rPr>
        <w:t xml:space="preserve">Kulkarni P, Jetz W </w:t>
      </w:r>
      <w:r w:rsidRPr="00B57253">
        <w:rPr>
          <w:rFonts w:cs="Times New Roman"/>
          <w:i/>
          <w:iCs/>
        </w:rPr>
        <w:t>et al</w:t>
      </w:r>
      <w:r w:rsidRPr="00D05276">
        <w:rPr>
          <w:rFonts w:cs="Times New Roman"/>
          <w:i/>
          <w:iCs/>
        </w:rPr>
        <w:t>.</w:t>
      </w:r>
      <w:r w:rsidRPr="004B6A60">
        <w:rPr>
          <w:rFonts w:cs="Times New Roman"/>
        </w:rPr>
        <w:t xml:space="preserve"> </w:t>
      </w:r>
      <w:r w:rsidRPr="00CD2A33">
        <w:rPr>
          <w:rFonts w:cs="Times New Roman"/>
        </w:rPr>
        <w:t>Phylogenetic and spatial distribution of evolutionary diversification, isolation, and threat in turtles and crocodilians (non-avian archosauromorphs).</w:t>
      </w:r>
      <w:r>
        <w:rPr>
          <w:rFonts w:cs="Times New Roman"/>
        </w:rPr>
        <w:t xml:space="preserve"> </w:t>
      </w:r>
      <w:r w:rsidRPr="00E24622">
        <w:rPr>
          <w:rFonts w:cs="Times New Roman"/>
        </w:rPr>
        <w:t xml:space="preserve">BMC </w:t>
      </w:r>
      <w:r>
        <w:rPr>
          <w:rFonts w:cs="Times New Roman"/>
        </w:rPr>
        <w:t>Evol Biol 2</w:t>
      </w:r>
      <w:r w:rsidRPr="00CD2A33">
        <w:rPr>
          <w:rFonts w:cs="Times New Roman"/>
        </w:rPr>
        <w:t>020</w:t>
      </w:r>
      <w:r>
        <w:rPr>
          <w:rFonts w:cs="Times New Roman"/>
        </w:rPr>
        <w:t>;</w:t>
      </w:r>
      <w:r>
        <w:rPr>
          <w:rFonts w:cs="Times New Roman"/>
          <w:b/>
          <w:bCs/>
        </w:rPr>
        <w:t>20</w:t>
      </w:r>
      <w:r>
        <w:rPr>
          <w:rFonts w:cs="Times New Roman"/>
        </w:rPr>
        <w:t>:</w:t>
      </w:r>
      <w:r w:rsidRPr="00CD2A33">
        <w:rPr>
          <w:rFonts w:cs="Times New Roman"/>
        </w:rPr>
        <w:t>1</w:t>
      </w:r>
      <w:r>
        <w:rPr>
          <w:rFonts w:cs="Times New Roman"/>
        </w:rPr>
        <w:t>–</w:t>
      </w:r>
      <w:r w:rsidRPr="00CD2A33">
        <w:rPr>
          <w:rFonts w:cs="Times New Roman"/>
        </w:rPr>
        <w:t>16.</w:t>
      </w:r>
    </w:p>
    <w:p w14:paraId="155718F9" w14:textId="77777777" w:rsidR="005C7880" w:rsidRPr="007D0401" w:rsidRDefault="005C7880" w:rsidP="005C7880">
      <w:pPr>
        <w:spacing w:line="480" w:lineRule="auto"/>
        <w:ind w:left="360" w:hanging="360"/>
        <w:contextualSpacing/>
        <w:rPr>
          <w:rFonts w:cs="Times New Roman"/>
        </w:rPr>
      </w:pPr>
      <w:r w:rsidRPr="007D0401">
        <w:rPr>
          <w:rFonts w:cs="Times New Roman"/>
        </w:rPr>
        <w:t xml:space="preserve">Darriba D, Taboada GL, Doallo R </w:t>
      </w:r>
      <w:r w:rsidRPr="00B57253">
        <w:rPr>
          <w:rFonts w:cs="Times New Roman"/>
          <w:i/>
          <w:iCs/>
        </w:rPr>
        <w:t>et al</w:t>
      </w:r>
      <w:r w:rsidRPr="00D05276">
        <w:rPr>
          <w:rFonts w:cs="Times New Roman"/>
          <w:i/>
          <w:iCs/>
        </w:rPr>
        <w:t>.</w:t>
      </w:r>
      <w:r w:rsidRPr="004B6A60">
        <w:rPr>
          <w:rFonts w:cs="Times New Roman"/>
        </w:rPr>
        <w:t xml:space="preserve"> </w:t>
      </w:r>
      <w:r w:rsidRPr="007D0401">
        <w:rPr>
          <w:rFonts w:cs="Times New Roman"/>
        </w:rPr>
        <w:t>jModelTest 2: more models, new heuristics and parallel computing.</w:t>
      </w:r>
      <w:r>
        <w:rPr>
          <w:rFonts w:cs="Times New Roman"/>
        </w:rPr>
        <w:t xml:space="preserve"> Nat</w:t>
      </w:r>
      <w:r w:rsidRPr="00E24622">
        <w:rPr>
          <w:rFonts w:cs="Times New Roman"/>
        </w:rPr>
        <w:t xml:space="preserve"> Methods</w:t>
      </w:r>
      <w:r>
        <w:rPr>
          <w:rFonts w:cs="Times New Roman"/>
        </w:rPr>
        <w:t xml:space="preserve"> 2</w:t>
      </w:r>
      <w:r w:rsidRPr="007D0401">
        <w:rPr>
          <w:rFonts w:cs="Times New Roman"/>
        </w:rPr>
        <w:t>012</w:t>
      </w:r>
      <w:r>
        <w:rPr>
          <w:rFonts w:cs="Times New Roman"/>
        </w:rPr>
        <w:t>;</w:t>
      </w:r>
      <w:r>
        <w:rPr>
          <w:rFonts w:cs="Times New Roman"/>
          <w:b/>
          <w:bCs/>
        </w:rPr>
        <w:t>9</w:t>
      </w:r>
      <w:r>
        <w:rPr>
          <w:rFonts w:cs="Times New Roman"/>
        </w:rPr>
        <w:t>:</w:t>
      </w:r>
      <w:r w:rsidRPr="007D0401">
        <w:rPr>
          <w:rFonts w:cs="Times New Roman"/>
        </w:rPr>
        <w:t>772.</w:t>
      </w:r>
    </w:p>
    <w:p w14:paraId="4965C839" w14:textId="77777777" w:rsidR="005C7880" w:rsidRDefault="005C7880" w:rsidP="005C7880">
      <w:pPr>
        <w:spacing w:line="480" w:lineRule="auto"/>
        <w:ind w:left="360" w:hanging="360"/>
        <w:contextualSpacing/>
        <w:rPr>
          <w:rFonts w:cs="Times New Roman"/>
        </w:rPr>
      </w:pPr>
      <w:r w:rsidRPr="00CD2A33">
        <w:rPr>
          <w:rFonts w:cs="Times New Roman"/>
        </w:rPr>
        <w:t xml:space="preserve">DeSantis TZ, Hugenholtz P, Larsen N </w:t>
      </w:r>
      <w:r w:rsidRPr="00B57253">
        <w:rPr>
          <w:rFonts w:cs="Times New Roman"/>
          <w:i/>
          <w:iCs/>
        </w:rPr>
        <w:t>et al</w:t>
      </w:r>
      <w:r w:rsidRPr="00D05276">
        <w:rPr>
          <w:rFonts w:cs="Times New Roman"/>
          <w:i/>
          <w:iCs/>
        </w:rPr>
        <w:t>.</w:t>
      </w:r>
      <w:r w:rsidRPr="004B6A60">
        <w:rPr>
          <w:rFonts w:cs="Times New Roman"/>
        </w:rPr>
        <w:t xml:space="preserve"> </w:t>
      </w:r>
      <w:r w:rsidRPr="00CD2A33">
        <w:rPr>
          <w:rFonts w:cs="Times New Roman"/>
        </w:rPr>
        <w:t>Greengenes, a chimera-checked 16S rRNA gene database and workbench compatible with ARB.</w:t>
      </w:r>
      <w:r>
        <w:rPr>
          <w:rFonts w:cs="Times New Roman"/>
        </w:rPr>
        <w:t xml:space="preserve"> Appl Environ Microb 2</w:t>
      </w:r>
      <w:r w:rsidRPr="00CD2A33">
        <w:rPr>
          <w:rFonts w:cs="Times New Roman"/>
        </w:rPr>
        <w:t>006</w:t>
      </w:r>
      <w:r>
        <w:rPr>
          <w:rFonts w:cs="Times New Roman"/>
        </w:rPr>
        <w:t>;</w:t>
      </w:r>
      <w:r>
        <w:rPr>
          <w:rFonts w:cs="Times New Roman"/>
          <w:b/>
          <w:bCs/>
        </w:rPr>
        <w:t>72</w:t>
      </w:r>
      <w:r>
        <w:rPr>
          <w:rFonts w:cs="Times New Roman"/>
        </w:rPr>
        <w:t>:</w:t>
      </w:r>
      <w:r w:rsidRPr="00CD2A33">
        <w:rPr>
          <w:rFonts w:cs="Times New Roman"/>
        </w:rPr>
        <w:t>5069</w:t>
      </w:r>
      <w:r>
        <w:rPr>
          <w:rFonts w:cs="Times New Roman"/>
        </w:rPr>
        <w:t>–</w:t>
      </w:r>
      <w:r w:rsidRPr="00CD2A33">
        <w:rPr>
          <w:rFonts w:cs="Times New Roman"/>
        </w:rPr>
        <w:t>5072.</w:t>
      </w:r>
    </w:p>
    <w:p w14:paraId="60BEFC49" w14:textId="77777777" w:rsidR="005C7880" w:rsidRPr="00CD2A33" w:rsidRDefault="005C7880" w:rsidP="005C7880">
      <w:pPr>
        <w:spacing w:line="480" w:lineRule="auto"/>
        <w:ind w:left="360" w:hanging="360"/>
        <w:contextualSpacing/>
        <w:rPr>
          <w:rFonts w:cs="Times New Roman"/>
        </w:rPr>
      </w:pPr>
      <w:r w:rsidRPr="00AB59CA">
        <w:rPr>
          <w:rFonts w:cs="Times New Roman"/>
        </w:rPr>
        <w:t xml:space="preserve">Drummond AJ, Ho SYW, Phillips MJ </w:t>
      </w:r>
      <w:r w:rsidRPr="00B57253">
        <w:rPr>
          <w:rFonts w:cs="Times New Roman"/>
          <w:i/>
          <w:iCs/>
        </w:rPr>
        <w:t>et al</w:t>
      </w:r>
      <w:r w:rsidRPr="00D05276">
        <w:rPr>
          <w:rFonts w:cs="Times New Roman"/>
          <w:i/>
          <w:iCs/>
        </w:rPr>
        <w:t>.</w:t>
      </w:r>
      <w:r w:rsidRPr="004B6A60">
        <w:rPr>
          <w:rFonts w:cs="Times New Roman"/>
        </w:rPr>
        <w:t xml:space="preserve"> </w:t>
      </w:r>
      <w:r w:rsidRPr="00AB59CA">
        <w:rPr>
          <w:rFonts w:cs="Times New Roman"/>
        </w:rPr>
        <w:t>Relaxed phylogenetics and dating with confidence.</w:t>
      </w:r>
      <w:r>
        <w:rPr>
          <w:rFonts w:cs="Times New Roman"/>
        </w:rPr>
        <w:t xml:space="preserve"> </w:t>
      </w:r>
      <w:r w:rsidRPr="00E24622">
        <w:rPr>
          <w:rFonts w:cs="Times New Roman"/>
        </w:rPr>
        <w:t xml:space="preserve">PLOS </w:t>
      </w:r>
      <w:r>
        <w:rPr>
          <w:rFonts w:cs="Times New Roman"/>
        </w:rPr>
        <w:t>Biol 2</w:t>
      </w:r>
      <w:r w:rsidRPr="00AB59CA">
        <w:rPr>
          <w:rFonts w:cs="Times New Roman"/>
        </w:rPr>
        <w:t>006</w:t>
      </w:r>
      <w:r>
        <w:rPr>
          <w:rFonts w:cs="Times New Roman"/>
        </w:rPr>
        <w:t>;</w:t>
      </w:r>
      <w:r>
        <w:rPr>
          <w:rFonts w:cs="Times New Roman"/>
          <w:b/>
          <w:bCs/>
        </w:rPr>
        <w:t>4</w:t>
      </w:r>
      <w:r>
        <w:rPr>
          <w:rFonts w:cs="Times New Roman"/>
        </w:rPr>
        <w:t>:</w:t>
      </w:r>
      <w:r w:rsidRPr="00AB59CA">
        <w:rPr>
          <w:rFonts w:cs="Times New Roman"/>
        </w:rPr>
        <w:t>e88.</w:t>
      </w:r>
    </w:p>
    <w:p w14:paraId="19E16499" w14:textId="77777777" w:rsidR="005C7880" w:rsidRPr="00CD2A33" w:rsidRDefault="005C7880" w:rsidP="005C7880">
      <w:pPr>
        <w:spacing w:line="480" w:lineRule="auto"/>
        <w:ind w:left="360" w:hanging="360"/>
        <w:contextualSpacing/>
        <w:rPr>
          <w:rFonts w:cs="Times New Roman"/>
        </w:rPr>
      </w:pPr>
      <w:r w:rsidRPr="00CD2A33">
        <w:rPr>
          <w:rFonts w:cs="Times New Roman"/>
        </w:rPr>
        <w:t>Edgar RC. MUSCLE: multiple sequence alignment with high accuracy and high throughput.</w:t>
      </w:r>
      <w:r>
        <w:rPr>
          <w:rFonts w:cs="Times New Roman"/>
        </w:rPr>
        <w:t xml:space="preserve"> </w:t>
      </w:r>
      <w:r w:rsidRPr="00E24622">
        <w:rPr>
          <w:rFonts w:cs="Times New Roman"/>
        </w:rPr>
        <w:t>Nucl Acids Res</w:t>
      </w:r>
      <w:r>
        <w:rPr>
          <w:rFonts w:cs="Times New Roman"/>
        </w:rPr>
        <w:t xml:space="preserve"> 2</w:t>
      </w:r>
      <w:r w:rsidRPr="00CD2A33">
        <w:rPr>
          <w:rFonts w:cs="Times New Roman"/>
        </w:rPr>
        <w:t>004</w:t>
      </w:r>
      <w:r>
        <w:rPr>
          <w:rFonts w:cs="Times New Roman"/>
        </w:rPr>
        <w:t>;</w:t>
      </w:r>
      <w:r>
        <w:rPr>
          <w:rFonts w:cs="Times New Roman"/>
          <w:b/>
          <w:bCs/>
        </w:rPr>
        <w:t>32</w:t>
      </w:r>
      <w:r>
        <w:rPr>
          <w:rFonts w:cs="Times New Roman"/>
        </w:rPr>
        <w:t>:</w:t>
      </w:r>
      <w:r w:rsidRPr="00CD2A33">
        <w:rPr>
          <w:rFonts w:cs="Times New Roman"/>
        </w:rPr>
        <w:t>1792</w:t>
      </w:r>
      <w:r>
        <w:rPr>
          <w:rFonts w:cs="Times New Roman"/>
        </w:rPr>
        <w:t>–</w:t>
      </w:r>
      <w:r w:rsidRPr="00CD2A33">
        <w:rPr>
          <w:rFonts w:cs="Times New Roman"/>
        </w:rPr>
        <w:t>1797.</w:t>
      </w:r>
    </w:p>
    <w:p w14:paraId="76DD0085" w14:textId="77777777" w:rsidR="005C7880" w:rsidRPr="00CD2A33" w:rsidRDefault="005C7880" w:rsidP="005C7880">
      <w:pPr>
        <w:spacing w:line="480" w:lineRule="auto"/>
        <w:ind w:left="360" w:hanging="360"/>
        <w:contextualSpacing/>
        <w:rPr>
          <w:rFonts w:cs="Times New Roman"/>
        </w:rPr>
      </w:pPr>
      <w:r w:rsidRPr="00CD2A33">
        <w:rPr>
          <w:rFonts w:cs="Times New Roman"/>
        </w:rPr>
        <w:t>Edgar RC. UPARSE: highly accurate OTU sequences from microbial amplicon reads.</w:t>
      </w:r>
      <w:r>
        <w:rPr>
          <w:rFonts w:cs="Times New Roman"/>
        </w:rPr>
        <w:t xml:space="preserve"> Nat</w:t>
      </w:r>
      <w:r w:rsidRPr="00E24622">
        <w:rPr>
          <w:rFonts w:cs="Times New Roman"/>
        </w:rPr>
        <w:t xml:space="preserve"> Methods</w:t>
      </w:r>
      <w:r w:rsidRPr="0018259B">
        <w:rPr>
          <w:rFonts w:cs="Times New Roman"/>
        </w:rPr>
        <w:t xml:space="preserve"> </w:t>
      </w:r>
      <w:r>
        <w:rPr>
          <w:rFonts w:cs="Times New Roman"/>
        </w:rPr>
        <w:t>2</w:t>
      </w:r>
      <w:r w:rsidRPr="00CD2A33">
        <w:rPr>
          <w:rFonts w:cs="Times New Roman"/>
        </w:rPr>
        <w:t>013</w:t>
      </w:r>
      <w:r>
        <w:rPr>
          <w:rFonts w:cs="Times New Roman"/>
        </w:rPr>
        <w:t>;</w:t>
      </w:r>
      <w:r>
        <w:rPr>
          <w:rFonts w:cs="Times New Roman"/>
          <w:b/>
          <w:bCs/>
        </w:rPr>
        <w:t>10</w:t>
      </w:r>
      <w:r>
        <w:rPr>
          <w:rFonts w:cs="Times New Roman"/>
        </w:rPr>
        <w:t>:</w:t>
      </w:r>
      <w:r w:rsidRPr="00CD2A33">
        <w:rPr>
          <w:rFonts w:cs="Times New Roman"/>
        </w:rPr>
        <w:t>996</w:t>
      </w:r>
      <w:r>
        <w:rPr>
          <w:rFonts w:cs="Times New Roman"/>
        </w:rPr>
        <w:t>–</w:t>
      </w:r>
      <w:r w:rsidRPr="00CD2A33">
        <w:rPr>
          <w:rFonts w:cs="Times New Roman"/>
        </w:rPr>
        <w:t>998.</w:t>
      </w:r>
    </w:p>
    <w:p w14:paraId="1769DE56" w14:textId="77777777" w:rsidR="005C7880" w:rsidRDefault="005C7880" w:rsidP="005C7880">
      <w:pPr>
        <w:spacing w:line="480" w:lineRule="auto"/>
        <w:ind w:left="360" w:hanging="360"/>
        <w:contextualSpacing/>
        <w:rPr>
          <w:rFonts w:cs="Times New Roman"/>
        </w:rPr>
      </w:pPr>
      <w:r w:rsidRPr="00CD2A33">
        <w:rPr>
          <w:rFonts w:cs="Times New Roman"/>
        </w:rPr>
        <w:t xml:space="preserve">Eliades SJ, Brown JC, Colston TJ </w:t>
      </w:r>
      <w:r w:rsidRPr="00B57253">
        <w:rPr>
          <w:rFonts w:cs="Times New Roman"/>
          <w:i/>
          <w:iCs/>
        </w:rPr>
        <w:t>et al</w:t>
      </w:r>
      <w:r w:rsidRPr="00D05276">
        <w:rPr>
          <w:rFonts w:cs="Times New Roman"/>
          <w:i/>
          <w:iCs/>
        </w:rPr>
        <w:t>.</w:t>
      </w:r>
      <w:r w:rsidRPr="004B6A60">
        <w:rPr>
          <w:rFonts w:cs="Times New Roman"/>
        </w:rPr>
        <w:t xml:space="preserve"> </w:t>
      </w:r>
      <w:r w:rsidRPr="00CD2A33">
        <w:rPr>
          <w:rFonts w:cs="Times New Roman"/>
        </w:rPr>
        <w:t>Gut microbial ecology of the Critically Endangered Fijian crested iguana (</w:t>
      </w:r>
      <w:r w:rsidRPr="003F3921">
        <w:rPr>
          <w:rFonts w:cs="Times New Roman"/>
          <w:i/>
          <w:iCs/>
        </w:rPr>
        <w:t>Brachylophus vitiensis</w:t>
      </w:r>
      <w:r w:rsidRPr="00CD2A33">
        <w:rPr>
          <w:rFonts w:cs="Times New Roman"/>
        </w:rPr>
        <w:t>): Effects of captivity status and host reintroduction on endogenous microbiomes.</w:t>
      </w:r>
      <w:r>
        <w:rPr>
          <w:rFonts w:cs="Times New Roman"/>
        </w:rPr>
        <w:t xml:space="preserve"> Ecol Evol 2</w:t>
      </w:r>
      <w:r w:rsidRPr="00CD2A33">
        <w:rPr>
          <w:rFonts w:cs="Times New Roman"/>
        </w:rPr>
        <w:t>021</w:t>
      </w:r>
      <w:r>
        <w:rPr>
          <w:rFonts w:cs="Times New Roman"/>
        </w:rPr>
        <w:t>;</w:t>
      </w:r>
      <w:r>
        <w:rPr>
          <w:rFonts w:cs="Times New Roman"/>
          <w:b/>
          <w:bCs/>
        </w:rPr>
        <w:t>11</w:t>
      </w:r>
      <w:r>
        <w:rPr>
          <w:rFonts w:cs="Times New Roman"/>
        </w:rPr>
        <w:t>:</w:t>
      </w:r>
      <w:r w:rsidRPr="00CD2A33">
        <w:rPr>
          <w:rFonts w:cs="Times New Roman"/>
        </w:rPr>
        <w:t>4731</w:t>
      </w:r>
      <w:r>
        <w:rPr>
          <w:rFonts w:cs="Times New Roman"/>
        </w:rPr>
        <w:t>–</w:t>
      </w:r>
      <w:r w:rsidRPr="00CD2A33">
        <w:rPr>
          <w:rFonts w:cs="Times New Roman"/>
        </w:rPr>
        <w:t>4743.</w:t>
      </w:r>
    </w:p>
    <w:p w14:paraId="538351FF" w14:textId="77777777" w:rsidR="005C7880" w:rsidRPr="00CD2A33" w:rsidRDefault="005C7880" w:rsidP="005C7880">
      <w:pPr>
        <w:spacing w:line="480" w:lineRule="auto"/>
        <w:ind w:left="360" w:hanging="360"/>
        <w:contextualSpacing/>
        <w:rPr>
          <w:rFonts w:cs="Times New Roman"/>
        </w:rPr>
      </w:pPr>
      <w:r w:rsidRPr="00A43B0C">
        <w:rPr>
          <w:rFonts w:cs="Times New Roman"/>
        </w:rPr>
        <w:t>[dataset]* Eliades SJ, Colston TJ, Siler CD. Gut microbial ecology of Philippine gekkonids, Sequence Read Archive (SRA) 2022:XXX.</w:t>
      </w:r>
    </w:p>
    <w:p w14:paraId="6FED8BC9" w14:textId="77777777" w:rsidR="005C7880" w:rsidRPr="00CD2A33" w:rsidRDefault="005C7880" w:rsidP="005C7880">
      <w:pPr>
        <w:spacing w:line="480" w:lineRule="auto"/>
        <w:ind w:left="360" w:hanging="360"/>
        <w:contextualSpacing/>
        <w:rPr>
          <w:rFonts w:cs="Times New Roman"/>
        </w:rPr>
      </w:pPr>
      <w:r w:rsidRPr="00CD2A33">
        <w:rPr>
          <w:rFonts w:cs="Times New Roman"/>
        </w:rPr>
        <w:t>Faith DP. Conservation evaluation and phylogenetic diversity.</w:t>
      </w:r>
      <w:r>
        <w:rPr>
          <w:rFonts w:cs="Times New Roman"/>
        </w:rPr>
        <w:t xml:space="preserve"> Biol Conserv </w:t>
      </w:r>
      <w:r w:rsidRPr="00CD2A33">
        <w:rPr>
          <w:rFonts w:cs="Times New Roman"/>
        </w:rPr>
        <w:t>1992</w:t>
      </w:r>
      <w:r>
        <w:rPr>
          <w:rFonts w:cs="Times New Roman"/>
        </w:rPr>
        <w:t>;</w:t>
      </w:r>
      <w:r>
        <w:rPr>
          <w:rFonts w:cs="Times New Roman"/>
          <w:b/>
          <w:bCs/>
        </w:rPr>
        <w:t>61</w:t>
      </w:r>
      <w:r>
        <w:rPr>
          <w:rFonts w:cs="Times New Roman"/>
        </w:rPr>
        <w:t>:</w:t>
      </w:r>
      <w:r w:rsidRPr="00CD2A33">
        <w:rPr>
          <w:rFonts w:cs="Times New Roman"/>
        </w:rPr>
        <w:t>1</w:t>
      </w:r>
      <w:r>
        <w:rPr>
          <w:rFonts w:cs="Times New Roman"/>
        </w:rPr>
        <w:t>–</w:t>
      </w:r>
      <w:r w:rsidRPr="00CD2A33">
        <w:rPr>
          <w:rFonts w:cs="Times New Roman"/>
        </w:rPr>
        <w:t>10.</w:t>
      </w:r>
    </w:p>
    <w:p w14:paraId="07188A4B" w14:textId="77777777" w:rsidR="005C7880" w:rsidRPr="00CD2A33" w:rsidRDefault="005C7880" w:rsidP="005C7880">
      <w:pPr>
        <w:spacing w:line="480" w:lineRule="auto"/>
        <w:ind w:left="360" w:hanging="360"/>
        <w:contextualSpacing/>
        <w:rPr>
          <w:rFonts w:cs="Times New Roman"/>
        </w:rPr>
      </w:pPr>
      <w:r w:rsidRPr="00CD2A33">
        <w:rPr>
          <w:rFonts w:cs="Times New Roman"/>
        </w:rPr>
        <w:t>Fong JJ, Sung YH, Ding L. Comparative analysis of the fecal microbiota of wild and captive Beal’s eyed turtle (</w:t>
      </w:r>
      <w:r w:rsidRPr="001E171E">
        <w:rPr>
          <w:rFonts w:cs="Times New Roman"/>
          <w:i/>
          <w:iCs/>
        </w:rPr>
        <w:t>Sacalia bealei</w:t>
      </w:r>
      <w:r w:rsidRPr="00CD2A33">
        <w:rPr>
          <w:rFonts w:cs="Times New Roman"/>
        </w:rPr>
        <w:t>) by 16S rRNA gene sequencing.</w:t>
      </w:r>
      <w:r>
        <w:rPr>
          <w:rFonts w:cs="Times New Roman"/>
        </w:rPr>
        <w:t xml:space="preserve"> Front Microbiol 2</w:t>
      </w:r>
      <w:r w:rsidRPr="00CD2A33">
        <w:rPr>
          <w:rFonts w:cs="Times New Roman"/>
        </w:rPr>
        <w:t>020</w:t>
      </w:r>
      <w:r>
        <w:rPr>
          <w:rFonts w:cs="Times New Roman"/>
        </w:rPr>
        <w:t>;</w:t>
      </w:r>
      <w:r>
        <w:rPr>
          <w:rFonts w:cs="Times New Roman"/>
          <w:b/>
          <w:bCs/>
        </w:rPr>
        <w:t>11</w:t>
      </w:r>
      <w:r>
        <w:rPr>
          <w:rFonts w:cs="Times New Roman"/>
        </w:rPr>
        <w:t>:</w:t>
      </w:r>
      <w:r w:rsidRPr="00CD2A33">
        <w:rPr>
          <w:rFonts w:cs="Times New Roman"/>
        </w:rPr>
        <w:t>2732.</w:t>
      </w:r>
    </w:p>
    <w:p w14:paraId="537E24DB" w14:textId="77777777" w:rsidR="005C7880" w:rsidRPr="00CD2A33" w:rsidRDefault="005C7880" w:rsidP="005C7880">
      <w:pPr>
        <w:spacing w:line="480" w:lineRule="auto"/>
        <w:ind w:left="360" w:hanging="360"/>
        <w:contextualSpacing/>
        <w:rPr>
          <w:rFonts w:cs="Times New Roman"/>
        </w:rPr>
      </w:pPr>
      <w:r w:rsidRPr="00CD2A33">
        <w:rPr>
          <w:rFonts w:cs="Times New Roman"/>
        </w:rPr>
        <w:t>Fraune S, Bosch TC. Why bacteria matter in animal development and evolution.</w:t>
      </w:r>
      <w:r>
        <w:rPr>
          <w:rFonts w:cs="Times New Roman"/>
        </w:rPr>
        <w:t xml:space="preserve"> </w:t>
      </w:r>
      <w:r w:rsidRPr="00E24622">
        <w:rPr>
          <w:rFonts w:cs="Times New Roman"/>
        </w:rPr>
        <w:t>Bioessays</w:t>
      </w:r>
      <w:r>
        <w:rPr>
          <w:rFonts w:cs="Times New Roman"/>
        </w:rPr>
        <w:t xml:space="preserve"> 2</w:t>
      </w:r>
      <w:r w:rsidRPr="00CD2A33">
        <w:rPr>
          <w:rFonts w:cs="Times New Roman"/>
        </w:rPr>
        <w:t>010</w:t>
      </w:r>
      <w:r>
        <w:rPr>
          <w:rFonts w:cs="Times New Roman"/>
        </w:rPr>
        <w:t>;</w:t>
      </w:r>
      <w:r>
        <w:rPr>
          <w:rFonts w:cs="Times New Roman"/>
          <w:b/>
          <w:bCs/>
        </w:rPr>
        <w:t>32</w:t>
      </w:r>
      <w:r>
        <w:rPr>
          <w:rFonts w:cs="Times New Roman"/>
        </w:rPr>
        <w:t>:</w:t>
      </w:r>
      <w:r w:rsidRPr="00CD2A33">
        <w:rPr>
          <w:rFonts w:cs="Times New Roman"/>
        </w:rPr>
        <w:t>571</w:t>
      </w:r>
      <w:r>
        <w:rPr>
          <w:rFonts w:cs="Times New Roman"/>
        </w:rPr>
        <w:t>–</w:t>
      </w:r>
      <w:r w:rsidRPr="00CD2A33">
        <w:rPr>
          <w:rFonts w:cs="Times New Roman"/>
        </w:rPr>
        <w:t>580.</w:t>
      </w:r>
    </w:p>
    <w:p w14:paraId="2958B595" w14:textId="77777777" w:rsidR="005C7880" w:rsidRPr="00CD2A33" w:rsidRDefault="005C7880" w:rsidP="005C7880">
      <w:pPr>
        <w:spacing w:line="480" w:lineRule="auto"/>
        <w:ind w:left="360" w:hanging="360"/>
        <w:contextualSpacing/>
        <w:rPr>
          <w:rFonts w:cs="Times New Roman"/>
        </w:rPr>
      </w:pPr>
      <w:r w:rsidRPr="009D67EE">
        <w:rPr>
          <w:rFonts w:cs="Times New Roman"/>
        </w:rPr>
        <w:t>Gaillard DL. Population genetics and microbial communities of the gopher tortoise</w:t>
      </w:r>
      <w:r w:rsidRPr="009D67EE">
        <w:rPr>
          <w:rFonts w:cs="Times New Roman"/>
          <w:i/>
          <w:iCs/>
        </w:rPr>
        <w:t xml:space="preserve"> </w:t>
      </w:r>
      <w:r w:rsidRPr="009D67EE">
        <w:rPr>
          <w:rFonts w:cs="Times New Roman"/>
        </w:rPr>
        <w:t>(</w:t>
      </w:r>
      <w:r w:rsidRPr="009D67EE">
        <w:rPr>
          <w:rFonts w:cs="Times New Roman"/>
          <w:i/>
          <w:iCs/>
        </w:rPr>
        <w:t>Gopherus polyphemus</w:t>
      </w:r>
      <w:r w:rsidRPr="009D67EE">
        <w:rPr>
          <w:rFonts w:cs="Times New Roman"/>
        </w:rPr>
        <w:t xml:space="preserve">). </w:t>
      </w:r>
      <w:r>
        <w:rPr>
          <w:rFonts w:cs="Times New Roman"/>
        </w:rPr>
        <w:t xml:space="preserve">[PhD </w:t>
      </w:r>
      <w:r w:rsidRPr="00D1435B">
        <w:rPr>
          <w:rFonts w:cs="Times New Roman"/>
        </w:rPr>
        <w:t>Dissertation</w:t>
      </w:r>
      <w:r>
        <w:rPr>
          <w:rFonts w:cs="Times New Roman"/>
        </w:rPr>
        <w:t xml:space="preserve">] </w:t>
      </w:r>
      <w:r w:rsidRPr="009D67EE">
        <w:rPr>
          <w:rFonts w:cs="Times New Roman"/>
        </w:rPr>
        <w:t>The University of Southern Mississippi</w:t>
      </w:r>
      <w:r>
        <w:rPr>
          <w:rFonts w:cs="Times New Roman"/>
        </w:rPr>
        <w:t xml:space="preserve"> 2</w:t>
      </w:r>
      <w:r w:rsidRPr="009D67EE">
        <w:rPr>
          <w:rFonts w:cs="Times New Roman"/>
        </w:rPr>
        <w:t>014</w:t>
      </w:r>
      <w:r>
        <w:rPr>
          <w:rFonts w:cs="Times New Roman"/>
        </w:rPr>
        <w:t>.</w:t>
      </w:r>
    </w:p>
    <w:p w14:paraId="4B3AEEAB" w14:textId="77777777" w:rsidR="005C7880" w:rsidRDefault="005C7880" w:rsidP="005C7880">
      <w:pPr>
        <w:spacing w:line="480" w:lineRule="auto"/>
        <w:ind w:left="360" w:hanging="360"/>
        <w:contextualSpacing/>
        <w:rPr>
          <w:rFonts w:cs="Times New Roman"/>
        </w:rPr>
      </w:pPr>
      <w:r w:rsidRPr="0036421F">
        <w:rPr>
          <w:rFonts w:cs="Times New Roman"/>
        </w:rPr>
        <w:t xml:space="preserve">Goldberg SR, Bursey CR, Siler CD </w:t>
      </w:r>
      <w:r w:rsidRPr="00B57253">
        <w:rPr>
          <w:rFonts w:cs="Times New Roman"/>
          <w:i/>
          <w:iCs/>
        </w:rPr>
        <w:t>et al</w:t>
      </w:r>
      <w:r w:rsidRPr="00D05276">
        <w:rPr>
          <w:rFonts w:cs="Times New Roman"/>
          <w:i/>
          <w:iCs/>
        </w:rPr>
        <w:t>.</w:t>
      </w:r>
      <w:r w:rsidRPr="004B6A60">
        <w:rPr>
          <w:rFonts w:cs="Times New Roman"/>
        </w:rPr>
        <w:t xml:space="preserve"> </w:t>
      </w:r>
      <w:r w:rsidRPr="0036421F">
        <w:rPr>
          <w:rFonts w:cs="Times New Roman"/>
        </w:rPr>
        <w:t xml:space="preserve">Gastrointestinal helminths of two gekkonid species, </w:t>
      </w:r>
      <w:r w:rsidRPr="001E171E">
        <w:rPr>
          <w:rFonts w:cs="Times New Roman"/>
          <w:i/>
          <w:iCs/>
        </w:rPr>
        <w:t>Cyrtodactylus philippinicus</w:t>
      </w:r>
      <w:r w:rsidRPr="0036421F">
        <w:rPr>
          <w:rFonts w:cs="Times New Roman"/>
        </w:rPr>
        <w:t xml:space="preserve"> and </w:t>
      </w:r>
      <w:r w:rsidRPr="001E171E">
        <w:rPr>
          <w:rFonts w:cs="Times New Roman"/>
          <w:i/>
          <w:iCs/>
        </w:rPr>
        <w:t>Gekko mindorensis</w:t>
      </w:r>
      <w:r w:rsidRPr="0036421F">
        <w:rPr>
          <w:rFonts w:cs="Times New Roman"/>
        </w:rPr>
        <w:t xml:space="preserve"> (Squamata: Gekkonidae) from the Philippines.</w:t>
      </w:r>
      <w:r>
        <w:rPr>
          <w:rFonts w:cs="Times New Roman"/>
        </w:rPr>
        <w:t xml:space="preserve"> Compar</w:t>
      </w:r>
      <w:r w:rsidRPr="00E24622">
        <w:rPr>
          <w:rFonts w:cs="Times New Roman"/>
        </w:rPr>
        <w:t xml:space="preserve"> Parasitol</w:t>
      </w:r>
      <w:r>
        <w:rPr>
          <w:rFonts w:cs="Times New Roman"/>
        </w:rPr>
        <w:t xml:space="preserve"> 2</w:t>
      </w:r>
      <w:r w:rsidRPr="0036421F">
        <w:rPr>
          <w:rFonts w:cs="Times New Roman"/>
        </w:rPr>
        <w:t>016</w:t>
      </w:r>
      <w:r>
        <w:rPr>
          <w:rFonts w:cs="Times New Roman"/>
        </w:rPr>
        <w:t>;</w:t>
      </w:r>
      <w:r>
        <w:rPr>
          <w:rFonts w:cs="Times New Roman"/>
          <w:b/>
          <w:bCs/>
        </w:rPr>
        <w:t>83</w:t>
      </w:r>
      <w:r>
        <w:rPr>
          <w:rFonts w:cs="Times New Roman"/>
        </w:rPr>
        <w:t>:</w:t>
      </w:r>
      <w:r w:rsidRPr="0036421F">
        <w:rPr>
          <w:rFonts w:cs="Times New Roman"/>
        </w:rPr>
        <w:t>130</w:t>
      </w:r>
      <w:r>
        <w:rPr>
          <w:rFonts w:cs="Times New Roman"/>
        </w:rPr>
        <w:t>–</w:t>
      </w:r>
      <w:r w:rsidRPr="0036421F">
        <w:rPr>
          <w:rFonts w:cs="Times New Roman"/>
        </w:rPr>
        <w:t>133.</w:t>
      </w:r>
    </w:p>
    <w:p w14:paraId="2EE2F249" w14:textId="77777777" w:rsidR="005C7880" w:rsidRDefault="005C7880" w:rsidP="005C7880">
      <w:pPr>
        <w:spacing w:line="480" w:lineRule="auto"/>
        <w:ind w:left="360" w:hanging="360"/>
        <w:contextualSpacing/>
        <w:rPr>
          <w:rFonts w:cs="Times New Roman"/>
        </w:rPr>
      </w:pPr>
      <w:r w:rsidRPr="00CD2A33">
        <w:rPr>
          <w:rFonts w:cs="Times New Roman"/>
        </w:rPr>
        <w:t xml:space="preserve">Groussin M, Mazel F, Sanders JG </w:t>
      </w:r>
      <w:r w:rsidRPr="00B57253">
        <w:rPr>
          <w:rFonts w:cs="Times New Roman"/>
          <w:i/>
          <w:iCs/>
        </w:rPr>
        <w:t>et al</w:t>
      </w:r>
      <w:r w:rsidRPr="00D05276">
        <w:rPr>
          <w:rFonts w:cs="Times New Roman"/>
          <w:i/>
          <w:iCs/>
        </w:rPr>
        <w:t>.</w:t>
      </w:r>
      <w:r w:rsidRPr="004B6A60">
        <w:rPr>
          <w:rFonts w:cs="Times New Roman"/>
        </w:rPr>
        <w:t xml:space="preserve"> </w:t>
      </w:r>
      <w:r w:rsidRPr="00CD2A33">
        <w:rPr>
          <w:rFonts w:cs="Times New Roman"/>
        </w:rPr>
        <w:t>Unraveling the processes shaping mammalian gut microbiomes over evolutionary time.</w:t>
      </w:r>
      <w:r>
        <w:rPr>
          <w:rFonts w:cs="Times New Roman"/>
        </w:rPr>
        <w:t xml:space="preserve"> Nat Commun</w:t>
      </w:r>
      <w:r w:rsidRPr="00E24622">
        <w:rPr>
          <w:rFonts w:cs="Times New Roman"/>
        </w:rPr>
        <w:t xml:space="preserve"> </w:t>
      </w:r>
      <w:r>
        <w:rPr>
          <w:rFonts w:cs="Times New Roman"/>
        </w:rPr>
        <w:t>2</w:t>
      </w:r>
      <w:r w:rsidRPr="00CD2A33">
        <w:rPr>
          <w:rFonts w:cs="Times New Roman"/>
        </w:rPr>
        <w:t>017</w:t>
      </w:r>
      <w:r>
        <w:rPr>
          <w:rFonts w:cs="Times New Roman"/>
        </w:rPr>
        <w:t>;</w:t>
      </w:r>
      <w:r>
        <w:rPr>
          <w:rFonts w:cs="Times New Roman"/>
          <w:b/>
          <w:bCs/>
        </w:rPr>
        <w:t>8</w:t>
      </w:r>
      <w:r>
        <w:rPr>
          <w:rFonts w:cs="Times New Roman"/>
        </w:rPr>
        <w:t>:</w:t>
      </w:r>
      <w:r w:rsidRPr="00CD2A33">
        <w:rPr>
          <w:rFonts w:cs="Times New Roman"/>
        </w:rPr>
        <w:t>1</w:t>
      </w:r>
      <w:r>
        <w:rPr>
          <w:rFonts w:cs="Times New Roman"/>
        </w:rPr>
        <w:t>–</w:t>
      </w:r>
      <w:r w:rsidRPr="00CD2A33">
        <w:rPr>
          <w:rFonts w:cs="Times New Roman"/>
        </w:rPr>
        <w:t>12.</w:t>
      </w:r>
    </w:p>
    <w:p w14:paraId="53759E07" w14:textId="77777777" w:rsidR="005C7880" w:rsidRPr="00CD2A33" w:rsidRDefault="005C7880" w:rsidP="005C7880">
      <w:pPr>
        <w:spacing w:line="480" w:lineRule="auto"/>
        <w:ind w:left="360" w:hanging="360"/>
        <w:contextualSpacing/>
        <w:rPr>
          <w:rFonts w:cs="Times New Roman"/>
        </w:rPr>
      </w:pPr>
      <w:r>
        <w:rPr>
          <w:rFonts w:cs="Times New Roman"/>
        </w:rPr>
        <w:t xml:space="preserve">Heaney LR. </w:t>
      </w:r>
      <w:r w:rsidRPr="005F7C6B">
        <w:rPr>
          <w:rFonts w:cs="Times New Roman"/>
        </w:rPr>
        <w:t xml:space="preserve">Biodiversity patterns and the conservation of mammals in the Philippines. </w:t>
      </w:r>
      <w:r w:rsidRPr="00E24622">
        <w:rPr>
          <w:rFonts w:cs="Times New Roman"/>
        </w:rPr>
        <w:t xml:space="preserve">Asia Life </w:t>
      </w:r>
      <w:r>
        <w:rPr>
          <w:rFonts w:cs="Times New Roman"/>
        </w:rPr>
        <w:t xml:space="preserve">Sci </w:t>
      </w:r>
      <w:r w:rsidRPr="005F7C6B">
        <w:rPr>
          <w:rFonts w:cs="Times New Roman"/>
        </w:rPr>
        <w:t>1993</w:t>
      </w:r>
      <w:r>
        <w:rPr>
          <w:rFonts w:cs="Times New Roman"/>
        </w:rPr>
        <w:t>;</w:t>
      </w:r>
      <w:r>
        <w:rPr>
          <w:rFonts w:cs="Times New Roman"/>
          <w:b/>
          <w:bCs/>
        </w:rPr>
        <w:t>2</w:t>
      </w:r>
      <w:r>
        <w:rPr>
          <w:rFonts w:cs="Times New Roman"/>
        </w:rPr>
        <w:t>:</w:t>
      </w:r>
      <w:r w:rsidRPr="005F7C6B">
        <w:rPr>
          <w:rFonts w:cs="Times New Roman"/>
        </w:rPr>
        <w:t>261</w:t>
      </w:r>
      <w:r>
        <w:rPr>
          <w:rFonts w:cs="Times New Roman"/>
        </w:rPr>
        <w:t>–</w:t>
      </w:r>
      <w:r w:rsidRPr="005F7C6B">
        <w:rPr>
          <w:rFonts w:cs="Times New Roman"/>
        </w:rPr>
        <w:t>274.</w:t>
      </w:r>
    </w:p>
    <w:p w14:paraId="623C65A2" w14:textId="77777777" w:rsidR="005C7880" w:rsidRPr="00CD2A33" w:rsidRDefault="005C7880" w:rsidP="005C7880">
      <w:pPr>
        <w:spacing w:line="480" w:lineRule="auto"/>
        <w:ind w:left="360" w:hanging="360"/>
        <w:contextualSpacing/>
        <w:rPr>
          <w:rFonts w:cs="Times New Roman"/>
        </w:rPr>
      </w:pPr>
      <w:r w:rsidRPr="00CD2A33">
        <w:rPr>
          <w:rFonts w:cs="Times New Roman"/>
        </w:rPr>
        <w:t>Heath TA, Huelsenbeck JP, Stadler T. The fossilized birth–death process for coherent calibration of divergence-time estimates.</w:t>
      </w:r>
      <w:r>
        <w:rPr>
          <w:rFonts w:cs="Times New Roman"/>
        </w:rPr>
        <w:t xml:space="preserve"> P Natl Acad Sci USA 2</w:t>
      </w:r>
      <w:r w:rsidRPr="00CD2A33">
        <w:rPr>
          <w:rFonts w:cs="Times New Roman"/>
        </w:rPr>
        <w:t>014</w:t>
      </w:r>
      <w:r>
        <w:rPr>
          <w:rFonts w:cs="Times New Roman"/>
        </w:rPr>
        <w:t>;</w:t>
      </w:r>
      <w:r w:rsidRPr="00E24622">
        <w:rPr>
          <w:rFonts w:cs="Times New Roman"/>
          <w:b/>
          <w:bCs/>
        </w:rPr>
        <w:t>111</w:t>
      </w:r>
      <w:r>
        <w:rPr>
          <w:rFonts w:cs="Times New Roman"/>
        </w:rPr>
        <w:t>:</w:t>
      </w:r>
      <w:r w:rsidRPr="00CD2A33">
        <w:rPr>
          <w:rFonts w:cs="Times New Roman"/>
        </w:rPr>
        <w:t>E2957</w:t>
      </w:r>
      <w:r>
        <w:rPr>
          <w:rFonts w:cs="Times New Roman"/>
        </w:rPr>
        <w:t>–</w:t>
      </w:r>
      <w:r w:rsidRPr="00CD2A33">
        <w:rPr>
          <w:rFonts w:cs="Times New Roman"/>
        </w:rPr>
        <w:t>E2966.</w:t>
      </w:r>
    </w:p>
    <w:p w14:paraId="4213D1B1" w14:textId="77777777" w:rsidR="005C7880" w:rsidRPr="00CD1676" w:rsidRDefault="005C7880" w:rsidP="005C7880">
      <w:pPr>
        <w:spacing w:line="480" w:lineRule="auto"/>
        <w:ind w:left="360" w:hanging="360"/>
        <w:contextualSpacing/>
      </w:pPr>
      <w:r w:rsidRPr="00B86F38">
        <w:t xml:space="preserve">Jaccard P. </w:t>
      </w:r>
      <w:r w:rsidRPr="00CD1676">
        <w:t xml:space="preserve">Étude comparative de la distribution florale dans une portion des Alpes et des Jura. </w:t>
      </w:r>
      <w:r w:rsidRPr="00E24622">
        <w:rPr>
          <w:iCs/>
        </w:rPr>
        <w:t xml:space="preserve">Bull </w:t>
      </w:r>
      <w:r>
        <w:rPr>
          <w:iCs/>
        </w:rPr>
        <w:t>Soc</w:t>
      </w:r>
      <w:r w:rsidRPr="00E24622">
        <w:rPr>
          <w:iCs/>
        </w:rPr>
        <w:t xml:space="preserve"> Vaudoise </w:t>
      </w:r>
      <w:r>
        <w:rPr>
          <w:iCs/>
        </w:rPr>
        <w:t>Sci Nat</w:t>
      </w:r>
      <w:r>
        <w:rPr>
          <w:rFonts w:cs="Times New Roman"/>
        </w:rPr>
        <w:t xml:space="preserve"> </w:t>
      </w:r>
      <w:r w:rsidRPr="00B86F38">
        <w:t>1901</w:t>
      </w:r>
      <w:r>
        <w:t>;</w:t>
      </w:r>
      <w:r>
        <w:rPr>
          <w:rFonts w:cs="Times New Roman"/>
          <w:b/>
          <w:bCs/>
        </w:rPr>
        <w:t>37</w:t>
      </w:r>
      <w:r>
        <w:rPr>
          <w:rFonts w:cs="Times New Roman"/>
        </w:rPr>
        <w:t>:</w:t>
      </w:r>
      <w:r w:rsidRPr="00CD1676">
        <w:t>547</w:t>
      </w:r>
      <w:r w:rsidRPr="00CD1676">
        <w:rPr>
          <w:lang w:val="es-ES_tradnl"/>
        </w:rPr>
        <w:t>–</w:t>
      </w:r>
      <w:r w:rsidRPr="00CD1676">
        <w:t>579.</w:t>
      </w:r>
    </w:p>
    <w:p w14:paraId="0D6044FA" w14:textId="77777777" w:rsidR="005C7880" w:rsidRPr="00CD2A33" w:rsidRDefault="005C7880" w:rsidP="005C7880">
      <w:pPr>
        <w:spacing w:line="480" w:lineRule="auto"/>
        <w:ind w:left="360" w:hanging="360"/>
        <w:contextualSpacing/>
        <w:rPr>
          <w:rFonts w:cs="Times New Roman"/>
        </w:rPr>
      </w:pPr>
      <w:r w:rsidRPr="00CD1676">
        <w:t xml:space="preserve">Jiang HY, Ma JE, Li J </w:t>
      </w:r>
      <w:r w:rsidRPr="00B57253">
        <w:rPr>
          <w:rFonts w:cs="Times New Roman"/>
          <w:i/>
          <w:iCs/>
        </w:rPr>
        <w:t>et al</w:t>
      </w:r>
      <w:r w:rsidRPr="00D05276">
        <w:rPr>
          <w:rFonts w:cs="Times New Roman"/>
          <w:i/>
          <w:iCs/>
        </w:rPr>
        <w:t>.</w:t>
      </w:r>
      <w:r w:rsidRPr="004B6A60">
        <w:rPr>
          <w:rFonts w:cs="Times New Roman"/>
        </w:rPr>
        <w:t xml:space="preserve"> </w:t>
      </w:r>
      <w:r w:rsidRPr="00CD2A33">
        <w:rPr>
          <w:rFonts w:cs="Times New Roman"/>
        </w:rPr>
        <w:t>Diets alter the gut microbiome of crocodile lizards.</w:t>
      </w:r>
      <w:r>
        <w:rPr>
          <w:rFonts w:cs="Times New Roman"/>
        </w:rPr>
        <w:t xml:space="preserve"> Front Microbiol 2</w:t>
      </w:r>
      <w:r w:rsidRPr="00CD2A33">
        <w:rPr>
          <w:rFonts w:cs="Times New Roman"/>
        </w:rPr>
        <w:t>017</w:t>
      </w:r>
      <w:r>
        <w:rPr>
          <w:rFonts w:cs="Times New Roman"/>
        </w:rPr>
        <w:t>;</w:t>
      </w:r>
      <w:r>
        <w:rPr>
          <w:rFonts w:cs="Times New Roman"/>
          <w:b/>
          <w:bCs/>
        </w:rPr>
        <w:t>8</w:t>
      </w:r>
      <w:r>
        <w:rPr>
          <w:rFonts w:cs="Times New Roman"/>
        </w:rPr>
        <w:t>:</w:t>
      </w:r>
      <w:r w:rsidRPr="00CD2A33">
        <w:rPr>
          <w:rFonts w:cs="Times New Roman"/>
        </w:rPr>
        <w:t>2073.</w:t>
      </w:r>
    </w:p>
    <w:p w14:paraId="4142DDD9" w14:textId="77777777" w:rsidR="005C7880" w:rsidRPr="00CD2A33" w:rsidRDefault="005C7880" w:rsidP="005C7880">
      <w:pPr>
        <w:spacing w:line="480" w:lineRule="auto"/>
        <w:ind w:left="360" w:hanging="360"/>
        <w:contextualSpacing/>
        <w:rPr>
          <w:rFonts w:cs="Times New Roman"/>
        </w:rPr>
      </w:pPr>
      <w:r w:rsidRPr="00CD2A33">
        <w:rPr>
          <w:rFonts w:cs="Times New Roman"/>
        </w:rPr>
        <w:t xml:space="preserve">Kohl KD, Brun A, Magallanes M </w:t>
      </w:r>
      <w:r w:rsidRPr="00B57253">
        <w:rPr>
          <w:rFonts w:cs="Times New Roman"/>
          <w:i/>
          <w:iCs/>
        </w:rPr>
        <w:t>et al</w:t>
      </w:r>
      <w:r w:rsidRPr="00D05276">
        <w:rPr>
          <w:rFonts w:cs="Times New Roman"/>
          <w:i/>
          <w:iCs/>
        </w:rPr>
        <w:t>.</w:t>
      </w:r>
      <w:r w:rsidRPr="004B6A60">
        <w:rPr>
          <w:rFonts w:cs="Times New Roman"/>
        </w:rPr>
        <w:t xml:space="preserve"> </w:t>
      </w:r>
      <w:r w:rsidRPr="00CD2A33">
        <w:rPr>
          <w:rFonts w:cs="Times New Roman"/>
        </w:rPr>
        <w:t>Gut microbial ecology of lizards: insights into diversity in the wild, effects of captivity, variation across gut regions and transmission.</w:t>
      </w:r>
      <w:r>
        <w:rPr>
          <w:rFonts w:cs="Times New Roman"/>
        </w:rPr>
        <w:t xml:space="preserve"> </w:t>
      </w:r>
      <w:r w:rsidRPr="00D05276">
        <w:rPr>
          <w:rFonts w:cs="Times New Roman"/>
        </w:rPr>
        <w:t>Mol Ecol</w:t>
      </w:r>
      <w:r>
        <w:rPr>
          <w:rFonts w:cs="Times New Roman"/>
        </w:rPr>
        <w:t xml:space="preserve"> 2</w:t>
      </w:r>
      <w:r w:rsidRPr="00CD2A33">
        <w:rPr>
          <w:rFonts w:cs="Times New Roman"/>
        </w:rPr>
        <w:t>017</w:t>
      </w:r>
      <w:r>
        <w:rPr>
          <w:rFonts w:cs="Times New Roman"/>
        </w:rPr>
        <w:t>;</w:t>
      </w:r>
      <w:r>
        <w:rPr>
          <w:rFonts w:cs="Times New Roman"/>
          <w:b/>
          <w:bCs/>
        </w:rPr>
        <w:t>26</w:t>
      </w:r>
      <w:r>
        <w:rPr>
          <w:rFonts w:cs="Times New Roman"/>
        </w:rPr>
        <w:t>:</w:t>
      </w:r>
      <w:r w:rsidRPr="00CD2A33">
        <w:rPr>
          <w:rFonts w:cs="Times New Roman"/>
        </w:rPr>
        <w:t>1175</w:t>
      </w:r>
      <w:r>
        <w:rPr>
          <w:rFonts w:cs="Times New Roman"/>
        </w:rPr>
        <w:t>–</w:t>
      </w:r>
      <w:r w:rsidRPr="00CD2A33">
        <w:rPr>
          <w:rFonts w:cs="Times New Roman"/>
        </w:rPr>
        <w:t>1189.</w:t>
      </w:r>
    </w:p>
    <w:p w14:paraId="3D459C0F" w14:textId="77777777" w:rsidR="005C7880" w:rsidRPr="00CD2A33" w:rsidRDefault="005C7880" w:rsidP="005C7880">
      <w:pPr>
        <w:spacing w:line="480" w:lineRule="auto"/>
        <w:ind w:left="360" w:hanging="360"/>
        <w:contextualSpacing/>
        <w:rPr>
          <w:rFonts w:cs="Times New Roman"/>
        </w:rPr>
      </w:pPr>
      <w:r w:rsidRPr="00CD2A33">
        <w:rPr>
          <w:rFonts w:cs="Times New Roman"/>
        </w:rPr>
        <w:t>Kozich JJ</w:t>
      </w:r>
      <w:r>
        <w:rPr>
          <w:rFonts w:cs="Times New Roman"/>
        </w:rPr>
        <w:t xml:space="preserve">, </w:t>
      </w:r>
      <w:r w:rsidRPr="00CD2A33">
        <w:rPr>
          <w:rFonts w:cs="Times New Roman"/>
        </w:rPr>
        <w:t>Westcott SL</w:t>
      </w:r>
      <w:r>
        <w:rPr>
          <w:rFonts w:cs="Times New Roman"/>
        </w:rPr>
        <w:t xml:space="preserve">, </w:t>
      </w:r>
      <w:r w:rsidRPr="00CD2A33">
        <w:rPr>
          <w:rFonts w:cs="Times New Roman"/>
        </w:rPr>
        <w:t>Baxter, NT</w:t>
      </w:r>
      <w:r>
        <w:rPr>
          <w:rFonts w:cs="Times New Roman"/>
        </w:rPr>
        <w:t xml:space="preserve"> </w:t>
      </w:r>
      <w:r w:rsidRPr="00B57253">
        <w:rPr>
          <w:rFonts w:cs="Times New Roman"/>
          <w:i/>
          <w:iCs/>
        </w:rPr>
        <w:t>et al</w:t>
      </w:r>
      <w:r w:rsidRPr="00D05276">
        <w:rPr>
          <w:rFonts w:cs="Times New Roman"/>
          <w:i/>
          <w:iCs/>
        </w:rPr>
        <w:t>.</w:t>
      </w:r>
      <w:r w:rsidRPr="004B6A60">
        <w:rPr>
          <w:rFonts w:cs="Times New Roman"/>
        </w:rPr>
        <w:t xml:space="preserve"> </w:t>
      </w:r>
      <w:r w:rsidRPr="00CD2A33">
        <w:rPr>
          <w:rFonts w:cs="Times New Roman"/>
        </w:rPr>
        <w:t>Development of a dual-index sequencing strategy and curation pipeline for analyzing amplicon sequence data on the MiSeq Illumina sequencing platform.</w:t>
      </w:r>
      <w:r>
        <w:rPr>
          <w:rFonts w:cs="Times New Roman"/>
        </w:rPr>
        <w:t xml:space="preserve"> App Environ Microb</w:t>
      </w:r>
      <w:r w:rsidRPr="00E24622">
        <w:rPr>
          <w:rFonts w:cs="Times New Roman"/>
        </w:rPr>
        <w:t xml:space="preserve"> </w:t>
      </w:r>
      <w:r>
        <w:rPr>
          <w:rFonts w:cs="Times New Roman"/>
        </w:rPr>
        <w:t>2</w:t>
      </w:r>
      <w:r w:rsidRPr="00CD2A33">
        <w:rPr>
          <w:rFonts w:cs="Times New Roman"/>
        </w:rPr>
        <w:t>013</w:t>
      </w:r>
      <w:r>
        <w:rPr>
          <w:rFonts w:cs="Times New Roman"/>
        </w:rPr>
        <w:t>;</w:t>
      </w:r>
      <w:r>
        <w:rPr>
          <w:rFonts w:cs="Times New Roman"/>
          <w:b/>
          <w:bCs/>
        </w:rPr>
        <w:t>79</w:t>
      </w:r>
      <w:r>
        <w:rPr>
          <w:rFonts w:cs="Times New Roman"/>
        </w:rPr>
        <w:t>:</w:t>
      </w:r>
      <w:r w:rsidRPr="00CD2A33">
        <w:rPr>
          <w:rFonts w:cs="Times New Roman"/>
        </w:rPr>
        <w:t>5112</w:t>
      </w:r>
      <w:r>
        <w:rPr>
          <w:rFonts w:cs="Times New Roman"/>
        </w:rPr>
        <w:t>–</w:t>
      </w:r>
      <w:r w:rsidRPr="00CD2A33">
        <w:rPr>
          <w:rFonts w:cs="Times New Roman"/>
        </w:rPr>
        <w:t>5120.</w:t>
      </w:r>
    </w:p>
    <w:p w14:paraId="3280B734" w14:textId="77777777" w:rsidR="005C7880" w:rsidRPr="00CD2A33" w:rsidRDefault="005C7880" w:rsidP="005C7880">
      <w:pPr>
        <w:spacing w:line="480" w:lineRule="auto"/>
        <w:ind w:left="360" w:hanging="360"/>
        <w:contextualSpacing/>
        <w:rPr>
          <w:rFonts w:cs="Times New Roman"/>
        </w:rPr>
      </w:pPr>
      <w:r w:rsidRPr="00CD2A33">
        <w:rPr>
          <w:rFonts w:cs="Times New Roman"/>
        </w:rPr>
        <w:t>Kropáčková L</w:t>
      </w:r>
      <w:r>
        <w:rPr>
          <w:rFonts w:cs="Times New Roman"/>
        </w:rPr>
        <w:t xml:space="preserve">, </w:t>
      </w:r>
      <w:r w:rsidRPr="00CD2A33">
        <w:rPr>
          <w:rFonts w:cs="Times New Roman"/>
        </w:rPr>
        <w:t>Těšický M</w:t>
      </w:r>
      <w:r>
        <w:rPr>
          <w:rFonts w:cs="Times New Roman"/>
        </w:rPr>
        <w:t xml:space="preserve">, </w:t>
      </w:r>
      <w:r w:rsidRPr="00CD2A33">
        <w:rPr>
          <w:rFonts w:cs="Times New Roman"/>
        </w:rPr>
        <w:t>Albrecht T</w:t>
      </w:r>
      <w:r>
        <w:rPr>
          <w:rFonts w:cs="Times New Roman"/>
        </w:rPr>
        <w:t xml:space="preserve"> </w:t>
      </w:r>
      <w:r w:rsidRPr="00B57253">
        <w:rPr>
          <w:rFonts w:cs="Times New Roman"/>
          <w:i/>
          <w:iCs/>
        </w:rPr>
        <w:t>et al</w:t>
      </w:r>
      <w:r w:rsidRPr="00D05276">
        <w:rPr>
          <w:rFonts w:cs="Times New Roman"/>
          <w:i/>
          <w:iCs/>
        </w:rPr>
        <w:t>.</w:t>
      </w:r>
      <w:r w:rsidRPr="004B6A60">
        <w:rPr>
          <w:rFonts w:cs="Times New Roman"/>
        </w:rPr>
        <w:t xml:space="preserve"> </w:t>
      </w:r>
      <w:r w:rsidRPr="00CD2A33">
        <w:rPr>
          <w:rFonts w:cs="Times New Roman"/>
        </w:rPr>
        <w:t>Codiversification of gastrointestinal microbiota and phylogeny in passerines is not explained by ecological divergence.</w:t>
      </w:r>
      <w:r>
        <w:rPr>
          <w:rFonts w:cs="Times New Roman"/>
        </w:rPr>
        <w:t xml:space="preserve"> </w:t>
      </w:r>
      <w:r w:rsidRPr="00D05276">
        <w:rPr>
          <w:rFonts w:cs="Times New Roman"/>
        </w:rPr>
        <w:t>Mol Ecol</w:t>
      </w:r>
      <w:r>
        <w:rPr>
          <w:rFonts w:cs="Times New Roman"/>
        </w:rPr>
        <w:t xml:space="preserve"> 2</w:t>
      </w:r>
      <w:r w:rsidRPr="00CD2A33">
        <w:rPr>
          <w:rFonts w:cs="Times New Roman"/>
        </w:rPr>
        <w:t>017</w:t>
      </w:r>
      <w:r>
        <w:rPr>
          <w:rFonts w:cs="Times New Roman"/>
        </w:rPr>
        <w:t>;</w:t>
      </w:r>
      <w:r>
        <w:rPr>
          <w:rFonts w:cs="Times New Roman"/>
          <w:b/>
          <w:bCs/>
        </w:rPr>
        <w:t>26</w:t>
      </w:r>
      <w:r>
        <w:rPr>
          <w:rFonts w:cs="Times New Roman"/>
        </w:rPr>
        <w:t>:</w:t>
      </w:r>
      <w:r w:rsidRPr="00CD2A33">
        <w:rPr>
          <w:rFonts w:cs="Times New Roman"/>
        </w:rPr>
        <w:t>5292</w:t>
      </w:r>
      <w:r>
        <w:rPr>
          <w:rFonts w:cs="Times New Roman"/>
        </w:rPr>
        <w:t>–</w:t>
      </w:r>
      <w:r w:rsidRPr="00CD2A33">
        <w:rPr>
          <w:rFonts w:cs="Times New Roman"/>
        </w:rPr>
        <w:t>5304.</w:t>
      </w:r>
    </w:p>
    <w:p w14:paraId="0F0111DF" w14:textId="77777777" w:rsidR="005C7880" w:rsidRPr="00D34AD0" w:rsidRDefault="005C7880" w:rsidP="005C7880">
      <w:pPr>
        <w:spacing w:line="480" w:lineRule="auto"/>
        <w:ind w:left="360" w:hanging="360"/>
        <w:contextualSpacing/>
        <w:rPr>
          <w:rFonts w:cs="Times New Roman"/>
        </w:rPr>
      </w:pPr>
      <w:r w:rsidRPr="00D34AD0">
        <w:rPr>
          <w:rFonts w:cs="Times New Roman"/>
        </w:rPr>
        <w:t>Lankau EW</w:t>
      </w:r>
      <w:r>
        <w:rPr>
          <w:rFonts w:cs="Times New Roman"/>
        </w:rPr>
        <w:t xml:space="preserve">, </w:t>
      </w:r>
      <w:r w:rsidRPr="00D34AD0">
        <w:rPr>
          <w:rFonts w:cs="Times New Roman"/>
        </w:rPr>
        <w:t>H</w:t>
      </w:r>
      <w:r>
        <w:rPr>
          <w:rFonts w:cs="Times New Roman"/>
        </w:rPr>
        <w:t>ong</w:t>
      </w:r>
      <w:r w:rsidRPr="00D34AD0">
        <w:rPr>
          <w:rFonts w:cs="Times New Roman"/>
        </w:rPr>
        <w:t xml:space="preserve"> PY</w:t>
      </w:r>
      <w:r>
        <w:rPr>
          <w:rFonts w:cs="Times New Roman"/>
        </w:rPr>
        <w:t xml:space="preserve">, </w:t>
      </w:r>
      <w:r w:rsidRPr="00D34AD0">
        <w:rPr>
          <w:rFonts w:cs="Times New Roman"/>
        </w:rPr>
        <w:t>Mackie RI. Ecological drift and local exposures drive enteric bacterial community differences within species of Galápagos iguanas.</w:t>
      </w:r>
      <w:r>
        <w:rPr>
          <w:rFonts w:cs="Times New Roman"/>
        </w:rPr>
        <w:t xml:space="preserve"> </w:t>
      </w:r>
      <w:r w:rsidRPr="00E24622">
        <w:rPr>
          <w:rFonts w:cs="Times New Roman"/>
        </w:rPr>
        <w:t>Mol Ecol</w:t>
      </w:r>
      <w:r>
        <w:rPr>
          <w:rFonts w:cs="Times New Roman"/>
        </w:rPr>
        <w:t xml:space="preserve"> 2</w:t>
      </w:r>
      <w:r w:rsidRPr="00D34AD0">
        <w:rPr>
          <w:rFonts w:cs="Times New Roman"/>
        </w:rPr>
        <w:t>012</w:t>
      </w:r>
      <w:r>
        <w:rPr>
          <w:rFonts w:cs="Times New Roman"/>
        </w:rPr>
        <w:t>;</w:t>
      </w:r>
      <w:r>
        <w:rPr>
          <w:rFonts w:cs="Times New Roman"/>
          <w:b/>
          <w:bCs/>
        </w:rPr>
        <w:t>21</w:t>
      </w:r>
      <w:r>
        <w:rPr>
          <w:rFonts w:cs="Times New Roman"/>
        </w:rPr>
        <w:t>:</w:t>
      </w:r>
      <w:r w:rsidRPr="00D34AD0">
        <w:rPr>
          <w:rFonts w:cs="Times New Roman"/>
        </w:rPr>
        <w:t>1779</w:t>
      </w:r>
      <w:r>
        <w:rPr>
          <w:rFonts w:cs="Times New Roman"/>
        </w:rPr>
        <w:t>–</w:t>
      </w:r>
      <w:r w:rsidRPr="00D34AD0">
        <w:rPr>
          <w:rFonts w:cs="Times New Roman"/>
        </w:rPr>
        <w:t>1788.</w:t>
      </w:r>
    </w:p>
    <w:p w14:paraId="37175288" w14:textId="77777777" w:rsidR="005C7880" w:rsidRPr="00E9588D" w:rsidRDefault="005C7880" w:rsidP="005C7880">
      <w:pPr>
        <w:spacing w:line="480" w:lineRule="auto"/>
        <w:ind w:left="360" w:hanging="360"/>
        <w:contextualSpacing/>
        <w:rPr>
          <w:rFonts w:cs="Times New Roman"/>
        </w:rPr>
      </w:pPr>
      <w:r w:rsidRPr="00E9588D">
        <w:rPr>
          <w:rFonts w:cs="Times New Roman"/>
        </w:rPr>
        <w:t>Lee WJ</w:t>
      </w:r>
      <w:r>
        <w:rPr>
          <w:rFonts w:cs="Times New Roman"/>
        </w:rPr>
        <w:t xml:space="preserve">, </w:t>
      </w:r>
      <w:r w:rsidRPr="00E9588D">
        <w:rPr>
          <w:rFonts w:cs="Times New Roman"/>
        </w:rPr>
        <w:t>Hase K</w:t>
      </w:r>
      <w:r>
        <w:rPr>
          <w:rFonts w:cs="Times New Roman"/>
        </w:rPr>
        <w:t xml:space="preserve"> </w:t>
      </w:r>
      <w:r w:rsidRPr="00E9588D">
        <w:rPr>
          <w:rFonts w:cs="Times New Roman"/>
        </w:rPr>
        <w:t xml:space="preserve"> Gut microbiota–generated metabolites in animal health and disease.</w:t>
      </w:r>
      <w:r>
        <w:rPr>
          <w:rFonts w:cs="Times New Roman"/>
        </w:rPr>
        <w:t xml:space="preserve"> Nat</w:t>
      </w:r>
      <w:r w:rsidRPr="00E24622">
        <w:rPr>
          <w:rFonts w:cs="Times New Roman"/>
        </w:rPr>
        <w:t xml:space="preserve"> </w:t>
      </w:r>
      <w:r>
        <w:rPr>
          <w:rFonts w:cs="Times New Roman"/>
        </w:rPr>
        <w:t>Chem Biol</w:t>
      </w:r>
      <w:r w:rsidRPr="0018259B">
        <w:rPr>
          <w:rFonts w:cs="Times New Roman"/>
        </w:rPr>
        <w:t xml:space="preserve"> </w:t>
      </w:r>
      <w:r>
        <w:rPr>
          <w:rFonts w:cs="Times New Roman"/>
        </w:rPr>
        <w:t>2</w:t>
      </w:r>
      <w:r w:rsidRPr="00E9588D">
        <w:rPr>
          <w:rFonts w:cs="Times New Roman"/>
        </w:rPr>
        <w:t>014</w:t>
      </w:r>
      <w:r>
        <w:rPr>
          <w:rFonts w:cs="Times New Roman"/>
        </w:rPr>
        <w:t>;</w:t>
      </w:r>
      <w:r>
        <w:rPr>
          <w:rFonts w:cs="Times New Roman"/>
          <w:b/>
          <w:bCs/>
        </w:rPr>
        <w:t>10</w:t>
      </w:r>
      <w:r>
        <w:rPr>
          <w:rFonts w:cs="Times New Roman"/>
        </w:rPr>
        <w:t>:</w:t>
      </w:r>
      <w:r w:rsidRPr="00E9588D">
        <w:rPr>
          <w:rFonts w:cs="Times New Roman"/>
        </w:rPr>
        <w:t>416</w:t>
      </w:r>
      <w:r>
        <w:rPr>
          <w:rFonts w:cs="Times New Roman"/>
        </w:rPr>
        <w:t>–</w:t>
      </w:r>
      <w:r w:rsidRPr="00E9588D">
        <w:rPr>
          <w:rFonts w:cs="Times New Roman"/>
        </w:rPr>
        <w:t>424.</w:t>
      </w:r>
    </w:p>
    <w:p w14:paraId="14C5FFEE" w14:textId="77777777" w:rsidR="005C7880" w:rsidRPr="00390537" w:rsidRDefault="005C7880" w:rsidP="005C7880">
      <w:pPr>
        <w:spacing w:line="480" w:lineRule="auto"/>
        <w:ind w:left="360" w:hanging="360"/>
        <w:contextualSpacing/>
        <w:rPr>
          <w:rFonts w:cs="Times New Roman"/>
        </w:rPr>
      </w:pPr>
      <w:r w:rsidRPr="00390537">
        <w:rPr>
          <w:rFonts w:cs="Times New Roman"/>
        </w:rPr>
        <w:t>Ley RE</w:t>
      </w:r>
      <w:r>
        <w:rPr>
          <w:rFonts w:cs="Times New Roman"/>
        </w:rPr>
        <w:t xml:space="preserve">, </w:t>
      </w:r>
      <w:r w:rsidRPr="00390537">
        <w:rPr>
          <w:rFonts w:cs="Times New Roman"/>
        </w:rPr>
        <w:t>Hamady M</w:t>
      </w:r>
      <w:r>
        <w:rPr>
          <w:rFonts w:cs="Times New Roman"/>
        </w:rPr>
        <w:t xml:space="preserve">, </w:t>
      </w:r>
      <w:r w:rsidRPr="00390537">
        <w:rPr>
          <w:rFonts w:cs="Times New Roman"/>
        </w:rPr>
        <w:t>Lozupone C</w:t>
      </w:r>
      <w:r>
        <w:rPr>
          <w:rFonts w:cs="Times New Roman"/>
        </w:rPr>
        <w:t xml:space="preserve"> </w:t>
      </w:r>
      <w:r w:rsidRPr="00B57253">
        <w:rPr>
          <w:rFonts w:cs="Times New Roman"/>
          <w:i/>
          <w:iCs/>
        </w:rPr>
        <w:t>et al</w:t>
      </w:r>
      <w:r w:rsidRPr="00D05276">
        <w:rPr>
          <w:rFonts w:cs="Times New Roman"/>
          <w:i/>
          <w:iCs/>
        </w:rPr>
        <w:t>.</w:t>
      </w:r>
      <w:r w:rsidRPr="004B6A60">
        <w:rPr>
          <w:rFonts w:cs="Times New Roman"/>
        </w:rPr>
        <w:t xml:space="preserve"> </w:t>
      </w:r>
      <w:r w:rsidRPr="00390537">
        <w:rPr>
          <w:rFonts w:cs="Times New Roman"/>
        </w:rPr>
        <w:t>Evolution of mammals and their gut microbes.</w:t>
      </w:r>
      <w:r>
        <w:rPr>
          <w:rFonts w:cs="Times New Roman"/>
        </w:rPr>
        <w:t xml:space="preserve"> </w:t>
      </w:r>
      <w:r w:rsidRPr="0018259B">
        <w:rPr>
          <w:rFonts w:cs="Times New Roman"/>
        </w:rPr>
        <w:t>S</w:t>
      </w:r>
      <w:r w:rsidRPr="00E24622">
        <w:rPr>
          <w:rFonts w:cs="Times New Roman"/>
        </w:rPr>
        <w:t>cience</w:t>
      </w:r>
      <w:r>
        <w:rPr>
          <w:rFonts w:cs="Times New Roman"/>
        </w:rPr>
        <w:t xml:space="preserve"> 2</w:t>
      </w:r>
      <w:r w:rsidRPr="00390537">
        <w:rPr>
          <w:rFonts w:cs="Times New Roman"/>
        </w:rPr>
        <w:t>008</w:t>
      </w:r>
      <w:r>
        <w:rPr>
          <w:rFonts w:cs="Times New Roman"/>
        </w:rPr>
        <w:t>;</w:t>
      </w:r>
      <w:r>
        <w:rPr>
          <w:rFonts w:cs="Times New Roman"/>
          <w:b/>
          <w:bCs/>
        </w:rPr>
        <w:t>320</w:t>
      </w:r>
      <w:r>
        <w:rPr>
          <w:rFonts w:cs="Times New Roman"/>
        </w:rPr>
        <w:t>:</w:t>
      </w:r>
      <w:r w:rsidRPr="00390537">
        <w:rPr>
          <w:rFonts w:cs="Times New Roman"/>
        </w:rPr>
        <w:t>1647</w:t>
      </w:r>
      <w:r>
        <w:rPr>
          <w:rFonts w:cs="Times New Roman"/>
        </w:rPr>
        <w:t>–</w:t>
      </w:r>
      <w:r w:rsidRPr="00390537">
        <w:rPr>
          <w:rFonts w:cs="Times New Roman"/>
        </w:rPr>
        <w:t>1651.</w:t>
      </w:r>
    </w:p>
    <w:p w14:paraId="0AF7FCBF" w14:textId="77777777" w:rsidR="005C7880" w:rsidRPr="00390537" w:rsidRDefault="005C7880" w:rsidP="005C7880">
      <w:pPr>
        <w:spacing w:line="480" w:lineRule="auto"/>
        <w:ind w:left="360" w:hanging="360"/>
        <w:contextualSpacing/>
        <w:rPr>
          <w:rFonts w:cs="Times New Roman"/>
        </w:rPr>
      </w:pPr>
      <w:r w:rsidRPr="00390537">
        <w:rPr>
          <w:rFonts w:cs="Times New Roman"/>
        </w:rPr>
        <w:t>Lim SJ</w:t>
      </w:r>
      <w:r>
        <w:rPr>
          <w:rFonts w:cs="Times New Roman"/>
        </w:rPr>
        <w:t xml:space="preserve">, </w:t>
      </w:r>
      <w:r w:rsidRPr="00390537">
        <w:rPr>
          <w:rFonts w:cs="Times New Roman"/>
        </w:rPr>
        <w:t>Bordenstein SR. An introduction to phylosymbiosis.</w:t>
      </w:r>
      <w:r>
        <w:rPr>
          <w:rFonts w:cs="Times New Roman"/>
        </w:rPr>
        <w:t xml:space="preserve"> P Roy Soc B</w:t>
      </w:r>
      <w:r w:rsidRPr="00E24622">
        <w:rPr>
          <w:rFonts w:cs="Times New Roman"/>
        </w:rPr>
        <w:t xml:space="preserve"> </w:t>
      </w:r>
      <w:r>
        <w:rPr>
          <w:rFonts w:cs="Times New Roman"/>
        </w:rPr>
        <w:t>2</w:t>
      </w:r>
      <w:r w:rsidRPr="00390537">
        <w:rPr>
          <w:rFonts w:cs="Times New Roman"/>
        </w:rPr>
        <w:t>020</w:t>
      </w:r>
      <w:r>
        <w:rPr>
          <w:rFonts w:cs="Times New Roman"/>
        </w:rPr>
        <w:t>;</w:t>
      </w:r>
      <w:r>
        <w:rPr>
          <w:rFonts w:cs="Times New Roman"/>
          <w:b/>
          <w:bCs/>
        </w:rPr>
        <w:t>287</w:t>
      </w:r>
      <w:r>
        <w:rPr>
          <w:rFonts w:cs="Times New Roman"/>
        </w:rPr>
        <w:t>:</w:t>
      </w:r>
      <w:r w:rsidRPr="00390537">
        <w:rPr>
          <w:rFonts w:cs="Times New Roman"/>
        </w:rPr>
        <w:t>20192900.</w:t>
      </w:r>
    </w:p>
    <w:p w14:paraId="66A7D019" w14:textId="77777777" w:rsidR="005C7880" w:rsidRPr="00390537" w:rsidRDefault="005C7880" w:rsidP="005C7880">
      <w:pPr>
        <w:spacing w:line="480" w:lineRule="auto"/>
        <w:ind w:left="360" w:hanging="360"/>
        <w:contextualSpacing/>
        <w:rPr>
          <w:rFonts w:cs="Times New Roman"/>
        </w:rPr>
      </w:pPr>
      <w:r w:rsidRPr="00390537">
        <w:rPr>
          <w:rFonts w:cs="Times New Roman"/>
        </w:rPr>
        <w:t>Lindgreen S. AdapterRemoval: easy cleaning of next-generation sequencing reads.</w:t>
      </w:r>
      <w:r>
        <w:rPr>
          <w:rFonts w:cs="Times New Roman"/>
        </w:rPr>
        <w:t xml:space="preserve"> </w:t>
      </w:r>
      <w:r w:rsidRPr="00E24622">
        <w:rPr>
          <w:rFonts w:cs="Times New Roman"/>
        </w:rPr>
        <w:t xml:space="preserve">BMC </w:t>
      </w:r>
      <w:r>
        <w:rPr>
          <w:rFonts w:cs="Times New Roman"/>
        </w:rPr>
        <w:t>Res</w:t>
      </w:r>
      <w:r w:rsidRPr="00E24622">
        <w:rPr>
          <w:rFonts w:cs="Times New Roman"/>
        </w:rPr>
        <w:t xml:space="preserve"> Notes</w:t>
      </w:r>
      <w:r>
        <w:rPr>
          <w:rFonts w:cs="Times New Roman"/>
        </w:rPr>
        <w:t xml:space="preserve"> </w:t>
      </w:r>
      <w:r w:rsidRPr="00390537">
        <w:rPr>
          <w:rFonts w:cs="Times New Roman"/>
        </w:rPr>
        <w:t>2012</w:t>
      </w:r>
      <w:r>
        <w:rPr>
          <w:rFonts w:cs="Times New Roman"/>
        </w:rPr>
        <w:t>;</w:t>
      </w:r>
      <w:r>
        <w:rPr>
          <w:rFonts w:cs="Times New Roman"/>
          <w:b/>
          <w:bCs/>
        </w:rPr>
        <w:t>5</w:t>
      </w:r>
      <w:r>
        <w:rPr>
          <w:rFonts w:cs="Times New Roman"/>
        </w:rPr>
        <w:t>:</w:t>
      </w:r>
      <w:r w:rsidRPr="00390537">
        <w:rPr>
          <w:rFonts w:cs="Times New Roman"/>
        </w:rPr>
        <w:t>1</w:t>
      </w:r>
      <w:r>
        <w:rPr>
          <w:rFonts w:cs="Times New Roman"/>
        </w:rPr>
        <w:t>–</w:t>
      </w:r>
      <w:r w:rsidRPr="00390537">
        <w:rPr>
          <w:rFonts w:cs="Times New Roman"/>
        </w:rPr>
        <w:t>7.</w:t>
      </w:r>
    </w:p>
    <w:p w14:paraId="4EE74F6F" w14:textId="77777777" w:rsidR="005C7880" w:rsidRPr="00390537" w:rsidRDefault="005C7880" w:rsidP="005C7880">
      <w:pPr>
        <w:spacing w:line="480" w:lineRule="auto"/>
        <w:ind w:left="360" w:hanging="360"/>
        <w:contextualSpacing/>
        <w:rPr>
          <w:rFonts w:cs="Times New Roman"/>
        </w:rPr>
      </w:pPr>
      <w:r w:rsidRPr="00390537">
        <w:rPr>
          <w:rFonts w:cs="Times New Roman"/>
        </w:rPr>
        <w:t>Littleford‐Colquhoun BL</w:t>
      </w:r>
      <w:r>
        <w:rPr>
          <w:rFonts w:cs="Times New Roman"/>
        </w:rPr>
        <w:t xml:space="preserve">, </w:t>
      </w:r>
      <w:r w:rsidRPr="00390537">
        <w:rPr>
          <w:rFonts w:cs="Times New Roman"/>
        </w:rPr>
        <w:t>Weyrich LS</w:t>
      </w:r>
      <w:r>
        <w:rPr>
          <w:rFonts w:cs="Times New Roman"/>
        </w:rPr>
        <w:t xml:space="preserve">, </w:t>
      </w:r>
      <w:r w:rsidRPr="00390537">
        <w:rPr>
          <w:rFonts w:cs="Times New Roman"/>
        </w:rPr>
        <w:t>Kent N</w:t>
      </w:r>
      <w:r>
        <w:rPr>
          <w:rFonts w:cs="Times New Roman"/>
        </w:rPr>
        <w:t xml:space="preserve"> </w:t>
      </w:r>
      <w:r w:rsidRPr="00B57253">
        <w:rPr>
          <w:rFonts w:cs="Times New Roman"/>
          <w:i/>
          <w:iCs/>
        </w:rPr>
        <w:t>et al</w:t>
      </w:r>
      <w:r w:rsidRPr="00D05276">
        <w:rPr>
          <w:rFonts w:cs="Times New Roman"/>
          <w:i/>
          <w:iCs/>
        </w:rPr>
        <w:t>.</w:t>
      </w:r>
      <w:r w:rsidRPr="004B6A60">
        <w:rPr>
          <w:rFonts w:cs="Times New Roman"/>
        </w:rPr>
        <w:t xml:space="preserve"> </w:t>
      </w:r>
      <w:r w:rsidRPr="00390537">
        <w:rPr>
          <w:rFonts w:cs="Times New Roman"/>
        </w:rPr>
        <w:t>City life alters the gut microbiome and stable isotope profiling of the eastern water dragon (</w:t>
      </w:r>
      <w:r w:rsidRPr="002A7FEF">
        <w:rPr>
          <w:rFonts w:cs="Times New Roman"/>
          <w:i/>
          <w:iCs/>
        </w:rPr>
        <w:t>Intellagama lesueurii</w:t>
      </w:r>
      <w:r w:rsidRPr="00390537">
        <w:rPr>
          <w:rFonts w:cs="Times New Roman"/>
        </w:rPr>
        <w:t>).</w:t>
      </w:r>
      <w:r>
        <w:rPr>
          <w:rFonts w:cs="Times New Roman"/>
        </w:rPr>
        <w:t xml:space="preserve"> Mol Ecol 2</w:t>
      </w:r>
      <w:r w:rsidRPr="00390537">
        <w:rPr>
          <w:rFonts w:cs="Times New Roman"/>
        </w:rPr>
        <w:t>019</w:t>
      </w:r>
      <w:r>
        <w:rPr>
          <w:rFonts w:cs="Times New Roman"/>
        </w:rPr>
        <w:t>;</w:t>
      </w:r>
      <w:r>
        <w:rPr>
          <w:rFonts w:cs="Times New Roman"/>
          <w:b/>
          <w:bCs/>
        </w:rPr>
        <w:t>28</w:t>
      </w:r>
      <w:r>
        <w:rPr>
          <w:rFonts w:cs="Times New Roman"/>
        </w:rPr>
        <w:t>:</w:t>
      </w:r>
      <w:r w:rsidRPr="00390537">
        <w:rPr>
          <w:rFonts w:cs="Times New Roman"/>
        </w:rPr>
        <w:t>4592</w:t>
      </w:r>
      <w:r>
        <w:rPr>
          <w:rFonts w:cs="Times New Roman"/>
        </w:rPr>
        <w:t>–</w:t>
      </w:r>
      <w:r w:rsidRPr="00390537">
        <w:rPr>
          <w:rFonts w:cs="Times New Roman"/>
        </w:rPr>
        <w:t>4607.</w:t>
      </w:r>
    </w:p>
    <w:p w14:paraId="1ADF34EF" w14:textId="77777777" w:rsidR="005C7880" w:rsidRPr="00340AD1" w:rsidRDefault="005C7880" w:rsidP="005C7880">
      <w:pPr>
        <w:spacing w:line="480" w:lineRule="auto"/>
        <w:ind w:left="360" w:hanging="360"/>
        <w:contextualSpacing/>
        <w:rPr>
          <w:rFonts w:cs="Times New Roman"/>
        </w:rPr>
      </w:pPr>
      <w:r w:rsidRPr="00340AD1">
        <w:rPr>
          <w:rFonts w:cs="Times New Roman"/>
        </w:rPr>
        <w:t>Lozupone C</w:t>
      </w:r>
      <w:r>
        <w:rPr>
          <w:rFonts w:cs="Times New Roman"/>
        </w:rPr>
        <w:t xml:space="preserve">, </w:t>
      </w:r>
      <w:r w:rsidRPr="00340AD1">
        <w:rPr>
          <w:rFonts w:cs="Times New Roman"/>
        </w:rPr>
        <w:t>Knight R. UniFrac: a new phylogenetic method for comparing microbial communities.</w:t>
      </w:r>
      <w:r>
        <w:rPr>
          <w:rFonts w:cs="Times New Roman"/>
        </w:rPr>
        <w:t xml:space="preserve"> Appl Environ Microb 2</w:t>
      </w:r>
      <w:r w:rsidRPr="00340AD1">
        <w:rPr>
          <w:rFonts w:cs="Times New Roman"/>
        </w:rPr>
        <w:t>005</w:t>
      </w:r>
      <w:r>
        <w:rPr>
          <w:rFonts w:cs="Times New Roman"/>
        </w:rPr>
        <w:t>;</w:t>
      </w:r>
      <w:r>
        <w:rPr>
          <w:rFonts w:cs="Times New Roman"/>
          <w:b/>
          <w:bCs/>
        </w:rPr>
        <w:t>71</w:t>
      </w:r>
      <w:r>
        <w:rPr>
          <w:rFonts w:cs="Times New Roman"/>
        </w:rPr>
        <w:t>:</w:t>
      </w:r>
      <w:r w:rsidRPr="00340AD1">
        <w:rPr>
          <w:rFonts w:cs="Times New Roman"/>
        </w:rPr>
        <w:t>8228</w:t>
      </w:r>
      <w:r>
        <w:rPr>
          <w:rFonts w:cs="Times New Roman"/>
        </w:rPr>
        <w:t>–</w:t>
      </w:r>
      <w:r w:rsidRPr="00340AD1">
        <w:rPr>
          <w:rFonts w:cs="Times New Roman"/>
        </w:rPr>
        <w:t>8235</w:t>
      </w:r>
      <w:r>
        <w:rPr>
          <w:rFonts w:cs="Times New Roman"/>
        </w:rPr>
        <w:t>.</w:t>
      </w:r>
    </w:p>
    <w:p w14:paraId="7FFE85F8" w14:textId="77777777" w:rsidR="005C7880" w:rsidRPr="00340AD1" w:rsidRDefault="005C7880" w:rsidP="005C7880">
      <w:pPr>
        <w:spacing w:line="480" w:lineRule="auto"/>
        <w:ind w:left="360" w:hanging="360"/>
        <w:contextualSpacing/>
        <w:rPr>
          <w:rFonts w:cs="Times New Roman"/>
        </w:rPr>
      </w:pPr>
      <w:r w:rsidRPr="00340AD1">
        <w:rPr>
          <w:rFonts w:cs="Times New Roman"/>
        </w:rPr>
        <w:t>Lutz HL</w:t>
      </w:r>
      <w:r>
        <w:rPr>
          <w:rFonts w:cs="Times New Roman"/>
        </w:rPr>
        <w:t xml:space="preserve">, </w:t>
      </w:r>
      <w:r w:rsidRPr="00340AD1">
        <w:rPr>
          <w:rFonts w:cs="Times New Roman"/>
        </w:rPr>
        <w:t>Jackson EW</w:t>
      </w:r>
      <w:r>
        <w:rPr>
          <w:rFonts w:cs="Times New Roman"/>
        </w:rPr>
        <w:t xml:space="preserve">, </w:t>
      </w:r>
      <w:r w:rsidRPr="00340AD1">
        <w:rPr>
          <w:rFonts w:cs="Times New Roman"/>
        </w:rPr>
        <w:t>Webala PW</w:t>
      </w:r>
      <w:r>
        <w:rPr>
          <w:rFonts w:cs="Times New Roman"/>
        </w:rPr>
        <w:t xml:space="preserve"> </w:t>
      </w:r>
      <w:r w:rsidRPr="00B57253">
        <w:rPr>
          <w:rFonts w:cs="Times New Roman"/>
          <w:i/>
          <w:iCs/>
        </w:rPr>
        <w:t>et al</w:t>
      </w:r>
      <w:r w:rsidRPr="00D05276">
        <w:rPr>
          <w:rFonts w:cs="Times New Roman"/>
          <w:i/>
          <w:iCs/>
        </w:rPr>
        <w:t>.</w:t>
      </w:r>
      <w:r w:rsidRPr="004B6A60">
        <w:rPr>
          <w:rFonts w:cs="Times New Roman"/>
        </w:rPr>
        <w:t xml:space="preserve"> </w:t>
      </w:r>
      <w:r w:rsidRPr="00340AD1">
        <w:rPr>
          <w:rFonts w:cs="Times New Roman"/>
        </w:rPr>
        <w:t>Ecology and host identity outweigh evolutionary history in shaping the bat microbiome.</w:t>
      </w:r>
      <w:r>
        <w:rPr>
          <w:rFonts w:cs="Times New Roman"/>
        </w:rPr>
        <w:t xml:space="preserve"> </w:t>
      </w:r>
      <w:r w:rsidRPr="00E24622">
        <w:rPr>
          <w:rFonts w:cs="Times New Roman"/>
        </w:rPr>
        <w:t>mSystems</w:t>
      </w:r>
      <w:r>
        <w:rPr>
          <w:rFonts w:cs="Times New Roman"/>
        </w:rPr>
        <w:t xml:space="preserve"> 2</w:t>
      </w:r>
      <w:r w:rsidRPr="00340AD1">
        <w:rPr>
          <w:rFonts w:cs="Times New Roman"/>
        </w:rPr>
        <w:t>019</w:t>
      </w:r>
      <w:r>
        <w:rPr>
          <w:rFonts w:cs="Times New Roman"/>
        </w:rPr>
        <w:t>;</w:t>
      </w:r>
      <w:r w:rsidRPr="00D05276">
        <w:rPr>
          <w:rFonts w:cs="Times New Roman"/>
          <w:b/>
          <w:bCs/>
        </w:rPr>
        <w:t>4</w:t>
      </w:r>
      <w:r>
        <w:rPr>
          <w:rFonts w:cs="Times New Roman"/>
        </w:rPr>
        <w:t>:</w:t>
      </w:r>
      <w:r w:rsidRPr="00340AD1">
        <w:rPr>
          <w:rFonts w:cs="Times New Roman"/>
        </w:rPr>
        <w:t>e00511</w:t>
      </w:r>
      <w:r>
        <w:rPr>
          <w:rFonts w:cs="Times New Roman"/>
        </w:rPr>
        <w:t>–</w:t>
      </w:r>
      <w:r w:rsidRPr="00340AD1">
        <w:rPr>
          <w:rFonts w:cs="Times New Roman"/>
        </w:rPr>
        <w:t>19.</w:t>
      </w:r>
    </w:p>
    <w:p w14:paraId="6266706E" w14:textId="77777777" w:rsidR="005C7880" w:rsidRPr="009D67EE" w:rsidRDefault="005C7880" w:rsidP="005C7880">
      <w:pPr>
        <w:spacing w:line="480" w:lineRule="auto"/>
        <w:ind w:left="360" w:hanging="360"/>
        <w:contextualSpacing/>
        <w:rPr>
          <w:rFonts w:cs="Times New Roman"/>
        </w:rPr>
      </w:pPr>
      <w:r w:rsidRPr="009D67EE">
        <w:rPr>
          <w:rFonts w:cs="Times New Roman"/>
        </w:rPr>
        <w:t>Mittermeier RA</w:t>
      </w:r>
      <w:r>
        <w:rPr>
          <w:rFonts w:cs="Times New Roman"/>
        </w:rPr>
        <w:t xml:space="preserve">, </w:t>
      </w:r>
      <w:r w:rsidRPr="009D67EE">
        <w:rPr>
          <w:rFonts w:cs="Times New Roman"/>
        </w:rPr>
        <w:t>Myers N</w:t>
      </w:r>
      <w:r>
        <w:rPr>
          <w:rFonts w:cs="Times New Roman"/>
        </w:rPr>
        <w:t xml:space="preserve">, </w:t>
      </w:r>
      <w:r w:rsidRPr="009D67EE">
        <w:rPr>
          <w:rFonts w:cs="Times New Roman"/>
        </w:rPr>
        <w:t>Mittermeier CG</w:t>
      </w:r>
      <w:r>
        <w:rPr>
          <w:rFonts w:cs="Times New Roman"/>
        </w:rPr>
        <w:t xml:space="preserve"> </w:t>
      </w:r>
      <w:r w:rsidRPr="00B57253">
        <w:rPr>
          <w:rFonts w:cs="Times New Roman"/>
          <w:i/>
          <w:iCs/>
        </w:rPr>
        <w:t>et al</w:t>
      </w:r>
      <w:r w:rsidRPr="00D05276">
        <w:rPr>
          <w:rFonts w:cs="Times New Roman"/>
          <w:i/>
          <w:iCs/>
        </w:rPr>
        <w:t>.</w:t>
      </w:r>
      <w:r w:rsidRPr="004B6A60">
        <w:rPr>
          <w:rFonts w:cs="Times New Roman"/>
        </w:rPr>
        <w:t xml:space="preserve"> </w:t>
      </w:r>
      <w:r w:rsidRPr="009D67EE">
        <w:rPr>
          <w:rFonts w:cs="Times New Roman"/>
          <w:i/>
          <w:iCs/>
        </w:rPr>
        <w:t>Hotspots: Earth's biologically richest and most endangered terrestrial ecoregions</w:t>
      </w:r>
      <w:r w:rsidRPr="009D67EE">
        <w:rPr>
          <w:rFonts w:cs="Times New Roman"/>
        </w:rPr>
        <w:t>. CEMEX, SA, Agrupación Sierra Madre, SC</w:t>
      </w:r>
      <w:r>
        <w:rPr>
          <w:rFonts w:cs="Times New Roman"/>
        </w:rPr>
        <w:t xml:space="preserve"> </w:t>
      </w:r>
      <w:r w:rsidRPr="009D67EE">
        <w:rPr>
          <w:rFonts w:cs="Times New Roman"/>
        </w:rPr>
        <w:t>1999</w:t>
      </w:r>
      <w:r>
        <w:rPr>
          <w:rFonts w:cs="Times New Roman"/>
        </w:rPr>
        <w:t>;</w:t>
      </w:r>
    </w:p>
    <w:p w14:paraId="0EF41730" w14:textId="77777777" w:rsidR="005C7880" w:rsidRPr="009D67EE" w:rsidRDefault="005C7880" w:rsidP="005C7880">
      <w:pPr>
        <w:spacing w:line="480" w:lineRule="auto"/>
        <w:ind w:left="360" w:hanging="360"/>
        <w:contextualSpacing/>
      </w:pPr>
      <w:r w:rsidRPr="009D67EE">
        <w:rPr>
          <w:rFonts w:cs="Times New Roman"/>
        </w:rPr>
        <w:t>Oksanen J</w:t>
      </w:r>
      <w:r>
        <w:rPr>
          <w:rFonts w:cs="Times New Roman"/>
        </w:rPr>
        <w:t xml:space="preserve">, </w:t>
      </w:r>
      <w:r w:rsidRPr="009D67EE">
        <w:rPr>
          <w:rFonts w:cs="Times New Roman"/>
        </w:rPr>
        <w:t>Blanchet F</w:t>
      </w:r>
      <w:r>
        <w:rPr>
          <w:rFonts w:cs="Times New Roman"/>
        </w:rPr>
        <w:t xml:space="preserve">G, </w:t>
      </w:r>
      <w:r w:rsidRPr="009D67EE">
        <w:rPr>
          <w:rFonts w:cs="Times New Roman"/>
        </w:rPr>
        <w:t>Friendly M</w:t>
      </w:r>
      <w:r>
        <w:rPr>
          <w:rFonts w:cs="Times New Roman"/>
        </w:rPr>
        <w:t xml:space="preserve"> </w:t>
      </w:r>
      <w:r w:rsidRPr="00B57253">
        <w:rPr>
          <w:rFonts w:cs="Times New Roman"/>
          <w:i/>
          <w:iCs/>
        </w:rPr>
        <w:t>et al</w:t>
      </w:r>
      <w:r w:rsidRPr="00D05276">
        <w:rPr>
          <w:rFonts w:cs="Times New Roman"/>
          <w:i/>
          <w:iCs/>
        </w:rPr>
        <w:t>.</w:t>
      </w:r>
      <w:r w:rsidRPr="004B6A60">
        <w:rPr>
          <w:rFonts w:cs="Times New Roman"/>
        </w:rPr>
        <w:t xml:space="preserve"> </w:t>
      </w:r>
      <w:r w:rsidRPr="009D67EE">
        <w:rPr>
          <w:rFonts w:cs="Times New Roman"/>
        </w:rPr>
        <w:t xml:space="preserve">vegan: Community Ecology Package. </w:t>
      </w:r>
      <w:r w:rsidRPr="009D67EE">
        <w:t xml:space="preserve">R package version 2.3-4. </w:t>
      </w:r>
      <w:r>
        <w:t>2</w:t>
      </w:r>
      <w:r w:rsidRPr="009D67EE">
        <w:rPr>
          <w:rFonts w:cs="Times New Roman"/>
        </w:rPr>
        <w:t>016</w:t>
      </w:r>
      <w:r>
        <w:rPr>
          <w:rFonts w:cs="Times New Roman"/>
        </w:rPr>
        <w:t>.</w:t>
      </w:r>
    </w:p>
    <w:p w14:paraId="452A3D24" w14:textId="77777777" w:rsidR="005C7880" w:rsidRPr="009D67EE" w:rsidRDefault="005C7880" w:rsidP="005C7880">
      <w:pPr>
        <w:spacing w:line="480" w:lineRule="auto"/>
        <w:ind w:left="360" w:hanging="360"/>
        <w:contextualSpacing/>
      </w:pPr>
      <w:r w:rsidRPr="009D67EE">
        <w:t>Paradis E</w:t>
      </w:r>
      <w:r>
        <w:t xml:space="preserve">, </w:t>
      </w:r>
      <w:r w:rsidRPr="009D67EE">
        <w:t xml:space="preserve">Schliep K. </w:t>
      </w:r>
      <w:r>
        <w:t>A</w:t>
      </w:r>
      <w:r w:rsidRPr="009D67EE">
        <w:t xml:space="preserve">pe 5.0: an environment for modern phylogenetics and evolutionary analyses in R. </w:t>
      </w:r>
      <w:r w:rsidRPr="00E24622">
        <w:t>Bioinformatics</w:t>
      </w:r>
      <w:r>
        <w:rPr>
          <w:rFonts w:cs="Times New Roman"/>
        </w:rPr>
        <w:t xml:space="preserve"> </w:t>
      </w:r>
      <w:r>
        <w:t>2</w:t>
      </w:r>
      <w:r w:rsidRPr="009D67EE">
        <w:t>019</w:t>
      </w:r>
      <w:r>
        <w:t>;</w:t>
      </w:r>
      <w:r>
        <w:rPr>
          <w:rFonts w:cs="Times New Roman"/>
          <w:b/>
          <w:bCs/>
        </w:rPr>
        <w:t>35</w:t>
      </w:r>
      <w:r>
        <w:rPr>
          <w:rFonts w:cs="Times New Roman"/>
        </w:rPr>
        <w:t>:</w:t>
      </w:r>
      <w:r w:rsidRPr="009D67EE">
        <w:t>526–528.</w:t>
      </w:r>
    </w:p>
    <w:p w14:paraId="00786A78" w14:textId="77777777" w:rsidR="005C7880" w:rsidRPr="00D1435B" w:rsidRDefault="005C7880" w:rsidP="005C7880">
      <w:pPr>
        <w:spacing w:line="480" w:lineRule="auto"/>
        <w:contextualSpacing/>
      </w:pPr>
      <w:r w:rsidRPr="009D67EE">
        <w:t xml:space="preserve">Team RC. </w:t>
      </w:r>
      <w:r w:rsidRPr="009D67EE">
        <w:rPr>
          <w:rFonts w:cs="Times New Roman"/>
        </w:rPr>
        <w:t xml:space="preserve">R: </w:t>
      </w:r>
      <w:r w:rsidRPr="00F23101">
        <w:rPr>
          <w:rFonts w:cs="Times New Roman"/>
          <w:i/>
          <w:iCs/>
        </w:rPr>
        <w:t xml:space="preserve">A </w:t>
      </w:r>
      <w:r>
        <w:rPr>
          <w:rFonts w:cs="Times New Roman"/>
          <w:i/>
          <w:iCs/>
        </w:rPr>
        <w:t>L</w:t>
      </w:r>
      <w:r w:rsidRPr="00F23101">
        <w:rPr>
          <w:rFonts w:cs="Times New Roman"/>
          <w:i/>
          <w:iCs/>
        </w:rPr>
        <w:t xml:space="preserve">anguage and </w:t>
      </w:r>
      <w:r>
        <w:rPr>
          <w:rFonts w:cs="Times New Roman"/>
          <w:i/>
          <w:iCs/>
        </w:rPr>
        <w:t>E</w:t>
      </w:r>
      <w:r w:rsidRPr="00F23101">
        <w:rPr>
          <w:rFonts w:cs="Times New Roman"/>
          <w:i/>
          <w:iCs/>
        </w:rPr>
        <w:t xml:space="preserve">nvironment for </w:t>
      </w:r>
      <w:r>
        <w:rPr>
          <w:rFonts w:cs="Times New Roman"/>
          <w:i/>
          <w:iCs/>
        </w:rPr>
        <w:t>S</w:t>
      </w:r>
      <w:r w:rsidRPr="00F23101">
        <w:rPr>
          <w:rFonts w:cs="Times New Roman"/>
          <w:i/>
          <w:iCs/>
        </w:rPr>
        <w:t xml:space="preserve">tatistical </w:t>
      </w:r>
      <w:r>
        <w:rPr>
          <w:rFonts w:cs="Times New Roman"/>
          <w:i/>
          <w:iCs/>
        </w:rPr>
        <w:t>C</w:t>
      </w:r>
      <w:r w:rsidRPr="00F23101">
        <w:rPr>
          <w:rFonts w:cs="Times New Roman"/>
          <w:i/>
          <w:iCs/>
        </w:rPr>
        <w:t>omputing</w:t>
      </w:r>
      <w:r>
        <w:rPr>
          <w:rFonts w:cs="Times New Roman"/>
        </w:rPr>
        <w:t xml:space="preserve">. </w:t>
      </w:r>
      <w:r w:rsidRPr="00D1435B">
        <w:t>Vienna, Austria: R Foundation for Statistical Computing</w:t>
      </w:r>
      <w:r>
        <w:t>,</w:t>
      </w:r>
      <w:r w:rsidRPr="00D1435B">
        <w:t xml:space="preserve"> 201</w:t>
      </w:r>
      <w:r>
        <w:t>3.</w:t>
      </w:r>
    </w:p>
    <w:p w14:paraId="26992FA6" w14:textId="77777777" w:rsidR="005C7880" w:rsidRPr="007D0401" w:rsidRDefault="005C7880" w:rsidP="005C7880">
      <w:pPr>
        <w:spacing w:line="480" w:lineRule="auto"/>
        <w:ind w:left="360" w:hanging="360"/>
        <w:contextualSpacing/>
        <w:rPr>
          <w:rFonts w:cs="Times New Roman"/>
        </w:rPr>
      </w:pPr>
      <w:r w:rsidRPr="00CD1676">
        <w:t>Trevelline BK</w:t>
      </w:r>
      <w:r>
        <w:t xml:space="preserve">, </w:t>
      </w:r>
      <w:r w:rsidRPr="00CD1676">
        <w:t>Fontaine SS</w:t>
      </w:r>
      <w:r>
        <w:t xml:space="preserve">, </w:t>
      </w:r>
      <w:r w:rsidRPr="00CD1676">
        <w:t>Hartup BK</w:t>
      </w:r>
      <w:r>
        <w:t xml:space="preserve"> </w:t>
      </w:r>
      <w:r w:rsidRPr="00B57253">
        <w:rPr>
          <w:rFonts w:cs="Times New Roman"/>
          <w:i/>
          <w:iCs/>
        </w:rPr>
        <w:t>et al</w:t>
      </w:r>
      <w:r w:rsidRPr="00D05276">
        <w:rPr>
          <w:rFonts w:cs="Times New Roman"/>
          <w:i/>
          <w:iCs/>
        </w:rPr>
        <w:t>.</w:t>
      </w:r>
      <w:r w:rsidRPr="004B6A60">
        <w:rPr>
          <w:rFonts w:cs="Times New Roman"/>
        </w:rPr>
        <w:t xml:space="preserve"> </w:t>
      </w:r>
      <w:r w:rsidRPr="00ED74F6">
        <w:rPr>
          <w:rFonts w:cs="Times New Roman"/>
        </w:rPr>
        <w:t>Conservation biology needs a microbial renaissance: a call for the consideration of host-associated microbiota in wildlife management practices.</w:t>
      </w:r>
      <w:r>
        <w:rPr>
          <w:rFonts w:cs="Times New Roman"/>
        </w:rPr>
        <w:t xml:space="preserve"> P Roy Soc B</w:t>
      </w:r>
      <w:r w:rsidRPr="00D05276">
        <w:rPr>
          <w:rFonts w:cs="Times New Roman"/>
        </w:rPr>
        <w:t xml:space="preserve"> </w:t>
      </w:r>
      <w:r>
        <w:t>2</w:t>
      </w:r>
      <w:r w:rsidRPr="00CD1676">
        <w:t>019</w:t>
      </w:r>
      <w:r>
        <w:t>;</w:t>
      </w:r>
      <w:r>
        <w:rPr>
          <w:rFonts w:cs="Times New Roman"/>
          <w:b/>
          <w:bCs/>
        </w:rPr>
        <w:t>286</w:t>
      </w:r>
      <w:r>
        <w:rPr>
          <w:rFonts w:cs="Times New Roman"/>
        </w:rPr>
        <w:t>:</w:t>
      </w:r>
      <w:r w:rsidRPr="00ED74F6">
        <w:rPr>
          <w:rFonts w:cs="Times New Roman"/>
        </w:rPr>
        <w:t>20182448.</w:t>
      </w:r>
    </w:p>
    <w:p w14:paraId="5DC5B3AB" w14:textId="77777777" w:rsidR="005C7880" w:rsidRPr="007D0401" w:rsidRDefault="005C7880" w:rsidP="005C7880">
      <w:pPr>
        <w:spacing w:line="480" w:lineRule="auto"/>
        <w:ind w:left="360" w:hanging="360"/>
        <w:contextualSpacing/>
        <w:rPr>
          <w:rFonts w:cs="Times New Roman"/>
        </w:rPr>
      </w:pPr>
      <w:r w:rsidRPr="007D0401">
        <w:rPr>
          <w:rFonts w:cs="Times New Roman"/>
        </w:rPr>
        <w:t>Ren T</w:t>
      </w:r>
      <w:r>
        <w:rPr>
          <w:rFonts w:cs="Times New Roman"/>
        </w:rPr>
        <w:t xml:space="preserve">, </w:t>
      </w:r>
      <w:r w:rsidRPr="007D0401">
        <w:rPr>
          <w:rFonts w:cs="Times New Roman"/>
        </w:rPr>
        <w:t>Kahrl AF</w:t>
      </w:r>
      <w:r>
        <w:rPr>
          <w:rFonts w:cs="Times New Roman"/>
        </w:rPr>
        <w:t xml:space="preserve">, </w:t>
      </w:r>
      <w:r w:rsidRPr="007D0401">
        <w:rPr>
          <w:rFonts w:cs="Times New Roman"/>
        </w:rPr>
        <w:t>Wu M</w:t>
      </w:r>
      <w:r>
        <w:rPr>
          <w:rFonts w:cs="Times New Roman"/>
        </w:rPr>
        <w:t xml:space="preserve"> </w:t>
      </w:r>
      <w:r w:rsidRPr="00B57253">
        <w:rPr>
          <w:rFonts w:cs="Times New Roman"/>
          <w:i/>
          <w:iCs/>
        </w:rPr>
        <w:t>et al</w:t>
      </w:r>
      <w:r w:rsidRPr="00D05276">
        <w:rPr>
          <w:rFonts w:cs="Times New Roman"/>
          <w:i/>
          <w:iCs/>
        </w:rPr>
        <w:t>.</w:t>
      </w:r>
      <w:r w:rsidRPr="004B6A60">
        <w:rPr>
          <w:rFonts w:cs="Times New Roman"/>
        </w:rPr>
        <w:t xml:space="preserve"> </w:t>
      </w:r>
      <w:r w:rsidRPr="007D0401">
        <w:rPr>
          <w:rFonts w:cs="Times New Roman"/>
        </w:rPr>
        <w:t xml:space="preserve">Does adaptive radiation of a host lineage promote ecological diversity of its bacterial communities? A test using gut microbiota of </w:t>
      </w:r>
      <w:r w:rsidRPr="007D7FB0">
        <w:rPr>
          <w:rFonts w:cs="Times New Roman"/>
          <w:i/>
          <w:iCs/>
        </w:rPr>
        <w:t>Anolis</w:t>
      </w:r>
      <w:r w:rsidRPr="007D0401">
        <w:rPr>
          <w:rFonts w:cs="Times New Roman"/>
        </w:rPr>
        <w:t xml:space="preserve"> lizards.</w:t>
      </w:r>
      <w:r>
        <w:rPr>
          <w:rFonts w:cs="Times New Roman"/>
        </w:rPr>
        <w:t xml:space="preserve"> Mol Ecol 2</w:t>
      </w:r>
      <w:r w:rsidRPr="007D0401">
        <w:rPr>
          <w:rFonts w:cs="Times New Roman"/>
        </w:rPr>
        <w:t>016</w:t>
      </w:r>
      <w:r>
        <w:rPr>
          <w:rFonts w:cs="Times New Roman"/>
        </w:rPr>
        <w:t>;</w:t>
      </w:r>
      <w:r>
        <w:rPr>
          <w:rFonts w:cs="Times New Roman"/>
          <w:b/>
          <w:bCs/>
        </w:rPr>
        <w:t>25</w:t>
      </w:r>
      <w:r>
        <w:rPr>
          <w:rFonts w:cs="Times New Roman"/>
        </w:rPr>
        <w:t>:</w:t>
      </w:r>
      <w:r w:rsidRPr="007D0401">
        <w:rPr>
          <w:rFonts w:cs="Times New Roman"/>
        </w:rPr>
        <w:t>4793</w:t>
      </w:r>
      <w:r>
        <w:rPr>
          <w:rFonts w:cs="Times New Roman"/>
        </w:rPr>
        <w:t>–</w:t>
      </w:r>
      <w:r w:rsidRPr="007D0401">
        <w:rPr>
          <w:rFonts w:cs="Times New Roman"/>
        </w:rPr>
        <w:t>4804.</w:t>
      </w:r>
    </w:p>
    <w:p w14:paraId="048A8D97" w14:textId="77777777" w:rsidR="005C7880" w:rsidRPr="007D0401" w:rsidRDefault="005C7880" w:rsidP="005C7880">
      <w:pPr>
        <w:spacing w:line="480" w:lineRule="auto"/>
        <w:ind w:left="360" w:hanging="360"/>
        <w:contextualSpacing/>
        <w:rPr>
          <w:rFonts w:cs="Times New Roman"/>
        </w:rPr>
      </w:pPr>
      <w:r w:rsidRPr="007D0401">
        <w:rPr>
          <w:rFonts w:cs="Times New Roman"/>
        </w:rPr>
        <w:t>Roll U</w:t>
      </w:r>
      <w:r>
        <w:rPr>
          <w:rFonts w:cs="Times New Roman"/>
        </w:rPr>
        <w:t xml:space="preserve">, </w:t>
      </w:r>
      <w:r w:rsidRPr="007D0401">
        <w:rPr>
          <w:rFonts w:cs="Times New Roman"/>
        </w:rPr>
        <w:t>Feldman A</w:t>
      </w:r>
      <w:r>
        <w:rPr>
          <w:rFonts w:cs="Times New Roman"/>
        </w:rPr>
        <w:t xml:space="preserve">, </w:t>
      </w:r>
      <w:r w:rsidRPr="007D0401">
        <w:rPr>
          <w:rFonts w:cs="Times New Roman"/>
        </w:rPr>
        <w:t>Novosolov M</w:t>
      </w:r>
      <w:r>
        <w:rPr>
          <w:rFonts w:cs="Times New Roman"/>
        </w:rPr>
        <w:t xml:space="preserve"> </w:t>
      </w:r>
      <w:r w:rsidRPr="00B57253">
        <w:rPr>
          <w:rFonts w:cs="Times New Roman"/>
          <w:i/>
          <w:iCs/>
        </w:rPr>
        <w:t>et al</w:t>
      </w:r>
      <w:r w:rsidRPr="00D05276">
        <w:rPr>
          <w:rFonts w:cs="Times New Roman"/>
          <w:i/>
          <w:iCs/>
        </w:rPr>
        <w:t>.</w:t>
      </w:r>
      <w:r w:rsidRPr="004B6A60">
        <w:rPr>
          <w:rFonts w:cs="Times New Roman"/>
        </w:rPr>
        <w:t xml:space="preserve"> </w:t>
      </w:r>
      <w:r w:rsidRPr="007D0401">
        <w:rPr>
          <w:rFonts w:cs="Times New Roman"/>
        </w:rPr>
        <w:t>The global distribution of tetrapods reveals a need for targeted reptile conservation.</w:t>
      </w:r>
      <w:r>
        <w:rPr>
          <w:rFonts w:cs="Times New Roman"/>
        </w:rPr>
        <w:t xml:space="preserve"> Nat Ecol Evol</w:t>
      </w:r>
      <w:r w:rsidRPr="00E24622">
        <w:rPr>
          <w:rFonts w:cs="Times New Roman"/>
        </w:rPr>
        <w:t xml:space="preserve"> </w:t>
      </w:r>
      <w:r>
        <w:rPr>
          <w:rFonts w:cs="Times New Roman"/>
        </w:rPr>
        <w:t>2</w:t>
      </w:r>
      <w:r w:rsidRPr="007D0401">
        <w:rPr>
          <w:rFonts w:cs="Times New Roman"/>
        </w:rPr>
        <w:t>017</w:t>
      </w:r>
      <w:r>
        <w:rPr>
          <w:rFonts w:cs="Times New Roman"/>
        </w:rPr>
        <w:t>;</w:t>
      </w:r>
      <w:r>
        <w:rPr>
          <w:rFonts w:cs="Times New Roman"/>
          <w:b/>
          <w:bCs/>
        </w:rPr>
        <w:t>1</w:t>
      </w:r>
      <w:r>
        <w:rPr>
          <w:rFonts w:cs="Times New Roman"/>
        </w:rPr>
        <w:t>:</w:t>
      </w:r>
      <w:r w:rsidRPr="007D0401">
        <w:rPr>
          <w:rFonts w:cs="Times New Roman"/>
        </w:rPr>
        <w:t>1677</w:t>
      </w:r>
      <w:r>
        <w:rPr>
          <w:rFonts w:cs="Times New Roman"/>
        </w:rPr>
        <w:t>–</w:t>
      </w:r>
      <w:r w:rsidRPr="007D0401">
        <w:rPr>
          <w:rFonts w:cs="Times New Roman"/>
        </w:rPr>
        <w:t>1682.</w:t>
      </w:r>
    </w:p>
    <w:p w14:paraId="52668936" w14:textId="77777777" w:rsidR="005C7880" w:rsidRDefault="005C7880" w:rsidP="005C7880">
      <w:pPr>
        <w:spacing w:line="480" w:lineRule="auto"/>
        <w:ind w:left="360" w:hanging="360"/>
        <w:contextualSpacing/>
        <w:rPr>
          <w:rFonts w:cs="Times New Roman"/>
        </w:rPr>
      </w:pPr>
      <w:r w:rsidRPr="007D0401">
        <w:rPr>
          <w:rFonts w:cs="Times New Roman"/>
        </w:rPr>
        <w:t>Sanders JG</w:t>
      </w:r>
      <w:r>
        <w:rPr>
          <w:rFonts w:cs="Times New Roman"/>
        </w:rPr>
        <w:t xml:space="preserve">, </w:t>
      </w:r>
      <w:r w:rsidRPr="007D0401">
        <w:rPr>
          <w:rFonts w:cs="Times New Roman"/>
        </w:rPr>
        <w:t>Powell S</w:t>
      </w:r>
      <w:r>
        <w:rPr>
          <w:rFonts w:cs="Times New Roman"/>
        </w:rPr>
        <w:t xml:space="preserve">, </w:t>
      </w:r>
      <w:r w:rsidRPr="007D0401">
        <w:rPr>
          <w:rFonts w:cs="Times New Roman"/>
        </w:rPr>
        <w:t>Kronauer DJ</w:t>
      </w:r>
      <w:r>
        <w:rPr>
          <w:rFonts w:cs="Times New Roman"/>
        </w:rPr>
        <w:t xml:space="preserve"> </w:t>
      </w:r>
      <w:r w:rsidRPr="00B57253">
        <w:rPr>
          <w:rFonts w:cs="Times New Roman"/>
          <w:i/>
          <w:iCs/>
        </w:rPr>
        <w:t>et al</w:t>
      </w:r>
      <w:r w:rsidRPr="00D05276">
        <w:rPr>
          <w:rFonts w:cs="Times New Roman"/>
          <w:i/>
          <w:iCs/>
        </w:rPr>
        <w:t>.</w:t>
      </w:r>
      <w:r w:rsidRPr="004B6A60">
        <w:rPr>
          <w:rFonts w:cs="Times New Roman"/>
        </w:rPr>
        <w:t xml:space="preserve"> </w:t>
      </w:r>
      <w:r w:rsidRPr="007D0401">
        <w:rPr>
          <w:rFonts w:cs="Times New Roman"/>
        </w:rPr>
        <w:t>Stability and phylogenetic correlation in gut microbiota: lessons from ants and apes.</w:t>
      </w:r>
      <w:r>
        <w:rPr>
          <w:rFonts w:cs="Times New Roman"/>
        </w:rPr>
        <w:t xml:space="preserve"> Mol Ecol 2</w:t>
      </w:r>
      <w:r w:rsidRPr="007D0401">
        <w:rPr>
          <w:rFonts w:cs="Times New Roman"/>
        </w:rPr>
        <w:t>014</w:t>
      </w:r>
      <w:r>
        <w:rPr>
          <w:rFonts w:cs="Times New Roman"/>
        </w:rPr>
        <w:t>;</w:t>
      </w:r>
      <w:r>
        <w:rPr>
          <w:rFonts w:cs="Times New Roman"/>
          <w:b/>
          <w:bCs/>
        </w:rPr>
        <w:t>23</w:t>
      </w:r>
      <w:r>
        <w:rPr>
          <w:rFonts w:cs="Times New Roman"/>
        </w:rPr>
        <w:t>:</w:t>
      </w:r>
      <w:r w:rsidRPr="007D0401">
        <w:rPr>
          <w:rFonts w:cs="Times New Roman"/>
        </w:rPr>
        <w:t>1268</w:t>
      </w:r>
      <w:r>
        <w:rPr>
          <w:rFonts w:cs="Times New Roman"/>
        </w:rPr>
        <w:t>–</w:t>
      </w:r>
      <w:r w:rsidRPr="007D0401">
        <w:rPr>
          <w:rFonts w:cs="Times New Roman"/>
        </w:rPr>
        <w:t>1283.</w:t>
      </w:r>
    </w:p>
    <w:p w14:paraId="42AAAEAA" w14:textId="77777777" w:rsidR="005C7880" w:rsidRPr="007D0401" w:rsidRDefault="005C7880" w:rsidP="005C7880">
      <w:pPr>
        <w:spacing w:line="480" w:lineRule="auto"/>
        <w:ind w:left="360" w:hanging="360"/>
        <w:contextualSpacing/>
        <w:rPr>
          <w:rFonts w:cs="Times New Roman"/>
        </w:rPr>
      </w:pPr>
      <w:r w:rsidRPr="00185673">
        <w:rPr>
          <w:rFonts w:cs="Times New Roman"/>
        </w:rPr>
        <w:t>Scheelings TF</w:t>
      </w:r>
      <w:r>
        <w:rPr>
          <w:rFonts w:cs="Times New Roman"/>
        </w:rPr>
        <w:t xml:space="preserve">, </w:t>
      </w:r>
      <w:r w:rsidRPr="00185673">
        <w:rPr>
          <w:rFonts w:cs="Times New Roman"/>
        </w:rPr>
        <w:t>Moore RJ</w:t>
      </w:r>
      <w:r>
        <w:rPr>
          <w:rFonts w:cs="Times New Roman"/>
        </w:rPr>
        <w:t xml:space="preserve">, </w:t>
      </w:r>
      <w:r w:rsidRPr="00185673">
        <w:rPr>
          <w:rFonts w:cs="Times New Roman"/>
        </w:rPr>
        <w:t>Van TTH</w:t>
      </w:r>
      <w:r>
        <w:rPr>
          <w:rFonts w:cs="Times New Roman"/>
        </w:rPr>
        <w:t xml:space="preserve"> </w:t>
      </w:r>
      <w:r w:rsidRPr="00B57253">
        <w:rPr>
          <w:rFonts w:cs="Times New Roman"/>
          <w:i/>
          <w:iCs/>
        </w:rPr>
        <w:t>et al</w:t>
      </w:r>
      <w:r w:rsidRPr="00D05276">
        <w:rPr>
          <w:rFonts w:cs="Times New Roman"/>
          <w:i/>
          <w:iCs/>
        </w:rPr>
        <w:t>.</w:t>
      </w:r>
      <w:r w:rsidRPr="004B6A60">
        <w:rPr>
          <w:rFonts w:cs="Times New Roman"/>
        </w:rPr>
        <w:t xml:space="preserve"> </w:t>
      </w:r>
      <w:r w:rsidRPr="00185673">
        <w:rPr>
          <w:rFonts w:cs="Times New Roman"/>
        </w:rPr>
        <w:t>Microbial symbiosis and coevolution of an entire clade of ancient vertebrates: the gut microbiota of sea turtles and its relationship to their phylogenetic history.</w:t>
      </w:r>
      <w:r>
        <w:rPr>
          <w:rFonts w:cs="Times New Roman"/>
        </w:rPr>
        <w:t xml:space="preserve"> Anim Microb 2</w:t>
      </w:r>
      <w:r w:rsidRPr="00185673">
        <w:rPr>
          <w:rFonts w:cs="Times New Roman"/>
        </w:rPr>
        <w:t>020</w:t>
      </w:r>
      <w:r>
        <w:rPr>
          <w:rFonts w:cs="Times New Roman"/>
        </w:rPr>
        <w:t>;</w:t>
      </w:r>
      <w:r>
        <w:rPr>
          <w:rFonts w:cs="Times New Roman"/>
          <w:b/>
          <w:bCs/>
        </w:rPr>
        <w:t>2</w:t>
      </w:r>
      <w:r>
        <w:rPr>
          <w:rFonts w:cs="Times New Roman"/>
        </w:rPr>
        <w:t>:</w:t>
      </w:r>
      <w:r w:rsidRPr="00185673">
        <w:rPr>
          <w:rFonts w:cs="Times New Roman"/>
        </w:rPr>
        <w:t>1</w:t>
      </w:r>
      <w:r>
        <w:rPr>
          <w:rFonts w:cs="Times New Roman"/>
        </w:rPr>
        <w:t>–</w:t>
      </w:r>
      <w:r w:rsidRPr="00185673">
        <w:rPr>
          <w:rFonts w:cs="Times New Roman"/>
        </w:rPr>
        <w:t>12.</w:t>
      </w:r>
    </w:p>
    <w:p w14:paraId="28FB85A1" w14:textId="77777777" w:rsidR="005C7880" w:rsidRPr="007D0401" w:rsidRDefault="005C7880" w:rsidP="005C7880">
      <w:pPr>
        <w:spacing w:line="480" w:lineRule="auto"/>
        <w:ind w:left="360" w:hanging="360"/>
        <w:contextualSpacing/>
        <w:rPr>
          <w:rFonts w:cs="Times New Roman"/>
        </w:rPr>
      </w:pPr>
      <w:r w:rsidRPr="007D0401">
        <w:rPr>
          <w:rFonts w:cs="Times New Roman"/>
        </w:rPr>
        <w:t>Schubert M</w:t>
      </w:r>
      <w:r>
        <w:rPr>
          <w:rFonts w:cs="Times New Roman"/>
        </w:rPr>
        <w:t xml:space="preserve">, </w:t>
      </w:r>
      <w:r w:rsidRPr="007D0401">
        <w:rPr>
          <w:rFonts w:cs="Times New Roman"/>
        </w:rPr>
        <w:t>Lindgreen S</w:t>
      </w:r>
      <w:r>
        <w:rPr>
          <w:rFonts w:cs="Times New Roman"/>
        </w:rPr>
        <w:t xml:space="preserve">, </w:t>
      </w:r>
      <w:r w:rsidRPr="007D0401">
        <w:rPr>
          <w:rFonts w:cs="Times New Roman"/>
        </w:rPr>
        <w:t>Orlando L. AdapterRemoval v2: rapid adapter trimming, identification, and read merging.</w:t>
      </w:r>
      <w:r>
        <w:rPr>
          <w:rFonts w:cs="Times New Roman"/>
        </w:rPr>
        <w:t xml:space="preserve"> </w:t>
      </w:r>
      <w:r w:rsidRPr="00E24622">
        <w:rPr>
          <w:rFonts w:cs="Times New Roman"/>
        </w:rPr>
        <w:t xml:space="preserve">BMC </w:t>
      </w:r>
      <w:r>
        <w:rPr>
          <w:rFonts w:cs="Times New Roman"/>
        </w:rPr>
        <w:t>Res Notes 2016;</w:t>
      </w:r>
      <w:r>
        <w:rPr>
          <w:rFonts w:cs="Times New Roman"/>
          <w:b/>
          <w:bCs/>
        </w:rPr>
        <w:t>9</w:t>
      </w:r>
      <w:r>
        <w:rPr>
          <w:rFonts w:cs="Times New Roman"/>
        </w:rPr>
        <w:t>:</w:t>
      </w:r>
      <w:r w:rsidRPr="007D0401">
        <w:rPr>
          <w:rFonts w:cs="Times New Roman"/>
        </w:rPr>
        <w:t>1</w:t>
      </w:r>
      <w:r>
        <w:rPr>
          <w:rFonts w:cs="Times New Roman"/>
        </w:rPr>
        <w:t>–</w:t>
      </w:r>
      <w:r w:rsidRPr="007D0401">
        <w:rPr>
          <w:rFonts w:cs="Times New Roman"/>
        </w:rPr>
        <w:t>7.</w:t>
      </w:r>
    </w:p>
    <w:p w14:paraId="54422B1B" w14:textId="77777777" w:rsidR="005C7880" w:rsidRPr="007D0401" w:rsidRDefault="005C7880" w:rsidP="005C7880">
      <w:pPr>
        <w:spacing w:line="480" w:lineRule="auto"/>
        <w:ind w:left="360" w:hanging="360"/>
        <w:contextualSpacing/>
        <w:rPr>
          <w:rFonts w:cs="Times New Roman"/>
        </w:rPr>
      </w:pPr>
      <w:r w:rsidRPr="007D0401">
        <w:rPr>
          <w:rFonts w:cs="Times New Roman"/>
        </w:rPr>
        <w:t>Shannon CE. A mathematical theory of communication.</w:t>
      </w:r>
      <w:r>
        <w:rPr>
          <w:rFonts w:cs="Times New Roman"/>
        </w:rPr>
        <w:t xml:space="preserve"> </w:t>
      </w:r>
      <w:r w:rsidRPr="00E24622">
        <w:rPr>
          <w:rFonts w:cs="Times New Roman"/>
        </w:rPr>
        <w:t xml:space="preserve">Bell </w:t>
      </w:r>
      <w:r>
        <w:rPr>
          <w:rFonts w:cs="Times New Roman"/>
        </w:rPr>
        <w:t xml:space="preserve">Syst Tech J </w:t>
      </w:r>
      <w:r w:rsidRPr="007D0401">
        <w:rPr>
          <w:rFonts w:cs="Times New Roman"/>
        </w:rPr>
        <w:t>1948</w:t>
      </w:r>
      <w:r>
        <w:rPr>
          <w:rFonts w:cs="Times New Roman"/>
        </w:rPr>
        <w:t>;</w:t>
      </w:r>
      <w:r w:rsidRPr="00E24622">
        <w:rPr>
          <w:rFonts w:cs="Times New Roman"/>
          <w:b/>
          <w:bCs/>
        </w:rPr>
        <w:t>27</w:t>
      </w:r>
      <w:r>
        <w:rPr>
          <w:rFonts w:cs="Times New Roman"/>
        </w:rPr>
        <w:t>:</w:t>
      </w:r>
      <w:r w:rsidRPr="007D0401">
        <w:rPr>
          <w:rFonts w:cs="Times New Roman"/>
        </w:rPr>
        <w:t>379</w:t>
      </w:r>
      <w:r>
        <w:rPr>
          <w:rFonts w:cs="Times New Roman"/>
        </w:rPr>
        <w:t>–</w:t>
      </w:r>
      <w:r w:rsidRPr="007D0401">
        <w:rPr>
          <w:rFonts w:cs="Times New Roman"/>
        </w:rPr>
        <w:t>423.</w:t>
      </w:r>
    </w:p>
    <w:p w14:paraId="097C9ECD" w14:textId="77777777" w:rsidR="005C7880" w:rsidRPr="004D6447" w:rsidRDefault="005C7880" w:rsidP="005C7880">
      <w:pPr>
        <w:spacing w:line="480" w:lineRule="auto"/>
        <w:ind w:left="360" w:hanging="360"/>
        <w:contextualSpacing/>
        <w:rPr>
          <w:rFonts w:cs="Times New Roman"/>
        </w:rPr>
      </w:pPr>
      <w:r w:rsidRPr="00B92B69">
        <w:rPr>
          <w:rFonts w:cs="Times New Roman"/>
        </w:rPr>
        <w:t>Siler CD</w:t>
      </w:r>
      <w:r>
        <w:rPr>
          <w:rFonts w:cs="Times New Roman"/>
        </w:rPr>
        <w:t xml:space="preserve">, </w:t>
      </w:r>
      <w:r w:rsidRPr="00B92B69">
        <w:rPr>
          <w:rFonts w:cs="Times New Roman"/>
        </w:rPr>
        <w:t>Oaks JR</w:t>
      </w:r>
      <w:r>
        <w:rPr>
          <w:rFonts w:cs="Times New Roman"/>
        </w:rPr>
        <w:t xml:space="preserve">, </w:t>
      </w:r>
      <w:r w:rsidRPr="00B92B69">
        <w:rPr>
          <w:rFonts w:cs="Times New Roman"/>
        </w:rPr>
        <w:t>Welton LJ</w:t>
      </w:r>
      <w:r>
        <w:rPr>
          <w:rFonts w:cs="Times New Roman"/>
        </w:rPr>
        <w:t xml:space="preserve"> </w:t>
      </w:r>
      <w:r w:rsidRPr="00B57253">
        <w:rPr>
          <w:rFonts w:cs="Times New Roman"/>
          <w:i/>
          <w:iCs/>
        </w:rPr>
        <w:t>et al</w:t>
      </w:r>
      <w:r w:rsidRPr="00D05276">
        <w:rPr>
          <w:rFonts w:cs="Times New Roman"/>
          <w:i/>
          <w:iCs/>
        </w:rPr>
        <w:t>.</w:t>
      </w:r>
      <w:r w:rsidRPr="004B6A60">
        <w:rPr>
          <w:rFonts w:cs="Times New Roman"/>
        </w:rPr>
        <w:t xml:space="preserve"> </w:t>
      </w:r>
      <w:r w:rsidRPr="00B92B69">
        <w:rPr>
          <w:rFonts w:cs="Times New Roman"/>
        </w:rPr>
        <w:t>Did geckos ride the Palawan raft to the Philippines?</w:t>
      </w:r>
      <w:r>
        <w:rPr>
          <w:rFonts w:cs="Times New Roman"/>
        </w:rPr>
        <w:t xml:space="preserve"> J Biogeogr</w:t>
      </w:r>
      <w:r w:rsidRPr="00E24622">
        <w:rPr>
          <w:rFonts w:cs="Times New Roman"/>
        </w:rPr>
        <w:t xml:space="preserve"> </w:t>
      </w:r>
      <w:r w:rsidRPr="004D6447">
        <w:rPr>
          <w:rFonts w:cs="Times New Roman"/>
        </w:rPr>
        <w:t>2012;</w:t>
      </w:r>
      <w:r w:rsidRPr="00E24622">
        <w:rPr>
          <w:rFonts w:cs="Times New Roman"/>
          <w:b/>
          <w:bCs/>
        </w:rPr>
        <w:t>39</w:t>
      </w:r>
      <w:r w:rsidRPr="004D6447">
        <w:rPr>
          <w:rFonts w:cs="Times New Roman"/>
        </w:rPr>
        <w:t>:1217–1234.</w:t>
      </w:r>
    </w:p>
    <w:p w14:paraId="0CE4D8D8" w14:textId="77777777" w:rsidR="005C7880" w:rsidRDefault="005C7880" w:rsidP="005C7880">
      <w:pPr>
        <w:spacing w:line="480" w:lineRule="auto"/>
        <w:ind w:left="360" w:hanging="360"/>
        <w:contextualSpacing/>
        <w:rPr>
          <w:rFonts w:cs="Times New Roman"/>
        </w:rPr>
      </w:pPr>
      <w:r w:rsidRPr="005F7C6B">
        <w:rPr>
          <w:rFonts w:cs="Times New Roman"/>
        </w:rPr>
        <w:t>Smith SN</w:t>
      </w:r>
      <w:r>
        <w:rPr>
          <w:rFonts w:cs="Times New Roman"/>
        </w:rPr>
        <w:t xml:space="preserve">, </w:t>
      </w:r>
      <w:r w:rsidRPr="005F7C6B">
        <w:rPr>
          <w:rFonts w:cs="Times New Roman"/>
        </w:rPr>
        <w:t>Colston TJ</w:t>
      </w:r>
      <w:r>
        <w:rPr>
          <w:rFonts w:cs="Times New Roman"/>
        </w:rPr>
        <w:t xml:space="preserve">, </w:t>
      </w:r>
      <w:r w:rsidRPr="005F7C6B">
        <w:rPr>
          <w:rFonts w:cs="Times New Roman"/>
        </w:rPr>
        <w:t xml:space="preserve">Siler CD. Venomous Snakes Reveal Ecological and Phylogenetic Factors Influencing Variation in Gut and Oral Microbiomes. </w:t>
      </w:r>
      <w:r>
        <w:rPr>
          <w:rFonts w:cs="Times New Roman"/>
        </w:rPr>
        <w:t>Front Microbiol 2</w:t>
      </w:r>
      <w:r w:rsidRPr="005F7C6B">
        <w:rPr>
          <w:rFonts w:cs="Times New Roman"/>
        </w:rPr>
        <w:t>021</w:t>
      </w:r>
      <w:r>
        <w:rPr>
          <w:rFonts w:cs="Times New Roman"/>
        </w:rPr>
        <w:t>;</w:t>
      </w:r>
      <w:r>
        <w:rPr>
          <w:rFonts w:cs="Times New Roman"/>
          <w:b/>
          <w:bCs/>
        </w:rPr>
        <w:t>12</w:t>
      </w:r>
      <w:r>
        <w:rPr>
          <w:rFonts w:cs="Times New Roman"/>
        </w:rPr>
        <w:t>:</w:t>
      </w:r>
      <w:r w:rsidRPr="005F7C6B">
        <w:rPr>
          <w:rFonts w:cs="Times New Roman"/>
        </w:rPr>
        <w:t>603.</w:t>
      </w:r>
    </w:p>
    <w:p w14:paraId="425F9D0D" w14:textId="77777777" w:rsidR="005C7880" w:rsidRPr="006A6C32" w:rsidRDefault="005C7880" w:rsidP="005C7880">
      <w:pPr>
        <w:spacing w:line="480" w:lineRule="auto"/>
        <w:ind w:left="360" w:hanging="360"/>
        <w:contextualSpacing/>
        <w:rPr>
          <w:rFonts w:cs="Times New Roman"/>
        </w:rPr>
      </w:pPr>
      <w:r w:rsidRPr="006A6C32">
        <w:rPr>
          <w:rFonts w:cs="Times New Roman"/>
        </w:rPr>
        <w:t>Stumpf RM</w:t>
      </w:r>
      <w:r>
        <w:rPr>
          <w:rFonts w:cs="Times New Roman"/>
        </w:rPr>
        <w:t xml:space="preserve">, </w:t>
      </w:r>
      <w:r w:rsidRPr="006A6C32">
        <w:rPr>
          <w:rFonts w:cs="Times New Roman"/>
        </w:rPr>
        <w:t>Gomez A</w:t>
      </w:r>
      <w:r>
        <w:rPr>
          <w:rFonts w:cs="Times New Roman"/>
        </w:rPr>
        <w:t xml:space="preserve">, </w:t>
      </w:r>
      <w:r w:rsidRPr="006A6C32">
        <w:rPr>
          <w:rFonts w:cs="Times New Roman"/>
        </w:rPr>
        <w:t>Amato KR</w:t>
      </w:r>
      <w:r>
        <w:rPr>
          <w:rFonts w:cs="Times New Roman"/>
        </w:rPr>
        <w:t xml:space="preserve"> </w:t>
      </w:r>
      <w:r w:rsidRPr="00B57253">
        <w:rPr>
          <w:rFonts w:cs="Times New Roman"/>
          <w:i/>
          <w:iCs/>
        </w:rPr>
        <w:t>et al</w:t>
      </w:r>
      <w:r w:rsidRPr="00D05276">
        <w:rPr>
          <w:rFonts w:cs="Times New Roman"/>
          <w:i/>
          <w:iCs/>
        </w:rPr>
        <w:t>.</w:t>
      </w:r>
      <w:r w:rsidRPr="004B6A60">
        <w:rPr>
          <w:rFonts w:cs="Times New Roman"/>
        </w:rPr>
        <w:t xml:space="preserve"> </w:t>
      </w:r>
      <w:r w:rsidRPr="006A6C32">
        <w:rPr>
          <w:rFonts w:cs="Times New Roman"/>
        </w:rPr>
        <w:t>Microbiomes, metagenomics, and primate conservation: New strategies, tools, and applications.</w:t>
      </w:r>
      <w:r>
        <w:rPr>
          <w:rFonts w:cs="Times New Roman"/>
        </w:rPr>
        <w:t xml:space="preserve"> Biol Conserv 2</w:t>
      </w:r>
      <w:r w:rsidRPr="006A6C32">
        <w:rPr>
          <w:rFonts w:cs="Times New Roman"/>
        </w:rPr>
        <w:t>016</w:t>
      </w:r>
      <w:r>
        <w:rPr>
          <w:rFonts w:cs="Times New Roman"/>
        </w:rPr>
        <w:t>;</w:t>
      </w:r>
      <w:r>
        <w:rPr>
          <w:rFonts w:cs="Times New Roman"/>
          <w:b/>
          <w:bCs/>
        </w:rPr>
        <w:t>199</w:t>
      </w:r>
      <w:r>
        <w:rPr>
          <w:rFonts w:cs="Times New Roman"/>
        </w:rPr>
        <w:t>:</w:t>
      </w:r>
      <w:r w:rsidRPr="006A6C32">
        <w:rPr>
          <w:rFonts w:cs="Times New Roman"/>
        </w:rPr>
        <w:t>56</w:t>
      </w:r>
      <w:r>
        <w:rPr>
          <w:rFonts w:cs="Times New Roman"/>
        </w:rPr>
        <w:t>–</w:t>
      </w:r>
      <w:r w:rsidRPr="006A6C32">
        <w:rPr>
          <w:rFonts w:cs="Times New Roman"/>
        </w:rPr>
        <w:t>66.</w:t>
      </w:r>
    </w:p>
    <w:p w14:paraId="6918D99B" w14:textId="77777777" w:rsidR="005C7880" w:rsidRDefault="005C7880" w:rsidP="005C7880">
      <w:pPr>
        <w:spacing w:line="480" w:lineRule="auto"/>
        <w:ind w:left="360" w:hanging="360"/>
        <w:contextualSpacing/>
        <w:rPr>
          <w:rFonts w:cs="Times New Roman"/>
        </w:rPr>
      </w:pPr>
      <w:r w:rsidRPr="0036421F">
        <w:rPr>
          <w:rFonts w:cs="Times New Roman"/>
        </w:rPr>
        <w:t>Thaller MC</w:t>
      </w:r>
      <w:r>
        <w:rPr>
          <w:rFonts w:cs="Times New Roman"/>
        </w:rPr>
        <w:t xml:space="preserve">, </w:t>
      </w:r>
      <w:r w:rsidRPr="0036421F">
        <w:rPr>
          <w:rFonts w:cs="Times New Roman"/>
        </w:rPr>
        <w:t>Migliore L</w:t>
      </w:r>
      <w:r>
        <w:rPr>
          <w:rFonts w:cs="Times New Roman"/>
        </w:rPr>
        <w:t xml:space="preserve">, </w:t>
      </w:r>
      <w:r w:rsidRPr="0036421F">
        <w:rPr>
          <w:rFonts w:cs="Times New Roman"/>
        </w:rPr>
        <w:t>Marquez C</w:t>
      </w:r>
      <w:r>
        <w:rPr>
          <w:rFonts w:cs="Times New Roman"/>
        </w:rPr>
        <w:t xml:space="preserve"> </w:t>
      </w:r>
      <w:r w:rsidRPr="00B57253">
        <w:rPr>
          <w:rFonts w:cs="Times New Roman"/>
          <w:i/>
          <w:iCs/>
        </w:rPr>
        <w:t>et al</w:t>
      </w:r>
      <w:r w:rsidRPr="00D05276">
        <w:rPr>
          <w:rFonts w:cs="Times New Roman"/>
          <w:i/>
          <w:iCs/>
        </w:rPr>
        <w:t>.</w:t>
      </w:r>
      <w:r w:rsidRPr="004B6A60">
        <w:rPr>
          <w:rFonts w:cs="Times New Roman"/>
        </w:rPr>
        <w:t xml:space="preserve"> </w:t>
      </w:r>
      <w:r w:rsidRPr="0036421F">
        <w:rPr>
          <w:rFonts w:cs="Times New Roman"/>
        </w:rPr>
        <w:t>Tracking acquired antibiotic resistance in commensal bacteria of Galapagos land iguanas: no man, no resistance.</w:t>
      </w:r>
      <w:r>
        <w:rPr>
          <w:rFonts w:cs="Times New Roman"/>
        </w:rPr>
        <w:t xml:space="preserve"> </w:t>
      </w:r>
      <w:r w:rsidRPr="00E24622">
        <w:rPr>
          <w:rFonts w:cs="Times New Roman"/>
        </w:rPr>
        <w:t>PLOS ONE</w:t>
      </w:r>
      <w:r>
        <w:rPr>
          <w:rFonts w:cs="Times New Roman"/>
        </w:rPr>
        <w:t xml:space="preserve"> 2</w:t>
      </w:r>
      <w:r w:rsidRPr="0036421F">
        <w:rPr>
          <w:rFonts w:cs="Times New Roman"/>
        </w:rPr>
        <w:t>010</w:t>
      </w:r>
      <w:r>
        <w:rPr>
          <w:rFonts w:cs="Times New Roman"/>
        </w:rPr>
        <w:t>;</w:t>
      </w:r>
      <w:r>
        <w:rPr>
          <w:rFonts w:cs="Times New Roman"/>
          <w:b/>
          <w:bCs/>
        </w:rPr>
        <w:t>5</w:t>
      </w:r>
      <w:r>
        <w:rPr>
          <w:rFonts w:cs="Times New Roman"/>
        </w:rPr>
        <w:t>:</w:t>
      </w:r>
      <w:r w:rsidRPr="0036421F">
        <w:rPr>
          <w:rFonts w:cs="Times New Roman"/>
        </w:rPr>
        <w:t>e8989.</w:t>
      </w:r>
    </w:p>
    <w:p w14:paraId="7960FFFF" w14:textId="77777777" w:rsidR="005C7880" w:rsidRPr="00F01E3E" w:rsidRDefault="005C7880" w:rsidP="005C7880">
      <w:pPr>
        <w:spacing w:line="480" w:lineRule="auto"/>
        <w:ind w:left="360" w:hanging="360"/>
        <w:contextualSpacing/>
        <w:rPr>
          <w:rFonts w:cs="Times New Roman"/>
        </w:rPr>
      </w:pPr>
      <w:r w:rsidRPr="00F01E3E">
        <w:rPr>
          <w:rFonts w:cs="Times New Roman"/>
        </w:rPr>
        <w:t>Tonini JFR</w:t>
      </w:r>
      <w:r>
        <w:rPr>
          <w:rFonts w:cs="Times New Roman"/>
        </w:rPr>
        <w:t xml:space="preserve">, </w:t>
      </w:r>
      <w:r w:rsidRPr="00F01E3E">
        <w:rPr>
          <w:rFonts w:cs="Times New Roman"/>
        </w:rPr>
        <w:t>Beard KH</w:t>
      </w:r>
      <w:r>
        <w:rPr>
          <w:rFonts w:cs="Times New Roman"/>
        </w:rPr>
        <w:t xml:space="preserve">, </w:t>
      </w:r>
      <w:r w:rsidRPr="00F01E3E">
        <w:rPr>
          <w:rFonts w:cs="Times New Roman"/>
        </w:rPr>
        <w:t>Ferreira RB</w:t>
      </w:r>
      <w:r>
        <w:rPr>
          <w:rFonts w:cs="Times New Roman"/>
        </w:rPr>
        <w:t xml:space="preserve"> </w:t>
      </w:r>
      <w:r w:rsidRPr="00B57253">
        <w:rPr>
          <w:rFonts w:cs="Times New Roman"/>
          <w:i/>
          <w:iCs/>
        </w:rPr>
        <w:t>et al</w:t>
      </w:r>
      <w:r w:rsidRPr="00D05276">
        <w:rPr>
          <w:rFonts w:cs="Times New Roman"/>
          <w:i/>
          <w:iCs/>
        </w:rPr>
        <w:t>.</w:t>
      </w:r>
      <w:r w:rsidRPr="00F01E3E">
        <w:rPr>
          <w:rFonts w:cs="Times New Roman"/>
        </w:rPr>
        <w:t xml:space="preserve"> Fully-sampled phylogenies of squamates reveal evolutionary patterns in threat status.</w:t>
      </w:r>
      <w:r>
        <w:rPr>
          <w:rFonts w:cs="Times New Roman"/>
        </w:rPr>
        <w:t xml:space="preserve"> Biol Conserv 2</w:t>
      </w:r>
      <w:r w:rsidRPr="00F01E3E">
        <w:rPr>
          <w:rFonts w:cs="Times New Roman"/>
        </w:rPr>
        <w:t>016</w:t>
      </w:r>
      <w:r>
        <w:rPr>
          <w:rFonts w:cs="Times New Roman"/>
        </w:rPr>
        <w:t>;</w:t>
      </w:r>
      <w:r>
        <w:rPr>
          <w:rFonts w:cs="Times New Roman"/>
          <w:b/>
          <w:bCs/>
        </w:rPr>
        <w:t>204</w:t>
      </w:r>
      <w:r>
        <w:rPr>
          <w:rFonts w:cs="Times New Roman"/>
        </w:rPr>
        <w:t>:</w:t>
      </w:r>
      <w:r w:rsidRPr="00F01E3E">
        <w:rPr>
          <w:rFonts w:cs="Times New Roman"/>
        </w:rPr>
        <w:t>23</w:t>
      </w:r>
      <w:r>
        <w:rPr>
          <w:rFonts w:cs="Times New Roman"/>
        </w:rPr>
        <w:t>–</w:t>
      </w:r>
      <w:r w:rsidRPr="00F01E3E">
        <w:rPr>
          <w:rFonts w:cs="Times New Roman"/>
        </w:rPr>
        <w:t>31.</w:t>
      </w:r>
    </w:p>
    <w:p w14:paraId="1949E109" w14:textId="77777777" w:rsidR="005C7880" w:rsidRDefault="005C7880" w:rsidP="005C7880">
      <w:pPr>
        <w:spacing w:line="480" w:lineRule="auto"/>
        <w:ind w:left="360" w:hanging="360"/>
        <w:contextualSpacing/>
        <w:rPr>
          <w:rFonts w:cs="Times New Roman"/>
        </w:rPr>
      </w:pPr>
      <w:r w:rsidRPr="0036421F">
        <w:rPr>
          <w:rFonts w:cs="Times New Roman"/>
        </w:rPr>
        <w:t xml:space="preserve">Troyer K. Diet selection and digestion in </w:t>
      </w:r>
      <w:r w:rsidRPr="0036421F">
        <w:rPr>
          <w:rFonts w:cs="Times New Roman"/>
          <w:i/>
          <w:iCs/>
        </w:rPr>
        <w:t>Iguana iguana</w:t>
      </w:r>
      <w:r w:rsidRPr="0036421F">
        <w:rPr>
          <w:rFonts w:cs="Times New Roman"/>
        </w:rPr>
        <w:t>: the importance of age and nutrient requirements.</w:t>
      </w:r>
      <w:r>
        <w:rPr>
          <w:rFonts w:cs="Times New Roman"/>
        </w:rPr>
        <w:t xml:space="preserve"> </w:t>
      </w:r>
      <w:r w:rsidRPr="00E24622">
        <w:rPr>
          <w:rFonts w:cs="Times New Roman"/>
        </w:rPr>
        <w:t>Oecologia</w:t>
      </w:r>
      <w:r>
        <w:rPr>
          <w:rFonts w:cs="Times New Roman"/>
        </w:rPr>
        <w:t xml:space="preserve"> </w:t>
      </w:r>
      <w:r w:rsidRPr="0036421F">
        <w:rPr>
          <w:rFonts w:cs="Times New Roman"/>
        </w:rPr>
        <w:t>1984</w:t>
      </w:r>
      <w:r>
        <w:rPr>
          <w:rFonts w:cs="Times New Roman"/>
        </w:rPr>
        <w:t>;</w:t>
      </w:r>
      <w:r>
        <w:rPr>
          <w:rFonts w:cs="Times New Roman"/>
          <w:b/>
          <w:bCs/>
        </w:rPr>
        <w:t>61</w:t>
      </w:r>
      <w:r>
        <w:rPr>
          <w:rFonts w:cs="Times New Roman"/>
        </w:rPr>
        <w:t>:</w:t>
      </w:r>
      <w:r w:rsidRPr="0036421F">
        <w:rPr>
          <w:rFonts w:cs="Times New Roman"/>
        </w:rPr>
        <w:t>201</w:t>
      </w:r>
      <w:r>
        <w:rPr>
          <w:rFonts w:cs="Times New Roman"/>
        </w:rPr>
        <w:t>–</w:t>
      </w:r>
      <w:r w:rsidRPr="0036421F">
        <w:rPr>
          <w:rFonts w:cs="Times New Roman"/>
        </w:rPr>
        <w:t>207.</w:t>
      </w:r>
    </w:p>
    <w:p w14:paraId="424AD270" w14:textId="77777777" w:rsidR="005C7880" w:rsidRDefault="005C7880" w:rsidP="005C7880">
      <w:pPr>
        <w:spacing w:line="480" w:lineRule="auto"/>
        <w:ind w:left="360" w:hanging="360"/>
        <w:contextualSpacing/>
        <w:rPr>
          <w:rFonts w:cs="Times New Roman"/>
        </w:rPr>
      </w:pPr>
      <w:r w:rsidRPr="009D67EE">
        <w:rPr>
          <w:rFonts w:cs="Times New Roman"/>
        </w:rPr>
        <w:t>Uetz P</w:t>
      </w:r>
      <w:r>
        <w:rPr>
          <w:rFonts w:cs="Times New Roman"/>
        </w:rPr>
        <w:t xml:space="preserve">, </w:t>
      </w:r>
      <w:r w:rsidRPr="009D67EE">
        <w:rPr>
          <w:rFonts w:cs="Times New Roman"/>
        </w:rPr>
        <w:t>Freed</w:t>
      </w:r>
      <w:r>
        <w:rPr>
          <w:rFonts w:cs="Times New Roman"/>
        </w:rPr>
        <w:t xml:space="preserve"> P,</w:t>
      </w:r>
      <w:r w:rsidRPr="009D67EE">
        <w:rPr>
          <w:rFonts w:cs="Times New Roman"/>
        </w:rPr>
        <w:t xml:space="preserve"> Hošek</w:t>
      </w:r>
      <w:r>
        <w:rPr>
          <w:rFonts w:cs="Times New Roman"/>
        </w:rPr>
        <w:t xml:space="preserve"> J.</w:t>
      </w:r>
      <w:r w:rsidRPr="009D67EE">
        <w:rPr>
          <w:rFonts w:cs="Times New Roman"/>
        </w:rPr>
        <w:t xml:space="preserve"> (eds.). The Reptile Database. http://www.reptile-database.org (accessed 10 August 2021)</w:t>
      </w:r>
      <w:r>
        <w:rPr>
          <w:rFonts w:cs="Times New Roman"/>
        </w:rPr>
        <w:t xml:space="preserve"> </w:t>
      </w:r>
      <w:r w:rsidRPr="009D67EE">
        <w:rPr>
          <w:rFonts w:cs="Times New Roman"/>
        </w:rPr>
        <w:t>2021.</w:t>
      </w:r>
    </w:p>
    <w:p w14:paraId="4B77E70E" w14:textId="77777777" w:rsidR="005C7880" w:rsidRPr="009E0814" w:rsidRDefault="005C7880" w:rsidP="005C7880">
      <w:pPr>
        <w:spacing w:line="480" w:lineRule="auto"/>
        <w:ind w:left="360" w:hanging="360"/>
        <w:contextualSpacing/>
        <w:rPr>
          <w:rFonts w:cs="Times New Roman"/>
        </w:rPr>
      </w:pPr>
      <w:r w:rsidRPr="005F7C6B">
        <w:rPr>
          <w:rFonts w:cs="Times New Roman"/>
        </w:rPr>
        <w:t xml:space="preserve">Vallejo </w:t>
      </w:r>
      <w:r>
        <w:rPr>
          <w:rFonts w:cs="Times New Roman"/>
        </w:rPr>
        <w:t xml:space="preserve">B </w:t>
      </w:r>
      <w:r w:rsidRPr="005F7C6B">
        <w:rPr>
          <w:rFonts w:cs="Times New Roman"/>
        </w:rPr>
        <w:t xml:space="preserve">Jr. Biogeography of Luzon Island, Philippines. </w:t>
      </w:r>
      <w:r>
        <w:rPr>
          <w:rFonts w:cs="Times New Roman"/>
        </w:rPr>
        <w:t xml:space="preserve">In: </w:t>
      </w:r>
      <w:r w:rsidRPr="009E0814">
        <w:rPr>
          <w:rFonts w:cs="Times New Roman"/>
        </w:rPr>
        <w:t>T</w:t>
      </w:r>
      <w:r>
        <w:rPr>
          <w:rFonts w:cs="Times New Roman"/>
        </w:rPr>
        <w:t>elnov</w:t>
      </w:r>
      <w:r w:rsidRPr="009E0814">
        <w:rPr>
          <w:rFonts w:cs="Times New Roman"/>
        </w:rPr>
        <w:t xml:space="preserve"> D (ed.)</w:t>
      </w:r>
      <w:r>
        <w:rPr>
          <w:rFonts w:cs="Times New Roman"/>
        </w:rPr>
        <w:t>.</w:t>
      </w:r>
      <w:r w:rsidRPr="009E0814">
        <w:rPr>
          <w:rFonts w:cs="Times New Roman"/>
        </w:rPr>
        <w:t xml:space="preserve"> </w:t>
      </w:r>
      <w:r w:rsidRPr="009E0814">
        <w:rPr>
          <w:rFonts w:cs="Times New Roman"/>
          <w:i/>
          <w:iCs/>
        </w:rPr>
        <w:t>Biodiversity, Biogeography and Nature Conservation in Wallacea and New Guinea, Volume II</w:t>
      </w:r>
      <w:r>
        <w:rPr>
          <w:rFonts w:cs="Times New Roman"/>
        </w:rPr>
        <w:t xml:space="preserve">. </w:t>
      </w:r>
      <w:r w:rsidRPr="009E0814">
        <w:rPr>
          <w:rFonts w:cs="Times New Roman"/>
        </w:rPr>
        <w:t>Entomological Society of Latvia</w:t>
      </w:r>
      <w:r>
        <w:rPr>
          <w:rFonts w:cs="Times New Roman"/>
        </w:rPr>
        <w:t xml:space="preserve">, </w:t>
      </w:r>
      <w:r w:rsidRPr="009E0814">
        <w:rPr>
          <w:rFonts w:cs="Times New Roman"/>
        </w:rPr>
        <w:t>2014</w:t>
      </w:r>
      <w:r>
        <w:rPr>
          <w:rFonts w:cs="Times New Roman"/>
        </w:rPr>
        <w:t>, 47–59.</w:t>
      </w:r>
    </w:p>
    <w:p w14:paraId="51E7F228" w14:textId="77777777" w:rsidR="005C7880" w:rsidRPr="005F7C6B" w:rsidRDefault="005C7880" w:rsidP="005C7880">
      <w:pPr>
        <w:spacing w:line="480" w:lineRule="auto"/>
        <w:ind w:left="360" w:hanging="360"/>
        <w:contextualSpacing/>
        <w:rPr>
          <w:rFonts w:cs="Times New Roman"/>
        </w:rPr>
      </w:pPr>
      <w:r w:rsidRPr="009D67EE">
        <w:rPr>
          <w:rFonts w:cs="Times New Roman"/>
        </w:rPr>
        <w:t>Vitt LJ</w:t>
      </w:r>
      <w:r>
        <w:rPr>
          <w:rFonts w:cs="Times New Roman"/>
        </w:rPr>
        <w:t xml:space="preserve">, </w:t>
      </w:r>
      <w:r w:rsidRPr="009D67EE">
        <w:rPr>
          <w:rFonts w:cs="Times New Roman"/>
        </w:rPr>
        <w:t>Caldwell JP. Herpetology: an introductory biology of amphibians and reptiles.</w:t>
      </w:r>
      <w:r>
        <w:rPr>
          <w:rFonts w:cs="Times New Roman"/>
        </w:rPr>
        <w:t xml:space="preserve"> </w:t>
      </w:r>
      <w:r w:rsidRPr="009E0814">
        <w:rPr>
          <w:rFonts w:cs="Times New Roman"/>
        </w:rPr>
        <w:t>Cambridge</w:t>
      </w:r>
      <w:r>
        <w:rPr>
          <w:rFonts w:cs="Times New Roman"/>
        </w:rPr>
        <w:t>:</w:t>
      </w:r>
      <w:r w:rsidRPr="009D67EE">
        <w:rPr>
          <w:rFonts w:cs="Times New Roman"/>
        </w:rPr>
        <w:t xml:space="preserve"> Academic </w:t>
      </w:r>
      <w:r>
        <w:rPr>
          <w:rFonts w:cs="Times New Roman"/>
        </w:rPr>
        <w:t>P</w:t>
      </w:r>
      <w:r w:rsidRPr="009D67EE">
        <w:rPr>
          <w:rFonts w:cs="Times New Roman"/>
        </w:rPr>
        <w:t>ress</w:t>
      </w:r>
      <w:r>
        <w:rPr>
          <w:rFonts w:cs="Times New Roman"/>
        </w:rPr>
        <w:t>, 2</w:t>
      </w:r>
      <w:r w:rsidRPr="009D67EE">
        <w:rPr>
          <w:rFonts w:cs="Times New Roman"/>
        </w:rPr>
        <w:t>013</w:t>
      </w:r>
      <w:r>
        <w:rPr>
          <w:rFonts w:cs="Times New Roman"/>
        </w:rPr>
        <w:t>.</w:t>
      </w:r>
    </w:p>
    <w:p w14:paraId="4A41BBDA" w14:textId="77777777" w:rsidR="005C7880" w:rsidRPr="00682FD5" w:rsidRDefault="005C7880" w:rsidP="005C7880">
      <w:pPr>
        <w:spacing w:line="480" w:lineRule="auto"/>
        <w:ind w:left="360" w:hanging="360"/>
        <w:contextualSpacing/>
        <w:rPr>
          <w:rFonts w:cs="Times New Roman"/>
        </w:rPr>
      </w:pPr>
      <w:r w:rsidRPr="00682FD5">
        <w:rPr>
          <w:rFonts w:cs="Times New Roman"/>
        </w:rPr>
        <w:t>Welton LJ</w:t>
      </w:r>
      <w:r>
        <w:rPr>
          <w:rFonts w:cs="Times New Roman"/>
        </w:rPr>
        <w:t xml:space="preserve">, </w:t>
      </w:r>
      <w:r w:rsidRPr="00682FD5">
        <w:rPr>
          <w:rFonts w:cs="Times New Roman"/>
        </w:rPr>
        <w:t>Siler CD</w:t>
      </w:r>
      <w:r>
        <w:rPr>
          <w:rFonts w:cs="Times New Roman"/>
        </w:rPr>
        <w:t xml:space="preserve">, </w:t>
      </w:r>
      <w:r w:rsidRPr="00682FD5">
        <w:rPr>
          <w:rFonts w:cs="Times New Roman"/>
        </w:rPr>
        <w:t>Linkem CW</w:t>
      </w:r>
      <w:r>
        <w:rPr>
          <w:rFonts w:cs="Times New Roman"/>
        </w:rPr>
        <w:t xml:space="preserve"> </w:t>
      </w:r>
      <w:r w:rsidRPr="00B57253">
        <w:rPr>
          <w:rFonts w:cs="Times New Roman"/>
          <w:i/>
          <w:iCs/>
        </w:rPr>
        <w:t>et al</w:t>
      </w:r>
      <w:r w:rsidRPr="00D05276">
        <w:rPr>
          <w:rFonts w:cs="Times New Roman"/>
          <w:i/>
          <w:iCs/>
        </w:rPr>
        <w:t>.</w:t>
      </w:r>
      <w:r w:rsidRPr="004B6A60">
        <w:rPr>
          <w:rFonts w:cs="Times New Roman"/>
        </w:rPr>
        <w:t xml:space="preserve"> </w:t>
      </w:r>
      <w:r w:rsidRPr="00682FD5">
        <w:rPr>
          <w:rFonts w:cs="Times New Roman"/>
        </w:rPr>
        <w:t xml:space="preserve">Philippine bent-toed geckos of the </w:t>
      </w:r>
      <w:r w:rsidRPr="00324CC6">
        <w:rPr>
          <w:rFonts w:cs="Times New Roman"/>
          <w:i/>
          <w:iCs/>
        </w:rPr>
        <w:t>Cyrtodactylus agusanensis</w:t>
      </w:r>
      <w:r w:rsidRPr="00682FD5">
        <w:rPr>
          <w:rFonts w:cs="Times New Roman"/>
        </w:rPr>
        <w:t xml:space="preserve"> complex: multilocus phylogeny, morphological diversity, and descriptions of three new species.</w:t>
      </w:r>
      <w:r>
        <w:rPr>
          <w:rFonts w:cs="Times New Roman"/>
        </w:rPr>
        <w:t xml:space="preserve"> </w:t>
      </w:r>
      <w:r w:rsidRPr="00E24622">
        <w:rPr>
          <w:rFonts w:cs="Times New Roman"/>
        </w:rPr>
        <w:t>Herpetol Monogr</w:t>
      </w:r>
      <w:r>
        <w:rPr>
          <w:rFonts w:cs="Times New Roman"/>
        </w:rPr>
        <w:t xml:space="preserve"> 2</w:t>
      </w:r>
      <w:r w:rsidRPr="00682FD5">
        <w:rPr>
          <w:rFonts w:cs="Times New Roman"/>
        </w:rPr>
        <w:t>010</w:t>
      </w:r>
      <w:r>
        <w:rPr>
          <w:rFonts w:cs="Times New Roman"/>
        </w:rPr>
        <w:t>;</w:t>
      </w:r>
      <w:r>
        <w:rPr>
          <w:rFonts w:cs="Times New Roman"/>
          <w:b/>
          <w:bCs/>
        </w:rPr>
        <w:t>24</w:t>
      </w:r>
      <w:r>
        <w:rPr>
          <w:rFonts w:cs="Times New Roman"/>
        </w:rPr>
        <w:t>:</w:t>
      </w:r>
      <w:r w:rsidRPr="00682FD5">
        <w:rPr>
          <w:rFonts w:cs="Times New Roman"/>
        </w:rPr>
        <w:t>55</w:t>
      </w:r>
      <w:r>
        <w:rPr>
          <w:rFonts w:cs="Times New Roman"/>
        </w:rPr>
        <w:t>–</w:t>
      </w:r>
      <w:r w:rsidRPr="00682FD5">
        <w:rPr>
          <w:rFonts w:cs="Times New Roman"/>
        </w:rPr>
        <w:t>85.</w:t>
      </w:r>
    </w:p>
    <w:p w14:paraId="56D0736F" w14:textId="77777777" w:rsidR="005C7880" w:rsidRDefault="005C7880" w:rsidP="005C7880">
      <w:pPr>
        <w:spacing w:line="480" w:lineRule="auto"/>
        <w:ind w:left="360" w:hanging="360"/>
        <w:contextualSpacing/>
        <w:rPr>
          <w:rFonts w:cs="Times New Roman"/>
        </w:rPr>
      </w:pPr>
      <w:r w:rsidRPr="00D615BD">
        <w:rPr>
          <w:rFonts w:cs="Times New Roman"/>
        </w:rPr>
        <w:t>Youngblut ND</w:t>
      </w:r>
      <w:r>
        <w:rPr>
          <w:rFonts w:cs="Times New Roman"/>
        </w:rPr>
        <w:t xml:space="preserve">, </w:t>
      </w:r>
      <w:r w:rsidRPr="00D615BD">
        <w:rPr>
          <w:rFonts w:cs="Times New Roman"/>
        </w:rPr>
        <w:t>Reischer GH</w:t>
      </w:r>
      <w:r>
        <w:rPr>
          <w:rFonts w:cs="Times New Roman"/>
        </w:rPr>
        <w:t xml:space="preserve">, </w:t>
      </w:r>
      <w:r w:rsidRPr="00D615BD">
        <w:rPr>
          <w:rFonts w:cs="Times New Roman"/>
        </w:rPr>
        <w:t>Walters W</w:t>
      </w:r>
      <w:r>
        <w:rPr>
          <w:rFonts w:cs="Times New Roman"/>
        </w:rPr>
        <w:t xml:space="preserve"> </w:t>
      </w:r>
      <w:r w:rsidRPr="00B57253">
        <w:rPr>
          <w:rFonts w:cs="Times New Roman"/>
          <w:i/>
          <w:iCs/>
        </w:rPr>
        <w:t>et al</w:t>
      </w:r>
      <w:r w:rsidRPr="00D05276">
        <w:rPr>
          <w:rFonts w:cs="Times New Roman"/>
          <w:i/>
          <w:iCs/>
        </w:rPr>
        <w:t>.</w:t>
      </w:r>
      <w:r w:rsidRPr="004B6A60">
        <w:rPr>
          <w:rFonts w:cs="Times New Roman"/>
        </w:rPr>
        <w:t xml:space="preserve"> </w:t>
      </w:r>
      <w:r w:rsidRPr="00D615BD">
        <w:rPr>
          <w:rFonts w:cs="Times New Roman"/>
        </w:rPr>
        <w:t>Host diet and evolutionary history explain different aspects of gut microbiome diversity among vertebrate clades.</w:t>
      </w:r>
      <w:r>
        <w:rPr>
          <w:rFonts w:cs="Times New Roman"/>
        </w:rPr>
        <w:t xml:space="preserve"> Nat Commun 2</w:t>
      </w:r>
      <w:r w:rsidRPr="00D615BD">
        <w:rPr>
          <w:rFonts w:cs="Times New Roman"/>
        </w:rPr>
        <w:t>019</w:t>
      </w:r>
      <w:r>
        <w:rPr>
          <w:rFonts w:cs="Times New Roman"/>
        </w:rPr>
        <w:t>;</w:t>
      </w:r>
      <w:r>
        <w:rPr>
          <w:rFonts w:cs="Times New Roman"/>
          <w:b/>
          <w:bCs/>
        </w:rPr>
        <w:t>10</w:t>
      </w:r>
      <w:r>
        <w:rPr>
          <w:rFonts w:cs="Times New Roman"/>
        </w:rPr>
        <w:t>:</w:t>
      </w:r>
      <w:r w:rsidRPr="00D615BD">
        <w:rPr>
          <w:rFonts w:cs="Times New Roman"/>
        </w:rPr>
        <w:t>1</w:t>
      </w:r>
      <w:r>
        <w:rPr>
          <w:rFonts w:cs="Times New Roman"/>
        </w:rPr>
        <w:t>–</w:t>
      </w:r>
      <w:r w:rsidRPr="00D615BD">
        <w:rPr>
          <w:rFonts w:cs="Times New Roman"/>
        </w:rPr>
        <w:t>15.</w:t>
      </w:r>
    </w:p>
    <w:p w14:paraId="05FDEEEF" w14:textId="77777777" w:rsidR="00EA19C1" w:rsidRDefault="005C7880" w:rsidP="00EA19C1">
      <w:pPr>
        <w:spacing w:line="480" w:lineRule="auto"/>
        <w:ind w:left="360" w:hanging="360"/>
        <w:contextualSpacing/>
        <w:rPr>
          <w:rFonts w:cs="Times New Roman"/>
        </w:rPr>
        <w:sectPr w:rsidR="00EA19C1" w:rsidSect="0091618E">
          <w:footerReference w:type="default" r:id="rId23"/>
          <w:pgSz w:w="12240" w:h="15840"/>
          <w:pgMar w:top="1440" w:right="1440" w:bottom="1440" w:left="1440" w:header="720" w:footer="720" w:gutter="0"/>
          <w:cols w:space="720"/>
          <w:docGrid w:linePitch="360"/>
        </w:sectPr>
      </w:pPr>
      <w:r w:rsidRPr="00BF21EF">
        <w:rPr>
          <w:rFonts w:cs="Times New Roman"/>
        </w:rPr>
        <w:t>Zhu</w:t>
      </w:r>
      <w:r>
        <w:rPr>
          <w:rFonts w:cs="Times New Roman"/>
        </w:rPr>
        <w:t xml:space="preserve"> </w:t>
      </w:r>
      <w:r w:rsidRPr="00BF21EF">
        <w:rPr>
          <w:rFonts w:cs="Times New Roman"/>
        </w:rPr>
        <w:t>L, Wang J, Bahrndorff S</w:t>
      </w:r>
      <w:r>
        <w:rPr>
          <w:rFonts w:cs="Times New Roman"/>
        </w:rPr>
        <w:t>.</w:t>
      </w:r>
      <w:r w:rsidRPr="00BF21EF">
        <w:rPr>
          <w:rFonts w:cs="Times New Roman"/>
        </w:rPr>
        <w:t xml:space="preserve"> The Wildlife Gut Microbiome and Its Implication for Conservation Biology.</w:t>
      </w:r>
      <w:r>
        <w:rPr>
          <w:rFonts w:cs="Times New Roman"/>
        </w:rPr>
        <w:t xml:space="preserve"> Front Microbiol </w:t>
      </w:r>
      <w:r w:rsidRPr="00BF21EF">
        <w:rPr>
          <w:rFonts w:cs="Times New Roman"/>
        </w:rPr>
        <w:t>2021</w:t>
      </w:r>
      <w:r>
        <w:rPr>
          <w:rFonts w:cs="Times New Roman"/>
        </w:rPr>
        <w:t>;</w:t>
      </w:r>
      <w:r w:rsidRPr="00E24622">
        <w:rPr>
          <w:rFonts w:cs="Times New Roman"/>
          <w:b/>
          <w:bCs/>
        </w:rPr>
        <w:t>12</w:t>
      </w:r>
      <w:r>
        <w:rPr>
          <w:rFonts w:cs="Times New Roman"/>
        </w:rPr>
        <w:t>:</w:t>
      </w:r>
      <w:r w:rsidRPr="00BF21EF">
        <w:rPr>
          <w:rFonts w:cs="Times New Roman"/>
        </w:rPr>
        <w:t>1617.</w:t>
      </w:r>
    </w:p>
    <w:p w14:paraId="63D7E3B7" w14:textId="4049FF44" w:rsidR="008E7855" w:rsidRDefault="008E7855" w:rsidP="003A0506">
      <w:pPr>
        <w:widowControl w:val="0"/>
        <w:autoSpaceDE w:val="0"/>
        <w:autoSpaceDN w:val="0"/>
        <w:adjustRightInd w:val="0"/>
        <w:spacing w:line="480" w:lineRule="auto"/>
        <w:rPr>
          <w:rFonts w:cs="Times New Roman"/>
          <w:b/>
          <w:bCs/>
          <w:color w:val="000000"/>
        </w:rPr>
      </w:pPr>
      <w:r>
        <w:rPr>
          <w:rFonts w:cs="Times New Roman"/>
          <w:b/>
          <w:bCs/>
          <w:color w:val="000000"/>
        </w:rPr>
        <w:t>Table</w:t>
      </w:r>
    </w:p>
    <w:p w14:paraId="11369E90" w14:textId="77777777" w:rsidR="00EA19C1" w:rsidRPr="00DA602F" w:rsidRDefault="00EA19C1" w:rsidP="00EA19C1">
      <w:pPr>
        <w:spacing w:line="480" w:lineRule="auto"/>
        <w:contextualSpacing/>
        <w:rPr>
          <w:rFonts w:cs="Times New Roman"/>
        </w:rPr>
      </w:pPr>
      <w:r>
        <w:rPr>
          <w:rFonts w:cs="Times New Roman"/>
        </w:rPr>
        <w:t>Table 1. Sampling table of 47 gekkonid hosts examined across the Philippines. Specimens included nine species from four genera collected at seven localities in the archipelagic nation. Contemporary factors examined were habitat preferences (forest obligates or human commensals), host species range (widespread vs. microendemic), and host maximum body size (SVL &gt; or &lt; 95 mm).</w:t>
      </w:r>
    </w:p>
    <w:tbl>
      <w:tblPr>
        <w:tblStyle w:val="TableGrid"/>
        <w:tblpPr w:leftFromText="180" w:rightFromText="180" w:vertAnchor="page" w:horzAnchor="margin" w:tblpY="3641"/>
        <w:tblW w:w="13585" w:type="dxa"/>
        <w:tblLook w:val="04A0" w:firstRow="1" w:lastRow="0" w:firstColumn="1" w:lastColumn="0" w:noHBand="0" w:noVBand="1"/>
      </w:tblPr>
      <w:tblGrid>
        <w:gridCol w:w="1433"/>
        <w:gridCol w:w="1262"/>
        <w:gridCol w:w="1530"/>
        <w:gridCol w:w="3150"/>
        <w:gridCol w:w="3150"/>
        <w:gridCol w:w="1080"/>
        <w:gridCol w:w="906"/>
        <w:gridCol w:w="1074"/>
      </w:tblGrid>
      <w:tr w:rsidR="00EA19C1" w:rsidRPr="00F32171" w14:paraId="76656951" w14:textId="77777777" w:rsidTr="00EA19C1">
        <w:trPr>
          <w:trHeight w:val="320"/>
        </w:trPr>
        <w:tc>
          <w:tcPr>
            <w:tcW w:w="1433" w:type="dxa"/>
            <w:vAlign w:val="center"/>
            <w:hideMark/>
          </w:tcPr>
          <w:p w14:paraId="16CCB90F" w14:textId="77777777" w:rsidR="00EA19C1" w:rsidRPr="00F32171" w:rsidRDefault="00EA19C1" w:rsidP="00EA19C1">
            <w:pPr>
              <w:ind w:left="360" w:hanging="360"/>
              <w:contextualSpacing/>
              <w:rPr>
                <w:rFonts w:cs="Times New Roman"/>
                <w:b/>
                <w:bCs/>
                <w:sz w:val="20"/>
                <w:szCs w:val="20"/>
              </w:rPr>
            </w:pPr>
            <w:r w:rsidRPr="00F32171">
              <w:rPr>
                <w:rFonts w:cs="Times New Roman"/>
                <w:b/>
                <w:bCs/>
                <w:sz w:val="20"/>
                <w:szCs w:val="20"/>
              </w:rPr>
              <w:t>Genus</w:t>
            </w:r>
          </w:p>
        </w:tc>
        <w:tc>
          <w:tcPr>
            <w:tcW w:w="1262" w:type="dxa"/>
            <w:vAlign w:val="center"/>
            <w:hideMark/>
          </w:tcPr>
          <w:p w14:paraId="46E442C0" w14:textId="77777777" w:rsidR="00EA19C1" w:rsidRPr="00F32171" w:rsidRDefault="00EA19C1" w:rsidP="00EA19C1">
            <w:pPr>
              <w:ind w:left="360" w:hanging="360"/>
              <w:contextualSpacing/>
              <w:rPr>
                <w:rFonts w:cs="Times New Roman"/>
                <w:b/>
                <w:bCs/>
                <w:sz w:val="20"/>
                <w:szCs w:val="20"/>
              </w:rPr>
            </w:pPr>
            <w:r w:rsidRPr="00F32171">
              <w:rPr>
                <w:rFonts w:cs="Times New Roman"/>
                <w:b/>
                <w:bCs/>
                <w:sz w:val="20"/>
                <w:szCs w:val="20"/>
              </w:rPr>
              <w:t>Species</w:t>
            </w:r>
          </w:p>
        </w:tc>
        <w:tc>
          <w:tcPr>
            <w:tcW w:w="1530" w:type="dxa"/>
            <w:vAlign w:val="center"/>
            <w:hideMark/>
          </w:tcPr>
          <w:p w14:paraId="3DE19279" w14:textId="77777777" w:rsidR="00EA19C1" w:rsidRPr="00F32171" w:rsidRDefault="00EA19C1" w:rsidP="00EA19C1">
            <w:pPr>
              <w:ind w:left="360" w:hanging="360"/>
              <w:contextualSpacing/>
              <w:rPr>
                <w:rFonts w:cs="Times New Roman"/>
                <w:b/>
                <w:bCs/>
                <w:sz w:val="20"/>
                <w:szCs w:val="20"/>
              </w:rPr>
            </w:pPr>
            <w:r w:rsidRPr="00F32171">
              <w:rPr>
                <w:rFonts w:cs="Times New Roman"/>
                <w:b/>
                <w:bCs/>
                <w:sz w:val="20"/>
                <w:szCs w:val="20"/>
              </w:rPr>
              <w:t>Total Sampled</w:t>
            </w:r>
          </w:p>
        </w:tc>
        <w:tc>
          <w:tcPr>
            <w:tcW w:w="3150" w:type="dxa"/>
            <w:vAlign w:val="center"/>
            <w:hideMark/>
          </w:tcPr>
          <w:p w14:paraId="11BCF3D1" w14:textId="77777777" w:rsidR="00EA19C1" w:rsidRPr="00F32171" w:rsidRDefault="00EA19C1" w:rsidP="00EA19C1">
            <w:pPr>
              <w:ind w:left="360" w:hanging="360"/>
              <w:contextualSpacing/>
              <w:rPr>
                <w:rFonts w:cs="Times New Roman"/>
                <w:b/>
                <w:bCs/>
                <w:sz w:val="20"/>
                <w:szCs w:val="20"/>
              </w:rPr>
            </w:pPr>
            <w:r>
              <w:rPr>
                <w:rFonts w:cs="Times New Roman"/>
                <w:b/>
                <w:bCs/>
                <w:sz w:val="20"/>
                <w:szCs w:val="20"/>
              </w:rPr>
              <w:t>Biogeographic Region</w:t>
            </w:r>
            <w:r w:rsidRPr="00F32171">
              <w:rPr>
                <w:rFonts w:cs="Times New Roman"/>
                <w:b/>
                <w:bCs/>
                <w:sz w:val="20"/>
                <w:szCs w:val="20"/>
              </w:rPr>
              <w:t xml:space="preserve"> (</w:t>
            </w:r>
            <w:r>
              <w:rPr>
                <w:rFonts w:cs="Times New Roman"/>
                <w:b/>
                <w:bCs/>
                <w:sz w:val="20"/>
                <w:szCs w:val="20"/>
              </w:rPr>
              <w:t>#</w:t>
            </w:r>
            <w:r w:rsidRPr="00F32171">
              <w:rPr>
                <w:rFonts w:cs="Times New Roman"/>
                <w:b/>
                <w:bCs/>
                <w:sz w:val="20"/>
                <w:szCs w:val="20"/>
              </w:rPr>
              <w:t xml:space="preserve"> sampled)</w:t>
            </w:r>
          </w:p>
        </w:tc>
        <w:tc>
          <w:tcPr>
            <w:tcW w:w="3150" w:type="dxa"/>
            <w:vAlign w:val="center"/>
            <w:hideMark/>
          </w:tcPr>
          <w:p w14:paraId="18E253D2" w14:textId="77777777" w:rsidR="00EA19C1" w:rsidRPr="00F32171" w:rsidRDefault="00EA19C1" w:rsidP="00EA19C1">
            <w:pPr>
              <w:ind w:left="360" w:hanging="360"/>
              <w:contextualSpacing/>
              <w:rPr>
                <w:rFonts w:cs="Times New Roman"/>
                <w:b/>
                <w:bCs/>
                <w:sz w:val="20"/>
                <w:szCs w:val="20"/>
              </w:rPr>
            </w:pPr>
            <w:r w:rsidRPr="00F32171">
              <w:rPr>
                <w:rFonts w:cs="Times New Roman"/>
                <w:b/>
                <w:bCs/>
                <w:sz w:val="20"/>
                <w:szCs w:val="20"/>
              </w:rPr>
              <w:t>Localities (# individuals sampled)</w:t>
            </w:r>
          </w:p>
        </w:tc>
        <w:tc>
          <w:tcPr>
            <w:tcW w:w="1080" w:type="dxa"/>
            <w:vAlign w:val="center"/>
            <w:hideMark/>
          </w:tcPr>
          <w:p w14:paraId="3DB67049" w14:textId="77777777" w:rsidR="00EA19C1" w:rsidRPr="00F32171" w:rsidRDefault="00EA19C1" w:rsidP="00EA19C1">
            <w:pPr>
              <w:ind w:left="360" w:hanging="360"/>
              <w:contextualSpacing/>
              <w:rPr>
                <w:rFonts w:cs="Times New Roman"/>
                <w:b/>
                <w:bCs/>
                <w:sz w:val="20"/>
                <w:szCs w:val="20"/>
              </w:rPr>
            </w:pPr>
            <w:r>
              <w:rPr>
                <w:rFonts w:cs="Times New Roman"/>
                <w:b/>
                <w:bCs/>
                <w:sz w:val="20"/>
                <w:szCs w:val="20"/>
              </w:rPr>
              <w:t>Habitat</w:t>
            </w:r>
          </w:p>
        </w:tc>
        <w:tc>
          <w:tcPr>
            <w:tcW w:w="906" w:type="dxa"/>
            <w:vAlign w:val="center"/>
            <w:hideMark/>
          </w:tcPr>
          <w:p w14:paraId="1AFE87EC" w14:textId="77777777" w:rsidR="00EA19C1" w:rsidRPr="00F32171" w:rsidRDefault="00EA19C1" w:rsidP="00EA19C1">
            <w:pPr>
              <w:ind w:left="360" w:hanging="360"/>
              <w:contextualSpacing/>
              <w:rPr>
                <w:rFonts w:cs="Times New Roman"/>
                <w:b/>
                <w:bCs/>
                <w:sz w:val="20"/>
                <w:szCs w:val="20"/>
              </w:rPr>
            </w:pPr>
            <w:r w:rsidRPr="00F32171">
              <w:rPr>
                <w:rFonts w:cs="Times New Roman"/>
                <w:b/>
                <w:bCs/>
                <w:sz w:val="20"/>
                <w:szCs w:val="20"/>
              </w:rPr>
              <w:t>Range</w:t>
            </w:r>
          </w:p>
        </w:tc>
        <w:tc>
          <w:tcPr>
            <w:tcW w:w="1074" w:type="dxa"/>
            <w:vAlign w:val="center"/>
            <w:hideMark/>
          </w:tcPr>
          <w:p w14:paraId="31B135B0" w14:textId="77777777" w:rsidR="00EA19C1" w:rsidRPr="00F32171" w:rsidRDefault="00EA19C1" w:rsidP="00EA19C1">
            <w:pPr>
              <w:ind w:left="360" w:hanging="360"/>
              <w:contextualSpacing/>
              <w:rPr>
                <w:rFonts w:cs="Times New Roman"/>
                <w:b/>
                <w:bCs/>
                <w:sz w:val="20"/>
                <w:szCs w:val="20"/>
              </w:rPr>
            </w:pPr>
            <w:r w:rsidRPr="00F32171">
              <w:rPr>
                <w:rFonts w:cs="Times New Roman"/>
                <w:b/>
                <w:bCs/>
                <w:sz w:val="20"/>
                <w:szCs w:val="20"/>
              </w:rPr>
              <w:t>Body Size</w:t>
            </w:r>
          </w:p>
        </w:tc>
      </w:tr>
      <w:tr w:rsidR="00EA19C1" w:rsidRPr="00F32171" w14:paraId="1801D95E" w14:textId="77777777" w:rsidTr="00EA19C1">
        <w:trPr>
          <w:trHeight w:val="320"/>
        </w:trPr>
        <w:tc>
          <w:tcPr>
            <w:tcW w:w="1433" w:type="dxa"/>
            <w:vAlign w:val="center"/>
            <w:hideMark/>
          </w:tcPr>
          <w:p w14:paraId="2B863419"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Cyrtodactylus</w:t>
            </w:r>
          </w:p>
        </w:tc>
        <w:tc>
          <w:tcPr>
            <w:tcW w:w="1262" w:type="dxa"/>
            <w:vAlign w:val="center"/>
            <w:hideMark/>
          </w:tcPr>
          <w:p w14:paraId="56897DAB"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philippinicus</w:t>
            </w:r>
          </w:p>
        </w:tc>
        <w:tc>
          <w:tcPr>
            <w:tcW w:w="1530" w:type="dxa"/>
            <w:vAlign w:val="center"/>
            <w:hideMark/>
          </w:tcPr>
          <w:p w14:paraId="73A6FA1C" w14:textId="77777777" w:rsidR="00EA19C1" w:rsidRPr="00F32171" w:rsidRDefault="00EA19C1" w:rsidP="00EA19C1">
            <w:pPr>
              <w:ind w:left="360" w:hanging="360"/>
              <w:contextualSpacing/>
              <w:jc w:val="center"/>
              <w:rPr>
                <w:rFonts w:cs="Times New Roman"/>
                <w:sz w:val="20"/>
                <w:szCs w:val="20"/>
              </w:rPr>
            </w:pPr>
            <w:r w:rsidRPr="00F32171">
              <w:rPr>
                <w:rFonts w:cs="Times New Roman"/>
                <w:sz w:val="20"/>
                <w:szCs w:val="20"/>
              </w:rPr>
              <w:t>12</w:t>
            </w:r>
          </w:p>
        </w:tc>
        <w:tc>
          <w:tcPr>
            <w:tcW w:w="3150" w:type="dxa"/>
            <w:vAlign w:val="center"/>
            <w:hideMark/>
          </w:tcPr>
          <w:p w14:paraId="67D60113"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Luzon (5), Bicol (5), Negros (2)</w:t>
            </w:r>
          </w:p>
        </w:tc>
        <w:tc>
          <w:tcPr>
            <w:tcW w:w="3150" w:type="dxa"/>
            <w:vAlign w:val="center"/>
            <w:hideMark/>
          </w:tcPr>
          <w:p w14:paraId="17F42E51" w14:textId="77777777" w:rsidR="00EA19C1" w:rsidRPr="00CD1676" w:rsidRDefault="00EA19C1" w:rsidP="00EA19C1">
            <w:pPr>
              <w:contextualSpacing/>
              <w:rPr>
                <w:sz w:val="20"/>
              </w:rPr>
            </w:pPr>
            <w:r w:rsidRPr="00CD1676">
              <w:rPr>
                <w:sz w:val="20"/>
              </w:rPr>
              <w:t>Cagbang (2), Mt. Palali (5), Mariroc (2), Tulay na Lupa (3)</w:t>
            </w:r>
          </w:p>
        </w:tc>
        <w:tc>
          <w:tcPr>
            <w:tcW w:w="1080" w:type="dxa"/>
            <w:vAlign w:val="center"/>
            <w:hideMark/>
          </w:tcPr>
          <w:p w14:paraId="0DA188EF"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Forest</w:t>
            </w:r>
          </w:p>
        </w:tc>
        <w:tc>
          <w:tcPr>
            <w:tcW w:w="906" w:type="dxa"/>
            <w:vAlign w:val="center"/>
            <w:hideMark/>
          </w:tcPr>
          <w:p w14:paraId="090EF273"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Wide</w:t>
            </w:r>
          </w:p>
        </w:tc>
        <w:tc>
          <w:tcPr>
            <w:tcW w:w="1074" w:type="dxa"/>
            <w:vAlign w:val="center"/>
            <w:hideMark/>
          </w:tcPr>
          <w:p w14:paraId="1D77CD0B"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Large</w:t>
            </w:r>
          </w:p>
        </w:tc>
      </w:tr>
      <w:tr w:rsidR="00EA19C1" w:rsidRPr="00F32171" w14:paraId="35EA6D92" w14:textId="77777777" w:rsidTr="00EA19C1">
        <w:trPr>
          <w:trHeight w:val="320"/>
        </w:trPr>
        <w:tc>
          <w:tcPr>
            <w:tcW w:w="1433" w:type="dxa"/>
            <w:vAlign w:val="center"/>
            <w:hideMark/>
          </w:tcPr>
          <w:p w14:paraId="19FCB1BC"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Gekko</w:t>
            </w:r>
          </w:p>
        </w:tc>
        <w:tc>
          <w:tcPr>
            <w:tcW w:w="1262" w:type="dxa"/>
            <w:vAlign w:val="center"/>
            <w:hideMark/>
          </w:tcPr>
          <w:p w14:paraId="0E3B30D2"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crombota</w:t>
            </w:r>
          </w:p>
        </w:tc>
        <w:tc>
          <w:tcPr>
            <w:tcW w:w="1530" w:type="dxa"/>
            <w:vAlign w:val="center"/>
            <w:hideMark/>
          </w:tcPr>
          <w:p w14:paraId="0FCCB29F" w14:textId="77777777" w:rsidR="00EA19C1" w:rsidRPr="00F32171" w:rsidRDefault="00EA19C1" w:rsidP="00EA19C1">
            <w:pPr>
              <w:ind w:left="360" w:hanging="360"/>
              <w:contextualSpacing/>
              <w:jc w:val="center"/>
              <w:rPr>
                <w:rFonts w:cs="Times New Roman"/>
                <w:sz w:val="20"/>
                <w:szCs w:val="20"/>
              </w:rPr>
            </w:pPr>
            <w:r w:rsidRPr="00F32171">
              <w:rPr>
                <w:rFonts w:cs="Times New Roman"/>
                <w:sz w:val="20"/>
                <w:szCs w:val="20"/>
              </w:rPr>
              <w:t>7</w:t>
            </w:r>
          </w:p>
        </w:tc>
        <w:tc>
          <w:tcPr>
            <w:tcW w:w="3150" w:type="dxa"/>
            <w:vAlign w:val="center"/>
            <w:hideMark/>
          </w:tcPr>
          <w:p w14:paraId="3AED386E"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Babuyan (1)</w:t>
            </w:r>
          </w:p>
        </w:tc>
        <w:tc>
          <w:tcPr>
            <w:tcW w:w="3150" w:type="dxa"/>
            <w:vAlign w:val="center"/>
            <w:hideMark/>
          </w:tcPr>
          <w:p w14:paraId="399AB66B"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Tapao Falls (7)</w:t>
            </w:r>
          </w:p>
        </w:tc>
        <w:tc>
          <w:tcPr>
            <w:tcW w:w="1080" w:type="dxa"/>
            <w:vAlign w:val="center"/>
            <w:hideMark/>
          </w:tcPr>
          <w:p w14:paraId="7F54F445"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Forest</w:t>
            </w:r>
          </w:p>
        </w:tc>
        <w:tc>
          <w:tcPr>
            <w:tcW w:w="906" w:type="dxa"/>
            <w:vAlign w:val="center"/>
            <w:hideMark/>
          </w:tcPr>
          <w:p w14:paraId="792BED41"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Micro</w:t>
            </w:r>
          </w:p>
        </w:tc>
        <w:tc>
          <w:tcPr>
            <w:tcW w:w="1074" w:type="dxa"/>
            <w:vAlign w:val="center"/>
            <w:hideMark/>
          </w:tcPr>
          <w:p w14:paraId="2539CFED"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Large</w:t>
            </w:r>
          </w:p>
        </w:tc>
      </w:tr>
      <w:tr w:rsidR="00EA19C1" w:rsidRPr="00F32171" w14:paraId="60662D67" w14:textId="77777777" w:rsidTr="00EA19C1">
        <w:trPr>
          <w:trHeight w:val="320"/>
        </w:trPr>
        <w:tc>
          <w:tcPr>
            <w:tcW w:w="1433" w:type="dxa"/>
            <w:vAlign w:val="center"/>
            <w:hideMark/>
          </w:tcPr>
          <w:p w14:paraId="7D7A55E6"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Gekko</w:t>
            </w:r>
          </w:p>
        </w:tc>
        <w:tc>
          <w:tcPr>
            <w:tcW w:w="1262" w:type="dxa"/>
            <w:vAlign w:val="center"/>
            <w:hideMark/>
          </w:tcPr>
          <w:p w14:paraId="593E4CEB"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gecko</w:t>
            </w:r>
          </w:p>
        </w:tc>
        <w:tc>
          <w:tcPr>
            <w:tcW w:w="1530" w:type="dxa"/>
            <w:vAlign w:val="center"/>
            <w:hideMark/>
          </w:tcPr>
          <w:p w14:paraId="4619B0A8" w14:textId="77777777" w:rsidR="00EA19C1" w:rsidRPr="00F32171" w:rsidRDefault="00EA19C1" w:rsidP="00EA19C1">
            <w:pPr>
              <w:ind w:left="360" w:hanging="360"/>
              <w:contextualSpacing/>
              <w:jc w:val="center"/>
              <w:rPr>
                <w:rFonts w:cs="Times New Roman"/>
                <w:sz w:val="20"/>
                <w:szCs w:val="20"/>
              </w:rPr>
            </w:pPr>
            <w:r w:rsidRPr="00F32171">
              <w:rPr>
                <w:rFonts w:cs="Times New Roman"/>
                <w:sz w:val="20"/>
                <w:szCs w:val="20"/>
              </w:rPr>
              <w:t>4</w:t>
            </w:r>
          </w:p>
        </w:tc>
        <w:tc>
          <w:tcPr>
            <w:tcW w:w="3150" w:type="dxa"/>
            <w:vAlign w:val="center"/>
            <w:hideMark/>
          </w:tcPr>
          <w:p w14:paraId="629AFC57"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Negros (1)</w:t>
            </w:r>
          </w:p>
        </w:tc>
        <w:tc>
          <w:tcPr>
            <w:tcW w:w="3150" w:type="dxa"/>
            <w:vAlign w:val="center"/>
            <w:hideMark/>
          </w:tcPr>
          <w:p w14:paraId="6ECF713E"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Cagbang (4)</w:t>
            </w:r>
          </w:p>
        </w:tc>
        <w:tc>
          <w:tcPr>
            <w:tcW w:w="1080" w:type="dxa"/>
            <w:vAlign w:val="center"/>
            <w:hideMark/>
          </w:tcPr>
          <w:p w14:paraId="273836FC"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Human</w:t>
            </w:r>
          </w:p>
        </w:tc>
        <w:tc>
          <w:tcPr>
            <w:tcW w:w="906" w:type="dxa"/>
            <w:vAlign w:val="center"/>
            <w:hideMark/>
          </w:tcPr>
          <w:p w14:paraId="32A224E9"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Wide</w:t>
            </w:r>
          </w:p>
        </w:tc>
        <w:tc>
          <w:tcPr>
            <w:tcW w:w="1074" w:type="dxa"/>
            <w:vAlign w:val="center"/>
            <w:hideMark/>
          </w:tcPr>
          <w:p w14:paraId="116EBD70"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Large</w:t>
            </w:r>
          </w:p>
        </w:tc>
      </w:tr>
      <w:tr w:rsidR="00EA19C1" w:rsidRPr="00F32171" w14:paraId="20CF467B" w14:textId="77777777" w:rsidTr="00EA19C1">
        <w:trPr>
          <w:trHeight w:val="320"/>
        </w:trPr>
        <w:tc>
          <w:tcPr>
            <w:tcW w:w="1433" w:type="dxa"/>
            <w:vAlign w:val="center"/>
            <w:hideMark/>
          </w:tcPr>
          <w:p w14:paraId="4AE8BFB4"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Gekko</w:t>
            </w:r>
          </w:p>
        </w:tc>
        <w:tc>
          <w:tcPr>
            <w:tcW w:w="1262" w:type="dxa"/>
            <w:vAlign w:val="center"/>
            <w:hideMark/>
          </w:tcPr>
          <w:p w14:paraId="5E0F3CD2"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kikuchii</w:t>
            </w:r>
          </w:p>
        </w:tc>
        <w:tc>
          <w:tcPr>
            <w:tcW w:w="1530" w:type="dxa"/>
            <w:vAlign w:val="center"/>
            <w:hideMark/>
          </w:tcPr>
          <w:p w14:paraId="099D3BBA" w14:textId="77777777" w:rsidR="00EA19C1" w:rsidRPr="00F32171" w:rsidRDefault="00EA19C1" w:rsidP="00EA19C1">
            <w:pPr>
              <w:ind w:left="360" w:hanging="360"/>
              <w:contextualSpacing/>
              <w:jc w:val="center"/>
              <w:rPr>
                <w:rFonts w:cs="Times New Roman"/>
                <w:sz w:val="20"/>
                <w:szCs w:val="20"/>
              </w:rPr>
            </w:pPr>
            <w:r w:rsidRPr="00F32171">
              <w:rPr>
                <w:rFonts w:cs="Times New Roman"/>
                <w:sz w:val="20"/>
                <w:szCs w:val="20"/>
              </w:rPr>
              <w:t>1</w:t>
            </w:r>
          </w:p>
        </w:tc>
        <w:tc>
          <w:tcPr>
            <w:tcW w:w="3150" w:type="dxa"/>
            <w:vAlign w:val="center"/>
            <w:hideMark/>
          </w:tcPr>
          <w:p w14:paraId="70091693"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Luzon (1)</w:t>
            </w:r>
          </w:p>
        </w:tc>
        <w:tc>
          <w:tcPr>
            <w:tcW w:w="3150" w:type="dxa"/>
            <w:vAlign w:val="center"/>
            <w:hideMark/>
          </w:tcPr>
          <w:p w14:paraId="27B3F499"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Nasiping (1)</w:t>
            </w:r>
          </w:p>
        </w:tc>
        <w:tc>
          <w:tcPr>
            <w:tcW w:w="1080" w:type="dxa"/>
            <w:vAlign w:val="center"/>
            <w:hideMark/>
          </w:tcPr>
          <w:p w14:paraId="3DBB5A56"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Human</w:t>
            </w:r>
          </w:p>
        </w:tc>
        <w:tc>
          <w:tcPr>
            <w:tcW w:w="906" w:type="dxa"/>
            <w:vAlign w:val="center"/>
            <w:hideMark/>
          </w:tcPr>
          <w:p w14:paraId="57857D64"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Wide</w:t>
            </w:r>
          </w:p>
        </w:tc>
        <w:tc>
          <w:tcPr>
            <w:tcW w:w="1074" w:type="dxa"/>
            <w:vAlign w:val="center"/>
            <w:hideMark/>
          </w:tcPr>
          <w:p w14:paraId="3728519A"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Small</w:t>
            </w:r>
          </w:p>
        </w:tc>
      </w:tr>
      <w:tr w:rsidR="00EA19C1" w:rsidRPr="00F32171" w14:paraId="19FA8BFD" w14:textId="77777777" w:rsidTr="00EA19C1">
        <w:trPr>
          <w:trHeight w:val="320"/>
        </w:trPr>
        <w:tc>
          <w:tcPr>
            <w:tcW w:w="1433" w:type="dxa"/>
            <w:vAlign w:val="center"/>
            <w:hideMark/>
          </w:tcPr>
          <w:p w14:paraId="4ACFA5BD"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Gekko</w:t>
            </w:r>
          </w:p>
        </w:tc>
        <w:tc>
          <w:tcPr>
            <w:tcW w:w="1262" w:type="dxa"/>
            <w:vAlign w:val="center"/>
            <w:hideMark/>
          </w:tcPr>
          <w:p w14:paraId="1B162153"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mindorensis</w:t>
            </w:r>
          </w:p>
        </w:tc>
        <w:tc>
          <w:tcPr>
            <w:tcW w:w="1530" w:type="dxa"/>
            <w:vAlign w:val="center"/>
            <w:hideMark/>
          </w:tcPr>
          <w:p w14:paraId="3B092294" w14:textId="77777777" w:rsidR="00EA19C1" w:rsidRPr="00F32171" w:rsidRDefault="00EA19C1" w:rsidP="00EA19C1">
            <w:pPr>
              <w:ind w:left="360" w:hanging="360"/>
              <w:contextualSpacing/>
              <w:jc w:val="center"/>
              <w:rPr>
                <w:rFonts w:cs="Times New Roman"/>
                <w:sz w:val="20"/>
                <w:szCs w:val="20"/>
              </w:rPr>
            </w:pPr>
            <w:r w:rsidRPr="00F32171">
              <w:rPr>
                <w:rFonts w:cs="Times New Roman"/>
                <w:sz w:val="20"/>
                <w:szCs w:val="20"/>
              </w:rPr>
              <w:t>4</w:t>
            </w:r>
          </w:p>
        </w:tc>
        <w:tc>
          <w:tcPr>
            <w:tcW w:w="3150" w:type="dxa"/>
            <w:vAlign w:val="center"/>
            <w:hideMark/>
          </w:tcPr>
          <w:p w14:paraId="68804ECC"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Luzon (4)</w:t>
            </w:r>
          </w:p>
        </w:tc>
        <w:tc>
          <w:tcPr>
            <w:tcW w:w="3150" w:type="dxa"/>
            <w:vAlign w:val="center"/>
            <w:hideMark/>
          </w:tcPr>
          <w:p w14:paraId="1D5BC972"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Mt. Palali (4)</w:t>
            </w:r>
          </w:p>
        </w:tc>
        <w:tc>
          <w:tcPr>
            <w:tcW w:w="1080" w:type="dxa"/>
            <w:vAlign w:val="center"/>
            <w:hideMark/>
          </w:tcPr>
          <w:p w14:paraId="654BCC04"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Forest</w:t>
            </w:r>
          </w:p>
        </w:tc>
        <w:tc>
          <w:tcPr>
            <w:tcW w:w="906" w:type="dxa"/>
            <w:vAlign w:val="center"/>
            <w:hideMark/>
          </w:tcPr>
          <w:p w14:paraId="27DE98BC"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Wide</w:t>
            </w:r>
          </w:p>
        </w:tc>
        <w:tc>
          <w:tcPr>
            <w:tcW w:w="1074" w:type="dxa"/>
            <w:vAlign w:val="center"/>
            <w:hideMark/>
          </w:tcPr>
          <w:p w14:paraId="219631A0"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Small</w:t>
            </w:r>
          </w:p>
        </w:tc>
      </w:tr>
      <w:tr w:rsidR="00EA19C1" w:rsidRPr="00F32171" w14:paraId="1786F02B" w14:textId="77777777" w:rsidTr="00EA19C1">
        <w:trPr>
          <w:trHeight w:val="320"/>
        </w:trPr>
        <w:tc>
          <w:tcPr>
            <w:tcW w:w="1433" w:type="dxa"/>
            <w:vAlign w:val="center"/>
            <w:hideMark/>
          </w:tcPr>
          <w:p w14:paraId="3BD9199D"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Gekko</w:t>
            </w:r>
          </w:p>
        </w:tc>
        <w:tc>
          <w:tcPr>
            <w:tcW w:w="1262" w:type="dxa"/>
            <w:vAlign w:val="center"/>
            <w:hideMark/>
          </w:tcPr>
          <w:p w14:paraId="12B8786D"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rossi</w:t>
            </w:r>
          </w:p>
        </w:tc>
        <w:tc>
          <w:tcPr>
            <w:tcW w:w="1530" w:type="dxa"/>
            <w:vAlign w:val="center"/>
            <w:hideMark/>
          </w:tcPr>
          <w:p w14:paraId="49F09FA6" w14:textId="77777777" w:rsidR="00EA19C1" w:rsidRPr="00F32171" w:rsidRDefault="00EA19C1" w:rsidP="00EA19C1">
            <w:pPr>
              <w:ind w:left="360" w:hanging="360"/>
              <w:contextualSpacing/>
              <w:jc w:val="center"/>
              <w:rPr>
                <w:rFonts w:cs="Times New Roman"/>
                <w:sz w:val="20"/>
                <w:szCs w:val="20"/>
              </w:rPr>
            </w:pPr>
            <w:r w:rsidRPr="00F32171">
              <w:rPr>
                <w:rFonts w:cs="Times New Roman"/>
                <w:sz w:val="20"/>
                <w:szCs w:val="20"/>
              </w:rPr>
              <w:t>9</w:t>
            </w:r>
          </w:p>
        </w:tc>
        <w:tc>
          <w:tcPr>
            <w:tcW w:w="3150" w:type="dxa"/>
            <w:vAlign w:val="center"/>
            <w:hideMark/>
          </w:tcPr>
          <w:p w14:paraId="2F298A08"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Babuyan (9)</w:t>
            </w:r>
          </w:p>
        </w:tc>
        <w:tc>
          <w:tcPr>
            <w:tcW w:w="3150" w:type="dxa"/>
            <w:vAlign w:val="center"/>
            <w:hideMark/>
          </w:tcPr>
          <w:p w14:paraId="67A12FDE"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Magsidel (9)</w:t>
            </w:r>
          </w:p>
        </w:tc>
        <w:tc>
          <w:tcPr>
            <w:tcW w:w="1080" w:type="dxa"/>
            <w:vAlign w:val="center"/>
            <w:hideMark/>
          </w:tcPr>
          <w:p w14:paraId="2DB6451F"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Forest</w:t>
            </w:r>
          </w:p>
        </w:tc>
        <w:tc>
          <w:tcPr>
            <w:tcW w:w="906" w:type="dxa"/>
            <w:vAlign w:val="center"/>
            <w:hideMark/>
          </w:tcPr>
          <w:p w14:paraId="44867833"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Micro</w:t>
            </w:r>
          </w:p>
        </w:tc>
        <w:tc>
          <w:tcPr>
            <w:tcW w:w="1074" w:type="dxa"/>
            <w:vAlign w:val="center"/>
            <w:hideMark/>
          </w:tcPr>
          <w:p w14:paraId="75BE105F"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Large</w:t>
            </w:r>
          </w:p>
        </w:tc>
      </w:tr>
      <w:tr w:rsidR="00EA19C1" w:rsidRPr="00F32171" w14:paraId="49BFAF25" w14:textId="77777777" w:rsidTr="00EA19C1">
        <w:trPr>
          <w:trHeight w:val="320"/>
        </w:trPr>
        <w:tc>
          <w:tcPr>
            <w:tcW w:w="1433" w:type="dxa"/>
            <w:vAlign w:val="center"/>
            <w:hideMark/>
          </w:tcPr>
          <w:p w14:paraId="2EB86B94"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Hemidactylus</w:t>
            </w:r>
          </w:p>
        </w:tc>
        <w:tc>
          <w:tcPr>
            <w:tcW w:w="1262" w:type="dxa"/>
            <w:vAlign w:val="center"/>
            <w:hideMark/>
          </w:tcPr>
          <w:p w14:paraId="7403CAF4"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frenatus</w:t>
            </w:r>
          </w:p>
        </w:tc>
        <w:tc>
          <w:tcPr>
            <w:tcW w:w="1530" w:type="dxa"/>
            <w:vAlign w:val="center"/>
            <w:hideMark/>
          </w:tcPr>
          <w:p w14:paraId="508DE9B3" w14:textId="77777777" w:rsidR="00EA19C1" w:rsidRPr="00F32171" w:rsidRDefault="00EA19C1" w:rsidP="00EA19C1">
            <w:pPr>
              <w:ind w:left="360" w:hanging="360"/>
              <w:contextualSpacing/>
              <w:jc w:val="center"/>
              <w:rPr>
                <w:rFonts w:cs="Times New Roman"/>
                <w:sz w:val="20"/>
                <w:szCs w:val="20"/>
              </w:rPr>
            </w:pPr>
            <w:r w:rsidRPr="00F32171">
              <w:rPr>
                <w:rFonts w:cs="Times New Roman"/>
                <w:sz w:val="20"/>
                <w:szCs w:val="20"/>
              </w:rPr>
              <w:t>3</w:t>
            </w:r>
          </w:p>
        </w:tc>
        <w:tc>
          <w:tcPr>
            <w:tcW w:w="3150" w:type="dxa"/>
            <w:vAlign w:val="center"/>
            <w:hideMark/>
          </w:tcPr>
          <w:p w14:paraId="6F4B69FE"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Luzon (2), Negros (1)</w:t>
            </w:r>
          </w:p>
        </w:tc>
        <w:tc>
          <w:tcPr>
            <w:tcW w:w="3150" w:type="dxa"/>
            <w:vAlign w:val="center"/>
            <w:hideMark/>
          </w:tcPr>
          <w:p w14:paraId="3B2E19AE" w14:textId="77777777" w:rsidR="00EA19C1" w:rsidRPr="00F32171" w:rsidRDefault="00EA19C1" w:rsidP="00EA19C1">
            <w:pPr>
              <w:ind w:left="19" w:hanging="19"/>
              <w:contextualSpacing/>
              <w:rPr>
                <w:rFonts w:cs="Times New Roman"/>
                <w:sz w:val="20"/>
                <w:szCs w:val="20"/>
              </w:rPr>
            </w:pPr>
            <w:r w:rsidRPr="00F32171">
              <w:rPr>
                <w:rFonts w:cs="Times New Roman"/>
                <w:sz w:val="20"/>
                <w:szCs w:val="20"/>
              </w:rPr>
              <w:t>Cagbang (1), Mt. Palali (1), Nasiping</w:t>
            </w:r>
            <w:r>
              <w:rPr>
                <w:rFonts w:cs="Times New Roman"/>
                <w:sz w:val="20"/>
                <w:szCs w:val="20"/>
              </w:rPr>
              <w:t xml:space="preserve"> </w:t>
            </w:r>
            <w:r w:rsidRPr="00F32171">
              <w:rPr>
                <w:rFonts w:cs="Times New Roman"/>
                <w:sz w:val="20"/>
                <w:szCs w:val="20"/>
              </w:rPr>
              <w:t>(1)</w:t>
            </w:r>
          </w:p>
        </w:tc>
        <w:tc>
          <w:tcPr>
            <w:tcW w:w="1080" w:type="dxa"/>
            <w:vAlign w:val="center"/>
            <w:hideMark/>
          </w:tcPr>
          <w:p w14:paraId="729BEAF8"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Human</w:t>
            </w:r>
          </w:p>
        </w:tc>
        <w:tc>
          <w:tcPr>
            <w:tcW w:w="906" w:type="dxa"/>
            <w:vAlign w:val="center"/>
            <w:hideMark/>
          </w:tcPr>
          <w:p w14:paraId="6292263A"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Wide</w:t>
            </w:r>
          </w:p>
        </w:tc>
        <w:tc>
          <w:tcPr>
            <w:tcW w:w="1074" w:type="dxa"/>
            <w:vAlign w:val="center"/>
            <w:hideMark/>
          </w:tcPr>
          <w:p w14:paraId="1BD15BE9"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Small</w:t>
            </w:r>
          </w:p>
        </w:tc>
      </w:tr>
      <w:tr w:rsidR="00EA19C1" w:rsidRPr="00F32171" w14:paraId="7643D5CC" w14:textId="77777777" w:rsidTr="00EA19C1">
        <w:trPr>
          <w:trHeight w:val="320"/>
        </w:trPr>
        <w:tc>
          <w:tcPr>
            <w:tcW w:w="1433" w:type="dxa"/>
            <w:vAlign w:val="center"/>
            <w:hideMark/>
          </w:tcPr>
          <w:p w14:paraId="59AEEC71"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Hemidactylus</w:t>
            </w:r>
          </w:p>
        </w:tc>
        <w:tc>
          <w:tcPr>
            <w:tcW w:w="1262" w:type="dxa"/>
            <w:vAlign w:val="center"/>
            <w:hideMark/>
          </w:tcPr>
          <w:p w14:paraId="26B18843"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platyurus</w:t>
            </w:r>
          </w:p>
        </w:tc>
        <w:tc>
          <w:tcPr>
            <w:tcW w:w="1530" w:type="dxa"/>
            <w:vAlign w:val="center"/>
            <w:hideMark/>
          </w:tcPr>
          <w:p w14:paraId="03C54AAF" w14:textId="77777777" w:rsidR="00EA19C1" w:rsidRPr="00F32171" w:rsidRDefault="00EA19C1" w:rsidP="00EA19C1">
            <w:pPr>
              <w:ind w:left="360" w:hanging="360"/>
              <w:contextualSpacing/>
              <w:jc w:val="center"/>
              <w:rPr>
                <w:rFonts w:cs="Times New Roman"/>
                <w:sz w:val="20"/>
                <w:szCs w:val="20"/>
              </w:rPr>
            </w:pPr>
            <w:r w:rsidRPr="00F32171">
              <w:rPr>
                <w:rFonts w:cs="Times New Roman"/>
                <w:sz w:val="20"/>
                <w:szCs w:val="20"/>
              </w:rPr>
              <w:t>3</w:t>
            </w:r>
          </w:p>
        </w:tc>
        <w:tc>
          <w:tcPr>
            <w:tcW w:w="3150" w:type="dxa"/>
            <w:vAlign w:val="center"/>
            <w:hideMark/>
          </w:tcPr>
          <w:p w14:paraId="42CED4F8"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Luzon (2), Negros (1)</w:t>
            </w:r>
          </w:p>
        </w:tc>
        <w:tc>
          <w:tcPr>
            <w:tcW w:w="3150" w:type="dxa"/>
            <w:vAlign w:val="center"/>
            <w:hideMark/>
          </w:tcPr>
          <w:p w14:paraId="13CD0D2E" w14:textId="77777777" w:rsidR="00EA19C1" w:rsidRPr="00F32171" w:rsidRDefault="00EA19C1" w:rsidP="00EA19C1">
            <w:pPr>
              <w:ind w:left="19" w:hanging="19"/>
              <w:contextualSpacing/>
              <w:rPr>
                <w:rFonts w:cs="Times New Roman"/>
                <w:sz w:val="20"/>
                <w:szCs w:val="20"/>
              </w:rPr>
            </w:pPr>
            <w:r w:rsidRPr="00F32171">
              <w:rPr>
                <w:rFonts w:cs="Times New Roman"/>
                <w:sz w:val="20"/>
                <w:szCs w:val="20"/>
              </w:rPr>
              <w:t>Cagbang (1), Nasiping (2)</w:t>
            </w:r>
          </w:p>
        </w:tc>
        <w:tc>
          <w:tcPr>
            <w:tcW w:w="1080" w:type="dxa"/>
            <w:vAlign w:val="center"/>
            <w:hideMark/>
          </w:tcPr>
          <w:p w14:paraId="3C7F6472"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Human</w:t>
            </w:r>
          </w:p>
        </w:tc>
        <w:tc>
          <w:tcPr>
            <w:tcW w:w="906" w:type="dxa"/>
            <w:vAlign w:val="center"/>
            <w:hideMark/>
          </w:tcPr>
          <w:p w14:paraId="7E3D2EDE"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Wide</w:t>
            </w:r>
          </w:p>
        </w:tc>
        <w:tc>
          <w:tcPr>
            <w:tcW w:w="1074" w:type="dxa"/>
            <w:vAlign w:val="center"/>
            <w:hideMark/>
          </w:tcPr>
          <w:p w14:paraId="0C3C0977"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Small</w:t>
            </w:r>
          </w:p>
        </w:tc>
      </w:tr>
      <w:tr w:rsidR="00EA19C1" w:rsidRPr="00F32171" w14:paraId="40044523" w14:textId="77777777" w:rsidTr="00EA19C1">
        <w:trPr>
          <w:trHeight w:val="320"/>
        </w:trPr>
        <w:tc>
          <w:tcPr>
            <w:tcW w:w="1433" w:type="dxa"/>
            <w:vAlign w:val="center"/>
            <w:hideMark/>
          </w:tcPr>
          <w:p w14:paraId="236DDC76"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Luperosaurus</w:t>
            </w:r>
          </w:p>
        </w:tc>
        <w:tc>
          <w:tcPr>
            <w:tcW w:w="1262" w:type="dxa"/>
            <w:vAlign w:val="center"/>
            <w:hideMark/>
          </w:tcPr>
          <w:p w14:paraId="48AF5D54" w14:textId="77777777" w:rsidR="00EA19C1" w:rsidRPr="00F32171" w:rsidRDefault="00EA19C1" w:rsidP="00EA19C1">
            <w:pPr>
              <w:ind w:left="360" w:hanging="360"/>
              <w:contextualSpacing/>
              <w:rPr>
                <w:rFonts w:cs="Times New Roman"/>
                <w:i/>
                <w:iCs/>
                <w:sz w:val="20"/>
                <w:szCs w:val="20"/>
              </w:rPr>
            </w:pPr>
            <w:r w:rsidRPr="00F32171">
              <w:rPr>
                <w:rFonts w:cs="Times New Roman"/>
                <w:i/>
                <w:iCs/>
                <w:sz w:val="20"/>
                <w:szCs w:val="20"/>
              </w:rPr>
              <w:t>macgregori</w:t>
            </w:r>
          </w:p>
        </w:tc>
        <w:tc>
          <w:tcPr>
            <w:tcW w:w="1530" w:type="dxa"/>
            <w:vAlign w:val="center"/>
            <w:hideMark/>
          </w:tcPr>
          <w:p w14:paraId="0A9C3DC7" w14:textId="77777777" w:rsidR="00EA19C1" w:rsidRPr="00F32171" w:rsidRDefault="00EA19C1" w:rsidP="00EA19C1">
            <w:pPr>
              <w:ind w:left="360" w:hanging="360"/>
              <w:contextualSpacing/>
              <w:jc w:val="center"/>
              <w:rPr>
                <w:rFonts w:cs="Times New Roman"/>
                <w:sz w:val="20"/>
                <w:szCs w:val="20"/>
              </w:rPr>
            </w:pPr>
            <w:r w:rsidRPr="00F32171">
              <w:rPr>
                <w:rFonts w:cs="Times New Roman"/>
                <w:sz w:val="20"/>
                <w:szCs w:val="20"/>
              </w:rPr>
              <w:t>4</w:t>
            </w:r>
          </w:p>
        </w:tc>
        <w:tc>
          <w:tcPr>
            <w:tcW w:w="3150" w:type="dxa"/>
            <w:vAlign w:val="center"/>
            <w:hideMark/>
          </w:tcPr>
          <w:p w14:paraId="26FAC21A"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Babuyan (4)</w:t>
            </w:r>
          </w:p>
        </w:tc>
        <w:tc>
          <w:tcPr>
            <w:tcW w:w="3150" w:type="dxa"/>
            <w:vAlign w:val="center"/>
            <w:hideMark/>
          </w:tcPr>
          <w:p w14:paraId="7CF52BDE"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Magsidel (4)</w:t>
            </w:r>
          </w:p>
        </w:tc>
        <w:tc>
          <w:tcPr>
            <w:tcW w:w="1080" w:type="dxa"/>
            <w:vAlign w:val="center"/>
            <w:hideMark/>
          </w:tcPr>
          <w:p w14:paraId="64A0EE57"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Forest</w:t>
            </w:r>
          </w:p>
        </w:tc>
        <w:tc>
          <w:tcPr>
            <w:tcW w:w="906" w:type="dxa"/>
            <w:vAlign w:val="center"/>
            <w:hideMark/>
          </w:tcPr>
          <w:p w14:paraId="0CE461D7"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Micro</w:t>
            </w:r>
          </w:p>
        </w:tc>
        <w:tc>
          <w:tcPr>
            <w:tcW w:w="1074" w:type="dxa"/>
            <w:vAlign w:val="center"/>
            <w:hideMark/>
          </w:tcPr>
          <w:p w14:paraId="308A2D9A" w14:textId="77777777" w:rsidR="00EA19C1" w:rsidRPr="00F32171" w:rsidRDefault="00EA19C1" w:rsidP="00EA19C1">
            <w:pPr>
              <w:ind w:left="360" w:hanging="360"/>
              <w:contextualSpacing/>
              <w:rPr>
                <w:rFonts w:cs="Times New Roman"/>
                <w:sz w:val="20"/>
                <w:szCs w:val="20"/>
              </w:rPr>
            </w:pPr>
            <w:r w:rsidRPr="00F32171">
              <w:rPr>
                <w:rFonts w:cs="Times New Roman"/>
                <w:sz w:val="20"/>
                <w:szCs w:val="20"/>
              </w:rPr>
              <w:t>Small</w:t>
            </w:r>
          </w:p>
        </w:tc>
      </w:tr>
    </w:tbl>
    <w:p w14:paraId="0215655B" w14:textId="77777777" w:rsidR="00EA19C1" w:rsidRDefault="00EA19C1">
      <w:pPr>
        <w:rPr>
          <w:rFonts w:cs="Times New Roman"/>
          <w:b/>
          <w:bCs/>
          <w:color w:val="000000"/>
        </w:rPr>
        <w:sectPr w:rsidR="00EA19C1" w:rsidSect="0091618E">
          <w:pgSz w:w="15840" w:h="12240" w:orient="landscape"/>
          <w:pgMar w:top="1440" w:right="1440" w:bottom="1440" w:left="1440" w:header="720" w:footer="720" w:gutter="0"/>
          <w:cols w:space="720"/>
          <w:docGrid w:linePitch="360"/>
        </w:sectPr>
      </w:pPr>
    </w:p>
    <w:p w14:paraId="6E772088" w14:textId="087D4EFA" w:rsidR="003A0506" w:rsidRPr="003A0506" w:rsidRDefault="00C54D48" w:rsidP="003A0506">
      <w:pPr>
        <w:widowControl w:val="0"/>
        <w:autoSpaceDE w:val="0"/>
        <w:autoSpaceDN w:val="0"/>
        <w:adjustRightInd w:val="0"/>
        <w:spacing w:line="480" w:lineRule="auto"/>
        <w:rPr>
          <w:rFonts w:cs="Times New Roman"/>
          <w:b/>
          <w:bCs/>
          <w:color w:val="000000"/>
        </w:rPr>
      </w:pPr>
      <w:r>
        <w:rPr>
          <w:rFonts w:cs="Times New Roman"/>
          <w:noProof/>
          <w:color w:val="000000"/>
        </w:rPr>
        <w:drawing>
          <wp:anchor distT="0" distB="0" distL="114300" distR="114300" simplePos="0" relativeHeight="251667456" behindDoc="0" locked="0" layoutInCell="1" allowOverlap="1" wp14:anchorId="4F87F4B4" wp14:editId="79C7FC3C">
            <wp:simplePos x="0" y="0"/>
            <wp:positionH relativeFrom="column">
              <wp:posOffset>-266700</wp:posOffset>
            </wp:positionH>
            <wp:positionV relativeFrom="paragraph">
              <wp:posOffset>355600</wp:posOffset>
            </wp:positionV>
            <wp:extent cx="6385560" cy="4749800"/>
            <wp:effectExtent l="0" t="0" r="254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85560" cy="4749800"/>
                    </a:xfrm>
                    <a:prstGeom prst="rect">
                      <a:avLst/>
                    </a:prstGeom>
                  </pic:spPr>
                </pic:pic>
              </a:graphicData>
            </a:graphic>
            <wp14:sizeRelH relativeFrom="page">
              <wp14:pctWidth>0</wp14:pctWidth>
            </wp14:sizeRelH>
            <wp14:sizeRelV relativeFrom="page">
              <wp14:pctHeight>0</wp14:pctHeight>
            </wp14:sizeRelV>
          </wp:anchor>
        </w:drawing>
      </w:r>
      <w:r w:rsidR="003A0506">
        <w:rPr>
          <w:rFonts w:cs="Times New Roman"/>
          <w:b/>
          <w:bCs/>
          <w:color w:val="000000"/>
        </w:rPr>
        <w:t>Figures and Figure Legends</w:t>
      </w:r>
    </w:p>
    <w:p w14:paraId="6B27F565" w14:textId="47BBBE38" w:rsidR="003A0506" w:rsidRDefault="003A0506" w:rsidP="003A0506">
      <w:pPr>
        <w:widowControl w:val="0"/>
        <w:autoSpaceDE w:val="0"/>
        <w:autoSpaceDN w:val="0"/>
        <w:adjustRightInd w:val="0"/>
        <w:spacing w:line="480" w:lineRule="auto"/>
        <w:rPr>
          <w:rFonts w:cs="Times New Roman"/>
          <w:color w:val="000000"/>
        </w:rPr>
      </w:pPr>
      <w:r w:rsidRPr="003A0506">
        <w:rPr>
          <w:rFonts w:cs="Times New Roman"/>
          <w:color w:val="000000"/>
        </w:rPr>
        <w:t xml:space="preserve">Fig. 1. Map of Philippine archipelago with a shaded 120 m isobath around major island groups. Major biogeographic regions of note in this study include the Babuyan Island Group, Luzon Island, the Bicol Peninsula of southern Luzon, and Negros Island. Specific localities sampled in this investigation are included in italics. (Photographs of </w:t>
      </w:r>
      <w:r w:rsidRPr="003A0506">
        <w:rPr>
          <w:rFonts w:cs="Times New Roman"/>
          <w:i/>
          <w:iCs/>
          <w:color w:val="000000"/>
        </w:rPr>
        <w:t>G</w:t>
      </w:r>
      <w:r w:rsidRPr="003A0506">
        <w:rPr>
          <w:rFonts w:cs="Times New Roman"/>
          <w:color w:val="000000"/>
        </w:rPr>
        <w:t xml:space="preserve">. </w:t>
      </w:r>
      <w:r w:rsidRPr="003A0506">
        <w:rPr>
          <w:rFonts w:cs="Times New Roman"/>
          <w:i/>
          <w:iCs/>
          <w:color w:val="000000"/>
        </w:rPr>
        <w:t>rossi</w:t>
      </w:r>
      <w:r w:rsidRPr="003A0506">
        <w:rPr>
          <w:rFonts w:cs="Times New Roman"/>
          <w:color w:val="000000"/>
        </w:rPr>
        <w:t xml:space="preserve">, </w:t>
      </w:r>
      <w:r w:rsidRPr="003A0506">
        <w:rPr>
          <w:rFonts w:cs="Times New Roman"/>
          <w:i/>
          <w:iCs/>
          <w:color w:val="000000"/>
        </w:rPr>
        <w:t>H</w:t>
      </w:r>
      <w:r w:rsidRPr="003A0506">
        <w:rPr>
          <w:rFonts w:cs="Times New Roman"/>
          <w:color w:val="000000"/>
        </w:rPr>
        <w:t xml:space="preserve">. </w:t>
      </w:r>
      <w:r w:rsidRPr="003A0506">
        <w:rPr>
          <w:rFonts w:cs="Times New Roman"/>
          <w:i/>
          <w:iCs/>
          <w:color w:val="000000"/>
        </w:rPr>
        <w:t>frenatus</w:t>
      </w:r>
      <w:r w:rsidRPr="003A0506">
        <w:rPr>
          <w:rFonts w:cs="Times New Roman"/>
          <w:color w:val="000000"/>
        </w:rPr>
        <w:t xml:space="preserve">, and </w:t>
      </w:r>
      <w:r w:rsidRPr="003A0506">
        <w:rPr>
          <w:rFonts w:cs="Times New Roman"/>
          <w:i/>
          <w:iCs/>
          <w:color w:val="000000"/>
        </w:rPr>
        <w:t>L</w:t>
      </w:r>
      <w:r w:rsidRPr="003A0506">
        <w:rPr>
          <w:rFonts w:cs="Times New Roman"/>
          <w:color w:val="000000"/>
        </w:rPr>
        <w:t xml:space="preserve">. </w:t>
      </w:r>
      <w:r w:rsidRPr="003A0506">
        <w:rPr>
          <w:rFonts w:cs="Times New Roman"/>
          <w:i/>
          <w:iCs/>
          <w:color w:val="000000"/>
        </w:rPr>
        <w:t>macgregori</w:t>
      </w:r>
      <w:r w:rsidRPr="003A0506">
        <w:rPr>
          <w:rFonts w:cs="Times New Roman"/>
          <w:color w:val="000000"/>
        </w:rPr>
        <w:t xml:space="preserve"> courtesy of Kai Wang, </w:t>
      </w:r>
      <w:r w:rsidRPr="003A0506">
        <w:rPr>
          <w:rFonts w:cs="Times New Roman"/>
          <w:i/>
          <w:iCs/>
          <w:color w:val="000000"/>
        </w:rPr>
        <w:t>G</w:t>
      </w:r>
      <w:r w:rsidRPr="003A0506">
        <w:rPr>
          <w:rFonts w:cs="Times New Roman"/>
          <w:color w:val="000000"/>
        </w:rPr>
        <w:t xml:space="preserve">. </w:t>
      </w:r>
      <w:r w:rsidRPr="003A0506">
        <w:rPr>
          <w:rFonts w:cs="Times New Roman"/>
          <w:i/>
          <w:iCs/>
          <w:color w:val="000000"/>
        </w:rPr>
        <w:t>mindorensis</w:t>
      </w:r>
      <w:r w:rsidRPr="003A0506">
        <w:rPr>
          <w:rFonts w:cs="Times New Roman"/>
          <w:color w:val="000000"/>
        </w:rPr>
        <w:t xml:space="preserve">, </w:t>
      </w:r>
      <w:r w:rsidRPr="003A0506">
        <w:rPr>
          <w:rFonts w:cs="Times New Roman"/>
          <w:i/>
          <w:iCs/>
          <w:color w:val="000000"/>
        </w:rPr>
        <w:t>G</w:t>
      </w:r>
      <w:r w:rsidRPr="003A0506">
        <w:rPr>
          <w:rFonts w:cs="Times New Roman"/>
          <w:color w:val="000000"/>
        </w:rPr>
        <w:t xml:space="preserve">. </w:t>
      </w:r>
      <w:r w:rsidRPr="003A0506">
        <w:rPr>
          <w:rFonts w:cs="Times New Roman"/>
          <w:i/>
          <w:iCs/>
          <w:color w:val="000000"/>
        </w:rPr>
        <w:t>gecko</w:t>
      </w:r>
      <w:r w:rsidRPr="003A0506">
        <w:rPr>
          <w:rFonts w:cs="Times New Roman"/>
          <w:color w:val="000000"/>
        </w:rPr>
        <w:t xml:space="preserve">, and </w:t>
      </w:r>
      <w:r w:rsidRPr="003A0506">
        <w:rPr>
          <w:rFonts w:cs="Times New Roman"/>
          <w:i/>
          <w:iCs/>
          <w:color w:val="000000"/>
        </w:rPr>
        <w:t>G</w:t>
      </w:r>
      <w:r w:rsidRPr="003A0506">
        <w:rPr>
          <w:rFonts w:cs="Times New Roman"/>
          <w:color w:val="000000"/>
        </w:rPr>
        <w:t xml:space="preserve">. </w:t>
      </w:r>
      <w:r w:rsidRPr="003A0506">
        <w:rPr>
          <w:rFonts w:cs="Times New Roman"/>
          <w:i/>
          <w:iCs/>
          <w:color w:val="000000"/>
        </w:rPr>
        <w:t>kikuchii</w:t>
      </w:r>
      <w:r w:rsidRPr="003A0506">
        <w:rPr>
          <w:rFonts w:cs="Times New Roman"/>
          <w:color w:val="000000"/>
        </w:rPr>
        <w:t xml:space="preserve"> by CDS).</w:t>
      </w:r>
    </w:p>
    <w:p w14:paraId="62AE885E" w14:textId="77777777" w:rsidR="008E7855" w:rsidRPr="003A0506" w:rsidRDefault="008E7855" w:rsidP="003A0506">
      <w:pPr>
        <w:widowControl w:val="0"/>
        <w:autoSpaceDE w:val="0"/>
        <w:autoSpaceDN w:val="0"/>
        <w:adjustRightInd w:val="0"/>
        <w:spacing w:line="480" w:lineRule="auto"/>
        <w:rPr>
          <w:rFonts w:cs="Times New Roman"/>
          <w:color w:val="000000"/>
        </w:rPr>
      </w:pPr>
    </w:p>
    <w:p w14:paraId="76FE0FF6" w14:textId="6836C8C4" w:rsidR="003A0506" w:rsidRDefault="00C54D48" w:rsidP="003A0506">
      <w:pPr>
        <w:widowControl w:val="0"/>
        <w:autoSpaceDE w:val="0"/>
        <w:autoSpaceDN w:val="0"/>
        <w:adjustRightInd w:val="0"/>
        <w:spacing w:line="480" w:lineRule="auto"/>
        <w:rPr>
          <w:rFonts w:cs="Times New Roman"/>
          <w:color w:val="000000"/>
        </w:rPr>
      </w:pPr>
      <w:r>
        <w:rPr>
          <w:rFonts w:cs="Times New Roman"/>
          <w:noProof/>
          <w:color w:val="000000"/>
        </w:rPr>
        <w:drawing>
          <wp:anchor distT="0" distB="0" distL="114300" distR="114300" simplePos="0" relativeHeight="251671552" behindDoc="0" locked="0" layoutInCell="1" allowOverlap="1" wp14:anchorId="18C0FD85" wp14:editId="67BCA85B">
            <wp:simplePos x="0" y="0"/>
            <wp:positionH relativeFrom="column">
              <wp:posOffset>0</wp:posOffset>
            </wp:positionH>
            <wp:positionV relativeFrom="paragraph">
              <wp:posOffset>0</wp:posOffset>
            </wp:positionV>
            <wp:extent cx="5943600" cy="1276350"/>
            <wp:effectExtent l="0" t="0" r="0" b="6350"/>
            <wp:wrapTopAndBottom/>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1276350"/>
                    </a:xfrm>
                    <a:prstGeom prst="rect">
                      <a:avLst/>
                    </a:prstGeom>
                  </pic:spPr>
                </pic:pic>
              </a:graphicData>
            </a:graphic>
            <wp14:sizeRelH relativeFrom="page">
              <wp14:pctWidth>0</wp14:pctWidth>
            </wp14:sizeRelH>
            <wp14:sizeRelV relativeFrom="page">
              <wp14:pctHeight>0</wp14:pctHeight>
            </wp14:sizeRelV>
          </wp:anchor>
        </w:drawing>
      </w:r>
      <w:r w:rsidR="003A0506" w:rsidRPr="003A0506">
        <w:rPr>
          <w:rFonts w:cs="Times New Roman"/>
          <w:color w:val="000000"/>
        </w:rPr>
        <w:t>Fig. 2. Stacked barplot of average gut microbiome compositions by phyla across Philippine gekkonid hosts.</w:t>
      </w:r>
    </w:p>
    <w:p w14:paraId="6038BA31" w14:textId="77777777" w:rsidR="008E7855" w:rsidRPr="003A0506" w:rsidRDefault="008E7855" w:rsidP="003A0506">
      <w:pPr>
        <w:widowControl w:val="0"/>
        <w:autoSpaceDE w:val="0"/>
        <w:autoSpaceDN w:val="0"/>
        <w:adjustRightInd w:val="0"/>
        <w:spacing w:line="480" w:lineRule="auto"/>
        <w:rPr>
          <w:rFonts w:cs="Times New Roman"/>
          <w:color w:val="000000"/>
        </w:rPr>
      </w:pPr>
    </w:p>
    <w:p w14:paraId="0BB73C58" w14:textId="0ECFBF9C" w:rsidR="003A0506" w:rsidRDefault="00C54D48" w:rsidP="003A0506">
      <w:pPr>
        <w:widowControl w:val="0"/>
        <w:autoSpaceDE w:val="0"/>
        <w:autoSpaceDN w:val="0"/>
        <w:adjustRightInd w:val="0"/>
        <w:spacing w:line="480" w:lineRule="auto"/>
        <w:rPr>
          <w:rFonts w:cs="Times New Roman"/>
          <w:color w:val="000000"/>
        </w:rPr>
      </w:pPr>
      <w:r>
        <w:rPr>
          <w:rFonts w:cs="Times New Roman"/>
          <w:noProof/>
          <w:color w:val="000000"/>
        </w:rPr>
        <w:drawing>
          <wp:anchor distT="0" distB="0" distL="114300" distR="114300" simplePos="0" relativeHeight="251670528" behindDoc="0" locked="0" layoutInCell="1" allowOverlap="1" wp14:anchorId="52F66C5B" wp14:editId="2956B9DA">
            <wp:simplePos x="0" y="0"/>
            <wp:positionH relativeFrom="column">
              <wp:posOffset>0</wp:posOffset>
            </wp:positionH>
            <wp:positionV relativeFrom="paragraph">
              <wp:posOffset>5715</wp:posOffset>
            </wp:positionV>
            <wp:extent cx="5943600" cy="2369820"/>
            <wp:effectExtent l="0" t="0" r="0" b="508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2369820"/>
                    </a:xfrm>
                    <a:prstGeom prst="rect">
                      <a:avLst/>
                    </a:prstGeom>
                  </pic:spPr>
                </pic:pic>
              </a:graphicData>
            </a:graphic>
            <wp14:sizeRelH relativeFrom="page">
              <wp14:pctWidth>0</wp14:pctWidth>
            </wp14:sizeRelH>
            <wp14:sizeRelV relativeFrom="page">
              <wp14:pctHeight>0</wp14:pctHeight>
            </wp14:sizeRelV>
          </wp:anchor>
        </w:drawing>
      </w:r>
      <w:r w:rsidR="003A0506" w:rsidRPr="003A0506">
        <w:rPr>
          <w:rFonts w:cs="Times New Roman"/>
          <w:color w:val="000000"/>
        </w:rPr>
        <w:t>Fig. 3. Principal coordinates analysis plots of gut microbiomes from gekkonid hosts as measured by beta diversity metrics including A) Weighted UniFrac, B) Unweighted UniFrac Distances, and C) Jaccard Index.</w:t>
      </w:r>
    </w:p>
    <w:p w14:paraId="35F831D2" w14:textId="77777777" w:rsidR="008E7855" w:rsidRPr="003A0506" w:rsidRDefault="008E7855" w:rsidP="003A0506">
      <w:pPr>
        <w:widowControl w:val="0"/>
        <w:autoSpaceDE w:val="0"/>
        <w:autoSpaceDN w:val="0"/>
        <w:adjustRightInd w:val="0"/>
        <w:spacing w:line="480" w:lineRule="auto"/>
        <w:rPr>
          <w:rFonts w:cs="Times New Roman"/>
          <w:color w:val="000000"/>
        </w:rPr>
      </w:pPr>
    </w:p>
    <w:p w14:paraId="0F92A5B5" w14:textId="18AC42F9" w:rsidR="003A0506" w:rsidRDefault="00C54D48" w:rsidP="003A0506">
      <w:pPr>
        <w:widowControl w:val="0"/>
        <w:autoSpaceDE w:val="0"/>
        <w:autoSpaceDN w:val="0"/>
        <w:adjustRightInd w:val="0"/>
        <w:spacing w:line="480" w:lineRule="auto"/>
        <w:rPr>
          <w:rFonts w:cs="Times New Roman"/>
          <w:color w:val="000000"/>
        </w:rPr>
      </w:pPr>
      <w:r>
        <w:rPr>
          <w:rFonts w:cs="Times New Roman"/>
          <w:noProof/>
          <w:color w:val="000000"/>
        </w:rPr>
        <w:drawing>
          <wp:anchor distT="0" distB="0" distL="114300" distR="114300" simplePos="0" relativeHeight="251666432" behindDoc="0" locked="0" layoutInCell="1" allowOverlap="1" wp14:anchorId="2391FADD" wp14:editId="2B0DDFE8">
            <wp:simplePos x="0" y="0"/>
            <wp:positionH relativeFrom="column">
              <wp:posOffset>1473200</wp:posOffset>
            </wp:positionH>
            <wp:positionV relativeFrom="paragraph">
              <wp:posOffset>0</wp:posOffset>
            </wp:positionV>
            <wp:extent cx="2844800" cy="441960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4800" cy="4419600"/>
                    </a:xfrm>
                    <a:prstGeom prst="rect">
                      <a:avLst/>
                    </a:prstGeom>
                  </pic:spPr>
                </pic:pic>
              </a:graphicData>
            </a:graphic>
            <wp14:sizeRelH relativeFrom="page">
              <wp14:pctWidth>0</wp14:pctWidth>
            </wp14:sizeRelH>
            <wp14:sizeRelV relativeFrom="page">
              <wp14:pctHeight>0</wp14:pctHeight>
            </wp14:sizeRelV>
          </wp:anchor>
        </w:drawing>
      </w:r>
      <w:r w:rsidR="003A0506" w:rsidRPr="003A0506">
        <w:rPr>
          <w:rFonts w:cs="Times New Roman"/>
          <w:color w:val="000000"/>
        </w:rPr>
        <w:t xml:space="preserve">Fig. 4. Principal coordinates analysis plots of beta-diversity metrics from geckos in the genus </w:t>
      </w:r>
      <w:r w:rsidR="003A0506" w:rsidRPr="003A0506">
        <w:rPr>
          <w:rFonts w:cs="Times New Roman"/>
          <w:i/>
          <w:iCs/>
          <w:color w:val="000000"/>
        </w:rPr>
        <w:t>Gekko</w:t>
      </w:r>
      <w:r w:rsidR="003A0506" w:rsidRPr="003A0506">
        <w:rPr>
          <w:rFonts w:cs="Times New Roman"/>
          <w:color w:val="000000"/>
        </w:rPr>
        <w:t xml:space="preserve"> (A–C). Stacked barplot (D) of individual microbial compositions of hosts, grouped by taxonomic identity.</w:t>
      </w:r>
    </w:p>
    <w:p w14:paraId="3397B9E7" w14:textId="77777777" w:rsidR="008E7855" w:rsidRPr="003A0506" w:rsidRDefault="008E7855" w:rsidP="003A0506">
      <w:pPr>
        <w:widowControl w:val="0"/>
        <w:autoSpaceDE w:val="0"/>
        <w:autoSpaceDN w:val="0"/>
        <w:adjustRightInd w:val="0"/>
        <w:spacing w:line="480" w:lineRule="auto"/>
        <w:rPr>
          <w:rFonts w:cs="Times New Roman"/>
          <w:color w:val="000000"/>
        </w:rPr>
      </w:pPr>
    </w:p>
    <w:p w14:paraId="07EBCAE7" w14:textId="0D3AB618" w:rsidR="003A0506" w:rsidRDefault="00C54D48" w:rsidP="003A0506">
      <w:pPr>
        <w:widowControl w:val="0"/>
        <w:autoSpaceDE w:val="0"/>
        <w:autoSpaceDN w:val="0"/>
        <w:adjustRightInd w:val="0"/>
        <w:spacing w:line="480" w:lineRule="auto"/>
        <w:rPr>
          <w:rFonts w:cs="Times New Roman"/>
          <w:color w:val="000000"/>
        </w:rPr>
      </w:pPr>
      <w:r>
        <w:rPr>
          <w:rFonts w:cs="Times New Roman"/>
          <w:noProof/>
          <w:color w:val="000000"/>
        </w:rPr>
        <w:drawing>
          <wp:anchor distT="0" distB="0" distL="114300" distR="114300" simplePos="0" relativeHeight="251668480" behindDoc="0" locked="0" layoutInCell="1" allowOverlap="1" wp14:anchorId="206867E0" wp14:editId="0450CBD2">
            <wp:simplePos x="0" y="0"/>
            <wp:positionH relativeFrom="column">
              <wp:posOffset>0</wp:posOffset>
            </wp:positionH>
            <wp:positionV relativeFrom="paragraph">
              <wp:posOffset>0</wp:posOffset>
            </wp:positionV>
            <wp:extent cx="5524500" cy="3467100"/>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524500" cy="3467100"/>
                    </a:xfrm>
                    <a:prstGeom prst="rect">
                      <a:avLst/>
                    </a:prstGeom>
                  </pic:spPr>
                </pic:pic>
              </a:graphicData>
            </a:graphic>
            <wp14:sizeRelH relativeFrom="page">
              <wp14:pctWidth>0</wp14:pctWidth>
            </wp14:sizeRelH>
            <wp14:sizeRelV relativeFrom="page">
              <wp14:pctHeight>0</wp14:pctHeight>
            </wp14:sizeRelV>
          </wp:anchor>
        </w:drawing>
      </w:r>
      <w:r w:rsidR="003A0506" w:rsidRPr="003A0506">
        <w:rPr>
          <w:rFonts w:cs="Times New Roman"/>
          <w:color w:val="000000"/>
        </w:rPr>
        <w:t xml:space="preserve">Fig. 5. Microbiome compositions at the phylum level from </w:t>
      </w:r>
      <w:r w:rsidR="003A0506" w:rsidRPr="003A0506">
        <w:rPr>
          <w:rFonts w:cs="Times New Roman"/>
          <w:i/>
          <w:iCs/>
          <w:color w:val="000000"/>
        </w:rPr>
        <w:t xml:space="preserve">Cyrtodactylus philippinicus </w:t>
      </w:r>
      <w:r w:rsidR="003A0506" w:rsidRPr="003A0506">
        <w:rPr>
          <w:rFonts w:cs="Times New Roman"/>
          <w:color w:val="000000"/>
        </w:rPr>
        <w:t>hosts grouped by sampling locality.</w:t>
      </w:r>
    </w:p>
    <w:p w14:paraId="1348EA0A" w14:textId="44C617E9" w:rsidR="008E7855" w:rsidRPr="003A0506" w:rsidRDefault="00C54D48" w:rsidP="003A0506">
      <w:pPr>
        <w:widowControl w:val="0"/>
        <w:autoSpaceDE w:val="0"/>
        <w:autoSpaceDN w:val="0"/>
        <w:adjustRightInd w:val="0"/>
        <w:spacing w:line="480" w:lineRule="auto"/>
        <w:rPr>
          <w:rFonts w:cs="Times New Roman"/>
          <w:color w:val="000000"/>
        </w:rPr>
      </w:pPr>
      <w:r>
        <w:rPr>
          <w:rFonts w:cs="Times New Roman"/>
          <w:noProof/>
          <w:color w:val="000000"/>
        </w:rPr>
        <w:drawing>
          <wp:anchor distT="0" distB="0" distL="114300" distR="114300" simplePos="0" relativeHeight="251669504" behindDoc="0" locked="0" layoutInCell="1" allowOverlap="1" wp14:anchorId="44FA1C9B" wp14:editId="6D73FDB0">
            <wp:simplePos x="0" y="0"/>
            <wp:positionH relativeFrom="column">
              <wp:posOffset>139700</wp:posOffset>
            </wp:positionH>
            <wp:positionV relativeFrom="paragraph">
              <wp:posOffset>353695</wp:posOffset>
            </wp:positionV>
            <wp:extent cx="5943600" cy="2117725"/>
            <wp:effectExtent l="0" t="0" r="0" b="3175"/>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2117725"/>
                    </a:xfrm>
                    <a:prstGeom prst="rect">
                      <a:avLst/>
                    </a:prstGeom>
                  </pic:spPr>
                </pic:pic>
              </a:graphicData>
            </a:graphic>
            <wp14:sizeRelH relativeFrom="page">
              <wp14:pctWidth>0</wp14:pctWidth>
            </wp14:sizeRelH>
            <wp14:sizeRelV relativeFrom="page">
              <wp14:pctHeight>0</wp14:pctHeight>
            </wp14:sizeRelV>
          </wp:anchor>
        </w:drawing>
      </w:r>
    </w:p>
    <w:p w14:paraId="2C8673FB" w14:textId="48C44FB5" w:rsidR="00C54D48" w:rsidRDefault="003A0506" w:rsidP="00C54D48">
      <w:pPr>
        <w:widowControl w:val="0"/>
        <w:autoSpaceDE w:val="0"/>
        <w:autoSpaceDN w:val="0"/>
        <w:adjustRightInd w:val="0"/>
        <w:spacing w:line="480" w:lineRule="auto"/>
        <w:rPr>
          <w:rFonts w:cs="Times New Roman"/>
          <w:color w:val="000000"/>
        </w:rPr>
      </w:pPr>
      <w:r w:rsidRPr="003A0506">
        <w:rPr>
          <w:rFonts w:cs="Times New Roman"/>
          <w:color w:val="000000"/>
        </w:rPr>
        <w:t xml:space="preserve">Fig. 6. Principal coordinates analysis plots of </w:t>
      </w:r>
      <w:r w:rsidRPr="003A0506">
        <w:rPr>
          <w:rFonts w:cs="Times New Roman"/>
          <w:i/>
          <w:iCs/>
          <w:color w:val="000000"/>
        </w:rPr>
        <w:t xml:space="preserve">Cyrtodactylus philippinicus </w:t>
      </w:r>
      <w:r w:rsidRPr="003A0506">
        <w:rPr>
          <w:rFonts w:cs="Times New Roman"/>
          <w:color w:val="000000"/>
        </w:rPr>
        <w:t>samples designated by sampling locality.</w:t>
      </w:r>
      <w:r w:rsidR="00C54D48">
        <w:rPr>
          <w:rFonts w:cs="Times New Roman"/>
          <w:color w:val="000000"/>
        </w:rPr>
        <w:br w:type="page"/>
      </w:r>
    </w:p>
    <w:p w14:paraId="3A76BD85" w14:textId="52382B65" w:rsidR="00143B24" w:rsidRPr="00BD0FEB" w:rsidRDefault="00D94143" w:rsidP="00D94143">
      <w:pPr>
        <w:pStyle w:val="NormalWeb"/>
        <w:spacing w:line="480" w:lineRule="auto"/>
        <w:contextualSpacing/>
        <w:jc w:val="center"/>
        <w:rPr>
          <w:b/>
          <w:sz w:val="28"/>
          <w:szCs w:val="28"/>
        </w:rPr>
      </w:pPr>
      <w:r w:rsidRPr="00BD0FEB">
        <w:rPr>
          <w:b/>
          <w:sz w:val="28"/>
          <w:szCs w:val="28"/>
        </w:rPr>
        <w:t xml:space="preserve">Chapter 3: </w:t>
      </w:r>
      <w:r w:rsidR="00143B24" w:rsidRPr="00BD0FEB">
        <w:rPr>
          <w:b/>
          <w:sz w:val="28"/>
          <w:szCs w:val="28"/>
        </w:rPr>
        <w:t>Gut microbial ecology of the Critically Endangered Fijian crested iguana (</w:t>
      </w:r>
      <w:r w:rsidR="00143B24" w:rsidRPr="00BD0FEB">
        <w:rPr>
          <w:b/>
          <w:i/>
          <w:sz w:val="28"/>
          <w:szCs w:val="28"/>
        </w:rPr>
        <w:t>Brachylophus vitiensis</w:t>
      </w:r>
      <w:r w:rsidR="00143B24" w:rsidRPr="00BD0FEB">
        <w:rPr>
          <w:b/>
          <w:sz w:val="28"/>
          <w:szCs w:val="28"/>
        </w:rPr>
        <w:t>): effects of captivity status and host reintroduction on endogenous microbiomes</w:t>
      </w:r>
    </w:p>
    <w:p w14:paraId="78515AE6" w14:textId="5C78B02D" w:rsidR="00143B24" w:rsidRPr="00F6729C" w:rsidRDefault="00143B24" w:rsidP="00F6729C">
      <w:pPr>
        <w:pStyle w:val="NormalWeb"/>
        <w:spacing w:line="480" w:lineRule="auto"/>
        <w:contextualSpacing/>
        <w:jc w:val="center"/>
      </w:pPr>
      <w:r w:rsidRPr="00F6729C">
        <w:t>Samuel J. Eliades, Joseph C. Brown, Timothy J. Colston, Robert N. Fisher, Jone B. Niukula, Kim Gray, Jhabar Vadada, Sia Rasalato, and Cameron D. Siler</w:t>
      </w:r>
    </w:p>
    <w:p w14:paraId="2016F94C" w14:textId="5DFAFC23" w:rsidR="00143B24" w:rsidRDefault="00F6729C" w:rsidP="00F6729C">
      <w:pPr>
        <w:pStyle w:val="NormalWeb"/>
        <w:spacing w:line="480" w:lineRule="auto"/>
        <w:contextualSpacing/>
        <w:jc w:val="center"/>
      </w:pPr>
      <w:r>
        <w:rPr>
          <w:i/>
          <w:iCs/>
        </w:rPr>
        <w:t>Published in Ecology and Evolution</w:t>
      </w:r>
    </w:p>
    <w:p w14:paraId="00A7ACF3" w14:textId="77777777" w:rsidR="00F6729C" w:rsidRPr="00F6729C" w:rsidRDefault="00F6729C" w:rsidP="00F6729C">
      <w:pPr>
        <w:pStyle w:val="NormalWeb"/>
        <w:spacing w:line="480" w:lineRule="auto"/>
        <w:contextualSpacing/>
        <w:jc w:val="center"/>
      </w:pPr>
    </w:p>
    <w:p w14:paraId="2C669561" w14:textId="77777777" w:rsidR="00143B24" w:rsidRPr="00C21098" w:rsidRDefault="00143B24" w:rsidP="00143B24">
      <w:pPr>
        <w:pStyle w:val="NormalWeb"/>
        <w:spacing w:line="480" w:lineRule="auto"/>
        <w:contextualSpacing/>
        <w:rPr>
          <w:b/>
        </w:rPr>
      </w:pPr>
      <w:r w:rsidRPr="00C21098">
        <w:rPr>
          <w:b/>
        </w:rPr>
        <w:t>ABSTRACT</w:t>
      </w:r>
    </w:p>
    <w:p w14:paraId="767D69A0" w14:textId="77777777" w:rsidR="00143B24" w:rsidRPr="00C21098" w:rsidRDefault="00143B24" w:rsidP="00143B24">
      <w:pPr>
        <w:pStyle w:val="NormalWeb"/>
        <w:spacing w:line="480" w:lineRule="auto"/>
        <w:contextualSpacing/>
      </w:pPr>
      <w:r w:rsidRPr="00C21098">
        <w:t>Animals often exhibit distinct microbial communities when maintained in captivity as compared to when in the wild. Such differentiation may be significant in headstart and reintroduction programs where individuals spend some time in captivity before release into native habitats. Using 16S rRNA gene sequencing, we (i) assessed differences in gut microbial communities between captive and wild Fijian crested iguanas (</w:t>
      </w:r>
      <w:r w:rsidRPr="00C21098">
        <w:rPr>
          <w:bCs/>
          <w:i/>
        </w:rPr>
        <w:t>Brachylophus vitiensis</w:t>
      </w:r>
      <w:r w:rsidRPr="00C21098">
        <w:t xml:space="preserve">) and (ii) resampled gut microbiota in captive iguanas released onto a native island to monitor microbiome restructuring in the wild. We used both cloacal swabs and fecal samples to further increase our understanding of gut microbial ecology in this </w:t>
      </w:r>
      <w:r>
        <w:t xml:space="preserve">IUCN </w:t>
      </w:r>
      <w:r w:rsidRPr="00C21098">
        <w:t>Critically Endangered species. We found significant differentiation in gut microbial community composition and structure between captive and wild iguanas in both sampling schemes. Approximately two months post-release, microbial communities in cloacal samples from formerly captive iguanas closely resembled wild counterparts. Interestingly, microbial communities in fecal samples from these individuals remained significantly distinct from wild conspecifics. Our results indicate that captive upbringings can lead to differences in microbial assemblages in headstart iguanas as compared to wild individuals even after host reintroduction into native conditions. This investigation highlights the necessity of continuous monitoring of reintroduced animals in the wild to ensure successful acclimatization and release.</w:t>
      </w:r>
    </w:p>
    <w:p w14:paraId="444A1297" w14:textId="77777777" w:rsidR="00143B24" w:rsidRPr="00C21098" w:rsidRDefault="00143B24" w:rsidP="00143B24">
      <w:pPr>
        <w:pStyle w:val="NormalWeb"/>
        <w:spacing w:line="480" w:lineRule="auto"/>
        <w:contextualSpacing/>
      </w:pPr>
    </w:p>
    <w:p w14:paraId="68B8013F" w14:textId="77777777" w:rsidR="00143B24" w:rsidRPr="00C21098" w:rsidRDefault="00143B24" w:rsidP="00143B24">
      <w:pPr>
        <w:pStyle w:val="NormalWeb"/>
        <w:spacing w:line="480" w:lineRule="auto"/>
        <w:contextualSpacing/>
      </w:pPr>
      <w:r w:rsidRPr="00C21098">
        <w:rPr>
          <w:b/>
          <w:caps/>
        </w:rPr>
        <w:t>Keywords</w:t>
      </w:r>
    </w:p>
    <w:p w14:paraId="7614B848" w14:textId="77777777" w:rsidR="00143B24" w:rsidRPr="00C21098" w:rsidRDefault="00143B24" w:rsidP="00143B24">
      <w:pPr>
        <w:pStyle w:val="NormalWeb"/>
        <w:spacing w:line="480" w:lineRule="auto"/>
        <w:contextualSpacing/>
      </w:pPr>
      <w:r w:rsidRPr="00C21098">
        <w:t>Conservation, headstart, husbandry, microbial restructuring, reptiles, wildlife management</w:t>
      </w:r>
    </w:p>
    <w:p w14:paraId="13EE9FAA" w14:textId="77777777" w:rsidR="00143B24" w:rsidRPr="00C21098" w:rsidRDefault="00143B24" w:rsidP="00143B24">
      <w:pPr>
        <w:pStyle w:val="NormalWeb"/>
        <w:spacing w:line="480" w:lineRule="auto"/>
        <w:contextualSpacing/>
      </w:pPr>
    </w:p>
    <w:p w14:paraId="446FF9D3" w14:textId="77777777" w:rsidR="00143B24" w:rsidRPr="00C21098" w:rsidRDefault="00143B24" w:rsidP="00143B24">
      <w:pPr>
        <w:pStyle w:val="NormalWeb"/>
        <w:spacing w:line="480" w:lineRule="auto"/>
        <w:contextualSpacing/>
        <w:rPr>
          <w:b/>
        </w:rPr>
      </w:pPr>
      <w:r w:rsidRPr="00C21098">
        <w:rPr>
          <w:b/>
          <w:bCs/>
        </w:rPr>
        <w:t>1 | INTRODUCTION</w:t>
      </w:r>
    </w:p>
    <w:p w14:paraId="16CFEEEB" w14:textId="77777777" w:rsidR="00143B24" w:rsidRPr="00C21098" w:rsidRDefault="00143B24" w:rsidP="00143B24">
      <w:pPr>
        <w:pStyle w:val="NormalWeb"/>
        <w:spacing w:line="480" w:lineRule="auto"/>
        <w:contextualSpacing/>
      </w:pPr>
      <w:r w:rsidRPr="00C21098">
        <w:t>Gastrointestinal microbial communities are critical to host health, contributing to an array of functions that impact host fitness and reproductive success such as nutrient acquisition</w:t>
      </w:r>
      <w:r>
        <w:t xml:space="preserve"> based on digestive efficiency</w:t>
      </w:r>
      <w:r w:rsidRPr="00C21098">
        <w:t>, hormone balance, and immune response (Cho &amp; Blaser</w:t>
      </w:r>
      <w:r>
        <w:t>,</w:t>
      </w:r>
      <w:r w:rsidRPr="00C21098">
        <w:t xml:space="preserve"> 2012; Colston &amp; Jackson</w:t>
      </w:r>
      <w:r>
        <w:t>,</w:t>
      </w:r>
      <w:r w:rsidRPr="00C21098">
        <w:t xml:space="preserve"> 2016</w:t>
      </w:r>
      <w:r>
        <w:t xml:space="preserve">; </w:t>
      </w:r>
      <w:r w:rsidRPr="00C21098">
        <w:t>Fraune &amp; Bosch</w:t>
      </w:r>
      <w:r>
        <w:t>,</w:t>
      </w:r>
      <w:r w:rsidRPr="00C21098">
        <w:t xml:space="preserve"> 2010</w:t>
      </w:r>
      <w:r>
        <w:t xml:space="preserve">; </w:t>
      </w:r>
      <w:r w:rsidRPr="00C21098">
        <w:t xml:space="preserve">Ley </w:t>
      </w:r>
      <w:r w:rsidRPr="00413434">
        <w:t>et al.,</w:t>
      </w:r>
      <w:r w:rsidRPr="00C21098">
        <w:t xml:space="preserve"> 2008). Given that gut microbiota serve essential roles in maintaining host well-being, the study of these communities is a novel tool for wildlife conservation initiatives, particularly in programs involving ex-situ animal care (Bahrndorff</w:t>
      </w:r>
      <w:r>
        <w:t xml:space="preserve">, </w:t>
      </w:r>
      <w:r w:rsidRPr="004A456F">
        <w:t>Alemu</w:t>
      </w:r>
      <w:r>
        <w:t>,</w:t>
      </w:r>
      <w:r w:rsidRPr="004A456F">
        <w:t xml:space="preserve"> Alemneh</w:t>
      </w:r>
      <w:r>
        <w:t>,</w:t>
      </w:r>
      <w:r w:rsidRPr="004A456F">
        <w:t xml:space="preserve"> </w:t>
      </w:r>
      <w:r>
        <w:t xml:space="preserve">&amp; </w:t>
      </w:r>
      <w:r w:rsidRPr="004A456F">
        <w:t>Lund Nielsen</w:t>
      </w:r>
      <w:r>
        <w:t>,</w:t>
      </w:r>
      <w:r w:rsidRPr="004A456F">
        <w:t xml:space="preserve"> 2016</w:t>
      </w:r>
      <w:r>
        <w:t xml:space="preserve">; </w:t>
      </w:r>
      <w:r w:rsidRPr="002864F5">
        <w:t>Jiménez</w:t>
      </w:r>
      <w:r w:rsidRPr="00C21098">
        <w:t xml:space="preserve"> &amp; Sommer</w:t>
      </w:r>
      <w:r>
        <w:t>,</w:t>
      </w:r>
      <w:r w:rsidRPr="00C21098">
        <w:t xml:space="preserve"> 2017;</w:t>
      </w:r>
      <w:r>
        <w:t xml:space="preserve"> </w:t>
      </w:r>
      <w:r w:rsidRPr="004A456F">
        <w:t>Redford</w:t>
      </w:r>
      <w:r>
        <w:t>,</w:t>
      </w:r>
      <w:r w:rsidRPr="004A456F">
        <w:t xml:space="preserve"> Segre</w:t>
      </w:r>
      <w:r>
        <w:t>,</w:t>
      </w:r>
      <w:r w:rsidRPr="004A456F">
        <w:t xml:space="preserve"> Salafsky</w:t>
      </w:r>
      <w:r>
        <w:t>,</w:t>
      </w:r>
      <w:r w:rsidRPr="004A456F">
        <w:t xml:space="preserve"> del Rio</w:t>
      </w:r>
      <w:r>
        <w:t>,</w:t>
      </w:r>
      <w:r w:rsidRPr="004A456F">
        <w:t xml:space="preserve"> </w:t>
      </w:r>
      <w:r>
        <w:t xml:space="preserve">&amp; </w:t>
      </w:r>
      <w:r w:rsidRPr="004A456F">
        <w:t>McAloose</w:t>
      </w:r>
      <w:r>
        <w:t xml:space="preserve">, </w:t>
      </w:r>
      <w:r w:rsidRPr="004A456F">
        <w:t>2012</w:t>
      </w:r>
      <w:r w:rsidRPr="00C21098">
        <w:t>;</w:t>
      </w:r>
      <w:r>
        <w:t xml:space="preserve"> </w:t>
      </w:r>
      <w:r w:rsidRPr="00C21098">
        <w:t xml:space="preserve">West </w:t>
      </w:r>
      <w:r w:rsidRPr="00413434">
        <w:t>et al.,</w:t>
      </w:r>
      <w:r w:rsidRPr="00C21098">
        <w:t xml:space="preserve"> 2019). With few exceptions, a variety of species housed in captivity show disparate gut microbiomes compared to wild counterparts </w:t>
      </w:r>
      <w:r>
        <w:t xml:space="preserve">which may be caused by dietary differences, antibiotic treatments, exposure to other species in captivity, or various other potential drivers that alter microbial compositions </w:t>
      </w:r>
      <w:r w:rsidRPr="00C21098">
        <w:t xml:space="preserve">(Alfano </w:t>
      </w:r>
      <w:r w:rsidRPr="00413434">
        <w:t>et al.,</w:t>
      </w:r>
      <w:r w:rsidRPr="00C21098">
        <w:t xml:space="preserve"> 2015; Cheng </w:t>
      </w:r>
      <w:r w:rsidRPr="00413434">
        <w:t>et al.,</w:t>
      </w:r>
      <w:r w:rsidRPr="00C21098">
        <w:t xml:space="preserve"> 2015; Clayton </w:t>
      </w:r>
      <w:r w:rsidRPr="00413434">
        <w:t>et al.,</w:t>
      </w:r>
      <w:r w:rsidRPr="00C21098">
        <w:t xml:space="preserve"> 2016; Eigeland </w:t>
      </w:r>
      <w:r w:rsidRPr="00413434">
        <w:t>et al.,</w:t>
      </w:r>
      <w:r w:rsidRPr="00C21098">
        <w:t xml:space="preserve"> 2012; McKenzie </w:t>
      </w:r>
      <w:r w:rsidRPr="00413434">
        <w:t>et al.,</w:t>
      </w:r>
      <w:r w:rsidRPr="00C21098">
        <w:t xml:space="preserve"> 2017; West </w:t>
      </w:r>
      <w:r w:rsidRPr="00413434">
        <w:t>et al.,</w:t>
      </w:r>
      <w:r w:rsidRPr="00C21098">
        <w:t xml:space="preserve"> 2019</w:t>
      </w:r>
      <w:r>
        <w:t>;</w:t>
      </w:r>
      <w:r w:rsidRPr="00DA22A9">
        <w:t xml:space="preserve"> </w:t>
      </w:r>
      <w:r w:rsidRPr="004A456F">
        <w:t>Zhu</w:t>
      </w:r>
      <w:r>
        <w:t>,</w:t>
      </w:r>
      <w:r w:rsidRPr="004A456F">
        <w:t xml:space="preserve"> Wu</w:t>
      </w:r>
      <w:r>
        <w:t>,</w:t>
      </w:r>
      <w:r w:rsidRPr="004A456F">
        <w:t xml:space="preserve"> Dai</w:t>
      </w:r>
      <w:r>
        <w:t>,</w:t>
      </w:r>
      <w:r w:rsidRPr="004A456F">
        <w:t xml:space="preserve"> Zhang</w:t>
      </w:r>
      <w:r>
        <w:t>,</w:t>
      </w:r>
      <w:r w:rsidRPr="004A456F">
        <w:t xml:space="preserve"> </w:t>
      </w:r>
      <w:r>
        <w:t xml:space="preserve">&amp; </w:t>
      </w:r>
      <w:r w:rsidRPr="004A456F">
        <w:t>Wei</w:t>
      </w:r>
      <w:r>
        <w:t>,</w:t>
      </w:r>
      <w:r w:rsidRPr="004A456F">
        <w:t xml:space="preserve"> 2011</w:t>
      </w:r>
      <w:r w:rsidRPr="00C21098">
        <w:t>).</w:t>
      </w:r>
      <w:r>
        <w:t xml:space="preserve"> </w:t>
      </w:r>
      <w:r w:rsidRPr="00C21098">
        <w:t xml:space="preserve">Such differences may be signs of dysbiosis, or perturbations of microbial communities that hinder system function and are often associated with negative health outcomes in hosts (Gilbert </w:t>
      </w:r>
      <w:r w:rsidRPr="00413434">
        <w:t>et al.,</w:t>
      </w:r>
      <w:r w:rsidRPr="00C21098">
        <w:t xml:space="preserve"> 2016; West </w:t>
      </w:r>
      <w:r w:rsidRPr="00413434">
        <w:t>et al.,</w:t>
      </w:r>
      <w:r w:rsidRPr="00C21098">
        <w:t xml:space="preserve"> 2019). For example, captivity has been linked to increases of potential pathogens within gastrointestinal microbial communities in mammals (Amato </w:t>
      </w:r>
      <w:r w:rsidRPr="00413434">
        <w:t>et al.,</w:t>
      </w:r>
      <w:r w:rsidRPr="00C21098">
        <w:t xml:space="preserve"> 2016</w:t>
      </w:r>
      <w:r>
        <w:t xml:space="preserve">; </w:t>
      </w:r>
      <w:r w:rsidRPr="00C21098">
        <w:t xml:space="preserve">Cheng </w:t>
      </w:r>
      <w:r w:rsidRPr="00413434">
        <w:t>et al.,</w:t>
      </w:r>
      <w:r w:rsidRPr="00C21098">
        <w:t xml:space="preserve"> 2015; Wan </w:t>
      </w:r>
      <w:r w:rsidRPr="00413434">
        <w:t>et al.,</w:t>
      </w:r>
      <w:r w:rsidRPr="00C21098">
        <w:t xml:space="preserve"> 2015; Wasimuddin </w:t>
      </w:r>
      <w:r w:rsidRPr="00413434">
        <w:t>et al.,</w:t>
      </w:r>
      <w:r w:rsidRPr="00C21098">
        <w:t xml:space="preserve"> 2017), birds (Xie </w:t>
      </w:r>
      <w:r w:rsidRPr="00413434">
        <w:t>et al.,</w:t>
      </w:r>
      <w:r w:rsidRPr="00C21098">
        <w:t xml:space="preserve"> 2016), and reptiles (Jiang </w:t>
      </w:r>
      <w:r w:rsidRPr="00413434">
        <w:t>et al.,</w:t>
      </w:r>
      <w:r w:rsidRPr="00C21098">
        <w:t xml:space="preserve"> 2017; Kohl </w:t>
      </w:r>
      <w:r w:rsidRPr="00413434">
        <w:t>et al.,</w:t>
      </w:r>
      <w:r w:rsidRPr="00C21098">
        <w:t xml:space="preserve"> 2017). </w:t>
      </w:r>
      <w:r w:rsidRPr="00057A94">
        <w:t>Distinct gut microbiota between captive and wild hosts is especially significant in headstart and reintroduction conservation programs, as altered microbial communities or introduced pathogens in captive animals slated for release could hinder reintroduction success and survivorship in the wild due to reduced dietary efficiency or compromised immune response affecting survivorship</w:t>
      </w:r>
      <w:r>
        <w:t xml:space="preserve"> </w:t>
      </w:r>
      <w:r w:rsidRPr="00C21098">
        <w:t xml:space="preserve">(Bahrndorff </w:t>
      </w:r>
      <w:r w:rsidRPr="00413434">
        <w:t>et al.,</w:t>
      </w:r>
      <w:r w:rsidRPr="00C21098">
        <w:t xml:space="preserve"> 2016; </w:t>
      </w:r>
      <w:r w:rsidRPr="002864F5">
        <w:t>Jiménez</w:t>
      </w:r>
      <w:r w:rsidRPr="00C21098">
        <w:t xml:space="preserve"> &amp; Sommer</w:t>
      </w:r>
      <w:r>
        <w:t>,</w:t>
      </w:r>
      <w:r w:rsidRPr="00C21098">
        <w:t xml:space="preserve"> 2017; Redford </w:t>
      </w:r>
      <w:r w:rsidRPr="00413434">
        <w:t>et al.,</w:t>
      </w:r>
      <w:r w:rsidRPr="00C21098">
        <w:t xml:space="preserve"> 2012; West </w:t>
      </w:r>
      <w:r w:rsidRPr="00413434">
        <w:t>et al.,</w:t>
      </w:r>
      <w:r w:rsidRPr="00C21098">
        <w:t xml:space="preserve"> 2019).</w:t>
      </w:r>
    </w:p>
    <w:p w14:paraId="420D69FD" w14:textId="77777777" w:rsidR="00143B24" w:rsidRPr="00C21098" w:rsidRDefault="00143B24" w:rsidP="00143B24">
      <w:pPr>
        <w:pStyle w:val="NormalWeb"/>
        <w:spacing w:line="480" w:lineRule="auto"/>
        <w:ind w:firstLine="360"/>
        <w:contextualSpacing/>
      </w:pPr>
      <w:r w:rsidRPr="00C21098">
        <w:t>Headstart programs have become increasingly common management strategies to supplement declining wildlife populations at risk of extinction (</w:t>
      </w:r>
      <w:r w:rsidRPr="004A456F">
        <w:t>McGowan</w:t>
      </w:r>
      <w:r>
        <w:t>,</w:t>
      </w:r>
      <w:r w:rsidRPr="004A456F">
        <w:t xml:space="preserve"> Traylor‐Holzer</w:t>
      </w:r>
      <w:r>
        <w:t>,</w:t>
      </w:r>
      <w:r w:rsidRPr="004A456F">
        <w:t xml:space="preserve"> </w:t>
      </w:r>
      <w:r>
        <w:t xml:space="preserve">&amp; </w:t>
      </w:r>
      <w:r w:rsidRPr="004A456F">
        <w:t>Leus</w:t>
      </w:r>
      <w:r>
        <w:t>,</w:t>
      </w:r>
      <w:r w:rsidRPr="004A456F">
        <w:t xml:space="preserve"> 2017</w:t>
      </w:r>
      <w:r>
        <w:t xml:space="preserve">; </w:t>
      </w:r>
      <w:r w:rsidRPr="00C21098">
        <w:t xml:space="preserve">Redford </w:t>
      </w:r>
      <w:r w:rsidRPr="00413434">
        <w:t>et al.,</w:t>
      </w:r>
      <w:r w:rsidRPr="00C21098">
        <w:t xml:space="preserve"> 2011</w:t>
      </w:r>
      <w:r>
        <w:t>;</w:t>
      </w:r>
      <w:r w:rsidRPr="00FC261E">
        <w:t xml:space="preserve"> </w:t>
      </w:r>
      <w:r w:rsidRPr="004A456F">
        <w:t>Tear</w:t>
      </w:r>
      <w:r>
        <w:t>,</w:t>
      </w:r>
      <w:r w:rsidRPr="004A456F">
        <w:t xml:space="preserve"> Scott</w:t>
      </w:r>
      <w:r>
        <w:t>,</w:t>
      </w:r>
      <w:r w:rsidRPr="004A456F">
        <w:t xml:space="preserve"> Hayward</w:t>
      </w:r>
      <w:r>
        <w:t>,</w:t>
      </w:r>
      <w:r w:rsidRPr="004A456F">
        <w:t xml:space="preserve"> </w:t>
      </w:r>
      <w:r>
        <w:t xml:space="preserve">&amp; </w:t>
      </w:r>
      <w:r w:rsidRPr="004A456F">
        <w:t>Griffith</w:t>
      </w:r>
      <w:r>
        <w:t>,</w:t>
      </w:r>
      <w:r w:rsidRPr="004A456F">
        <w:t xml:space="preserve"> 1993</w:t>
      </w:r>
      <w:r w:rsidRPr="00C21098">
        <w:t>). In these programs, young animals are reared in captivity past their most vulnerable life stages before being released to reinforce wild populations (Alberts</w:t>
      </w:r>
      <w:r>
        <w:t>,</w:t>
      </w:r>
      <w:r w:rsidRPr="00C21098">
        <w:t xml:space="preserve"> 2007</w:t>
      </w:r>
      <w:r>
        <w:t xml:space="preserve">; </w:t>
      </w:r>
      <w:r w:rsidRPr="004A456F">
        <w:t>Ferguson</w:t>
      </w:r>
      <w:r>
        <w:t xml:space="preserve">, </w:t>
      </w:r>
      <w:r w:rsidRPr="004A456F">
        <w:t>Brown</w:t>
      </w:r>
      <w:r>
        <w:t>,</w:t>
      </w:r>
      <w:r w:rsidRPr="004A456F">
        <w:t xml:space="preserve"> </w:t>
      </w:r>
      <w:r>
        <w:t xml:space="preserve">&amp; </w:t>
      </w:r>
      <w:r w:rsidRPr="004A456F">
        <w:t>DeMarco</w:t>
      </w:r>
      <w:r>
        <w:t xml:space="preserve">, </w:t>
      </w:r>
      <w:r w:rsidRPr="004A456F">
        <w:t>1982</w:t>
      </w:r>
      <w:r w:rsidRPr="00C21098">
        <w:t>). Historically, however, effective reintroduction of captive animals into the wild has been rare, with as few as 13% of such projects being deemed successful (Fischer &amp; Lindenmayer</w:t>
      </w:r>
      <w:r>
        <w:t>,</w:t>
      </w:r>
      <w:r w:rsidRPr="00C21098">
        <w:t xml:space="preserve"> 2000; </w:t>
      </w:r>
      <w:r w:rsidRPr="004A456F">
        <w:t>Mathews</w:t>
      </w:r>
      <w:r>
        <w:t>,</w:t>
      </w:r>
      <w:r w:rsidRPr="004A456F">
        <w:t xml:space="preserve"> Orros</w:t>
      </w:r>
      <w:r>
        <w:t>,</w:t>
      </w:r>
      <w:r w:rsidRPr="004A456F">
        <w:t xml:space="preserve"> McLaren</w:t>
      </w:r>
      <w:r>
        <w:t>,</w:t>
      </w:r>
      <w:r w:rsidRPr="004A456F">
        <w:t xml:space="preserve"> Gelling</w:t>
      </w:r>
      <w:r>
        <w:t>,</w:t>
      </w:r>
      <w:r w:rsidRPr="004A456F">
        <w:t xml:space="preserve"> </w:t>
      </w:r>
      <w:r>
        <w:t xml:space="preserve">&amp; </w:t>
      </w:r>
      <w:r w:rsidRPr="004A456F">
        <w:t>Foster</w:t>
      </w:r>
      <w:r>
        <w:t>,</w:t>
      </w:r>
      <w:r w:rsidRPr="004A456F">
        <w:t xml:space="preserve"> 2005</w:t>
      </w:r>
      <w:r w:rsidRPr="00C21098">
        <w:t>). Multiple factors have been linked to animal headstart and reintroduction difficulties including individual animal behavior (Alberts</w:t>
      </w:r>
      <w:r>
        <w:t>,</w:t>
      </w:r>
      <w:r w:rsidRPr="00C21098">
        <w:t xml:space="preserve"> 2007</w:t>
      </w:r>
      <w:r>
        <w:t xml:space="preserve">; </w:t>
      </w:r>
      <w:r w:rsidRPr="00C21098">
        <w:t xml:space="preserve">Mathews </w:t>
      </w:r>
      <w:r w:rsidRPr="00413434">
        <w:t>et al.,</w:t>
      </w:r>
      <w:r w:rsidRPr="00C21098">
        <w:t xml:space="preserve"> 2005) and ill-suited release sites (</w:t>
      </w:r>
      <w:r w:rsidRPr="00FC261E">
        <w:t>Pérez</w:t>
      </w:r>
      <w:r w:rsidRPr="00C21098">
        <w:t xml:space="preserve">-Buitrago </w:t>
      </w:r>
      <w:r w:rsidRPr="00413434">
        <w:t>et al.,</w:t>
      </w:r>
      <w:r w:rsidRPr="00C21098">
        <w:t xml:space="preserve"> 2008). More recently, microbial incompatibilities also have been suggested as possible impediments to reintroduction success (Bahrndorff </w:t>
      </w:r>
      <w:r w:rsidRPr="00413434">
        <w:t>et al.,</w:t>
      </w:r>
      <w:r w:rsidRPr="00C21098">
        <w:t xml:space="preserve"> 2016; </w:t>
      </w:r>
      <w:r w:rsidRPr="002864F5">
        <w:t>Jiménez</w:t>
      </w:r>
      <w:r w:rsidRPr="00C21098">
        <w:t xml:space="preserve"> &amp; Sommer</w:t>
      </w:r>
      <w:r>
        <w:t>,</w:t>
      </w:r>
      <w:r w:rsidRPr="00C21098">
        <w:t xml:space="preserve"> 2017; Redford </w:t>
      </w:r>
      <w:r w:rsidRPr="00413434">
        <w:t>et al.,</w:t>
      </w:r>
      <w:r w:rsidRPr="00C21098">
        <w:t xml:space="preserve"> 2012; West </w:t>
      </w:r>
      <w:r w:rsidRPr="00413434">
        <w:t>et al.,</w:t>
      </w:r>
      <w:r w:rsidRPr="00C21098">
        <w:t xml:space="preserve"> 2019). However, no studies to date have examined gut microbiota in reintroduced species both pre- and post-release to analyze microbial composition and acclimation of these communities to native habitats. Improved understanding of host natural microbiomes and microbial shifts associated with captivity and headstart animal release could help management practitioners to better prepare animals for reintroduction and increase headstart success of imperiled species.</w:t>
      </w:r>
    </w:p>
    <w:p w14:paraId="17A7E6BB" w14:textId="77777777" w:rsidR="00143B24" w:rsidRDefault="00143B24" w:rsidP="00143B24">
      <w:pPr>
        <w:pStyle w:val="NormalWeb"/>
        <w:spacing w:line="480" w:lineRule="auto"/>
        <w:ind w:firstLine="360"/>
        <w:contextualSpacing/>
      </w:pPr>
      <w:r w:rsidRPr="00C21098">
        <w:t>The Fijian crested iguana (</w:t>
      </w:r>
      <w:r w:rsidRPr="00C21098">
        <w:rPr>
          <w:i/>
          <w:iCs/>
        </w:rPr>
        <w:t>Brachylophus vitiensis</w:t>
      </w:r>
      <w:r w:rsidRPr="00C21098">
        <w:t xml:space="preserve">) is an herbivorous lizard species endemic to dry and littoral forests in western Fiji (Fisher </w:t>
      </w:r>
      <w:r w:rsidRPr="00413434">
        <w:t>et al.,</w:t>
      </w:r>
      <w:r w:rsidRPr="00C21098">
        <w:t xml:space="preserve"> 2019</w:t>
      </w:r>
      <w:r>
        <w:t>;</w:t>
      </w:r>
      <w:r w:rsidRPr="00FC37AC">
        <w:t xml:space="preserve"> </w:t>
      </w:r>
      <w:r w:rsidRPr="0063218D">
        <w:t>Harlow</w:t>
      </w:r>
      <w:r>
        <w:t>,</w:t>
      </w:r>
      <w:r w:rsidRPr="0063218D">
        <w:t xml:space="preserve"> Fisher, </w:t>
      </w:r>
      <w:r>
        <w:t xml:space="preserve">&amp; </w:t>
      </w:r>
      <w:r w:rsidRPr="0063218D">
        <w:t>Grant, 2012</w:t>
      </w:r>
      <w:r w:rsidRPr="00C21098">
        <w:t xml:space="preserve">). Since the species’ discovery in 1981, it has experienced sharp population declines throughout most of its limited range due to habitat loss and introduced predators (Fisher </w:t>
      </w:r>
      <w:r w:rsidRPr="00413434">
        <w:t>et al.,</w:t>
      </w:r>
      <w:r w:rsidRPr="00C21098">
        <w:t xml:space="preserve"> 2019</w:t>
      </w:r>
      <w:r>
        <w:t xml:space="preserve">; </w:t>
      </w:r>
      <w:r w:rsidRPr="00C21098">
        <w:t>Gibbons</w:t>
      </w:r>
      <w:r>
        <w:t>,</w:t>
      </w:r>
      <w:r w:rsidRPr="00C21098">
        <w:t xml:space="preserve"> 1981; Harlow </w:t>
      </w:r>
      <w:r w:rsidRPr="00413434">
        <w:t>et al.,</w:t>
      </w:r>
      <w:r w:rsidRPr="00C21098">
        <w:t xml:space="preserve"> 2007). The Fijian crested iguana is listed on CITES Appendix 1 and as Critically Endangered by the IUCN Red List (Fisher </w:t>
      </w:r>
      <w:r w:rsidRPr="00413434">
        <w:t>et al.,</w:t>
      </w:r>
      <w:r w:rsidRPr="00C21098">
        <w:t xml:space="preserve"> 2019</w:t>
      </w:r>
      <w:r>
        <w:t>;</w:t>
      </w:r>
      <w:r w:rsidRPr="00FC37AC">
        <w:t xml:space="preserve"> </w:t>
      </w:r>
      <w:r>
        <w:t>Harlow</w:t>
      </w:r>
      <w:r w:rsidRPr="00C21098">
        <w:t xml:space="preserve"> </w:t>
      </w:r>
      <w:r w:rsidRPr="00413434">
        <w:t>et al.,</w:t>
      </w:r>
      <w:r w:rsidRPr="00C21098">
        <w:t xml:space="preserve"> 2012). To ensure the long-term viability of this species in Fiji, a captive breeding and headstart program was established in 2010 with a specific focus on animals from the uninhabited island of Monuriki (Chand </w:t>
      </w:r>
      <w:r w:rsidRPr="00413434">
        <w:t>et al.,</w:t>
      </w:r>
      <w:r w:rsidRPr="00C21098">
        <w:t xml:space="preserve"> 2016; Fisher </w:t>
      </w:r>
      <w:r w:rsidRPr="00413434">
        <w:t>et al.,</w:t>
      </w:r>
      <w:r w:rsidRPr="00C21098">
        <w:t xml:space="preserve"> 2019). Monuriki Island crested iguanas are genetically distinct from all other crested iguana populations (</w:t>
      </w:r>
      <w:r w:rsidRPr="004A456F">
        <w:t>Keogh</w:t>
      </w:r>
      <w:r>
        <w:t>,</w:t>
      </w:r>
      <w:r w:rsidRPr="004A456F">
        <w:t xml:space="preserve"> Edwards</w:t>
      </w:r>
      <w:r>
        <w:t>,</w:t>
      </w:r>
      <w:r w:rsidRPr="004A456F">
        <w:t xml:space="preserve"> Fisher</w:t>
      </w:r>
      <w:r>
        <w:t>,</w:t>
      </w:r>
      <w:r w:rsidRPr="004A456F">
        <w:t xml:space="preserve"> </w:t>
      </w:r>
      <w:r>
        <w:t xml:space="preserve">&amp; </w:t>
      </w:r>
      <w:r w:rsidRPr="004A456F">
        <w:t>Harlow</w:t>
      </w:r>
      <w:r>
        <w:t xml:space="preserve">, </w:t>
      </w:r>
      <w:r w:rsidRPr="004A456F">
        <w:t>2008</w:t>
      </w:r>
      <w:r w:rsidRPr="00C21098">
        <w:t xml:space="preserve">), and the 2008 Iguana Species Recovery Plan prioritized Monuriki as the single most important site for immediate conservation action for this taxon (Fisher </w:t>
      </w:r>
      <w:r w:rsidRPr="00413434">
        <w:t>et al.,</w:t>
      </w:r>
      <w:r w:rsidRPr="00C21098">
        <w:t xml:space="preserve"> 2019</w:t>
      </w:r>
      <w:r>
        <w:t xml:space="preserve">; </w:t>
      </w:r>
      <w:r w:rsidRPr="004A456F">
        <w:t>Harlow</w:t>
      </w:r>
      <w:r>
        <w:t>,</w:t>
      </w:r>
      <w:r w:rsidRPr="004A456F">
        <w:t xml:space="preserve"> Hudson</w:t>
      </w:r>
      <w:r>
        <w:t>,</w:t>
      </w:r>
      <w:r w:rsidRPr="004A456F">
        <w:t xml:space="preserve"> </w:t>
      </w:r>
      <w:r>
        <w:t xml:space="preserve">&amp; </w:t>
      </w:r>
      <w:r w:rsidRPr="004A456F">
        <w:t>Alberts</w:t>
      </w:r>
      <w:r>
        <w:t xml:space="preserve">, </w:t>
      </w:r>
      <w:r w:rsidRPr="004A456F">
        <w:t>2008</w:t>
      </w:r>
      <w:r w:rsidRPr="00C21098">
        <w:t xml:space="preserve">). From 2010–2012, 20 adult iguanas were caught in the wild from Monuriki Island and transported to Kula Eco Park on the large island of Viti Levu to develop a captive breeding colony (Chand </w:t>
      </w:r>
      <w:r w:rsidRPr="00413434">
        <w:t>et al.,</w:t>
      </w:r>
      <w:r w:rsidRPr="00C21098">
        <w:t xml:space="preserve"> 2016). Over the next six years, these 20 wild caught individuals were successfully bred in managed care at Kula Eco Park with the intention of headstarting and returning the offspring to their source island of Monuriki (Chand </w:t>
      </w:r>
      <w:r w:rsidRPr="00413434">
        <w:t>et al.,</w:t>
      </w:r>
      <w:r w:rsidRPr="00C21098">
        <w:t xml:space="preserve"> 2016; Fisher </w:t>
      </w:r>
      <w:r w:rsidRPr="00413434">
        <w:t>et al.,</w:t>
      </w:r>
      <w:r w:rsidRPr="00C21098">
        <w:t xml:space="preserve"> 2019). In mid-May 2015, 32 captive-bred crested iguanas were released onto Monruki Island, with an additional 32 captive-bred iguanas and 16 of the original adult wild founder iguanas released onto Monuriki in February 2017.</w:t>
      </w:r>
    </w:p>
    <w:p w14:paraId="1F4B42EA" w14:textId="77777777" w:rsidR="00143B24" w:rsidRPr="00C21098" w:rsidRDefault="00143B24" w:rsidP="00143B24">
      <w:pPr>
        <w:pStyle w:val="NormalWeb"/>
        <w:spacing w:line="480" w:lineRule="auto"/>
        <w:ind w:firstLine="360"/>
        <w:contextualSpacing/>
      </w:pPr>
      <w:r w:rsidRPr="00C21098">
        <w:t>In 2017, we completed extensive sampling of gut microbial communities from Fijian crested iguanas in captivity at Kula Eco Park, wild iguanas on Monuriki Island, and previously captive iguanas released onto Monuriki to better understand how endogenous microbiomes are influenced by both human care and host reintroduction.</w:t>
      </w:r>
      <w:r>
        <w:t xml:space="preserve"> </w:t>
      </w:r>
      <w:r w:rsidRPr="00C21098">
        <w:t>In this study, we not only compare gut microbiomes in captive and wild lizards of a Critically Endangered species, but also assess the restructuring of microbiota in headstart animals reintroduced into native habitats. Additionally, by inventorying gut microbiota in Fijian crested iguanas using two sampling techniques, cloacal swabs and fecal samples, we address how sampling regime influences microbial data recovered and subsequent downstream analyses. While gut microbial diversity reported from cloacal and fecal sampling is often similar, significant discrepancies in relative abundances of microbial taxa between sampling types are well noted (</w:t>
      </w:r>
      <w:r w:rsidRPr="004A456F">
        <w:t>Colston, Noonan</w:t>
      </w:r>
      <w:r>
        <w:t>,</w:t>
      </w:r>
      <w:r w:rsidRPr="004A456F">
        <w:t xml:space="preserve"> </w:t>
      </w:r>
      <w:r>
        <w:t xml:space="preserve">&amp; </w:t>
      </w:r>
      <w:r w:rsidRPr="004A456F">
        <w:t>Jackson</w:t>
      </w:r>
      <w:r>
        <w:t>,</w:t>
      </w:r>
      <w:r w:rsidRPr="004A456F">
        <w:t xml:space="preserve"> 2015</w:t>
      </w:r>
      <w:r w:rsidRPr="00C21098">
        <w:t xml:space="preserve">; Kohl </w:t>
      </w:r>
      <w:r w:rsidRPr="00413434">
        <w:t>et al.,</w:t>
      </w:r>
      <w:r w:rsidRPr="00C21098">
        <w:t xml:space="preserve"> 2017</w:t>
      </w:r>
      <w:r>
        <w:t xml:space="preserve">; </w:t>
      </w:r>
      <w:r w:rsidRPr="004A456F">
        <w:t>Stanley</w:t>
      </w:r>
      <w:r>
        <w:t>,</w:t>
      </w:r>
      <w:r w:rsidRPr="004A456F">
        <w:t xml:space="preserve"> Geier</w:t>
      </w:r>
      <w:r>
        <w:t>,</w:t>
      </w:r>
      <w:r w:rsidRPr="004A456F">
        <w:t xml:space="preserve"> Chen</w:t>
      </w:r>
      <w:r>
        <w:t>,</w:t>
      </w:r>
      <w:r w:rsidRPr="004A456F">
        <w:t xml:space="preserve"> Hughes</w:t>
      </w:r>
      <w:r>
        <w:t>,</w:t>
      </w:r>
      <w:r w:rsidRPr="004A456F">
        <w:t xml:space="preserve"> </w:t>
      </w:r>
      <w:r>
        <w:t xml:space="preserve">&amp; </w:t>
      </w:r>
      <w:r w:rsidRPr="004A456F">
        <w:t>Moore</w:t>
      </w:r>
      <w:r>
        <w:t>,</w:t>
      </w:r>
      <w:r w:rsidRPr="004A456F">
        <w:t xml:space="preserve"> 2015</w:t>
      </w:r>
      <w:r w:rsidRPr="00C21098">
        <w:t xml:space="preserve">). We used both techniques to maximize our understanding of gut microbial ecology in </w:t>
      </w:r>
      <w:r w:rsidRPr="00C21098">
        <w:rPr>
          <w:i/>
          <w:iCs/>
        </w:rPr>
        <w:t>B. vitiensis</w:t>
      </w:r>
      <w:r w:rsidRPr="00C21098">
        <w:t xml:space="preserve"> and to mitigate potential shortcomings associated with employment of a single sampling technique (Colston </w:t>
      </w:r>
      <w:r w:rsidRPr="00413434">
        <w:t>et al.,</w:t>
      </w:r>
      <w:r w:rsidRPr="00C21098">
        <w:t xml:space="preserve"> 2015; </w:t>
      </w:r>
      <w:r w:rsidRPr="004A456F">
        <w:t>Ren</w:t>
      </w:r>
      <w:r>
        <w:t>,</w:t>
      </w:r>
      <w:r w:rsidRPr="004A456F">
        <w:t xml:space="preserve"> Kahrl</w:t>
      </w:r>
      <w:r>
        <w:t>,</w:t>
      </w:r>
      <w:r w:rsidRPr="004A456F">
        <w:t xml:space="preserve"> Wu</w:t>
      </w:r>
      <w:r>
        <w:t>,</w:t>
      </w:r>
      <w:r w:rsidRPr="004A456F">
        <w:t xml:space="preserve"> </w:t>
      </w:r>
      <w:r>
        <w:t xml:space="preserve">&amp; </w:t>
      </w:r>
      <w:r w:rsidRPr="004A456F">
        <w:t>Cox</w:t>
      </w:r>
      <w:r>
        <w:t>,</w:t>
      </w:r>
      <w:r w:rsidRPr="004A456F">
        <w:t xml:space="preserve"> 2016</w:t>
      </w:r>
      <w:r w:rsidRPr="00C21098">
        <w:t>). The Fijian crested iguana headstart initiative represents a unique opportunity to address two important research questions: (i) How does captivity status effect the diversity and structure of gut microbiomes? (ii) How do such communities respond to host reintroduction into native habitats? The results of this study have direct implications for the management and conservation of this Critically Endangered reptile species and for headstart and reintroduction programs globally.</w:t>
      </w:r>
    </w:p>
    <w:p w14:paraId="2552E094" w14:textId="77777777" w:rsidR="00143B24" w:rsidRPr="00C21098" w:rsidRDefault="00143B24" w:rsidP="00143B24">
      <w:pPr>
        <w:pStyle w:val="NormalWeb"/>
        <w:spacing w:line="480" w:lineRule="auto"/>
        <w:contextualSpacing/>
      </w:pPr>
    </w:p>
    <w:p w14:paraId="777E51DF" w14:textId="77777777" w:rsidR="00143B24" w:rsidRPr="00C21098" w:rsidRDefault="00143B24" w:rsidP="00143B24">
      <w:pPr>
        <w:pStyle w:val="NormalWeb"/>
        <w:spacing w:line="480" w:lineRule="auto"/>
        <w:contextualSpacing/>
        <w:rPr>
          <w:b/>
        </w:rPr>
      </w:pPr>
      <w:r w:rsidRPr="00C21098">
        <w:rPr>
          <w:b/>
          <w:bCs/>
        </w:rPr>
        <w:t>2 | MATERIALS AND METHODS</w:t>
      </w:r>
    </w:p>
    <w:p w14:paraId="4417DC7C" w14:textId="77777777" w:rsidR="00143B24" w:rsidRPr="00C21098" w:rsidRDefault="00143B24" w:rsidP="00143B24">
      <w:pPr>
        <w:pStyle w:val="NormalWeb"/>
        <w:spacing w:line="480" w:lineRule="auto"/>
        <w:contextualSpacing/>
        <w:rPr>
          <w:b/>
          <w:bCs/>
        </w:rPr>
      </w:pPr>
    </w:p>
    <w:p w14:paraId="62726047" w14:textId="77777777" w:rsidR="00143B24" w:rsidRPr="00C21098" w:rsidRDefault="00143B24" w:rsidP="00143B24">
      <w:pPr>
        <w:pStyle w:val="NormalWeb"/>
        <w:spacing w:line="480" w:lineRule="auto"/>
        <w:contextualSpacing/>
        <w:rPr>
          <w:b/>
        </w:rPr>
      </w:pPr>
      <w:r w:rsidRPr="00C21098">
        <w:rPr>
          <w:b/>
          <w:bCs/>
        </w:rPr>
        <w:t xml:space="preserve">2.1 | </w:t>
      </w:r>
      <w:r w:rsidRPr="00C21098">
        <w:rPr>
          <w:b/>
        </w:rPr>
        <w:t>Animal maintenance and sample collection</w:t>
      </w:r>
    </w:p>
    <w:p w14:paraId="58E47ED3" w14:textId="77777777" w:rsidR="00143B24" w:rsidRDefault="00143B24" w:rsidP="00143B24">
      <w:pPr>
        <w:pStyle w:val="NormalWeb"/>
        <w:spacing w:line="480" w:lineRule="auto"/>
        <w:contextualSpacing/>
      </w:pPr>
      <w:r w:rsidRPr="00C21098">
        <w:t>Located 45 km northwest of the main Fijian island of Vitu Levu, Monuriki Island (17</w:t>
      </w:r>
      <w:r w:rsidRPr="00C21098">
        <w:rPr>
          <w:vertAlign w:val="superscript"/>
        </w:rPr>
        <w:t>o</w:t>
      </w:r>
      <w:r w:rsidRPr="00C21098">
        <w:t xml:space="preserve"> 37’S, 177</w:t>
      </w:r>
      <w:r w:rsidRPr="00C21098">
        <w:rPr>
          <w:vertAlign w:val="superscript"/>
        </w:rPr>
        <w:t>o</w:t>
      </w:r>
      <w:r w:rsidRPr="00C21098">
        <w:t xml:space="preserve"> 02’E) is a small (45 ha, 216 m ele.), uninhabited island belonging to the Mamanuca island group in western Fiji (Fig. 1). From 2010</w:t>
      </w:r>
      <w:r w:rsidRPr="00C21098">
        <w:sym w:font="Symbol" w:char="F02D"/>
      </w:r>
      <w:r w:rsidRPr="00C21098">
        <w:t>2012, 10 male and 10 female adult Monuriki Island crested iguanas were harvested from the wild and brought to Kula Eco Park on Viti Levu to initiate a captive breeding headstart program. These 20 wild caught crested iguanas were maintained at Kula Eco Park in a private facility specifically built for captive-breeding of Monuriki crested iguanas. Iguana cages were made from galvanized steel and mesh, measuring 92 cm tall and 92 cm wide, with wood branches for arboreal perching. Iguanas were maintained on a daily diet of fresh salad made from local mixed greens and fruits. Adult iguanas were housed in pairs, while all captive-bred offspring were kept in small groups of two to four individuals per cage. Nest boxes were placed in cages for gravid females. Once eggs were deposited by a female, they were immediately removed and placed in a separate incubator until hatching. Hatchlings were fed in the same manner as adults and juveniles, but salads were cut into smaller pieces. We implanted unique passive integrated transponder (PIT) tags subcutaneously into all iguanas for identification in the wild.</w:t>
      </w:r>
    </w:p>
    <w:p w14:paraId="50E2483B" w14:textId="77777777" w:rsidR="00143B24" w:rsidRDefault="00143B24" w:rsidP="00143B24">
      <w:pPr>
        <w:pStyle w:val="NormalWeb"/>
        <w:spacing w:line="480" w:lineRule="auto"/>
        <w:ind w:firstLine="360"/>
        <w:contextualSpacing/>
      </w:pPr>
      <w:r w:rsidRPr="00C21098">
        <w:t>We collected samples from crested iguanas of four distinct life history groups: the original wild caught adult founder iguanas from Monuriki brought to Kula Eco Park for captive breeding (</w:t>
      </w:r>
      <w:r>
        <w:t>w</w:t>
      </w:r>
      <w:r w:rsidRPr="00C21098">
        <w:t xml:space="preserve">ild </w:t>
      </w:r>
      <w:r>
        <w:t>c</w:t>
      </w:r>
      <w:r w:rsidRPr="00C21098">
        <w:t xml:space="preserve">aught </w:t>
      </w:r>
      <w:r>
        <w:t>f</w:t>
      </w:r>
      <w:r w:rsidRPr="00C21098">
        <w:t>ounders; WCF) from 2010–2012, captive-born individuals released onto Monuriki in 2015 (CB2015), captive-born individuals released onto Monuriki in 2017 (CB2017), and wild individuals on Monuriki (Wild). Further, we sampled microbiota in WCF and CB2017 individuals while in captivity and approximately two months after relocation onto Monuriki Island.</w:t>
      </w:r>
    </w:p>
    <w:p w14:paraId="13F9E8A3" w14:textId="77777777" w:rsidR="00143B24" w:rsidRPr="00C21098" w:rsidRDefault="00143B24" w:rsidP="00143B24">
      <w:pPr>
        <w:pStyle w:val="NormalWeb"/>
        <w:spacing w:line="480" w:lineRule="auto"/>
        <w:ind w:firstLine="360"/>
        <w:contextualSpacing/>
        <w:rPr>
          <w:color w:val="000000"/>
        </w:rPr>
      </w:pPr>
      <w:r w:rsidRPr="00C21098">
        <w:t xml:space="preserve">From 22–24 February 2017, we inventoried gut microbiota in WCF and CB2017 Fijian crested iguanas at Kula Eco Park using two sampling techniques, cloacal swabs and fecal samples. </w:t>
      </w:r>
      <w:r w:rsidRPr="00C21098">
        <w:rPr>
          <w:color w:val="000000"/>
        </w:rPr>
        <w:t xml:space="preserve">To collect cloacal samples, sterile, rayon-tipped swabs were inserted approximately 3 cm into the cloacal opening of each animal and rotated 10 times. </w:t>
      </w:r>
      <w:r w:rsidRPr="00C21098">
        <w:t>For fecal sample collection, iguanas were placed in individual pre-washed pillowcases overnight and feces were retrieved opportunistically within 4</w:t>
      </w:r>
      <w:r w:rsidRPr="00C21098">
        <w:sym w:font="Symbol" w:char="F02D"/>
      </w:r>
      <w:r w:rsidRPr="00C21098">
        <w:t>8 hours. Pillowcases were washed subsequent to each use. For efficient preservation of DNA in both sample types, swabs and fecal samples were placed</w:t>
      </w:r>
      <w:r w:rsidRPr="00C21098">
        <w:rPr>
          <w:color w:val="000000"/>
        </w:rPr>
        <w:t xml:space="preserve"> into individual screw-cap 1.5mL cryovials</w:t>
      </w:r>
      <w:r w:rsidRPr="00C21098">
        <w:t xml:space="preserve"> with 750 ul Xpedition</w:t>
      </w:r>
      <w:r w:rsidRPr="00C21098">
        <w:rPr>
          <w:vertAlign w:val="superscript"/>
        </w:rPr>
        <w:t>TM</w:t>
      </w:r>
      <w:r w:rsidRPr="00C21098">
        <w:t xml:space="preserve"> Lysis/Stabilization Solution. These vials were subsequently </w:t>
      </w:r>
      <w:r w:rsidRPr="00C21098">
        <w:rPr>
          <w:color w:val="000000"/>
        </w:rPr>
        <w:t>inserted into a custom 3D-printed plastic sleeve to hold the vials, bolted to a reciprocating saw attachment, inserted into a Milwaukee M12 Hackzall battery-operated reciprocating saw, and shaken vigorously for 5 minutes to act as a mechanical homogenization device.</w:t>
      </w:r>
      <w:r>
        <w:rPr>
          <w:color w:val="000000"/>
        </w:rPr>
        <w:t xml:space="preserve"> Samples were stored at ambient temperature while in the field before transportation to the Sam Noble Oklahoma Museum of Natural History for curation and storage. </w:t>
      </w:r>
    </w:p>
    <w:p w14:paraId="755E6996" w14:textId="77777777" w:rsidR="00143B24" w:rsidRPr="00C21098" w:rsidRDefault="00143B24" w:rsidP="00143B24">
      <w:pPr>
        <w:pStyle w:val="NormalWeb"/>
        <w:spacing w:line="480" w:lineRule="auto"/>
        <w:ind w:firstLine="360"/>
        <w:contextualSpacing/>
      </w:pPr>
      <w:r w:rsidRPr="00C21098">
        <w:rPr>
          <w:color w:val="000000"/>
        </w:rPr>
        <w:t>On 24 February 2017, we transported 16 WCF and 32 CB2017 (aged 12</w:t>
      </w:r>
      <w:r w:rsidRPr="00C21098">
        <w:rPr>
          <w:color w:val="000000"/>
        </w:rPr>
        <w:sym w:font="Symbol" w:char="F02D"/>
      </w:r>
      <w:r w:rsidRPr="00C21098">
        <w:rPr>
          <w:color w:val="000000"/>
        </w:rPr>
        <w:t xml:space="preserve">28 months) iguanas from Kula Eco Park to Monuriki Island for assimilation into their source population. From the time of release to mid-July 2017, </w:t>
      </w:r>
      <w:r w:rsidRPr="00C21098">
        <w:t xml:space="preserve">we conducted standard night surveys for </w:t>
      </w:r>
      <w:r w:rsidRPr="00C21098">
        <w:rPr>
          <w:i/>
          <w:iCs/>
        </w:rPr>
        <w:t>Brachylophus</w:t>
      </w:r>
      <w:r w:rsidRPr="00C21098">
        <w:t xml:space="preserve"> (Harlow </w:t>
      </w:r>
      <w:r w:rsidRPr="00413434">
        <w:t>et al.,</w:t>
      </w:r>
      <w:r w:rsidRPr="00C21098">
        <w:t xml:space="preserve"> 2007) on Monuriki island to monitor iguanas and sample gut microbial communities in the wild. Once iguanas were captured, the presence of a PIT tag allowed us to determine if the individual was a WCF, CB2017, or CB2015 iguana, while all iguanas lacking PIT tags were classified as Wild individuals. Gut microbial samples were collected using the same methodologies as for iguanas in captivity at Kula Eco Park.</w:t>
      </w:r>
    </w:p>
    <w:p w14:paraId="42059E6C" w14:textId="77777777" w:rsidR="00143B24" w:rsidRPr="00C21098" w:rsidRDefault="00143B24" w:rsidP="00143B24">
      <w:pPr>
        <w:pStyle w:val="NormalWeb"/>
        <w:spacing w:line="480" w:lineRule="auto"/>
        <w:contextualSpacing/>
      </w:pPr>
    </w:p>
    <w:p w14:paraId="6C9B63AF" w14:textId="77777777" w:rsidR="00143B24" w:rsidRPr="00C21098" w:rsidRDefault="00143B24" w:rsidP="00143B24">
      <w:pPr>
        <w:pStyle w:val="NormalWeb"/>
        <w:spacing w:line="480" w:lineRule="auto"/>
        <w:contextualSpacing/>
        <w:rPr>
          <w:b/>
        </w:rPr>
      </w:pPr>
      <w:r w:rsidRPr="00C21098">
        <w:rPr>
          <w:b/>
          <w:bCs/>
        </w:rPr>
        <w:t xml:space="preserve">2.2 | </w:t>
      </w:r>
      <w:r w:rsidRPr="00C21098">
        <w:rPr>
          <w:b/>
        </w:rPr>
        <w:t>Microbial inventories</w:t>
      </w:r>
    </w:p>
    <w:p w14:paraId="204C113C" w14:textId="77777777" w:rsidR="00143B24" w:rsidRPr="00C21098" w:rsidRDefault="00143B24" w:rsidP="00143B24">
      <w:pPr>
        <w:pStyle w:val="NormalWeb"/>
        <w:spacing w:line="480" w:lineRule="auto"/>
        <w:contextualSpacing/>
      </w:pPr>
      <w:r w:rsidRPr="00C21098">
        <w:t>We extracted total DNA from 94 samples (52 cloacal and 42 fecal) from 39 host lizards using Zymo Quick-DNA Fecal/Soil Microbe Kits. Both cloacal swabs and fecal samples were incubated at 65° C for 15 minutes on a dry heating block and then vortexed for 15 minutes on an Eppendorf ThermoMixer® at 23°C and maximum speed (2000 rpm) immediately prior to beginning Zymo’s recommended protocol. We amplified the V4 region of the 16S rRNA gene using the index primers and PCR protocols of Kozich</w:t>
      </w:r>
      <w:r>
        <w:t xml:space="preserve">, </w:t>
      </w:r>
      <w:r w:rsidRPr="004A456F">
        <w:t>Westcott</w:t>
      </w:r>
      <w:r>
        <w:t>,</w:t>
      </w:r>
      <w:r w:rsidRPr="004A456F">
        <w:t xml:space="preserve"> Baxter</w:t>
      </w:r>
      <w:r>
        <w:t>,</w:t>
      </w:r>
      <w:r w:rsidRPr="004A456F">
        <w:t xml:space="preserve"> Highlander</w:t>
      </w:r>
      <w:r>
        <w:t>,</w:t>
      </w:r>
      <w:r w:rsidRPr="004A456F">
        <w:t xml:space="preserve"> </w:t>
      </w:r>
      <w:r>
        <w:t xml:space="preserve">and </w:t>
      </w:r>
      <w:r w:rsidRPr="004A456F">
        <w:t>Schloss</w:t>
      </w:r>
      <w:r w:rsidRPr="00C21098">
        <w:t xml:space="preserve"> (2013). PCR products were cleaned, normalized, and pooled using a Sequel Prep Normalization Plate Kit (Invitrogen). Pooled libraries were purified using Agencourt® AMPure® magnetic bead capture and sent to the University of Oklahoma’s Consolidated Core Lab (CCL) for sequencing using 515F and 806R primers targeting 2x300bp reads on an Illumina MiSeq sequencing platform (Caporaso </w:t>
      </w:r>
      <w:r w:rsidRPr="00413434">
        <w:t>et al.,</w:t>
      </w:r>
      <w:r w:rsidRPr="00C21098">
        <w:t xml:space="preserve"> 2012).</w:t>
      </w:r>
    </w:p>
    <w:p w14:paraId="213DEA90" w14:textId="77777777" w:rsidR="00143B24" w:rsidRPr="00C21098" w:rsidRDefault="00143B24" w:rsidP="00143B24">
      <w:pPr>
        <w:pStyle w:val="NormalWeb"/>
        <w:spacing w:line="480" w:lineRule="auto"/>
        <w:ind w:firstLine="360"/>
        <w:contextualSpacing/>
      </w:pPr>
      <w:r w:rsidRPr="00C21098">
        <w:t>Raw sequences were first paired and trimmed using AdapterRemoval2 v2.2.2 with default parameters (Lindgreen</w:t>
      </w:r>
      <w:r>
        <w:t>,</w:t>
      </w:r>
      <w:r w:rsidRPr="00C21098">
        <w:t xml:space="preserve"> 2012; </w:t>
      </w:r>
      <w:r w:rsidRPr="004A456F">
        <w:t>Schubert</w:t>
      </w:r>
      <w:r>
        <w:t>,</w:t>
      </w:r>
      <w:r w:rsidRPr="004A456F">
        <w:t xml:space="preserve"> Lindgreen</w:t>
      </w:r>
      <w:r>
        <w:t>,</w:t>
      </w:r>
      <w:r w:rsidRPr="004A456F">
        <w:t xml:space="preserve"> </w:t>
      </w:r>
      <w:r>
        <w:t xml:space="preserve">&amp; </w:t>
      </w:r>
      <w:r w:rsidRPr="004A456F">
        <w:t>Orlando</w:t>
      </w:r>
      <w:r>
        <w:t>,</w:t>
      </w:r>
      <w:r w:rsidRPr="004A456F">
        <w:t xml:space="preserve"> 2016</w:t>
      </w:r>
      <w:r w:rsidRPr="00C21098">
        <w:t xml:space="preserve">). Cleaned sequences were clustered </w:t>
      </w:r>
      <w:r w:rsidRPr="00C21098">
        <w:rPr>
          <w:i/>
        </w:rPr>
        <w:t>de novo</w:t>
      </w:r>
      <w:r w:rsidRPr="00C21098">
        <w:t xml:space="preserve"> into operational taxonomic units (OTUs) using UPARSE in USEARCH v11.0.667 at a minimum sequence identity of 97% and a minimum abundance of four (Edgar</w:t>
      </w:r>
      <w:r>
        <w:t>,</w:t>
      </w:r>
      <w:r w:rsidRPr="00C21098">
        <w:t xml:space="preserve"> 2013). Remaining sample curation and analysis was carried out in QIIME v1.9.1 (Caporaso </w:t>
      </w:r>
      <w:r w:rsidRPr="00413434">
        <w:t>et al.,</w:t>
      </w:r>
      <w:r w:rsidRPr="00C21098">
        <w:t xml:space="preserve"> 2010). Taxonomies were assigned to OTUs using GreenGenes v13.8 (DeSantis </w:t>
      </w:r>
      <w:r w:rsidRPr="00413434">
        <w:t>et al.,</w:t>
      </w:r>
      <w:r w:rsidRPr="00C21098">
        <w:t xml:space="preserve"> 2006). Archaea, chloroplast, mitochondria, PhiX, and other non-bacterial sequences were removed from processed OTU tables to ensure only bacterial sequences were included in downstream analyses. All 16S rRNA sequences have been deposited in the Sequence Read Archive (SRA) under accession no.</w:t>
      </w:r>
      <w:r>
        <w:t xml:space="preserve"> </w:t>
      </w:r>
      <w:r w:rsidRPr="00347EAF">
        <w:t>PRJNA702127</w:t>
      </w:r>
      <w:r>
        <w:t>.</w:t>
      </w:r>
    </w:p>
    <w:p w14:paraId="5F5C5FE4" w14:textId="77777777" w:rsidR="00143B24" w:rsidRPr="00C21098" w:rsidRDefault="00143B24" w:rsidP="00143B24">
      <w:pPr>
        <w:pStyle w:val="NormalWeb"/>
        <w:spacing w:line="480" w:lineRule="auto"/>
        <w:ind w:firstLine="360"/>
        <w:contextualSpacing/>
      </w:pPr>
      <w:r w:rsidRPr="00C21098">
        <w:t>Among all samples (n = 94), a number were either duplicates (i.e. multiple subsamples of a single fecal deposit or cloacal swabs collected from the same host consecutively) or failed to generate sufficient sequencing coverage to produce meaningful microbial assessments. In instances where duplicate samples existed (n = 9), we retained only the sample with the greater sequencing depth. Of the remaining samples, those with fewer than 500 sequences (n = 2) were also removed</w:t>
      </w:r>
      <w:r>
        <w:t xml:space="preserve"> to maximize sample inclusion against OTU coverage</w:t>
      </w:r>
      <w:r w:rsidRPr="00C21098">
        <w:t xml:space="preserve">. </w:t>
      </w:r>
      <w:r w:rsidRPr="005E3896">
        <w:t>The finalized dataset used for all subsequent analyses consisted of 83 samples (46 cloacal and 37 fecal) from 38 Fijian crested iguanas (Appendix S1).</w:t>
      </w:r>
      <w:r>
        <w:t xml:space="preserve"> Within these datasets, five Fijian crested iguana hosts had complete time-series sets (pre- and post-release sampling) via cloacal swabbing and five had them through fecal sampling. Three individuals occurred in both groups and had complete sampling sets from the two methodologies (Appendix S1).</w:t>
      </w:r>
    </w:p>
    <w:p w14:paraId="75D795E7" w14:textId="77777777" w:rsidR="00143B24" w:rsidRPr="00C21098" w:rsidRDefault="00143B24" w:rsidP="00143B24">
      <w:pPr>
        <w:pStyle w:val="NormalWeb"/>
        <w:spacing w:line="480" w:lineRule="auto"/>
        <w:ind w:firstLine="360"/>
        <w:contextualSpacing/>
      </w:pPr>
      <w:r w:rsidRPr="00C21098">
        <w:t>Rarefaction depths varied by comparison based on Good’s coverage estimates (Good</w:t>
      </w:r>
      <w:r>
        <w:t>,</w:t>
      </w:r>
      <w:r w:rsidRPr="00C21098">
        <w:t xml:space="preserve"> 1953) and rarefaction curves to maximize sample inclusion against OTU coverage (Fig. S1). For analyses inclusive of all samples and of cloacal samples exclusively we rarefied to 500 reads per sample (Good’s estimate all samples = 0.92 ± 0.03, range: 0.86–0.99; cloacal samples = 0.94 ± 0.03, range: 0.87–0.98). In analyses involving fecal samples exclusively, we rarefied to 3,350 sequences per sample (Good’s estimate fecal samples = 0.98 ± 0.005, range: 0.97–0.99).</w:t>
      </w:r>
    </w:p>
    <w:p w14:paraId="6A9EA438" w14:textId="77777777" w:rsidR="00143B24" w:rsidRDefault="00143B24" w:rsidP="00143B24">
      <w:pPr>
        <w:pStyle w:val="NormalWeb"/>
        <w:spacing w:line="480" w:lineRule="auto"/>
        <w:ind w:firstLine="360"/>
        <w:contextualSpacing/>
      </w:pPr>
      <w:r w:rsidRPr="00C21098">
        <w:t>We compared a variety of community membership metrics across samples from Fijian crested iguana hosts. For all comparisons, we first calculated alpha diversity measurements including number of observed OTUs, the Shannon index (Shannon</w:t>
      </w:r>
      <w:r>
        <w:t>,</w:t>
      </w:r>
      <w:r w:rsidRPr="00C21098">
        <w:t xml:space="preserve"> 1948), and Faith’s Phylogenetic Diversity (Faith’s PD; Faith</w:t>
      </w:r>
      <w:r>
        <w:t>,</w:t>
      </w:r>
      <w:r w:rsidRPr="00C21098">
        <w:t xml:space="preserve"> 1992). Alpha diversity measurements were compared using analysis of variance (ANOVA) tests in R v3.6.2 (R Core Team</w:t>
      </w:r>
      <w:r>
        <w:t>,</w:t>
      </w:r>
      <w:r w:rsidRPr="00C21098">
        <w:t xml:space="preserve"> 2013) with the Tukey Test used for post-hoc analyses. Kruskal-Wallis tests with Bonferroni corrections were used in QIIME to compare relative abundances of bacterial taxa between treatment groups. In examining specific OTUs, BLAST (</w:t>
      </w:r>
      <w:r w:rsidRPr="00813834">
        <w:t xml:space="preserve">Altschul, Gish, Miller, Myers, &amp; Lipman, </w:t>
      </w:r>
      <w:r w:rsidRPr="00C21098">
        <w:t>1990) was used to compare novel sequences against those available in the National Center for Biotechnology Information’s (NCBI) Nucleotide database.</w:t>
      </w:r>
    </w:p>
    <w:p w14:paraId="630EE85C" w14:textId="77777777" w:rsidR="00143B24" w:rsidRPr="00C21098" w:rsidRDefault="00143B24" w:rsidP="00143B24">
      <w:pPr>
        <w:pStyle w:val="NormalWeb"/>
        <w:spacing w:line="480" w:lineRule="auto"/>
        <w:ind w:firstLine="360"/>
        <w:contextualSpacing/>
      </w:pPr>
      <w:r w:rsidRPr="00C21098">
        <w:t>Community diversity and structure were compared using principal coordinates analysis (PCoA) on beta diversity metrics including weighted and unweighted UniFrac distances (Lozupone &amp; Knight</w:t>
      </w:r>
      <w:r>
        <w:t>,</w:t>
      </w:r>
      <w:r w:rsidRPr="00C21098">
        <w:t xml:space="preserve"> 2005) and the binary Jaccard index (Jaccard</w:t>
      </w:r>
      <w:r>
        <w:t>,</w:t>
      </w:r>
      <w:r w:rsidRPr="00C21098">
        <w:t xml:space="preserve"> 1901). Beta diversity matrices and PCoA plots were generated from the same rarefied datasets used to measure alpha diversity metrics. The adonis function in the vegan v2.3_4 package (Oksanen </w:t>
      </w:r>
      <w:r w:rsidRPr="00413434">
        <w:t>et al.,</w:t>
      </w:r>
      <w:r w:rsidRPr="00C21098">
        <w:t xml:space="preserve"> 2016) of R v3.3.1 (R Core Team</w:t>
      </w:r>
      <w:r>
        <w:t>,</w:t>
      </w:r>
      <w:r w:rsidRPr="00C21098">
        <w:t xml:space="preserve"> 2013) was used on beta diversity distance matrices with 999 permutations to compare community composition between groups statistically.</w:t>
      </w:r>
    </w:p>
    <w:p w14:paraId="4DF50077" w14:textId="77777777" w:rsidR="00143B24" w:rsidRPr="00C21098" w:rsidRDefault="00143B24" w:rsidP="00143B24">
      <w:pPr>
        <w:pStyle w:val="NormalWeb"/>
        <w:spacing w:line="480" w:lineRule="auto"/>
        <w:contextualSpacing/>
      </w:pPr>
    </w:p>
    <w:p w14:paraId="4B1FB66A" w14:textId="77777777" w:rsidR="00143B24" w:rsidRPr="00C21098" w:rsidRDefault="00143B24" w:rsidP="00143B24">
      <w:pPr>
        <w:pStyle w:val="NormalWeb"/>
        <w:spacing w:line="480" w:lineRule="auto"/>
        <w:contextualSpacing/>
        <w:rPr>
          <w:b/>
        </w:rPr>
      </w:pPr>
      <w:r w:rsidRPr="00C21098">
        <w:rPr>
          <w:b/>
          <w:bCs/>
        </w:rPr>
        <w:t xml:space="preserve">2.3 | </w:t>
      </w:r>
      <w:r w:rsidRPr="00C21098">
        <w:rPr>
          <w:b/>
        </w:rPr>
        <w:t>Sample comparisons</w:t>
      </w:r>
    </w:p>
    <w:p w14:paraId="1AA5CA8A" w14:textId="77777777" w:rsidR="00143B24" w:rsidRPr="00C21098" w:rsidRDefault="00143B24" w:rsidP="00143B24">
      <w:pPr>
        <w:pStyle w:val="NormalWeb"/>
        <w:spacing w:line="480" w:lineRule="auto"/>
        <w:contextualSpacing/>
        <w:rPr>
          <w:b/>
        </w:rPr>
      </w:pPr>
      <w:r w:rsidRPr="00C21098">
        <w:t>We first analyzed bacterial composition across all 83 samples (Appendix S1) and then split the dataset into cloacal and fecal subsets to examine general patterns between sample types. Following broad overviews of the data, we tested the effects of captivity status on gut bacterial communities in crested iguana hosts and examined for microbial restructuring in reintroduced lizards post-release.</w:t>
      </w:r>
    </w:p>
    <w:p w14:paraId="6557D54A" w14:textId="77777777" w:rsidR="00143B24" w:rsidRPr="00C21098" w:rsidRDefault="00143B24" w:rsidP="00143B24">
      <w:pPr>
        <w:pStyle w:val="NormalWeb"/>
        <w:spacing w:line="480" w:lineRule="auto"/>
        <w:ind w:firstLine="360"/>
        <w:contextualSpacing/>
      </w:pPr>
      <w:r w:rsidRPr="00C21098">
        <w:t>To determine the influences of captivity status on gut microbial communities we used snapshot analyses of cloacal and fecal samples taken from WCF, CB2017, CB2015, and Wild lizards. For cloacal comparisons, we included 35 samples collected between 22 February and 2 March 2017 (Appendix S1). This subset included 10 WCF, 13 CB2017, three CB2015, and nine Wild individuals. In our subsequent fecal analyses, we included 26 fecal samples collected between 22 February and 1 March 2017 (Appendix S1). This dataset encompassed fecal samples from nine WCF, nine CB2017, two CB2015, and six Wild iguanas. In addition to comparing microbial communities across four treatments, we also ran all analyses between just two conditions, captive (WCF and CB2017 grouped) and non-captive (CB2015 and Wild grouped)</w:t>
      </w:r>
      <w:r>
        <w:t xml:space="preserve"> (Ren et al. 2016)</w:t>
      </w:r>
      <w:r w:rsidRPr="00C21098">
        <w:t>.</w:t>
      </w:r>
    </w:p>
    <w:p w14:paraId="759E6AD2" w14:textId="77777777" w:rsidR="00143B24" w:rsidRPr="00C21098" w:rsidRDefault="00143B24" w:rsidP="00143B24">
      <w:pPr>
        <w:pStyle w:val="NormalWeb"/>
        <w:spacing w:line="480" w:lineRule="auto"/>
        <w:ind w:firstLine="360"/>
        <w:contextualSpacing/>
      </w:pPr>
      <w:r w:rsidRPr="00C21098">
        <w:t>We sought to assess the effects of release on lizard microbiota using both cloacal and fecal samples collected roughly two months after host reintroduction to Monuriki. We collected cloacal samples from five recently released lizards, one WCF and four CB2017, between 24 April and 11 May 2017 (Appendix S1). We compared microbial communities from these samples against those in the initial 23 captive animal cloacal samples (10 WCF, 13 CB2017) as well as the initial 12 non-captive samples (nine Wild, three CB2015). We also compared six novel fecal samples (one WCF, five CB2017) collected between 2 and 17 May (Appendix S1) against the 18 initial captive fecal samples (nine WCF, nine CB2017) and eight non-captive fecal samples (two CB2015, six Wild). In both instances, we sought to determine if gut microbiomes were more similar to captive communities or non-captive communities two months after host reintroduction.</w:t>
      </w:r>
    </w:p>
    <w:p w14:paraId="5974EC8E" w14:textId="77777777" w:rsidR="00143B24" w:rsidRPr="00C21098" w:rsidRDefault="00143B24" w:rsidP="00143B24">
      <w:pPr>
        <w:pStyle w:val="NormalWeb"/>
        <w:spacing w:line="480" w:lineRule="auto"/>
        <w:contextualSpacing/>
      </w:pPr>
    </w:p>
    <w:p w14:paraId="75A3DD92" w14:textId="77777777" w:rsidR="00143B24" w:rsidRPr="00C21098" w:rsidRDefault="00143B24" w:rsidP="00143B24">
      <w:pPr>
        <w:pStyle w:val="NormalWeb"/>
        <w:spacing w:line="480" w:lineRule="auto"/>
        <w:contextualSpacing/>
        <w:rPr>
          <w:b/>
        </w:rPr>
      </w:pPr>
      <w:r w:rsidRPr="00C21098">
        <w:rPr>
          <w:b/>
          <w:bCs/>
        </w:rPr>
        <w:t>3 | RESULTS</w:t>
      </w:r>
    </w:p>
    <w:p w14:paraId="2A783003" w14:textId="77777777" w:rsidR="00143B24" w:rsidRPr="00C21098" w:rsidRDefault="00143B24" w:rsidP="00143B24">
      <w:pPr>
        <w:pStyle w:val="NormalWeb"/>
        <w:spacing w:line="480" w:lineRule="auto"/>
        <w:contextualSpacing/>
        <w:rPr>
          <w:b/>
        </w:rPr>
      </w:pPr>
      <w:r w:rsidRPr="00C21098">
        <w:rPr>
          <w:b/>
          <w:bCs/>
        </w:rPr>
        <w:t xml:space="preserve">3.1 | </w:t>
      </w:r>
      <w:r w:rsidRPr="00C21098">
        <w:rPr>
          <w:b/>
        </w:rPr>
        <w:t>General patterns in Fijian crested iguana microbiota</w:t>
      </w:r>
    </w:p>
    <w:p w14:paraId="5FD6B43C" w14:textId="77777777" w:rsidR="00143B24" w:rsidRPr="00C21098" w:rsidRDefault="00143B24" w:rsidP="00143B24">
      <w:pPr>
        <w:pStyle w:val="NormalWeb"/>
        <w:spacing w:line="480" w:lineRule="auto"/>
        <w:ind w:firstLine="360"/>
        <w:contextualSpacing/>
      </w:pPr>
      <w:r w:rsidRPr="00C21098">
        <w:t>Our curated dataset of 83 samples generated 898,625 reads with a minimum read depth of 540, a maximum of 30,503, and a median of 9,883 reads per sample. Among the 46 cloacal samples only, 410,545 reads were recovered with a minimum read depth of 540 sequences per sample, maximum of 25,304, and median read depth of 8,521.5. The 37 fecal samples produced 488,080 reads with a minimum, maximum, and median read depth of 3,378, 30,503, and 12,558 reads per sample respectively.</w:t>
      </w:r>
    </w:p>
    <w:p w14:paraId="4ACD5722" w14:textId="77777777" w:rsidR="00143B24" w:rsidRPr="00C21098" w:rsidRDefault="00143B24" w:rsidP="00143B24">
      <w:pPr>
        <w:pStyle w:val="NormalWeb"/>
        <w:spacing w:line="480" w:lineRule="auto"/>
        <w:ind w:firstLine="360"/>
        <w:contextualSpacing/>
      </w:pPr>
      <w:r w:rsidRPr="00C21098">
        <w:t xml:space="preserve">Fijian crested iguana microbiome samples averaged 85 unique OTUs per 500 reads, the Shannon index varied from 0.93 to 6.32 (mean = 4.77 ± 1.28), and Faith’s PD varied from 2.76 to 14.33 (mean = 9.34 ± 2.87). The average Jaccard distance between pairs of samples was 0.83 suggesting that any two samples shared ~17% of their OTUs on average. Across rarefied sequences, six OTUs were found in ≥70% of all samples, one </w:t>
      </w:r>
      <w:r w:rsidRPr="00C21098">
        <w:rPr>
          <w:i/>
          <w:iCs/>
        </w:rPr>
        <w:t xml:space="preserve">Oscillospira </w:t>
      </w:r>
      <w:r w:rsidRPr="00C21098">
        <w:t xml:space="preserve">sp., one </w:t>
      </w:r>
      <w:r w:rsidRPr="00C21098">
        <w:rPr>
          <w:i/>
          <w:iCs/>
        </w:rPr>
        <w:t xml:space="preserve">Phascolarctobacterium </w:t>
      </w:r>
      <w:r w:rsidRPr="00C21098">
        <w:t>sp., two unidentified taxa in the family Enterobacteriaceae, and two unidentified taxa in the families Clostridiaceae and Lachnospiraceae. At a rarefied depth of 500 reads per sample, most sequences (91.8%) belonged to four phyla: Firmicutes (48.3%), Proteobacteria (18.4%), Actinobacteria (13.9%). and Bacteroidetes (11.1%).</w:t>
      </w:r>
    </w:p>
    <w:p w14:paraId="42949E6D" w14:textId="77777777" w:rsidR="00143B24" w:rsidRPr="00C21098" w:rsidRDefault="00143B24" w:rsidP="00143B24">
      <w:pPr>
        <w:pStyle w:val="NormalWeb"/>
        <w:spacing w:line="480" w:lineRule="auto"/>
        <w:ind w:firstLine="360"/>
        <w:contextualSpacing/>
      </w:pPr>
      <w:r w:rsidRPr="00C21098">
        <w:t xml:space="preserve">The average number of OTUs per cloacal sample was 68 (sequence depth = 500 rarified reads/sample), the Shannon index varied from 0.81–6.07 (mean = 4.09 ± 1.32), and Faith’s PD varied from 2.8–12.66 (mean 7.88 ± 3.04). Jaccard distances averaged 0.86 across pairs of cloacal samples, a slight increase when compared to that among all samples. Just four OTUs were identified in ≥70% rarefied cloacal sequences, one </w:t>
      </w:r>
      <w:r w:rsidRPr="00C21098">
        <w:rPr>
          <w:i/>
          <w:iCs/>
        </w:rPr>
        <w:t xml:space="preserve">Corynebacterium </w:t>
      </w:r>
      <w:r w:rsidRPr="00C21098">
        <w:t>sp., an unidentified microbe in Clostridiaceae, and two unidentified taxa in Enterobacteriaceae. The majority of cloacal reads (95.1%) belonged to the same four dominant phyla as in all samples: Firmicutes (37.2%), Proteobacteria (27.7%), Actinobacteria (24.3%), and Bacteroidetes (5.9%).</w:t>
      </w:r>
    </w:p>
    <w:p w14:paraId="5A8E84BA" w14:textId="77777777" w:rsidR="00143B24" w:rsidRPr="00C21098" w:rsidRDefault="00143B24" w:rsidP="00143B24">
      <w:pPr>
        <w:pStyle w:val="NormalWeb"/>
        <w:spacing w:line="480" w:lineRule="auto"/>
        <w:ind w:firstLine="360"/>
        <w:contextualSpacing/>
      </w:pPr>
      <w:r w:rsidRPr="00C21098">
        <w:t xml:space="preserve">Within fecal samples and at a sequencing depth of 3,350 quality-controlled reads, the average number of OTUs found was 224, the Shannon index varied from 5.14 to 6.63 (mean = 5.90 ± 0.37), and Faith’s PD varied from 11.94 to 21.69 (mean = 17.13 ± 2.05). The average Jaccard distance between any pair of fecal samples was 0.65, suggesting more similarity among fecal samples compared to among cloacal samples. Across all fecal samples, 90 OTUs were found in ≥70% of samples and seven OTUs were found in 100% of fecal samples. These included three </w:t>
      </w:r>
      <w:r w:rsidRPr="00C21098">
        <w:rPr>
          <w:i/>
          <w:iCs/>
        </w:rPr>
        <w:t xml:space="preserve">Bacteroides </w:t>
      </w:r>
      <w:r w:rsidRPr="00C21098">
        <w:t xml:space="preserve">spp., one </w:t>
      </w:r>
      <w:r w:rsidRPr="00C21098">
        <w:rPr>
          <w:i/>
          <w:iCs/>
        </w:rPr>
        <w:t xml:space="preserve">Parabacteroides </w:t>
      </w:r>
      <w:r w:rsidRPr="00C21098">
        <w:t>sp., an unidentified taxon in Lachnospiraceae, one in Enterobacteriaceae, and a third in Ruminococcaceae. Most rarefied reads (86.6%) belonged to just three phyla: Firmicutes (61.5%), Bacteroidetes (18.1%), and Proteobacteria (7.0%), while Actinobacteria comprised only 0.8% of rarified fecal reads.</w:t>
      </w:r>
    </w:p>
    <w:p w14:paraId="2886B833" w14:textId="77777777" w:rsidR="00143B24" w:rsidRPr="00C21098" w:rsidRDefault="00143B24" w:rsidP="00143B24">
      <w:pPr>
        <w:pStyle w:val="NormalWeb"/>
        <w:spacing w:line="480" w:lineRule="auto"/>
        <w:contextualSpacing/>
      </w:pPr>
    </w:p>
    <w:p w14:paraId="53555431" w14:textId="77777777" w:rsidR="00143B24" w:rsidRPr="00C21098" w:rsidRDefault="00143B24" w:rsidP="00143B24">
      <w:pPr>
        <w:pStyle w:val="NormalWeb"/>
        <w:spacing w:line="480" w:lineRule="auto"/>
        <w:contextualSpacing/>
        <w:rPr>
          <w:b/>
        </w:rPr>
      </w:pPr>
      <w:r w:rsidRPr="00C21098">
        <w:rPr>
          <w:b/>
          <w:bCs/>
        </w:rPr>
        <w:t xml:space="preserve">3.2 | </w:t>
      </w:r>
      <w:r w:rsidRPr="00C21098">
        <w:rPr>
          <w:b/>
        </w:rPr>
        <w:t>Comparison of microbiota in captive and non-captive iguanas via cloacal samples</w:t>
      </w:r>
    </w:p>
    <w:p w14:paraId="0B8BC993" w14:textId="77777777" w:rsidR="00143B24" w:rsidRPr="00C21098" w:rsidRDefault="00143B24" w:rsidP="00143B24">
      <w:pPr>
        <w:pStyle w:val="NormalWeb"/>
        <w:spacing w:line="480" w:lineRule="auto"/>
        <w:contextualSpacing/>
      </w:pPr>
      <w:r w:rsidRPr="00C21098">
        <w:t>Comparisons of cloacal samples from Fijian crested iguanas of treatment groups WCF, CB2017, CB2015, and Wild yielded no significant differences in measured alpha diversity metrics (Fig. S2). This lack of differentiation remained even when samples were grouped as captive (WCF and CB2017 grouped) and non-captive (CB2015 and Wild grouped) treatments (Fig. S2). PCoA plots of beta diversity metrics showed limited clustering when grouping both by four treatments and by captive and non-captive lizards (Fig. 2A). Among all four treatments, adonis tests determined significant differentiation in unweighted UniFrac distances (</w:t>
      </w:r>
      <w:r w:rsidRPr="00C21098">
        <w:rPr>
          <w:i/>
          <w:iCs/>
        </w:rPr>
        <w:t>R</w:t>
      </w:r>
      <w:r w:rsidRPr="00C21098">
        <w:rPr>
          <w:vertAlign w:val="superscript"/>
        </w:rPr>
        <w:t>2</w:t>
      </w:r>
      <w:r w:rsidRPr="00C21098">
        <w:t xml:space="preserve"> = 0.1412, </w:t>
      </w:r>
      <w:r w:rsidRPr="00C21098">
        <w:rPr>
          <w:i/>
        </w:rPr>
        <w:t>P</w:t>
      </w:r>
      <w:r w:rsidRPr="00C21098">
        <w:rPr>
          <w:iCs/>
        </w:rPr>
        <w:t xml:space="preserve"> =</w:t>
      </w:r>
      <w:r w:rsidRPr="00C21098">
        <w:t xml:space="preserve"> 0.004), and Jaccard distances (</w:t>
      </w:r>
      <w:r w:rsidRPr="00C21098">
        <w:rPr>
          <w:i/>
          <w:iCs/>
        </w:rPr>
        <w:t>R</w:t>
      </w:r>
      <w:r w:rsidRPr="00C21098">
        <w:rPr>
          <w:vertAlign w:val="superscript"/>
        </w:rPr>
        <w:t>2</w:t>
      </w:r>
      <w:r w:rsidRPr="00C21098">
        <w:t xml:space="preserve"> = 0.1445, </w:t>
      </w:r>
      <w:r w:rsidRPr="00C21098">
        <w:rPr>
          <w:i/>
        </w:rPr>
        <w:t>P</w:t>
      </w:r>
      <w:r w:rsidRPr="00C21098">
        <w:rPr>
          <w:iCs/>
        </w:rPr>
        <w:t xml:space="preserve"> =</w:t>
      </w:r>
      <w:r w:rsidRPr="00C21098">
        <w:t xml:space="preserve"> 0.001) while weighted UniFrac distances (</w:t>
      </w:r>
      <w:r w:rsidRPr="00C21098">
        <w:rPr>
          <w:i/>
          <w:iCs/>
        </w:rPr>
        <w:t>R</w:t>
      </w:r>
      <w:r w:rsidRPr="00C21098">
        <w:rPr>
          <w:vertAlign w:val="superscript"/>
        </w:rPr>
        <w:t>2</w:t>
      </w:r>
      <w:r w:rsidRPr="00C21098">
        <w:t xml:space="preserve"> = 0.1448, </w:t>
      </w:r>
      <w:r w:rsidRPr="00C21098">
        <w:rPr>
          <w:i/>
        </w:rPr>
        <w:t>P =</w:t>
      </w:r>
      <w:r w:rsidRPr="00C21098">
        <w:t xml:space="preserve"> 0.075) were not significantly distinct. Grouping by captive and non-captive types produced similar, yet weaker</w:t>
      </w:r>
      <w:r>
        <w:t>,</w:t>
      </w:r>
      <w:r w:rsidRPr="00C21098">
        <w:t xml:space="preserve"> results in unweighted UniFrac distances (</w:t>
      </w:r>
      <w:r w:rsidRPr="00C21098">
        <w:rPr>
          <w:i/>
          <w:iCs/>
        </w:rPr>
        <w:t>R</w:t>
      </w:r>
      <w:r w:rsidRPr="00C21098">
        <w:rPr>
          <w:vertAlign w:val="superscript"/>
        </w:rPr>
        <w:t>2</w:t>
      </w:r>
      <w:r w:rsidRPr="00C21098">
        <w:t xml:space="preserve"> = 0.0641, </w:t>
      </w:r>
      <w:r w:rsidRPr="00C21098">
        <w:rPr>
          <w:i/>
        </w:rPr>
        <w:t>P</w:t>
      </w:r>
      <w:r w:rsidRPr="00C21098">
        <w:rPr>
          <w:iCs/>
        </w:rPr>
        <w:t xml:space="preserve"> =</w:t>
      </w:r>
      <w:r w:rsidRPr="00C21098">
        <w:t xml:space="preserve"> 0.007), Jaccard distances (</w:t>
      </w:r>
      <w:r w:rsidRPr="00C21098">
        <w:rPr>
          <w:i/>
          <w:iCs/>
        </w:rPr>
        <w:t>R</w:t>
      </w:r>
      <w:r w:rsidRPr="00C21098">
        <w:rPr>
          <w:vertAlign w:val="superscript"/>
        </w:rPr>
        <w:t>2</w:t>
      </w:r>
      <w:r w:rsidRPr="00C21098">
        <w:t xml:space="preserve"> = 0.0646, </w:t>
      </w:r>
      <w:r w:rsidRPr="00C21098">
        <w:rPr>
          <w:i/>
        </w:rPr>
        <w:t>P</w:t>
      </w:r>
      <w:r w:rsidRPr="00C21098">
        <w:rPr>
          <w:iCs/>
        </w:rPr>
        <w:t xml:space="preserve"> =</w:t>
      </w:r>
      <w:r w:rsidRPr="00C21098">
        <w:t xml:space="preserve"> 0.002), and weighted UniFrac distances (</w:t>
      </w:r>
      <w:r w:rsidRPr="00C21098">
        <w:rPr>
          <w:i/>
          <w:iCs/>
        </w:rPr>
        <w:t>R</w:t>
      </w:r>
      <w:r w:rsidRPr="00C21098">
        <w:rPr>
          <w:vertAlign w:val="superscript"/>
        </w:rPr>
        <w:t>2</w:t>
      </w:r>
      <w:r w:rsidRPr="00C21098">
        <w:t xml:space="preserve"> = 0.0460, </w:t>
      </w:r>
      <w:r w:rsidRPr="00C21098">
        <w:rPr>
          <w:i/>
        </w:rPr>
        <w:t>P</w:t>
      </w:r>
      <w:r w:rsidRPr="00C21098">
        <w:rPr>
          <w:iCs/>
        </w:rPr>
        <w:t xml:space="preserve"> =</w:t>
      </w:r>
      <w:r w:rsidRPr="00C21098">
        <w:t xml:space="preserve"> 0.174). The average Jaccard distance between pairs of cloacal samples in this subset was 0.85 and remained similar within treatment groups (WCF = 0.81, CB2017 = 0.82, CB2015 = 0.75, Wild = 0.88; captive = 0.83, non-captive = 0.86).</w:t>
      </w:r>
    </w:p>
    <w:p w14:paraId="0CC0C3DA" w14:textId="77777777" w:rsidR="00143B24" w:rsidRPr="00C21098" w:rsidRDefault="00143B24" w:rsidP="00143B24">
      <w:pPr>
        <w:pStyle w:val="NormalWeb"/>
        <w:spacing w:line="480" w:lineRule="auto"/>
        <w:ind w:firstLine="360"/>
        <w:contextualSpacing/>
      </w:pPr>
      <w:r w:rsidRPr="00C21098">
        <w:t xml:space="preserve">Rarefied cloacal samples across all groups in this subset were dominated by Firmicutes (37.7%), Proteobacteria (26.2%), Actinobacteria (24.9%), and Bacteroidetes (6.5%) with some differentiation among treatments (Fig. S3). At 500 sequences per sample, Kruskal-Wallis tests identified two OTUs that varied significantly in relative abundance between all four treatments following Bonferroni corrections. These included one </w:t>
      </w:r>
      <w:r w:rsidRPr="00C21098">
        <w:rPr>
          <w:i/>
          <w:iCs/>
        </w:rPr>
        <w:t xml:space="preserve">Cupriavidus </w:t>
      </w:r>
      <w:r w:rsidRPr="00C21098">
        <w:t xml:space="preserve">sp. (WCF mean reads = 0, CB2017 = 0, CB2015 = 0.7, Wild = 0), and an unidentified taxon in Coriobacteriaceae (WCF mean reads = 0, CB2017 = 0, CB2015 = 2.0, Wild = 0). Both of these differentiations are likely due to limited sampling in the CB2015 category (n = 3). When comparing captive and non-captive samples, one OTU, an unidentified taxon in Micrococcaceae, was found to differ between treatment groups (mean captive reads = 19.1, non-captive = 0). BLAST queries of this specific sequence returned a 99.6% match to </w:t>
      </w:r>
      <w:r w:rsidRPr="00C21098">
        <w:rPr>
          <w:i/>
          <w:iCs/>
        </w:rPr>
        <w:t xml:space="preserve">Nesterenkonia </w:t>
      </w:r>
      <w:r w:rsidRPr="00C21098">
        <w:t>sp. strain</w:t>
      </w:r>
      <w:r w:rsidRPr="00C21098">
        <w:rPr>
          <w:i/>
          <w:iCs/>
        </w:rPr>
        <w:t xml:space="preserve"> </w:t>
      </w:r>
      <w:r w:rsidRPr="00C21098">
        <w:t xml:space="preserve">MadaFrogSkinBac.DB-.3605. While not significantly distinct between treatments, a number of OTUs were present in rarefied captive samples that were absent in non-captive ones (Appendix S2). Notably, these included another </w:t>
      </w:r>
      <w:r w:rsidRPr="00C21098">
        <w:rPr>
          <w:i/>
          <w:iCs/>
        </w:rPr>
        <w:t xml:space="preserve">Nesterenkonia </w:t>
      </w:r>
      <w:r w:rsidRPr="00C21098">
        <w:t xml:space="preserve">sp. (captive mean reads = 37.7), one </w:t>
      </w:r>
      <w:r w:rsidRPr="00C21098">
        <w:rPr>
          <w:i/>
          <w:iCs/>
        </w:rPr>
        <w:t xml:space="preserve">Brevibacterium </w:t>
      </w:r>
      <w:r w:rsidRPr="00C21098">
        <w:t>sp.</w:t>
      </w:r>
      <w:r w:rsidRPr="00C21098">
        <w:rPr>
          <w:i/>
          <w:iCs/>
        </w:rPr>
        <w:t xml:space="preserve"> </w:t>
      </w:r>
      <w:r w:rsidRPr="00C21098">
        <w:t xml:space="preserve">(captive mean reads = 12.5), and one </w:t>
      </w:r>
      <w:r w:rsidRPr="00C21098">
        <w:rPr>
          <w:i/>
          <w:iCs/>
        </w:rPr>
        <w:t>Brachybacterium</w:t>
      </w:r>
      <w:r w:rsidRPr="00C21098">
        <w:t xml:space="preserve"> sp. (captive mean reads = 11.2).</w:t>
      </w:r>
    </w:p>
    <w:p w14:paraId="5A26458E" w14:textId="77777777" w:rsidR="00143B24" w:rsidRPr="00C21098" w:rsidRDefault="00143B24" w:rsidP="00143B24">
      <w:pPr>
        <w:pStyle w:val="NormalWeb"/>
        <w:spacing w:line="480" w:lineRule="auto"/>
        <w:contextualSpacing/>
      </w:pPr>
    </w:p>
    <w:p w14:paraId="09473DBE" w14:textId="77777777" w:rsidR="00143B24" w:rsidRPr="00C21098" w:rsidRDefault="00143B24" w:rsidP="00143B24">
      <w:pPr>
        <w:pStyle w:val="NormalWeb"/>
        <w:spacing w:line="480" w:lineRule="auto"/>
        <w:contextualSpacing/>
        <w:rPr>
          <w:b/>
        </w:rPr>
      </w:pPr>
      <w:r w:rsidRPr="00C21098">
        <w:rPr>
          <w:b/>
          <w:bCs/>
        </w:rPr>
        <w:t xml:space="preserve">3.3 | </w:t>
      </w:r>
      <w:r w:rsidRPr="00C21098">
        <w:rPr>
          <w:b/>
        </w:rPr>
        <w:t>Comparison of microbiota in captive and non-captive iguanas via fecal samples</w:t>
      </w:r>
    </w:p>
    <w:p w14:paraId="0D185DBF" w14:textId="77777777" w:rsidR="00143B24" w:rsidRPr="00C21098" w:rsidRDefault="00143B24" w:rsidP="00143B24">
      <w:pPr>
        <w:pStyle w:val="NormalWeb"/>
        <w:spacing w:line="480" w:lineRule="auto"/>
        <w:contextualSpacing/>
      </w:pPr>
      <w:r w:rsidRPr="00C21098">
        <w:t>We found significant differences in the number of OTUs (</w:t>
      </w:r>
      <w:r w:rsidRPr="00C21098">
        <w:rPr>
          <w:i/>
          <w:iCs/>
        </w:rPr>
        <w:t xml:space="preserve">P </w:t>
      </w:r>
      <w:r w:rsidRPr="00C21098">
        <w:t>= 0.005; WCF = 223, CB2017 = 233, CB2015 = 181.5, Wild = 190) and in Faith’s PD (</w:t>
      </w:r>
      <w:r w:rsidRPr="00C21098">
        <w:rPr>
          <w:i/>
          <w:iCs/>
        </w:rPr>
        <w:t xml:space="preserve">P </w:t>
      </w:r>
      <w:r w:rsidRPr="00C21098">
        <w:t>= 0.001; WCF = 17.0, CB2017 = 17.8, CB2015 = 14.1, Wild = 15.1) but not in the Shannon index when comparing fecal samples across all four treatments (Fig. 3). Post-hoc analyses of observed OTUs found significant differentiation between CB2017 and Wild samples (</w:t>
      </w:r>
      <w:r w:rsidRPr="00C21098">
        <w:rPr>
          <w:i/>
          <w:iCs/>
        </w:rPr>
        <w:t xml:space="preserve">P </w:t>
      </w:r>
      <w:r w:rsidRPr="00C21098">
        <w:t>= 0.012) while remaining comparisons were insignificant. Post-hoc analyses of Faith’s PD results revealed significant differentiation between CB2017 and CB2015 (</w:t>
      </w:r>
      <w:r w:rsidRPr="00C21098">
        <w:rPr>
          <w:i/>
          <w:iCs/>
        </w:rPr>
        <w:t xml:space="preserve">P </w:t>
      </w:r>
      <w:r w:rsidRPr="00C21098">
        <w:t>= 0.011) and CB2017 and Wild (</w:t>
      </w:r>
      <w:r w:rsidRPr="00C21098">
        <w:rPr>
          <w:i/>
          <w:iCs/>
        </w:rPr>
        <w:t xml:space="preserve">P </w:t>
      </w:r>
      <w:r w:rsidRPr="00C21098">
        <w:t>= 0.005) treatments. Remaining pairwise comparisons were insignificant. Grouping by captive and non-captive statuses again resulted in significant differences in the number observed OTUs (</w:t>
      </w:r>
      <w:r w:rsidRPr="00C21098">
        <w:rPr>
          <w:i/>
          <w:iCs/>
        </w:rPr>
        <w:t>P</w:t>
      </w:r>
      <w:r w:rsidRPr="00C21098">
        <w:t xml:space="preserve"> &lt; 0.001; captive mean = 229, non-captive mean = 188) and in Faith’s PD (</w:t>
      </w:r>
      <w:r w:rsidRPr="00C21098">
        <w:rPr>
          <w:i/>
          <w:iCs/>
        </w:rPr>
        <w:t xml:space="preserve">P </w:t>
      </w:r>
      <w:r w:rsidRPr="00C21098">
        <w:t>&lt; 0.001, captive mean = 17.4, non-captive mean = 14.9) but not in the Shannon index (Fig. S4). PCoA plots showed evident clustering among all four treatments and when grouped as captive and non-captive samples (Fig. 2B). Adonis analyses showed significant differences between the four conditions in weighted UniFrac distances (</w:t>
      </w:r>
      <w:r w:rsidRPr="00C21098">
        <w:rPr>
          <w:i/>
          <w:iCs/>
        </w:rPr>
        <w:t>R</w:t>
      </w:r>
      <w:r w:rsidRPr="00C21098">
        <w:rPr>
          <w:vertAlign w:val="superscript"/>
        </w:rPr>
        <w:t>2</w:t>
      </w:r>
      <w:r w:rsidRPr="00C21098">
        <w:t xml:space="preserve"> = 0.4297, </w:t>
      </w:r>
      <w:r w:rsidRPr="00C21098">
        <w:rPr>
          <w:i/>
        </w:rPr>
        <w:t>P</w:t>
      </w:r>
      <w:r w:rsidRPr="00C21098">
        <w:rPr>
          <w:iCs/>
        </w:rPr>
        <w:t xml:space="preserve"> = </w:t>
      </w:r>
      <w:r w:rsidRPr="00C21098">
        <w:t>0.001), unweighted UniFrac distances (</w:t>
      </w:r>
      <w:r w:rsidRPr="00C21098">
        <w:rPr>
          <w:i/>
          <w:iCs/>
        </w:rPr>
        <w:t>R</w:t>
      </w:r>
      <w:r w:rsidRPr="00C21098">
        <w:rPr>
          <w:vertAlign w:val="superscript"/>
        </w:rPr>
        <w:t>2</w:t>
      </w:r>
      <w:r w:rsidRPr="00C21098">
        <w:t xml:space="preserve"> = 0.3302, </w:t>
      </w:r>
      <w:r w:rsidRPr="00C21098">
        <w:rPr>
          <w:i/>
        </w:rPr>
        <w:t>P</w:t>
      </w:r>
      <w:r w:rsidRPr="00C21098">
        <w:rPr>
          <w:iCs/>
        </w:rPr>
        <w:t xml:space="preserve"> = </w:t>
      </w:r>
      <w:r w:rsidRPr="00C21098">
        <w:t>0.001), and Jaccard distances (</w:t>
      </w:r>
      <w:r w:rsidRPr="00C21098">
        <w:rPr>
          <w:i/>
          <w:iCs/>
        </w:rPr>
        <w:t>R</w:t>
      </w:r>
      <w:r w:rsidRPr="00C21098">
        <w:rPr>
          <w:vertAlign w:val="superscript"/>
        </w:rPr>
        <w:t>2</w:t>
      </w:r>
      <w:r w:rsidRPr="00C21098">
        <w:t xml:space="preserve"> = 0.3142, </w:t>
      </w:r>
      <w:r w:rsidRPr="00C21098">
        <w:rPr>
          <w:i/>
        </w:rPr>
        <w:t>P</w:t>
      </w:r>
      <w:r w:rsidRPr="00C21098">
        <w:rPr>
          <w:iCs/>
        </w:rPr>
        <w:t xml:space="preserve"> =</w:t>
      </w:r>
      <w:r w:rsidRPr="00C21098">
        <w:t xml:space="preserve"> 0.001). Captive and non-captive comparisons showed similarly significant yet slightly weaker results in weighted UniFrac (</w:t>
      </w:r>
      <w:r w:rsidRPr="00C21098">
        <w:rPr>
          <w:i/>
          <w:iCs/>
        </w:rPr>
        <w:t>R</w:t>
      </w:r>
      <w:r w:rsidRPr="00C21098">
        <w:rPr>
          <w:i/>
          <w:iCs/>
          <w:vertAlign w:val="superscript"/>
        </w:rPr>
        <w:t>2</w:t>
      </w:r>
      <w:r w:rsidRPr="00C21098">
        <w:t xml:space="preserve"> = 0.3162, </w:t>
      </w:r>
      <w:r w:rsidRPr="00C21098">
        <w:rPr>
          <w:i/>
          <w:iCs/>
        </w:rPr>
        <w:t xml:space="preserve">P </w:t>
      </w:r>
      <w:r w:rsidRPr="00C21098">
        <w:t>= 0.001), unweighted UniFrac (</w:t>
      </w:r>
      <w:r w:rsidRPr="00C21098">
        <w:rPr>
          <w:i/>
          <w:iCs/>
        </w:rPr>
        <w:t>R</w:t>
      </w:r>
      <w:r w:rsidRPr="00C21098">
        <w:rPr>
          <w:i/>
          <w:iCs/>
          <w:vertAlign w:val="superscript"/>
        </w:rPr>
        <w:t>2</w:t>
      </w:r>
      <w:r w:rsidRPr="00C21098">
        <w:t xml:space="preserve"> = 0.2122, </w:t>
      </w:r>
      <w:r w:rsidRPr="00C21098">
        <w:rPr>
          <w:i/>
          <w:iCs/>
        </w:rPr>
        <w:t xml:space="preserve">P </w:t>
      </w:r>
      <w:r w:rsidRPr="00C21098">
        <w:t>= 0.001), and Jaccard distances (</w:t>
      </w:r>
      <w:r w:rsidRPr="00C21098">
        <w:rPr>
          <w:i/>
          <w:iCs/>
        </w:rPr>
        <w:t>R</w:t>
      </w:r>
      <w:r w:rsidRPr="00C21098">
        <w:rPr>
          <w:i/>
          <w:iCs/>
          <w:vertAlign w:val="superscript"/>
        </w:rPr>
        <w:t>2</w:t>
      </w:r>
      <w:r w:rsidRPr="00C21098">
        <w:t xml:space="preserve"> = 0.2036, </w:t>
      </w:r>
      <w:r w:rsidRPr="00C21098">
        <w:rPr>
          <w:i/>
          <w:iCs/>
        </w:rPr>
        <w:t xml:space="preserve">P </w:t>
      </w:r>
      <w:r w:rsidRPr="00C21098">
        <w:t>= 0.001). Pairs of fecal samples averaged a Jaccard distance of 0.65 with some deviation within treatment groups (WCF = 0.57, CB2017 = 0.55, CB2015 = 0.57, Wild = 0.63; captive = 0.57, non-captive = 0.64).</w:t>
      </w:r>
    </w:p>
    <w:p w14:paraId="7AD112F1" w14:textId="77777777" w:rsidR="00143B24" w:rsidRPr="00C21098" w:rsidRDefault="00143B24" w:rsidP="00143B24">
      <w:pPr>
        <w:pStyle w:val="NormalWeb"/>
        <w:spacing w:line="480" w:lineRule="auto"/>
        <w:ind w:firstLine="360"/>
        <w:contextualSpacing/>
      </w:pPr>
      <w:r w:rsidRPr="00C21098">
        <w:t xml:space="preserve">The most prevalent phyla among rarefied fecal reads included Firmicutes (66.5%), Bacteroidetes (16.1%), and Proteobacteria (6.5%) contributing to 89.2% of sequences. Synergistetes (2.4%), Planctomycetes (2.3%), Tenericutes (2.0%), and Verrucomicrobia (1.9%) also contributed to general relative diversity present while Actinobacteria accounted for just 0.7% of rarefied reads (Fig. S5). Kruskal-Wallis tests identified one OTU that varied in abundance across all four groups, an unidentified Clostridiales (WCF mean reads = 0, CB2017 = 0, CB2015 = 1.5, Wild = 0) though significance of this difference is likely due to limited sampling of CB2015 individuals (n = 2) in this subset. Comparisons of captive and non-captive microbial communities from crested iguana fecal samples identified seven OTUs that varied significantly between treatments. Three of these OTUs, one </w:t>
      </w:r>
      <w:r w:rsidRPr="00C21098">
        <w:rPr>
          <w:i/>
          <w:iCs/>
        </w:rPr>
        <w:t>Coprococcus</w:t>
      </w:r>
      <w:r w:rsidRPr="00C21098">
        <w:t xml:space="preserve"> sp. (captive mean = 0.3, non-captive = 26.5), an unidentified Coriobacteriaceae (captive mean = 0, non-captive = 3.9), and an unidentified Mogibacteriaceae (captive mean = 0, non-captive = 4.3), were more prevalent in non-captive animals than in captive ones (Appendix S2). The remaining four OTUs were common in rarefied captive animal communities but absent from non-captive counterparts. These OTUs included one </w:t>
      </w:r>
      <w:r w:rsidRPr="00C21098">
        <w:rPr>
          <w:i/>
          <w:iCs/>
        </w:rPr>
        <w:t xml:space="preserve">Ruminococcus </w:t>
      </w:r>
      <w:r w:rsidRPr="00C21098">
        <w:t xml:space="preserve">sp. (captive mean = 95.3, non-captive = 0), an </w:t>
      </w:r>
      <w:r w:rsidRPr="00C21098">
        <w:rPr>
          <w:i/>
          <w:iCs/>
        </w:rPr>
        <w:t xml:space="preserve">Acetobacterium </w:t>
      </w:r>
      <w:r w:rsidRPr="00C21098">
        <w:t xml:space="preserve">sp. (captive mean = 82, non-captive = 0), an unidentified Christensenellaceae (captive mean = 53.4, non-captive = 0), and one </w:t>
      </w:r>
      <w:r w:rsidRPr="00C21098">
        <w:rPr>
          <w:i/>
          <w:iCs/>
        </w:rPr>
        <w:t xml:space="preserve">Bacteroides </w:t>
      </w:r>
      <w:r w:rsidRPr="00C21098">
        <w:t xml:space="preserve">sp. (captive mean = 25.3, non-captive = 0; Appendix S2). References of the unidentified Christensenellaceae sequence against published data in BLAST returned hits only to uncultured bacterial clones. A litany of additional OTUs were present in rarefied captive fecal samples that were not recovered in non-captive ones (Appendix S2). Among these included an unidentified taxon in Synergistaceae (captive mean = 116.9), two unidentified Christensenellaceae (captive means = 58.6, 38.9), one </w:t>
      </w:r>
      <w:r w:rsidRPr="00C21098">
        <w:rPr>
          <w:i/>
          <w:iCs/>
        </w:rPr>
        <w:t>Akkermansia</w:t>
      </w:r>
      <w:r w:rsidRPr="00C21098">
        <w:t xml:space="preserve"> sp. (captive mean = 29.3), another </w:t>
      </w:r>
      <w:r w:rsidRPr="00C21098">
        <w:rPr>
          <w:i/>
          <w:iCs/>
        </w:rPr>
        <w:t xml:space="preserve">Ruminococcus </w:t>
      </w:r>
      <w:r w:rsidRPr="00C21098">
        <w:t xml:space="preserve">sp. (captive mean = 18.7), an unidentified Clostridiales (captive mean = 15.1), and one </w:t>
      </w:r>
      <w:r w:rsidRPr="00C21098">
        <w:rPr>
          <w:i/>
          <w:iCs/>
        </w:rPr>
        <w:t>Coprococcus</w:t>
      </w:r>
      <w:r w:rsidRPr="00C21098">
        <w:t xml:space="preserve"> sp. (captive mean = 11.0). BLAST searches of the unidentified taxon in Synergistaceae returned a 100% match to </w:t>
      </w:r>
      <w:r w:rsidRPr="00C21098">
        <w:rPr>
          <w:i/>
          <w:iCs/>
        </w:rPr>
        <w:t>Cloacibacillus porcorum</w:t>
      </w:r>
      <w:r w:rsidRPr="00C21098">
        <w:t xml:space="preserve"> strain CL-84, while the two unidentified Christensenellaceae and the Clostridiales paired only to uncultured bacterium.</w:t>
      </w:r>
    </w:p>
    <w:p w14:paraId="41D0AE59" w14:textId="77777777" w:rsidR="00143B24" w:rsidRPr="00C21098" w:rsidRDefault="00143B24" w:rsidP="00143B24">
      <w:pPr>
        <w:pStyle w:val="NormalWeb"/>
        <w:spacing w:line="480" w:lineRule="auto"/>
        <w:contextualSpacing/>
      </w:pPr>
    </w:p>
    <w:p w14:paraId="7DBD5D7A" w14:textId="77777777" w:rsidR="00143B24" w:rsidRPr="00C21098" w:rsidRDefault="00143B24" w:rsidP="00143B24">
      <w:pPr>
        <w:pStyle w:val="NormalWeb"/>
        <w:spacing w:line="480" w:lineRule="auto"/>
        <w:contextualSpacing/>
        <w:rPr>
          <w:b/>
        </w:rPr>
      </w:pPr>
      <w:r w:rsidRPr="00C21098">
        <w:rPr>
          <w:b/>
          <w:bCs/>
        </w:rPr>
        <w:t xml:space="preserve">3.4 | </w:t>
      </w:r>
      <w:r w:rsidRPr="00C21098">
        <w:rPr>
          <w:b/>
        </w:rPr>
        <w:t>Temporal variation of cloacal microbiota in captive crested iguanas post-release</w:t>
      </w:r>
    </w:p>
    <w:p w14:paraId="64B806A8" w14:textId="77777777" w:rsidR="00143B24" w:rsidRPr="00C21098" w:rsidRDefault="00143B24" w:rsidP="00143B24">
      <w:pPr>
        <w:pStyle w:val="NormalWeb"/>
        <w:spacing w:line="480" w:lineRule="auto"/>
        <w:contextualSpacing/>
      </w:pPr>
      <w:r w:rsidRPr="00C21098">
        <w:t xml:space="preserve">Comparisons of microbial communities from five cloacal samples taken shortly after host reintroduction against both captive and non-captive microbial communities revealed no significant variation in alpha diversity metrics (Fig. S6). </w:t>
      </w:r>
      <w:r>
        <w:t xml:space="preserve">Comparisons of reintroduced individuals with complete time-series sampling yielded no significant difference in alpha diversity metrics pre- and post-release. </w:t>
      </w:r>
      <w:r w:rsidRPr="00C21098">
        <w:t xml:space="preserve">PCoA plots revealed limited clustering across all three conditions in weighted and unweighted UniFrac metrics though some grouping between reintroduced and non-captive samples was apparent in Jaccard plots (Fig. 4A). </w:t>
      </w:r>
      <w:r>
        <w:t xml:space="preserve">Plots of only individuals with complete time-series sampling also showed inconsistent groupings (Fig. S7). </w:t>
      </w:r>
      <w:r w:rsidRPr="00C21098">
        <w:t>Adonis tests between reintroduced, captive, and non-captive samples found significant differentiation in unweighted UniFrac (</w:t>
      </w:r>
      <w:r w:rsidRPr="00C21098">
        <w:rPr>
          <w:i/>
          <w:iCs/>
        </w:rPr>
        <w:t>R</w:t>
      </w:r>
      <w:r w:rsidRPr="00C21098">
        <w:rPr>
          <w:vertAlign w:val="superscript"/>
        </w:rPr>
        <w:t>2</w:t>
      </w:r>
      <w:r w:rsidRPr="00C21098">
        <w:t xml:space="preserve"> = 0.0883, </w:t>
      </w:r>
      <w:r w:rsidRPr="00C21098">
        <w:rPr>
          <w:i/>
          <w:iCs/>
        </w:rPr>
        <w:t>P</w:t>
      </w:r>
      <w:r w:rsidRPr="00C21098">
        <w:t xml:space="preserve"> = 0.006) and Jaccard distances (</w:t>
      </w:r>
      <w:r w:rsidRPr="00C21098">
        <w:rPr>
          <w:i/>
          <w:iCs/>
        </w:rPr>
        <w:t>R</w:t>
      </w:r>
      <w:r w:rsidRPr="00C21098">
        <w:rPr>
          <w:vertAlign w:val="superscript"/>
        </w:rPr>
        <w:t>2</w:t>
      </w:r>
      <w:r w:rsidRPr="00C21098">
        <w:t xml:space="preserve"> = 0.0907, </w:t>
      </w:r>
      <w:r w:rsidRPr="00C21098">
        <w:rPr>
          <w:i/>
          <w:iCs/>
        </w:rPr>
        <w:t>P</w:t>
      </w:r>
      <w:r w:rsidRPr="00C21098">
        <w:t xml:space="preserve"> = 0.001). Further pairwise comparisons between reintroduced samples and non-captive samples uncovered no distinction in any beta metrics. Reintroduced samples were, however, significantly distinct from captive ones in the Jaccard metric (</w:t>
      </w:r>
      <w:r w:rsidRPr="00C21098">
        <w:rPr>
          <w:i/>
          <w:iCs/>
        </w:rPr>
        <w:t>R</w:t>
      </w:r>
      <w:r w:rsidRPr="00C21098">
        <w:rPr>
          <w:vertAlign w:val="superscript"/>
        </w:rPr>
        <w:t>2</w:t>
      </w:r>
      <w:r w:rsidRPr="00C21098">
        <w:t xml:space="preserve"> = 0.0601, </w:t>
      </w:r>
      <w:r w:rsidRPr="00C21098">
        <w:rPr>
          <w:i/>
          <w:iCs/>
        </w:rPr>
        <w:t>P</w:t>
      </w:r>
      <w:r w:rsidRPr="00C21098">
        <w:t xml:space="preserve"> = 0.006). The average Jaccard distance among pairs of samples from reintroduced lizards was 0.83.</w:t>
      </w:r>
    </w:p>
    <w:p w14:paraId="02E44642" w14:textId="77777777" w:rsidR="00143B24" w:rsidRPr="00C21098" w:rsidRDefault="00143B24" w:rsidP="00143B24">
      <w:pPr>
        <w:pStyle w:val="NormalWeb"/>
        <w:spacing w:line="480" w:lineRule="auto"/>
        <w:ind w:firstLine="360"/>
        <w:contextualSpacing/>
      </w:pPr>
      <w:r w:rsidRPr="00C21098">
        <w:t>Microbial communities sourced from cloacal swabs in this subset were largely dominated by three phyla: Firmicutes, Proteobacteria, and Actinobacteria in all treatment groups. However, proportions of these taxa shifted between reintroduced, captive, and non-captive conditions (Fig. S</w:t>
      </w:r>
      <w:r>
        <w:t>8</w:t>
      </w:r>
      <w:r w:rsidRPr="00C21098">
        <w:t>). We identified a single OTU that varied statistically betwe</w:t>
      </w:r>
      <w:r w:rsidRPr="00C21098">
        <w:softHyphen/>
        <w:t xml:space="preserve">en all three groups based on Kruskal-Wallis tests, the unidentified taxon in Micrococcaceae matching </w:t>
      </w:r>
      <w:r w:rsidRPr="00C21098">
        <w:rPr>
          <w:i/>
          <w:iCs/>
        </w:rPr>
        <w:t xml:space="preserve">Nesterenkonia </w:t>
      </w:r>
      <w:r w:rsidRPr="00C21098">
        <w:t>sp. strain</w:t>
      </w:r>
      <w:r w:rsidRPr="00C21098">
        <w:rPr>
          <w:i/>
          <w:iCs/>
        </w:rPr>
        <w:t xml:space="preserve"> </w:t>
      </w:r>
      <w:r w:rsidRPr="00C21098">
        <w:t xml:space="preserve">MadaFrogSkinBac.DB-.3605 (reintroduced mean reads = 0, captive = 19.1, non-captive = 0). Interestingly, a number of OTUs that were commonly found in cloacal samples from captive animals including the additional strain of </w:t>
      </w:r>
      <w:r w:rsidRPr="00C21098">
        <w:rPr>
          <w:i/>
          <w:iCs/>
        </w:rPr>
        <w:t>Nesterenkonia</w:t>
      </w:r>
      <w:r w:rsidRPr="00C21098">
        <w:t xml:space="preserve">, the </w:t>
      </w:r>
      <w:r w:rsidRPr="00C21098">
        <w:rPr>
          <w:i/>
          <w:iCs/>
        </w:rPr>
        <w:t xml:space="preserve">Brevibacterium </w:t>
      </w:r>
      <w:r w:rsidRPr="00C21098">
        <w:t xml:space="preserve">sp., and the </w:t>
      </w:r>
      <w:r w:rsidRPr="00C21098">
        <w:rPr>
          <w:i/>
          <w:iCs/>
        </w:rPr>
        <w:t>Brachybacterium</w:t>
      </w:r>
      <w:r w:rsidRPr="00C21098">
        <w:t xml:space="preserve"> sp. were nearly or entirely absent in rarefied reads of samples from reintroduced hosts (reintroduced mean reads = 0, 0.2, 0.2 respectively; Appendix S2).</w:t>
      </w:r>
    </w:p>
    <w:p w14:paraId="0A6802AF" w14:textId="77777777" w:rsidR="00143B24" w:rsidRPr="00C21098" w:rsidRDefault="00143B24" w:rsidP="00143B24">
      <w:pPr>
        <w:pStyle w:val="NormalWeb"/>
        <w:spacing w:line="480" w:lineRule="auto"/>
        <w:contextualSpacing/>
      </w:pPr>
    </w:p>
    <w:p w14:paraId="533BA999" w14:textId="77777777" w:rsidR="00143B24" w:rsidRPr="00C21098" w:rsidRDefault="00143B24" w:rsidP="00143B24">
      <w:pPr>
        <w:pStyle w:val="NormalWeb"/>
        <w:spacing w:line="480" w:lineRule="auto"/>
        <w:contextualSpacing/>
        <w:rPr>
          <w:b/>
        </w:rPr>
      </w:pPr>
      <w:r w:rsidRPr="00C21098">
        <w:rPr>
          <w:b/>
          <w:bCs/>
        </w:rPr>
        <w:t xml:space="preserve">3.5 | </w:t>
      </w:r>
      <w:r w:rsidRPr="00C21098">
        <w:rPr>
          <w:b/>
        </w:rPr>
        <w:t>Temporal variation of fecal microbiota in captive crested iguanas post-release</w:t>
      </w:r>
    </w:p>
    <w:p w14:paraId="32E641FE" w14:textId="77777777" w:rsidR="00143B24" w:rsidRPr="00C21098" w:rsidRDefault="00143B24" w:rsidP="00143B24">
      <w:pPr>
        <w:pStyle w:val="NormalWeb"/>
        <w:spacing w:line="480" w:lineRule="auto"/>
        <w:contextualSpacing/>
      </w:pPr>
      <w:r w:rsidRPr="00C21098">
        <w:t>We compared microbial communities in six fecal samples from reintroduced iguanas against those from captive and non-captive samples and found significant differences in the number of observed OTUs (</w:t>
      </w:r>
      <w:r w:rsidRPr="00C21098">
        <w:rPr>
          <w:i/>
          <w:iCs/>
        </w:rPr>
        <w:t xml:space="preserve">P </w:t>
      </w:r>
      <w:r w:rsidRPr="00C21098">
        <w:t>&lt; 0.001; reintroduced mean reads = 252, captive = 229, non-captive = 188) and in Faith’s PD (</w:t>
      </w:r>
      <w:r w:rsidRPr="00C21098">
        <w:rPr>
          <w:i/>
          <w:iCs/>
        </w:rPr>
        <w:t xml:space="preserve">P </w:t>
      </w:r>
      <w:r w:rsidRPr="00C21098">
        <w:t>&lt; 0.001, reintroduced mean reads = 18.9, captive = 17.4, non-captive = 14.9; Fig. 5). Post hoc analyses of observed OTUs found significance only between reintroduced and non-captive communities (</w:t>
      </w:r>
      <w:r w:rsidRPr="00C21098">
        <w:rPr>
          <w:i/>
          <w:iCs/>
        </w:rPr>
        <w:t xml:space="preserve">P </w:t>
      </w:r>
      <w:r w:rsidRPr="00C21098">
        <w:t>= 0.001). Faith’s PD post hoc tests found significance between reintroduced and non-captive communities (</w:t>
      </w:r>
      <w:r w:rsidRPr="00C21098">
        <w:rPr>
          <w:i/>
          <w:iCs/>
        </w:rPr>
        <w:t xml:space="preserve">P </w:t>
      </w:r>
      <w:r w:rsidRPr="00C21098">
        <w:t>= 0.003) as well as between captive and non-captive communities (</w:t>
      </w:r>
      <w:r w:rsidRPr="00C21098">
        <w:rPr>
          <w:i/>
          <w:iCs/>
        </w:rPr>
        <w:t xml:space="preserve">P </w:t>
      </w:r>
      <w:r w:rsidRPr="00C21098">
        <w:t xml:space="preserve">= 0.003). </w:t>
      </w:r>
      <w:r>
        <w:t xml:space="preserve">Comparisons of reintroduced individuals with complete time-series sampling yielded no significant difference in alpha diversity metrics pre- and post-release. </w:t>
      </w:r>
      <w:r w:rsidRPr="00C21098">
        <w:t>Plotted beta diversity metrics showed some clustering between treatment groups with reintroduced animals associating most closely with captive samples (Fig. 4B). Significant differences in adonis tests were recorded in weighted UniFrac distances (</w:t>
      </w:r>
      <w:r w:rsidRPr="00C21098">
        <w:rPr>
          <w:i/>
          <w:iCs/>
        </w:rPr>
        <w:t>R</w:t>
      </w:r>
      <w:r w:rsidRPr="00C21098">
        <w:rPr>
          <w:vertAlign w:val="superscript"/>
        </w:rPr>
        <w:t>2</w:t>
      </w:r>
      <w:r w:rsidRPr="00C21098">
        <w:t xml:space="preserve"> = 0.3417, </w:t>
      </w:r>
      <w:r w:rsidRPr="00C21098">
        <w:rPr>
          <w:i/>
        </w:rPr>
        <w:t>P</w:t>
      </w:r>
      <w:r w:rsidRPr="00C21098">
        <w:rPr>
          <w:iCs/>
        </w:rPr>
        <w:t xml:space="preserve"> =</w:t>
      </w:r>
      <w:r w:rsidRPr="00C21098">
        <w:t xml:space="preserve"> 0.001), unweighted UniFrac distances (</w:t>
      </w:r>
      <w:r w:rsidRPr="00C21098">
        <w:rPr>
          <w:i/>
          <w:iCs/>
        </w:rPr>
        <w:t>R</w:t>
      </w:r>
      <w:r w:rsidRPr="00C21098">
        <w:rPr>
          <w:vertAlign w:val="superscript"/>
        </w:rPr>
        <w:t>2</w:t>
      </w:r>
      <w:r w:rsidRPr="00C21098">
        <w:t xml:space="preserve"> = 0.2291, </w:t>
      </w:r>
      <w:r w:rsidRPr="00C21098">
        <w:rPr>
          <w:i/>
        </w:rPr>
        <w:t>P</w:t>
      </w:r>
      <w:r w:rsidRPr="00C21098">
        <w:rPr>
          <w:iCs/>
        </w:rPr>
        <w:t xml:space="preserve"> =</w:t>
      </w:r>
      <w:r w:rsidRPr="00C21098">
        <w:t xml:space="preserve"> 0.001), and Jaccard distances (</w:t>
      </w:r>
      <w:r w:rsidRPr="00C21098">
        <w:rPr>
          <w:i/>
          <w:iCs/>
        </w:rPr>
        <w:t>R</w:t>
      </w:r>
      <w:r w:rsidRPr="00C21098">
        <w:rPr>
          <w:vertAlign w:val="superscript"/>
        </w:rPr>
        <w:t>2</w:t>
      </w:r>
      <w:r w:rsidRPr="00C21098">
        <w:t xml:space="preserve"> = 0.2197, </w:t>
      </w:r>
      <w:r w:rsidRPr="00C21098">
        <w:rPr>
          <w:i/>
        </w:rPr>
        <w:t>P</w:t>
      </w:r>
      <w:r w:rsidRPr="00C21098">
        <w:rPr>
          <w:iCs/>
        </w:rPr>
        <w:t xml:space="preserve"> = </w:t>
      </w:r>
      <w:r w:rsidRPr="00C21098">
        <w:t>0.001) between reintroduced, captive, and non-captive samples. Pairwise comparisons between reintroduced and captive samples were significantly distinct for all three metrics: weighted UniFrac (</w:t>
      </w:r>
      <w:r w:rsidRPr="00C21098">
        <w:rPr>
          <w:i/>
          <w:iCs/>
        </w:rPr>
        <w:t>R</w:t>
      </w:r>
      <w:r w:rsidRPr="00C21098">
        <w:rPr>
          <w:vertAlign w:val="superscript"/>
        </w:rPr>
        <w:t>2</w:t>
      </w:r>
      <w:r w:rsidRPr="00C21098">
        <w:t xml:space="preserve"> = 0.2493, </w:t>
      </w:r>
      <w:r w:rsidRPr="00C21098">
        <w:rPr>
          <w:i/>
        </w:rPr>
        <w:t>P</w:t>
      </w:r>
      <w:r w:rsidRPr="00C21098">
        <w:rPr>
          <w:iCs/>
        </w:rPr>
        <w:t xml:space="preserve"> = 0.001</w:t>
      </w:r>
      <w:r w:rsidRPr="00C21098">
        <w:t>), weighted UniFrac (</w:t>
      </w:r>
      <w:r w:rsidRPr="00C21098">
        <w:rPr>
          <w:i/>
          <w:iCs/>
        </w:rPr>
        <w:t>R</w:t>
      </w:r>
      <w:r w:rsidRPr="00C21098">
        <w:rPr>
          <w:vertAlign w:val="superscript"/>
        </w:rPr>
        <w:t>2</w:t>
      </w:r>
      <w:r w:rsidRPr="00C21098">
        <w:t xml:space="preserve"> = 0.0899, </w:t>
      </w:r>
      <w:r w:rsidRPr="00C21098">
        <w:rPr>
          <w:i/>
        </w:rPr>
        <w:t>P</w:t>
      </w:r>
      <w:r w:rsidRPr="00C21098">
        <w:rPr>
          <w:iCs/>
        </w:rPr>
        <w:t xml:space="preserve"> = 0.001</w:t>
      </w:r>
      <w:r w:rsidRPr="00C21098">
        <w:t>), and Jaccard distances (</w:t>
      </w:r>
      <w:r w:rsidRPr="00C21098">
        <w:rPr>
          <w:i/>
          <w:iCs/>
        </w:rPr>
        <w:t>R</w:t>
      </w:r>
      <w:r w:rsidRPr="00C21098">
        <w:rPr>
          <w:vertAlign w:val="superscript"/>
        </w:rPr>
        <w:t>2</w:t>
      </w:r>
      <w:r w:rsidRPr="00C21098">
        <w:t xml:space="preserve"> = 0.0915, </w:t>
      </w:r>
      <w:r w:rsidRPr="00C21098">
        <w:rPr>
          <w:i/>
        </w:rPr>
        <w:t>P</w:t>
      </w:r>
      <w:r w:rsidRPr="00C21098">
        <w:rPr>
          <w:iCs/>
        </w:rPr>
        <w:t xml:space="preserve"> = 0.001</w:t>
      </w:r>
      <w:r w:rsidRPr="00C21098">
        <w:t>). Comparisons between reintroduced and non-captive samples also produced significant differentiation in weighted UniFrac distances (</w:t>
      </w:r>
      <w:r w:rsidRPr="00C21098">
        <w:rPr>
          <w:i/>
          <w:iCs/>
        </w:rPr>
        <w:t>R</w:t>
      </w:r>
      <w:r w:rsidRPr="00C21098">
        <w:rPr>
          <w:vertAlign w:val="superscript"/>
        </w:rPr>
        <w:t>2</w:t>
      </w:r>
      <w:r w:rsidRPr="00C21098">
        <w:t xml:space="preserve"> = 0.3992, </w:t>
      </w:r>
      <w:r w:rsidRPr="00C21098">
        <w:rPr>
          <w:i/>
        </w:rPr>
        <w:t>P</w:t>
      </w:r>
      <w:r w:rsidRPr="00C21098">
        <w:rPr>
          <w:iCs/>
        </w:rPr>
        <w:t xml:space="preserve"> = 0.006</w:t>
      </w:r>
      <w:r w:rsidRPr="00C21098">
        <w:t>), unweighted UniFrac distances (</w:t>
      </w:r>
      <w:r w:rsidRPr="00C21098">
        <w:rPr>
          <w:i/>
          <w:iCs/>
        </w:rPr>
        <w:t>R</w:t>
      </w:r>
      <w:r w:rsidRPr="00C21098">
        <w:rPr>
          <w:vertAlign w:val="superscript"/>
        </w:rPr>
        <w:t>2</w:t>
      </w:r>
      <w:r w:rsidRPr="00C21098">
        <w:t xml:space="preserve"> = 0.3862, </w:t>
      </w:r>
      <w:r w:rsidRPr="00C21098">
        <w:rPr>
          <w:i/>
        </w:rPr>
        <w:t>P</w:t>
      </w:r>
      <w:r w:rsidRPr="00C21098">
        <w:rPr>
          <w:iCs/>
        </w:rPr>
        <w:t xml:space="preserve"> = 0.002</w:t>
      </w:r>
      <w:r w:rsidRPr="00C21098">
        <w:t>), and Jaccard distances (</w:t>
      </w:r>
      <w:r w:rsidRPr="00C21098">
        <w:rPr>
          <w:i/>
          <w:iCs/>
        </w:rPr>
        <w:t>R</w:t>
      </w:r>
      <w:r w:rsidRPr="00C21098">
        <w:rPr>
          <w:vertAlign w:val="superscript"/>
        </w:rPr>
        <w:t>2</w:t>
      </w:r>
      <w:r w:rsidRPr="00C21098">
        <w:t xml:space="preserve"> = 0.3747, </w:t>
      </w:r>
      <w:r w:rsidRPr="00C21098">
        <w:rPr>
          <w:i/>
        </w:rPr>
        <w:t>P</w:t>
      </w:r>
      <w:r w:rsidRPr="00C21098">
        <w:rPr>
          <w:iCs/>
        </w:rPr>
        <w:t xml:space="preserve"> =</w:t>
      </w:r>
      <w:r w:rsidRPr="00C21098">
        <w:t xml:space="preserve"> </w:t>
      </w:r>
      <w:r w:rsidRPr="00C21098">
        <w:rPr>
          <w:iCs/>
        </w:rPr>
        <w:t>0.001</w:t>
      </w:r>
      <w:r w:rsidRPr="00C21098">
        <w:t xml:space="preserve">). </w:t>
      </w:r>
      <w:r>
        <w:t xml:space="preserve">PCoA plots of individuals with complete time-series sampling exclusively showed clustering with some overlap between groups (Fig. S9). </w:t>
      </w:r>
      <w:r w:rsidRPr="00C21098">
        <w:t>The average Jaccard distance among pairs of samples after release was 0.61.</w:t>
      </w:r>
    </w:p>
    <w:p w14:paraId="467E7BA6" w14:textId="77777777" w:rsidR="00143B24" w:rsidRPr="00C21098" w:rsidRDefault="00143B24" w:rsidP="00143B24">
      <w:pPr>
        <w:pStyle w:val="NormalWeb"/>
        <w:spacing w:line="480" w:lineRule="auto"/>
        <w:ind w:firstLine="360"/>
        <w:contextualSpacing/>
      </w:pPr>
      <w:r w:rsidRPr="00C21098">
        <w:t>Microbial communities found in fecal samples from reintroduced, captive, and non-captive samples were primarily dominated by three phyla: Firmicutes, Bacteroidetes, and Proteobacteria. Relative abundances of these phyla varied between conditions (Fig. S</w:t>
      </w:r>
      <w:r>
        <w:t>10</w:t>
      </w:r>
      <w:r w:rsidRPr="00C21098">
        <w:t xml:space="preserve">). In comparing OTU relative abundances, Kruskal-Wallis tests retrieved nine OTUs that differed between all three treatments (Appendix S2). These included one </w:t>
      </w:r>
      <w:r w:rsidRPr="00C21098">
        <w:rPr>
          <w:i/>
          <w:iCs/>
        </w:rPr>
        <w:t>Acetobacterium</w:t>
      </w:r>
      <w:r w:rsidRPr="00C21098">
        <w:t xml:space="preserve"> sp. (reintroduced = 3.2, captive = 82, non-captive = 0), one </w:t>
      </w:r>
      <w:r w:rsidRPr="00C21098">
        <w:rPr>
          <w:i/>
          <w:iCs/>
        </w:rPr>
        <w:t>Akkermansia</w:t>
      </w:r>
      <w:r w:rsidRPr="00C21098">
        <w:t xml:space="preserve"> sp. (reintroduced = 164.8, captive = 29.3, non-captive = 0), one </w:t>
      </w:r>
      <w:r w:rsidRPr="00C21098">
        <w:rPr>
          <w:i/>
          <w:iCs/>
        </w:rPr>
        <w:t xml:space="preserve">Butyricimonas </w:t>
      </w:r>
      <w:r w:rsidRPr="00C21098">
        <w:t xml:space="preserve">sp. (reintroduced = 1.7, captive = 0, non-captive = 0.3), one </w:t>
      </w:r>
      <w:r w:rsidRPr="00C21098">
        <w:rPr>
          <w:i/>
          <w:iCs/>
        </w:rPr>
        <w:t xml:space="preserve">Coprococcus </w:t>
      </w:r>
      <w:r w:rsidRPr="00C21098">
        <w:t xml:space="preserve">sp. (reintroduced = 2.5, captive = 0.3, non-captive = 26.5), one </w:t>
      </w:r>
      <w:r w:rsidRPr="00C21098">
        <w:rPr>
          <w:i/>
          <w:iCs/>
        </w:rPr>
        <w:t xml:space="preserve">Ruminococcus </w:t>
      </w:r>
      <w:r w:rsidRPr="00C21098">
        <w:t xml:space="preserve">sp. (reintroduced = 7.7, captive = 95.3, non-captive = 0), an unidentified Christensenellaceae (reintroduced = 121.7, captive = 53.4, non-captive = 0), an unidentified Coriobacteriaceae (reintroduced mean reads = 0, captive = 0, non-captive = 3.9), an unidentified Lachnospiraceae (reintroduced = 0.3, captive = 7.7, non-captive = 0), and an unidentified Mogibacteriaceae (reintroduced = 0.5, captive = 0, non-captive = 4.3). Scrutiny of additional taxa found in captive lizards yet absent from non-captive ones yielded mixed results with some bacterial strains becoming more prevalent in reintroduced hosts and others becoming less prevalent (Appendix S2). The unknown Synergistaceae matching </w:t>
      </w:r>
      <w:r w:rsidRPr="00C21098">
        <w:rPr>
          <w:i/>
          <w:iCs/>
        </w:rPr>
        <w:t>C. porcorum</w:t>
      </w:r>
      <w:r w:rsidRPr="00C21098">
        <w:t xml:space="preserve"> for example increased in mean relative abundance between conditions (reintroduced mean reads = 122.5, captive = 116.9) as did the noted </w:t>
      </w:r>
      <w:r w:rsidRPr="00C21098">
        <w:rPr>
          <w:i/>
          <w:iCs/>
        </w:rPr>
        <w:t xml:space="preserve">Bacteroides </w:t>
      </w:r>
      <w:r w:rsidRPr="00C21098">
        <w:t xml:space="preserve">sp. (reintroduced = 134.7, captive = 25.3; Table 4). Meanwhile the second </w:t>
      </w:r>
      <w:r w:rsidRPr="00C21098">
        <w:rPr>
          <w:i/>
          <w:iCs/>
        </w:rPr>
        <w:t xml:space="preserve">Ruminococcus </w:t>
      </w:r>
      <w:r w:rsidRPr="00C21098">
        <w:t>sp. (reintroduced = 0.8, captive mean = 18.7),</w:t>
      </w:r>
      <w:r w:rsidRPr="00C21098">
        <w:rPr>
          <w:i/>
          <w:iCs/>
        </w:rPr>
        <w:t xml:space="preserve"> Coprococcus </w:t>
      </w:r>
      <w:r w:rsidRPr="00C21098">
        <w:t>sp. (reintroduced = 0.7, captive mean = 11.0), and unidentified Clostridiales (reintroduced = 0.2, captive mean = 15.1) all decreased in relative abundances in reintroduced hosts (Appendix S2).</w:t>
      </w:r>
    </w:p>
    <w:p w14:paraId="7D5A68FE" w14:textId="77777777" w:rsidR="00143B24" w:rsidRPr="00C21098" w:rsidRDefault="00143B24" w:rsidP="00143B24">
      <w:pPr>
        <w:pStyle w:val="NormalWeb"/>
        <w:spacing w:line="480" w:lineRule="auto"/>
        <w:contextualSpacing/>
      </w:pPr>
    </w:p>
    <w:p w14:paraId="107AC260" w14:textId="77777777" w:rsidR="00143B24" w:rsidRPr="00C21098" w:rsidRDefault="00143B24" w:rsidP="00143B24">
      <w:pPr>
        <w:pStyle w:val="NormalWeb"/>
        <w:spacing w:line="480" w:lineRule="auto"/>
        <w:contextualSpacing/>
        <w:rPr>
          <w:b/>
        </w:rPr>
      </w:pPr>
      <w:r w:rsidRPr="00C21098">
        <w:rPr>
          <w:b/>
          <w:bCs/>
        </w:rPr>
        <w:t>4 | DISCUSSION</w:t>
      </w:r>
    </w:p>
    <w:p w14:paraId="507F9825" w14:textId="77777777" w:rsidR="00143B24" w:rsidRPr="00C21098" w:rsidRDefault="00143B24" w:rsidP="00143B24">
      <w:pPr>
        <w:pStyle w:val="NormalWeb"/>
        <w:spacing w:line="480" w:lineRule="auto"/>
        <w:contextualSpacing/>
      </w:pPr>
      <w:r w:rsidRPr="00C21098">
        <w:t xml:space="preserve">Our findings show that captive and non-captive Fijian crested iguanas harbor distinct microbial communities regardless of sampling regime (cloacal versus fecal). These results expand on a growing body of evidence that suggests animals housed in captivity have distinct microbiomes when compared to wild conspecifics (Alfano </w:t>
      </w:r>
      <w:r w:rsidRPr="00413434">
        <w:t>et al.,</w:t>
      </w:r>
      <w:r w:rsidRPr="00C21098">
        <w:t xml:space="preserve"> 2015; Cheng </w:t>
      </w:r>
      <w:r w:rsidRPr="00413434">
        <w:t>et al.,</w:t>
      </w:r>
      <w:r w:rsidRPr="00C21098">
        <w:t xml:space="preserve"> 2015; Clayton </w:t>
      </w:r>
      <w:r w:rsidRPr="00413434">
        <w:t>et al.,</w:t>
      </w:r>
      <w:r w:rsidRPr="00C21098">
        <w:t xml:space="preserve"> 2016; Eigeland </w:t>
      </w:r>
      <w:r w:rsidRPr="00413434">
        <w:t>et al.,</w:t>
      </w:r>
      <w:r w:rsidRPr="00C21098">
        <w:t xml:space="preserve"> 2012; Jiang </w:t>
      </w:r>
      <w:r w:rsidRPr="00413434">
        <w:t>et al.,</w:t>
      </w:r>
      <w:r w:rsidRPr="00C21098">
        <w:t xml:space="preserve"> 2017; Kohl </w:t>
      </w:r>
      <w:r w:rsidRPr="00413434">
        <w:t>et al.,</w:t>
      </w:r>
      <w:r w:rsidRPr="00C21098">
        <w:t xml:space="preserve"> 2017; McKenzie </w:t>
      </w:r>
      <w:r w:rsidRPr="00413434">
        <w:t>et al.,</w:t>
      </w:r>
      <w:r w:rsidRPr="00C21098">
        <w:t xml:space="preserve"> 2017;</w:t>
      </w:r>
      <w:r>
        <w:t xml:space="preserve"> </w:t>
      </w:r>
      <w:r w:rsidRPr="00C21098">
        <w:t xml:space="preserve">Ren </w:t>
      </w:r>
      <w:r w:rsidRPr="00413434">
        <w:t>et al.,</w:t>
      </w:r>
      <w:r w:rsidRPr="00C21098">
        <w:t xml:space="preserve"> 2016; West </w:t>
      </w:r>
      <w:r w:rsidRPr="00413434">
        <w:t>et al.,</w:t>
      </w:r>
      <w:r w:rsidRPr="00C21098">
        <w:t xml:space="preserve"> 2019</w:t>
      </w:r>
      <w:r>
        <w:t>;</w:t>
      </w:r>
      <w:r w:rsidRPr="00FC261E">
        <w:t xml:space="preserve"> </w:t>
      </w:r>
      <w:r w:rsidRPr="00C21098">
        <w:t xml:space="preserve">Zhu </w:t>
      </w:r>
      <w:r w:rsidRPr="00413434">
        <w:t>et al.,</w:t>
      </w:r>
      <w:r w:rsidRPr="00C21098">
        <w:t xml:space="preserve"> 2011). In both cloacal and fecal sampling, captive (WCF and CB2017 grouped) and non-captive (CB2017 and Wild grouped) iguanas harbored significantly different microbial communities in at least two beta diversity metrics (Fig. 4). Further, Jaccard distances were consistently lower within captive treatments, suggesting a greater degree of shared OTU breadth and potentially homogenization among captive individuals. These findings are consistent with those seen in </w:t>
      </w:r>
      <w:r w:rsidRPr="00C21098">
        <w:rPr>
          <w:i/>
          <w:iCs/>
        </w:rPr>
        <w:t>Anolis sagrei</w:t>
      </w:r>
      <w:r w:rsidRPr="00C21098">
        <w:t xml:space="preserve"> where alpha diversity measures were generally higher in captive animals compared to wild conspecific hosts, yet gut communities were more homogenous, and beta diversity metrics separated wild and captive hosts (Ren </w:t>
      </w:r>
      <w:r w:rsidRPr="00413434">
        <w:t>et al.,</w:t>
      </w:r>
      <w:r w:rsidRPr="00C21098">
        <w:t xml:space="preserve"> 2016). In addition to harboring distinct microbial communities, a number of specific OTUs, particularly potential pathogens, were seen in greater abundances in captive over non-captive Critically Endangered Fijian crested iguanas.</w:t>
      </w:r>
    </w:p>
    <w:p w14:paraId="49FC90EB" w14:textId="77777777" w:rsidR="00143B24" w:rsidRPr="00C21098" w:rsidRDefault="00143B24" w:rsidP="00143B24">
      <w:pPr>
        <w:pStyle w:val="NormalWeb"/>
        <w:spacing w:line="480" w:lineRule="auto"/>
        <w:ind w:firstLine="360"/>
        <w:contextualSpacing/>
      </w:pPr>
      <w:r w:rsidRPr="00C21098">
        <w:t xml:space="preserve">The introduction of potentially pathogenic bacteria has been documented previously in wild reptiles brought into temporary captivity (Jiang </w:t>
      </w:r>
      <w:r w:rsidRPr="00413434">
        <w:t>et al.,</w:t>
      </w:r>
      <w:r w:rsidRPr="00C21098">
        <w:t xml:space="preserve"> 2017; Kohl </w:t>
      </w:r>
      <w:r w:rsidRPr="00413434">
        <w:t>et al.,</w:t>
      </w:r>
      <w:r w:rsidRPr="00C21098">
        <w:t xml:space="preserve"> 2017) but not in a conservation initiative specifically designed to release captive animals into the wild. In cloacal samples from captive Fijian crested iguanas, one </w:t>
      </w:r>
      <w:r w:rsidRPr="00C21098">
        <w:rPr>
          <w:i/>
          <w:iCs/>
        </w:rPr>
        <w:t>Brachybacterium</w:t>
      </w:r>
      <w:r w:rsidRPr="00C21098">
        <w:t xml:space="preserve"> sp., one </w:t>
      </w:r>
      <w:r w:rsidRPr="00C21098">
        <w:rPr>
          <w:i/>
          <w:iCs/>
        </w:rPr>
        <w:t xml:space="preserve">Brevibacterium </w:t>
      </w:r>
      <w:r w:rsidRPr="00C21098">
        <w:t xml:space="preserve">sp., and two </w:t>
      </w:r>
      <w:r w:rsidRPr="00C21098">
        <w:rPr>
          <w:i/>
          <w:iCs/>
        </w:rPr>
        <w:t xml:space="preserve">Nesterenkonia </w:t>
      </w:r>
      <w:r w:rsidRPr="00C21098">
        <w:t>spp. were present in rarefied reads while absent from non-captive counterparts (Appendix S2). All three of these genera have species implicated as potential pathogens at least in humans (</w:t>
      </w:r>
      <w:r w:rsidRPr="004A456F">
        <w:t>Gruner</w:t>
      </w:r>
      <w:r>
        <w:t>,</w:t>
      </w:r>
      <w:r w:rsidRPr="004A456F">
        <w:t xml:space="preserve"> Pfyffer, </w:t>
      </w:r>
      <w:r>
        <w:t xml:space="preserve">&amp; </w:t>
      </w:r>
      <w:r w:rsidRPr="004A456F">
        <w:t>von Graevenitz</w:t>
      </w:r>
      <w:r>
        <w:t>,</w:t>
      </w:r>
      <w:r w:rsidRPr="004A456F">
        <w:t xml:space="preserve"> 1993</w:t>
      </w:r>
      <w:r w:rsidRPr="00C21098">
        <w:t xml:space="preserve">; </w:t>
      </w:r>
      <w:r w:rsidRPr="004A456F">
        <w:t>Nakayama</w:t>
      </w:r>
      <w:r>
        <w:t>,</w:t>
      </w:r>
      <w:r w:rsidRPr="004A456F">
        <w:t xml:space="preserve"> Ohkusu</w:t>
      </w:r>
      <w:r>
        <w:t>,</w:t>
      </w:r>
      <w:r w:rsidRPr="004A456F">
        <w:t xml:space="preserve"> </w:t>
      </w:r>
      <w:r>
        <w:t xml:space="preserve">&amp; </w:t>
      </w:r>
      <w:r w:rsidRPr="004A456F">
        <w:t>Tateda</w:t>
      </w:r>
      <w:r>
        <w:t>,</w:t>
      </w:r>
      <w:r w:rsidRPr="004A456F">
        <w:t xml:space="preserve"> 2009</w:t>
      </w:r>
      <w:r w:rsidRPr="00C21098">
        <w:t xml:space="preserve">; Tamai </w:t>
      </w:r>
      <w:r w:rsidRPr="00413434">
        <w:t>et al.,</w:t>
      </w:r>
      <w:r w:rsidRPr="00C21098">
        <w:t xml:space="preserve"> 2018). Fecal samples produced similar results where strains from multiple genera, including </w:t>
      </w:r>
      <w:r w:rsidRPr="00C21098">
        <w:rPr>
          <w:i/>
          <w:iCs/>
        </w:rPr>
        <w:t>Bacteroides</w:t>
      </w:r>
      <w:r w:rsidRPr="00C21098">
        <w:t xml:space="preserve">, </w:t>
      </w:r>
      <w:r w:rsidRPr="00C21098">
        <w:rPr>
          <w:i/>
          <w:iCs/>
        </w:rPr>
        <w:t>Cloacibacillus</w:t>
      </w:r>
      <w:r w:rsidRPr="00C21098">
        <w:t xml:space="preserve">, and </w:t>
      </w:r>
      <w:r w:rsidRPr="00C21098">
        <w:rPr>
          <w:i/>
          <w:iCs/>
        </w:rPr>
        <w:t>Ruminococcus</w:t>
      </w:r>
      <w:r w:rsidRPr="00C21098">
        <w:t xml:space="preserve"> were found commonly in captive samples but absent in rarefied, non-captive reads (Appendix S2). These three genera are also potentially pathogenic strains in humans (Domingo </w:t>
      </w:r>
      <w:r w:rsidRPr="00413434">
        <w:t>et al.,</w:t>
      </w:r>
      <w:r w:rsidRPr="00C21098">
        <w:t xml:space="preserve"> 2015</w:t>
      </w:r>
      <w:r>
        <w:t xml:space="preserve">; </w:t>
      </w:r>
      <w:r w:rsidRPr="004A456F">
        <w:t>Titécat</w:t>
      </w:r>
      <w:r>
        <w:t>,</w:t>
      </w:r>
      <w:r w:rsidRPr="004A456F">
        <w:t xml:space="preserve"> Wallet</w:t>
      </w:r>
      <w:r>
        <w:t>,</w:t>
      </w:r>
      <w:r w:rsidRPr="004A456F">
        <w:t xml:space="preserve"> Vieillard</w:t>
      </w:r>
      <w:r>
        <w:t>,</w:t>
      </w:r>
      <w:r w:rsidRPr="004A456F">
        <w:t xml:space="preserve"> Courcol</w:t>
      </w:r>
      <w:r>
        <w:t>,</w:t>
      </w:r>
      <w:r w:rsidRPr="004A456F">
        <w:t xml:space="preserve"> </w:t>
      </w:r>
      <w:r>
        <w:t xml:space="preserve">&amp; </w:t>
      </w:r>
      <w:r w:rsidRPr="004A456F">
        <w:t>Lo</w:t>
      </w:r>
      <w:r>
        <w:t>,</w:t>
      </w:r>
      <w:r w:rsidRPr="004A456F">
        <w:t xml:space="preserve"> 2014</w:t>
      </w:r>
      <w:r>
        <w:t>;</w:t>
      </w:r>
      <w:r w:rsidRPr="00FC261E">
        <w:t xml:space="preserve"> </w:t>
      </w:r>
      <w:r w:rsidRPr="00C21098">
        <w:t>Wexler</w:t>
      </w:r>
      <w:r>
        <w:t>,</w:t>
      </w:r>
      <w:r w:rsidRPr="00C21098">
        <w:t xml:space="preserve"> 2007). Although determining the exact pathogenic capacities of particular microbes is outside the realm of this investigation, high abundances of potential pathogens in animals under human care supports the possibility that headstart animals can harbor disease-causing bacteria at significantly higher rates than animals living in the wild (Redford </w:t>
      </w:r>
      <w:r w:rsidRPr="00413434">
        <w:t>et al.,</w:t>
      </w:r>
      <w:r w:rsidRPr="00C21098">
        <w:t xml:space="preserve"> 2012). Although microbial communities in hosts can shift rapidly on the scale of days to even hours in some cases (</w:t>
      </w:r>
      <w:r w:rsidRPr="004A456F">
        <w:t>Costello</w:t>
      </w:r>
      <w:r>
        <w:t>,</w:t>
      </w:r>
      <w:r w:rsidRPr="004A456F">
        <w:t xml:space="preserve"> Gordon</w:t>
      </w:r>
      <w:r>
        <w:t>,</w:t>
      </w:r>
      <w:r w:rsidRPr="004A456F">
        <w:t xml:space="preserve"> Secor</w:t>
      </w:r>
      <w:r>
        <w:t>,</w:t>
      </w:r>
      <w:r w:rsidRPr="004A456F">
        <w:t xml:space="preserve"> </w:t>
      </w:r>
      <w:r>
        <w:t xml:space="preserve">&amp; </w:t>
      </w:r>
      <w:r w:rsidRPr="004A456F">
        <w:t>Knight</w:t>
      </w:r>
      <w:r>
        <w:t>,</w:t>
      </w:r>
      <w:r w:rsidRPr="004A456F">
        <w:t xml:space="preserve"> 2010</w:t>
      </w:r>
      <w:r w:rsidRPr="00C21098">
        <w:t xml:space="preserve">; Ren </w:t>
      </w:r>
      <w:r w:rsidRPr="00413434">
        <w:t>et al.,</w:t>
      </w:r>
      <w:r w:rsidRPr="00C21098">
        <w:t xml:space="preserve"> 2016), the impacts of releasing animals with elevated levels of what could be pathogenic microbiota have received little attention to date (Redford </w:t>
      </w:r>
      <w:r w:rsidRPr="00413434">
        <w:t>et al.,</w:t>
      </w:r>
      <w:r w:rsidRPr="00C21098">
        <w:t xml:space="preserve"> 2012).</w:t>
      </w:r>
    </w:p>
    <w:p w14:paraId="79505A2A" w14:textId="77777777" w:rsidR="00143B24" w:rsidRPr="00C21098" w:rsidRDefault="00143B24" w:rsidP="00143B24">
      <w:pPr>
        <w:pStyle w:val="NormalWeb"/>
        <w:spacing w:line="480" w:lineRule="auto"/>
        <w:ind w:firstLine="360"/>
        <w:contextualSpacing/>
      </w:pPr>
      <w:r w:rsidRPr="00C21098">
        <w:t xml:space="preserve">Reintroduction of captive Fijian crested iguanas into native habitats promoted restructuring of gut microbiomes towards non-captive communities. After two months on Monuriki Island, cloacal samples from reintroduced iguanas appeared to harbor gut microbial communities more similar to non-captive than to captive compositions (Figs. 4, S6). Additionally, noted potential pathogens in captive individuals were either absent or diminished in reintroduced hosts. Microbial assemblages generated from fecal samples, however, did not produce similar results. Instead, microbiota from fecal samples of reintroduced lizards seemingly resembled captive hosts more closely rather than non-captive hosts (Figs. 4, 5). Potential pathogens also displayed differing trends with </w:t>
      </w:r>
      <w:r w:rsidRPr="00C21098">
        <w:rPr>
          <w:i/>
          <w:iCs/>
        </w:rPr>
        <w:t xml:space="preserve">Ruminococcus </w:t>
      </w:r>
      <w:r w:rsidRPr="00C21098">
        <w:t xml:space="preserve">spp. becoming less abundant in host iguanas two months after release and </w:t>
      </w:r>
      <w:r w:rsidRPr="00C21098">
        <w:rPr>
          <w:i/>
          <w:iCs/>
        </w:rPr>
        <w:t>Bacteroides</w:t>
      </w:r>
      <w:r w:rsidRPr="00C21098">
        <w:t xml:space="preserve"> sp. and </w:t>
      </w:r>
      <w:r w:rsidRPr="00C21098">
        <w:rPr>
          <w:i/>
          <w:iCs/>
        </w:rPr>
        <w:t xml:space="preserve">Cloacibacillus </w:t>
      </w:r>
      <w:r w:rsidRPr="00C21098">
        <w:t xml:space="preserve">sp. becoming more abundant in samples taken from individuals after reintroduction. Such findings support previously proposed hypotheses that pathogens associated with human care may continue to impact headstart or reintroduced animals even after release (Bahrndorff </w:t>
      </w:r>
      <w:r w:rsidRPr="00413434">
        <w:t>et al.,</w:t>
      </w:r>
      <w:r w:rsidRPr="00C21098">
        <w:t xml:space="preserve"> 2016; Redford </w:t>
      </w:r>
      <w:r w:rsidRPr="00413434">
        <w:t>et al.,</w:t>
      </w:r>
      <w:r w:rsidRPr="00C21098">
        <w:t xml:space="preserve"> 2012; West </w:t>
      </w:r>
      <w:r w:rsidRPr="00413434">
        <w:t>et al.,</w:t>
      </w:r>
      <w:r w:rsidRPr="00C21098">
        <w:t xml:space="preserve"> 2019). Despite fecal samples from reintroduced iguanas being significantly distinct from non-captive samples, this differentiation does appear to be temporary. Released animals relocated onto Monuriki Island in 2015 (CB2015) contained gut microbial assemblages more closely associated with true wild iguanas rather than captive ones in both cloacal and fecal samples, suggesting that re-acclimation of wild-type microbiomes can occur after prolonged survival in native habitats (i.e. two years; Fig. 2).</w:t>
      </w:r>
    </w:p>
    <w:p w14:paraId="1A9FF273" w14:textId="77777777" w:rsidR="00143B24" w:rsidRPr="00C21098" w:rsidRDefault="00143B24" w:rsidP="00143B24">
      <w:pPr>
        <w:pStyle w:val="NormalWeb"/>
        <w:spacing w:line="480" w:lineRule="auto"/>
        <w:ind w:firstLine="360"/>
        <w:contextualSpacing/>
      </w:pPr>
      <w:r w:rsidRPr="00C21098">
        <w:t xml:space="preserve">Although both cloacal and fecal sampling techniques recovered significant differentiation in gut microbial communities between captive and non-captive Fijian crested iguanas (Figs. 2,4), specific OTUs that varied between treatments were inconsistent. Further, differences were apparent in comparing assemblages from reintroduced lizards to those in captive and non-captive hosts based on sampling regime (Fig. 4). Cloacal samples from reptiles generally encapsulate the breadth of gut microbial diversity but vary significantly in abundances compared directly to hindgut samples while fecal samples tend to better represent gut diversity and abundances (Colston </w:t>
      </w:r>
      <w:r w:rsidRPr="00413434">
        <w:t>et al.,</w:t>
      </w:r>
      <w:r w:rsidRPr="00C21098">
        <w:t xml:space="preserve"> 2015; Kohl </w:t>
      </w:r>
      <w:r w:rsidRPr="00413434">
        <w:t>et al.,</w:t>
      </w:r>
      <w:r w:rsidRPr="00C21098">
        <w:t xml:space="preserve"> 2017). When assessing microbial communities in captive lizards for potential disease-causing microbes, or in evaluating the restructuring of host microbiomes post-release, multiple non-lethal gut microbial sampling techniques may be necessary to fully elucidate trends of interest.</w:t>
      </w:r>
    </w:p>
    <w:p w14:paraId="0524DC8E" w14:textId="77777777" w:rsidR="00143B24" w:rsidRPr="00C21098" w:rsidRDefault="00143B24" w:rsidP="00143B24">
      <w:pPr>
        <w:pStyle w:val="NormalWeb"/>
        <w:spacing w:line="480" w:lineRule="auto"/>
        <w:ind w:firstLine="360"/>
        <w:contextualSpacing/>
      </w:pPr>
      <w:r w:rsidRPr="00C21098">
        <w:t xml:space="preserve">Gut microbial communities in captive Fijian crested iguanas are distinct from those in non-captive iguanas and this differentiation prevails for some time post-release. However, the duration in which a host’s microbial composition shifts to closely resemble true wild counterparts remains unclear. A continued need exists to monitor microbial communities in headstart animals post-release to track animal well-being (Bahrndorff </w:t>
      </w:r>
      <w:r w:rsidRPr="00413434">
        <w:t>et al.,</w:t>
      </w:r>
      <w:r w:rsidRPr="00C21098">
        <w:t xml:space="preserve"> 2016; </w:t>
      </w:r>
      <w:r w:rsidRPr="002864F5">
        <w:t>Jiménez</w:t>
      </w:r>
      <w:r w:rsidRPr="00C21098">
        <w:t xml:space="preserve"> &amp; Sommer</w:t>
      </w:r>
      <w:r>
        <w:t>,</w:t>
      </w:r>
      <w:r w:rsidRPr="00C21098">
        <w:t xml:space="preserve"> 2017; Redford </w:t>
      </w:r>
      <w:r w:rsidRPr="00413434">
        <w:t>et al.,</w:t>
      </w:r>
      <w:r w:rsidRPr="00C21098">
        <w:t xml:space="preserve"> 2012; West </w:t>
      </w:r>
      <w:r w:rsidRPr="00413434">
        <w:t>et al.,</w:t>
      </w:r>
      <w:r w:rsidRPr="00C21098">
        <w:t xml:space="preserve"> 2019). Such studies could determine the influences of potential disease-causing bacteria associated with captive upbringings on host survival, growth, and reproduction in the wild. Further, wild conspecifics in populations with introduced animals should be monitored closely for introduction of novel pathogens brought on from interaction with animals sourced from headstart programs (West </w:t>
      </w:r>
      <w:r w:rsidRPr="00413434">
        <w:t>et al.,</w:t>
      </w:r>
      <w:r w:rsidRPr="00C21098">
        <w:t xml:space="preserve"> 2019). Such scenarios may justify the use of soft-releases or probiotics prior to animal release to acclimatize gut microbiota in headstart individuals to natural conditions and eliminate possible disease-causing agents before complete reintroduction to the wild (Redford </w:t>
      </w:r>
      <w:r w:rsidRPr="00413434">
        <w:t>et al.,</w:t>
      </w:r>
      <w:r w:rsidRPr="00C21098">
        <w:t xml:space="preserve"> 2012; West </w:t>
      </w:r>
      <w:r w:rsidRPr="00413434">
        <w:t>et al.,</w:t>
      </w:r>
      <w:r w:rsidRPr="00C21098">
        <w:t xml:space="preserve"> 2019). Along with increased monitoring of animal health, additional scrutiny of specific OTUs seen in differential abundances between headstart and wild animals that may be pathogenic is necessary to determine the virulence of such bacterial strains. Should these OTUs be minimally pathogenic then no additional action may be necessary to mitigate their increased abundances while animals are in captive settings. Ultimately, consistent monitoring of hosts post-release and further examination of possible pathogens are the next step towards improving our understanding of gut microbial ecology in endangered species with conservation significance.</w:t>
      </w:r>
    </w:p>
    <w:p w14:paraId="722DDE98" w14:textId="77777777" w:rsidR="00143B24" w:rsidRPr="00C21098" w:rsidRDefault="00143B24" w:rsidP="00143B24">
      <w:pPr>
        <w:pStyle w:val="NormalWeb"/>
        <w:spacing w:line="480" w:lineRule="auto"/>
        <w:contextualSpacing/>
      </w:pPr>
    </w:p>
    <w:p w14:paraId="64C15119" w14:textId="77777777" w:rsidR="00143B24" w:rsidRPr="00C21098" w:rsidRDefault="00143B24" w:rsidP="00143B24">
      <w:pPr>
        <w:pStyle w:val="NormalWeb"/>
        <w:spacing w:line="480" w:lineRule="auto"/>
        <w:contextualSpacing/>
        <w:rPr>
          <w:b/>
        </w:rPr>
      </w:pPr>
      <w:r w:rsidRPr="00C21098">
        <w:rPr>
          <w:b/>
          <w:bCs/>
        </w:rPr>
        <w:t>ACKNOWLEDGEMENTS</w:t>
      </w:r>
    </w:p>
    <w:p w14:paraId="67510ADD" w14:textId="77777777" w:rsidR="00143B24" w:rsidRPr="00C21098" w:rsidRDefault="00143B24" w:rsidP="00143B24">
      <w:pPr>
        <w:pStyle w:val="NormalWeb"/>
        <w:spacing w:line="480" w:lineRule="auto"/>
        <w:contextualSpacing/>
      </w:pPr>
      <w:r w:rsidRPr="00C21098">
        <w:t xml:space="preserve">This study was carried out under the permission of the Ministry of Education, National Heritage, Culture &amp; Arts Fiji (Reference RA24/13). All methods were carried out in accordance with protocol R17-005 of the Institutional Animal Care and Use Committee of the University of Oklahoma and protocol 12-003 of the Institutional Animal Care and Use Committee of San Diego Zoo Global (Zoological Society of San Diego). </w:t>
      </w:r>
      <w:r w:rsidRPr="00A97442">
        <w:t>Any use of trade, firm or products names is for descriptive purposes only and does not imply endorsement by the U.S. Government.</w:t>
      </w:r>
      <w:r>
        <w:t xml:space="preserve"> </w:t>
      </w:r>
      <w:r w:rsidRPr="00C21098">
        <w:t xml:space="preserve">We thank the Mataqali Vunaivi for their support and assistance throughout this project. </w:t>
      </w:r>
      <w:r w:rsidRPr="00C21098">
        <w:rPr>
          <w:bCs/>
        </w:rPr>
        <w:t xml:space="preserve">The project was jointly funded by the International Iguana Foundation, Dutch Iguana Society, San Diego Zoo Global, Survivor Entertainment Group, Critical Ecosystems Partnership Fund, Kula Eco Park, Taronga Conservation Society Australia, the University of Oklahoma, and the USGS Ecosystems Mission Area to J.C.B, R.N.F, and C.K.L., the Oklahoma City Zoo and Botanical Garden to S.J.E., </w:t>
      </w:r>
      <w:r w:rsidRPr="00C21098">
        <w:t>and NSF grant DEB 1657648 to C.D.S. We thank R. Chand and P. Harlow for all of their work to have successful breeding in captivity at Kula Eco Park. We thank C. Rochester, S. Pasachnik, S. Hathaway, E. Matatia, N. Thomas, S. Antsey, M. Glaser, B. Thaman, R. Ursua, K. Laqere-Beitaki, and Likuliku Resorts for assistance in the field, K. Sankaranarayanan for invaluable assistance in data analysis, and members of the Siler Lab for critical reviews of early drafts of the manuscript. Lastly, we thank anonymous reviewers for their critical evaluations of this manuscript.</w:t>
      </w:r>
    </w:p>
    <w:p w14:paraId="2B1AB7DF" w14:textId="77777777" w:rsidR="00143B24" w:rsidRPr="00C21098" w:rsidRDefault="00143B24" w:rsidP="00143B24">
      <w:pPr>
        <w:pStyle w:val="NormalWeb"/>
        <w:spacing w:line="480" w:lineRule="auto"/>
        <w:contextualSpacing/>
      </w:pPr>
    </w:p>
    <w:p w14:paraId="3B0CBBF5" w14:textId="77777777" w:rsidR="00143B24" w:rsidRPr="0063218D" w:rsidRDefault="00143B24" w:rsidP="004C084B">
      <w:pPr>
        <w:pStyle w:val="NormalWeb"/>
        <w:spacing w:line="480" w:lineRule="auto"/>
        <w:contextualSpacing/>
      </w:pPr>
      <w:r w:rsidRPr="0063218D">
        <w:rPr>
          <w:b/>
          <w:bCs/>
        </w:rPr>
        <w:t>REFERENCES</w:t>
      </w:r>
    </w:p>
    <w:p w14:paraId="72936697"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Alberts, A. C. (2007). Behavioral considerations of headstarting as a conservation strategy for endangered Caribbean rock iguanas. </w:t>
      </w:r>
      <w:r w:rsidRPr="0063218D">
        <w:rPr>
          <w:i/>
          <w:iCs/>
        </w:rPr>
        <w:t>Applied Animal Behaviour Science</w:t>
      </w:r>
      <w:r w:rsidRPr="0063218D">
        <w:t xml:space="preserve">, </w:t>
      </w:r>
      <w:r w:rsidRPr="0063218D">
        <w:rPr>
          <w:i/>
          <w:iCs/>
        </w:rPr>
        <w:t>102</w:t>
      </w:r>
      <w:r w:rsidRPr="0063218D">
        <w:t>, 380–391.</w:t>
      </w:r>
      <w:r>
        <w:t xml:space="preserve"> doi: </w:t>
      </w:r>
      <w:r w:rsidRPr="008F2EFA">
        <w:t>10.1016/j.applanim.2006.05.037</w:t>
      </w:r>
    </w:p>
    <w:p w14:paraId="1BD39EBA"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Alfano, N., Courtiol, A., Vielgrader, H., Timms, P., Roca, A. L., &amp; Greenwood, A. D. (2015). Variation in koala microbiomes within and between individuals: </w:t>
      </w:r>
      <w:r>
        <w:t>E</w:t>
      </w:r>
      <w:r w:rsidRPr="0063218D">
        <w:t xml:space="preserve">ffect of body region and captivity status. </w:t>
      </w:r>
      <w:r w:rsidRPr="0063218D">
        <w:rPr>
          <w:i/>
          <w:iCs/>
        </w:rPr>
        <w:t>Scientific Reports</w:t>
      </w:r>
      <w:r w:rsidRPr="0063218D">
        <w:t xml:space="preserve">, </w:t>
      </w:r>
      <w:r w:rsidRPr="0063218D">
        <w:rPr>
          <w:i/>
          <w:iCs/>
        </w:rPr>
        <w:t>5</w:t>
      </w:r>
      <w:r w:rsidRPr="0063218D">
        <w:t>, 10189.</w:t>
      </w:r>
      <w:r>
        <w:t xml:space="preserve"> </w:t>
      </w:r>
      <w:r w:rsidRPr="008F2EFA">
        <w:t>doi: 10.1038/srep10189</w:t>
      </w:r>
    </w:p>
    <w:p w14:paraId="207D0064"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Altschul, S. F., Gish, W., Miller, W., Myers, E. W., &amp; Lipman, D. J. (1990). Basic local alignment search tool. </w:t>
      </w:r>
      <w:r w:rsidRPr="0063218D">
        <w:rPr>
          <w:i/>
          <w:iCs/>
        </w:rPr>
        <w:t>Journal of Molecular Biology</w:t>
      </w:r>
      <w:r w:rsidRPr="0063218D">
        <w:t xml:space="preserve">, </w:t>
      </w:r>
      <w:r w:rsidRPr="0063218D">
        <w:rPr>
          <w:i/>
          <w:iCs/>
        </w:rPr>
        <w:t>215</w:t>
      </w:r>
      <w:r w:rsidRPr="0063218D">
        <w:t>, 403–410.</w:t>
      </w:r>
      <w:r>
        <w:t xml:space="preserve"> doi</w:t>
      </w:r>
      <w:r w:rsidRPr="008F2EFA">
        <w:t>: 10.1016/S0022-2836(05)80360-2</w:t>
      </w:r>
    </w:p>
    <w:p w14:paraId="7684C65B"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Amato, K. R., Metcalf, J. L., Song, S. J., Hale, V. L., Clayton, J., Ackermann, G., … Schrenzel M. D. (2016). Using the gut microbiota as a novel tool for examining colobine primate GI health. </w:t>
      </w:r>
      <w:r w:rsidRPr="0063218D">
        <w:rPr>
          <w:i/>
          <w:iCs/>
        </w:rPr>
        <w:t>Global Ecology and Conservation</w:t>
      </w:r>
      <w:r w:rsidRPr="0063218D">
        <w:t xml:space="preserve">, </w:t>
      </w:r>
      <w:r w:rsidRPr="0063218D">
        <w:rPr>
          <w:i/>
          <w:iCs/>
        </w:rPr>
        <w:t>7</w:t>
      </w:r>
      <w:r w:rsidRPr="0063218D">
        <w:t>, 225–237.</w:t>
      </w:r>
      <w:r>
        <w:t xml:space="preserve"> doi: </w:t>
      </w:r>
      <w:r w:rsidRPr="008F2EFA">
        <w:t>10.1016/j.gecco.2016.06.004</w:t>
      </w:r>
    </w:p>
    <w:p w14:paraId="5EBA7C94"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Bahrndorff, S., Alemu, T., Alemneh, T., &amp; Lund Nielsen, J. (2016). The microbiome of animals: </w:t>
      </w:r>
      <w:r>
        <w:t>I</w:t>
      </w:r>
      <w:r w:rsidRPr="0063218D">
        <w:t xml:space="preserve">mplications for conservation biology. </w:t>
      </w:r>
      <w:r w:rsidRPr="0063218D">
        <w:rPr>
          <w:i/>
          <w:iCs/>
        </w:rPr>
        <w:t>International Journal of Genomics</w:t>
      </w:r>
      <w:r w:rsidRPr="0063218D">
        <w:t xml:space="preserve">, </w:t>
      </w:r>
      <w:r w:rsidRPr="0063218D">
        <w:rPr>
          <w:i/>
          <w:iCs/>
        </w:rPr>
        <w:t>2016</w:t>
      </w:r>
      <w:r w:rsidRPr="0063218D">
        <w:t>, 5304028.</w:t>
      </w:r>
      <w:r>
        <w:t xml:space="preserve"> doi</w:t>
      </w:r>
      <w:r w:rsidRPr="008F2EFA">
        <w:t>: 10.1155/2016/5304028</w:t>
      </w:r>
    </w:p>
    <w:p w14:paraId="334A2CC8"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Caporaso, J. G., Kuczynski, J., Stombaugh, J., Bittinger, K., Bushman, F. D., Costello, E. K., … Huttley, G. A. (2010). QIIME allows analysis of high-throughput community sequencing data. </w:t>
      </w:r>
      <w:r w:rsidRPr="0063218D">
        <w:rPr>
          <w:i/>
          <w:iCs/>
        </w:rPr>
        <w:t>Nature Methods</w:t>
      </w:r>
      <w:r w:rsidRPr="0063218D">
        <w:t xml:space="preserve">, </w:t>
      </w:r>
      <w:r w:rsidRPr="0063218D">
        <w:rPr>
          <w:i/>
          <w:iCs/>
        </w:rPr>
        <w:t>7</w:t>
      </w:r>
      <w:r w:rsidRPr="0063218D">
        <w:t>, 335.</w:t>
      </w:r>
      <w:r>
        <w:t xml:space="preserve"> doi: </w:t>
      </w:r>
      <w:r w:rsidRPr="008F2EFA">
        <w:t>10.1038/nmeth.f.303</w:t>
      </w:r>
    </w:p>
    <w:p w14:paraId="3FA4C787"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Caporaso, J. G., Lauber, C. L., Walters, W. A., Berg-Lyons, D., Huntley, J., Fierer, N., … Gormley, N. (2012). Ultra-high-throughput microbial community analysis on the Illumina HiSeq and MiSeq platforms. </w:t>
      </w:r>
      <w:r w:rsidRPr="0063218D">
        <w:rPr>
          <w:i/>
          <w:iCs/>
        </w:rPr>
        <w:t>The ISME Journal</w:t>
      </w:r>
      <w:r w:rsidRPr="0063218D">
        <w:t xml:space="preserve">, </w:t>
      </w:r>
      <w:r w:rsidRPr="0063218D">
        <w:rPr>
          <w:i/>
          <w:iCs/>
        </w:rPr>
        <w:t>6</w:t>
      </w:r>
      <w:r w:rsidRPr="0063218D">
        <w:t>, 1621–1624.</w:t>
      </w:r>
      <w:r>
        <w:t xml:space="preserve"> doi: </w:t>
      </w:r>
      <w:r w:rsidRPr="008F2EFA">
        <w:t>10.1038/ismej.2012.8</w:t>
      </w:r>
    </w:p>
    <w:p w14:paraId="2F875BD6"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Chand, R., Niukula, J., Vadada, J., Fisher, R. N., Lovich, K., Pasachnik, S., … Yanuya, T. (2016). Captive Breeding and Re-introduction of the Monuriki Island Crested Iguana in Fiji. In P. S. Soorae (Ed.), </w:t>
      </w:r>
      <w:r w:rsidRPr="0063218D">
        <w:rPr>
          <w:i/>
          <w:iCs/>
        </w:rPr>
        <w:t>Global Re-introduction Perspectives: 2016</w:t>
      </w:r>
      <w:r w:rsidRPr="0063218D">
        <w:t>. Gland, Switzerland: IUCN SSC Re-introduction Specialist Group and Abu Dhabi, AE: Environment Agency-Abu Dhabi.</w:t>
      </w:r>
    </w:p>
    <w:p w14:paraId="76DAF9C1"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Cheng, Y., Fox, S., Pemberton, D., Hogg, C., Papenfuss, A. T., &amp; Belov, K. (2015). The Tasmanian devil microbiome—implications for conservation and management. </w:t>
      </w:r>
      <w:r w:rsidRPr="0063218D">
        <w:rPr>
          <w:i/>
          <w:iCs/>
        </w:rPr>
        <w:t>Microbiome</w:t>
      </w:r>
      <w:r w:rsidRPr="0063218D">
        <w:t xml:space="preserve">, </w:t>
      </w:r>
      <w:r w:rsidRPr="0063218D">
        <w:rPr>
          <w:i/>
          <w:iCs/>
        </w:rPr>
        <w:t>3</w:t>
      </w:r>
      <w:r w:rsidRPr="0063218D">
        <w:t>, 76.</w:t>
      </w:r>
      <w:r>
        <w:t xml:space="preserve"> doi: </w:t>
      </w:r>
      <w:r w:rsidRPr="00DD4883">
        <w:t>10.1186/s40168-015-0143-0</w:t>
      </w:r>
    </w:p>
    <w:p w14:paraId="49AC5939"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Cho, I., &amp; Blaser, M. J. (2012). The human microbiome: </w:t>
      </w:r>
      <w:r>
        <w:t>A</w:t>
      </w:r>
      <w:r w:rsidRPr="0063218D">
        <w:t xml:space="preserve">t the interface of health and disease. </w:t>
      </w:r>
      <w:r w:rsidRPr="0063218D">
        <w:rPr>
          <w:i/>
          <w:iCs/>
        </w:rPr>
        <w:t>Nature Reviews Genetics</w:t>
      </w:r>
      <w:r w:rsidRPr="0063218D">
        <w:t xml:space="preserve">, </w:t>
      </w:r>
      <w:r w:rsidRPr="0063218D">
        <w:rPr>
          <w:i/>
          <w:iCs/>
        </w:rPr>
        <w:t>13</w:t>
      </w:r>
      <w:r w:rsidRPr="0063218D">
        <w:t>, 260–270.</w:t>
      </w:r>
      <w:r>
        <w:t xml:space="preserve"> </w:t>
      </w:r>
      <w:r w:rsidRPr="00DD4883">
        <w:t>doi: 10.1038/nrg3182</w:t>
      </w:r>
    </w:p>
    <w:p w14:paraId="73E7C023"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Clayton, J. B., Vangay, P., Huang, H., Ward, T., Hillmann, B. M., Al-Ghalith, G. A., … Cabana, F. (2016). Captivity humanizes the primate microbiome. </w:t>
      </w:r>
      <w:r w:rsidRPr="0063218D">
        <w:rPr>
          <w:i/>
          <w:iCs/>
        </w:rPr>
        <w:t>Proceedings of the National Academy of Sciences</w:t>
      </w:r>
      <w:r w:rsidRPr="0063218D">
        <w:t xml:space="preserve">, </w:t>
      </w:r>
      <w:r w:rsidRPr="0063218D">
        <w:rPr>
          <w:i/>
          <w:iCs/>
        </w:rPr>
        <w:t>113</w:t>
      </w:r>
      <w:r w:rsidRPr="0063218D">
        <w:t>, 10376–10381.</w:t>
      </w:r>
      <w:r>
        <w:t xml:space="preserve"> doi: </w:t>
      </w:r>
      <w:r w:rsidRPr="00DD4883">
        <w:t>10.1073/pnas.1521835113</w:t>
      </w:r>
    </w:p>
    <w:p w14:paraId="1CC2F627"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Colston, T. J., Noonan, B. P., &amp; Jackson, C. R. (2015). Phylogenetic analysis of bacterial communities in different regions of the gastrointestinal tract of </w:t>
      </w:r>
      <w:r w:rsidRPr="0063218D">
        <w:rPr>
          <w:i/>
          <w:iCs/>
        </w:rPr>
        <w:t>Agkistrodon piscivorus</w:t>
      </w:r>
      <w:r w:rsidRPr="0063218D">
        <w:t xml:space="preserve">, the cottonmouth snake. </w:t>
      </w:r>
      <w:r w:rsidRPr="0063218D">
        <w:rPr>
          <w:i/>
          <w:iCs/>
        </w:rPr>
        <w:t>PLoS One</w:t>
      </w:r>
      <w:r w:rsidRPr="0063218D">
        <w:t xml:space="preserve">, </w:t>
      </w:r>
      <w:r w:rsidRPr="0063218D">
        <w:rPr>
          <w:i/>
          <w:iCs/>
        </w:rPr>
        <w:t>10</w:t>
      </w:r>
      <w:r w:rsidRPr="0063218D">
        <w:t>, e0128793.</w:t>
      </w:r>
      <w:r>
        <w:t xml:space="preserve"> doi: </w:t>
      </w:r>
      <w:r w:rsidRPr="00DD4883">
        <w:t>10.1371/journal.pone.0128793</w:t>
      </w:r>
    </w:p>
    <w:p w14:paraId="7E69FE52"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Colston, T. J., &amp; Jackson, C. R. (2016). Microbiome evolution along divergent branches of the vertebrate tree of life: </w:t>
      </w:r>
      <w:r>
        <w:t>W</w:t>
      </w:r>
      <w:r w:rsidRPr="0063218D">
        <w:t xml:space="preserve">hat is known and unknown. </w:t>
      </w:r>
      <w:r w:rsidRPr="0063218D">
        <w:rPr>
          <w:i/>
          <w:iCs/>
        </w:rPr>
        <w:t>Molecular Ecology</w:t>
      </w:r>
      <w:r w:rsidRPr="0063218D">
        <w:t xml:space="preserve">, </w:t>
      </w:r>
      <w:r w:rsidRPr="0063218D">
        <w:rPr>
          <w:i/>
          <w:iCs/>
        </w:rPr>
        <w:t>25</w:t>
      </w:r>
      <w:r w:rsidRPr="0063218D">
        <w:t>, 3776–3800.</w:t>
      </w:r>
      <w:r>
        <w:t xml:space="preserve"> doi: </w:t>
      </w:r>
      <w:r w:rsidRPr="00DD4883">
        <w:t>10.1111/mec.13730</w:t>
      </w:r>
    </w:p>
    <w:p w14:paraId="434E8CEB" w14:textId="77777777" w:rsidR="00143B24" w:rsidRDefault="00143B24" w:rsidP="004C084B">
      <w:pPr>
        <w:pStyle w:val="NormalWeb"/>
        <w:spacing w:before="0" w:beforeAutospacing="0" w:after="0" w:afterAutospacing="0" w:line="480" w:lineRule="auto"/>
        <w:ind w:left="360" w:hanging="360"/>
        <w:contextualSpacing/>
      </w:pPr>
      <w:r w:rsidRPr="0063218D">
        <w:t xml:space="preserve">Costello, E. K., Gordon, J. I., Secor, S. M., &amp; Knight, R. (2010). Postprandial remodeling of the gut microbiota in Burmese pythons. </w:t>
      </w:r>
      <w:r w:rsidRPr="0063218D">
        <w:rPr>
          <w:i/>
          <w:iCs/>
        </w:rPr>
        <w:t>The ISME Journal</w:t>
      </w:r>
      <w:r w:rsidRPr="0063218D">
        <w:t xml:space="preserve">, </w:t>
      </w:r>
      <w:r w:rsidRPr="0063218D">
        <w:rPr>
          <w:i/>
          <w:iCs/>
        </w:rPr>
        <w:t>4</w:t>
      </w:r>
      <w:r w:rsidRPr="0063218D">
        <w:t>, 1375–1385.</w:t>
      </w:r>
      <w:r>
        <w:t xml:space="preserve"> doi: </w:t>
      </w:r>
      <w:r w:rsidRPr="00DD4883">
        <w:t>10.1038/ismej.2010.71</w:t>
      </w:r>
    </w:p>
    <w:p w14:paraId="3780FA66" w14:textId="77777777" w:rsidR="00143B24" w:rsidRDefault="00143B24" w:rsidP="004C084B">
      <w:pPr>
        <w:pStyle w:val="NormalWeb"/>
        <w:spacing w:line="480" w:lineRule="auto"/>
        <w:ind w:left="360" w:hanging="360"/>
        <w:contextualSpacing/>
      </w:pPr>
      <w:r>
        <w:t>[dataset] Eliades, S. J., Brown, J. C., Colston, T. J., Fisher, R. N., Niukula, J. B., Gray, K., ... Siler, C. D. (2020).</w:t>
      </w:r>
      <w:r w:rsidRPr="0087499A">
        <w:t xml:space="preserve"> </w:t>
      </w:r>
      <w:r w:rsidRPr="00172829">
        <w:t>Endogenous microbiome in Fijian crested iguana (</w:t>
      </w:r>
      <w:r w:rsidRPr="00172829">
        <w:rPr>
          <w:i/>
          <w:iCs/>
        </w:rPr>
        <w:t>Brachylophus vitiensis</w:t>
      </w:r>
      <w:r w:rsidRPr="00172829">
        <w:t>)</w:t>
      </w:r>
      <w:r>
        <w:t xml:space="preserve">. </w:t>
      </w:r>
      <w:r w:rsidRPr="00C21098">
        <w:t xml:space="preserve">Sequence Read Archive (SRA) accession no. </w:t>
      </w:r>
      <w:r w:rsidRPr="00347EAF">
        <w:t>PRJNA702127</w:t>
      </w:r>
      <w:r>
        <w:t>.</w:t>
      </w:r>
    </w:p>
    <w:p w14:paraId="6A12EB87"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DeSantis, T. Z., Hugenholtz, P., Larsen, N., Rojas, M., Brodie, E. L., Keller, K., … Andersen, G. L. (2006). Greengenes, a chimera-checked 16S rRNA gene database and workbench compatible with ARB. </w:t>
      </w:r>
      <w:r w:rsidRPr="0063218D">
        <w:rPr>
          <w:i/>
          <w:iCs/>
        </w:rPr>
        <w:t>Applied and Environmental Microbiology</w:t>
      </w:r>
      <w:r w:rsidRPr="0063218D">
        <w:t xml:space="preserve">, </w:t>
      </w:r>
      <w:r w:rsidRPr="0063218D">
        <w:rPr>
          <w:i/>
          <w:iCs/>
        </w:rPr>
        <w:t>72</w:t>
      </w:r>
      <w:r w:rsidRPr="0063218D">
        <w:t>, 5069–5072.</w:t>
      </w:r>
      <w:r>
        <w:t xml:space="preserve"> doi: </w:t>
      </w:r>
      <w:r w:rsidRPr="00DD4883">
        <w:t>10.1128/AEM.03006-05</w:t>
      </w:r>
    </w:p>
    <w:p w14:paraId="72E27707"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Domingo, M. C., Yansouni, C., Gaudreau, C., Lamothe, F., Lévesque, S., Tremblay, C., &amp; Garceau, R. (2015). </w:t>
      </w:r>
      <w:r w:rsidRPr="0063218D">
        <w:rPr>
          <w:i/>
          <w:iCs/>
        </w:rPr>
        <w:t>Cloacibacillus</w:t>
      </w:r>
      <w:r w:rsidRPr="0063218D">
        <w:t xml:space="preserve"> sp, a potential human pathogen associated with bacteremia in Quebec and New Brunswick. </w:t>
      </w:r>
      <w:r w:rsidRPr="0063218D">
        <w:rPr>
          <w:i/>
          <w:iCs/>
        </w:rPr>
        <w:t>Journal of Clinical Microbiology</w:t>
      </w:r>
      <w:r w:rsidRPr="0063218D">
        <w:t xml:space="preserve">, </w:t>
      </w:r>
      <w:r w:rsidRPr="0063218D">
        <w:rPr>
          <w:i/>
          <w:iCs/>
        </w:rPr>
        <w:t>53</w:t>
      </w:r>
      <w:r w:rsidRPr="0063218D">
        <w:t>, 3380–3383.</w:t>
      </w:r>
      <w:r>
        <w:t xml:space="preserve"> doi: </w:t>
      </w:r>
      <w:r w:rsidRPr="00DD4883">
        <w:t>10.1128/JCM.01137-15</w:t>
      </w:r>
    </w:p>
    <w:p w14:paraId="74FD3157"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Edgar, R. C. (2013). UPARSE: </w:t>
      </w:r>
      <w:r>
        <w:t>H</w:t>
      </w:r>
      <w:r w:rsidRPr="0063218D">
        <w:t>ighly accurate OTU sequences from microbial amplicon reads</w:t>
      </w:r>
      <w:r>
        <w:t xml:space="preserve">. </w:t>
      </w:r>
      <w:r w:rsidRPr="0063218D">
        <w:rPr>
          <w:i/>
          <w:iCs/>
        </w:rPr>
        <w:t>Nature Methods</w:t>
      </w:r>
      <w:r w:rsidRPr="0063218D">
        <w:t xml:space="preserve">, </w:t>
      </w:r>
      <w:r w:rsidRPr="0063218D">
        <w:rPr>
          <w:i/>
          <w:iCs/>
        </w:rPr>
        <w:t>10</w:t>
      </w:r>
      <w:r w:rsidRPr="0063218D">
        <w:t>, 996.</w:t>
      </w:r>
      <w:r>
        <w:t xml:space="preserve"> doi: </w:t>
      </w:r>
      <w:r w:rsidRPr="00DD4883">
        <w:t>10.1038/nmeth.2604</w:t>
      </w:r>
    </w:p>
    <w:p w14:paraId="305AC2BA" w14:textId="77777777" w:rsidR="00143B24" w:rsidRPr="0063218D" w:rsidRDefault="00143B24" w:rsidP="004C084B">
      <w:pPr>
        <w:pStyle w:val="NormalWeb"/>
        <w:spacing w:before="0" w:beforeAutospacing="0" w:after="0" w:afterAutospacing="0" w:line="480" w:lineRule="auto"/>
        <w:ind w:left="360" w:hanging="360"/>
        <w:contextualSpacing/>
      </w:pPr>
      <w:r w:rsidRPr="0063218D">
        <w:t>Eigeland, K. A., Lanyon, J. M., Trott, D. J., Ouwerkerk, D., Blanshard, W., Milinovich, G. J., … Klieve, A. V. (2012). Bacterial community structure in the hindgut of wild and captive dugongs (</w:t>
      </w:r>
      <w:r w:rsidRPr="0063218D">
        <w:rPr>
          <w:i/>
          <w:iCs/>
        </w:rPr>
        <w:t>Dugong dugon</w:t>
      </w:r>
      <w:r w:rsidRPr="0063218D">
        <w:t xml:space="preserve">). </w:t>
      </w:r>
      <w:r w:rsidRPr="0063218D">
        <w:rPr>
          <w:i/>
          <w:iCs/>
        </w:rPr>
        <w:t>Aquatic Mammals</w:t>
      </w:r>
      <w:r w:rsidRPr="0063218D">
        <w:t xml:space="preserve">, </w:t>
      </w:r>
      <w:r w:rsidRPr="0063218D">
        <w:rPr>
          <w:i/>
          <w:iCs/>
        </w:rPr>
        <w:t>38</w:t>
      </w:r>
      <w:r w:rsidRPr="0063218D">
        <w:t>, 402–411.</w:t>
      </w:r>
      <w:r>
        <w:t xml:space="preserve"> doi: </w:t>
      </w:r>
      <w:r w:rsidRPr="00DD4883">
        <w:t>10.1578/AM.38.4.2012.402</w:t>
      </w:r>
    </w:p>
    <w:p w14:paraId="24ED379B"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Faith, D. P. (1992). Conservation evaluation and phylogenetic diversity. </w:t>
      </w:r>
      <w:r w:rsidRPr="0063218D">
        <w:rPr>
          <w:i/>
          <w:iCs/>
        </w:rPr>
        <w:t>Biological Conservation</w:t>
      </w:r>
      <w:r w:rsidRPr="0063218D">
        <w:t xml:space="preserve">, </w:t>
      </w:r>
      <w:r w:rsidRPr="0063218D">
        <w:rPr>
          <w:i/>
          <w:iCs/>
        </w:rPr>
        <w:t>61</w:t>
      </w:r>
      <w:r w:rsidRPr="0063218D">
        <w:t>, 1–10.</w:t>
      </w:r>
      <w:r>
        <w:t xml:space="preserve"> doi: </w:t>
      </w:r>
      <w:r w:rsidRPr="00DD4883">
        <w:t>10.1016/0006-3207(92)91201-3</w:t>
      </w:r>
    </w:p>
    <w:p w14:paraId="3B7B0D93"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Ferguson, G. W., Brown, K. L., &amp; DeMarco, V. G. (1982). Selective basis for the evolution of variable egg and hatchling size in some iguanid lizards. </w:t>
      </w:r>
      <w:r w:rsidRPr="0063218D">
        <w:rPr>
          <w:i/>
          <w:iCs/>
        </w:rPr>
        <w:t>Herpetologica</w:t>
      </w:r>
      <w:r w:rsidRPr="0063218D">
        <w:t xml:space="preserve">, </w:t>
      </w:r>
      <w:r w:rsidRPr="0063218D">
        <w:rPr>
          <w:i/>
          <w:iCs/>
        </w:rPr>
        <w:t>38</w:t>
      </w:r>
      <w:r w:rsidRPr="0063218D">
        <w:t>, 178–188.</w:t>
      </w:r>
    </w:p>
    <w:p w14:paraId="7AC49930" w14:textId="77777777" w:rsidR="00143B24" w:rsidRDefault="00143B24" w:rsidP="004C084B">
      <w:pPr>
        <w:pStyle w:val="NormalWeb"/>
        <w:spacing w:before="0" w:beforeAutospacing="0" w:after="0" w:afterAutospacing="0" w:line="480" w:lineRule="auto"/>
        <w:ind w:left="360" w:hanging="360"/>
        <w:contextualSpacing/>
      </w:pPr>
      <w:r w:rsidRPr="0063218D">
        <w:t xml:space="preserve">Fischer, J., &amp; Lindenmayer, D. B. (2000). An assessment of the published results of animal relocations. </w:t>
      </w:r>
      <w:r w:rsidRPr="0063218D">
        <w:rPr>
          <w:i/>
          <w:iCs/>
        </w:rPr>
        <w:t>Biological Conservation</w:t>
      </w:r>
      <w:r w:rsidRPr="0063218D">
        <w:t xml:space="preserve">, </w:t>
      </w:r>
      <w:r w:rsidRPr="0063218D">
        <w:rPr>
          <w:i/>
          <w:iCs/>
        </w:rPr>
        <w:t>96</w:t>
      </w:r>
      <w:r w:rsidRPr="0063218D">
        <w:t>, 1–11.</w:t>
      </w:r>
      <w:r>
        <w:t xml:space="preserve"> doi: </w:t>
      </w:r>
      <w:r w:rsidRPr="00DD4883">
        <w:t>10.1016/S0006-3207(00)00048-3</w:t>
      </w:r>
    </w:p>
    <w:p w14:paraId="6335D001"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Fisher, R. N., Niukula, J., Harlow, P. S., Rasalato, S., Chand, R., Thaman, B., … Thomas-Moko, N. (2019). Community-based conservation and recovery of native species on Monuriki Island, Fiji. </w:t>
      </w:r>
      <w:r w:rsidRPr="0063218D">
        <w:rPr>
          <w:i/>
          <w:iCs/>
        </w:rPr>
        <w:t xml:space="preserve">Island Invasives: </w:t>
      </w:r>
      <w:r>
        <w:rPr>
          <w:i/>
          <w:iCs/>
        </w:rPr>
        <w:t>S</w:t>
      </w:r>
      <w:r w:rsidRPr="0063218D">
        <w:rPr>
          <w:i/>
          <w:iCs/>
        </w:rPr>
        <w:t>caling up to meet the challenge</w:t>
      </w:r>
      <w:r w:rsidRPr="0063218D">
        <w:t xml:space="preserve">, </w:t>
      </w:r>
      <w:r w:rsidRPr="0063218D">
        <w:rPr>
          <w:i/>
          <w:iCs/>
        </w:rPr>
        <w:t>62</w:t>
      </w:r>
      <w:r w:rsidRPr="0063218D">
        <w:t>, 552–557.</w:t>
      </w:r>
      <w:r>
        <w:t xml:space="preserve"> doi: </w:t>
      </w:r>
      <w:r w:rsidRPr="002D6409">
        <w:t>10.2305/IUCN.CH.2019.SSC-OP.62.en</w:t>
      </w:r>
    </w:p>
    <w:p w14:paraId="2279A316"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Fraune, S., &amp; Bosch, T. C. (2010). Why bacteria matter in animal development and evolution. </w:t>
      </w:r>
      <w:r w:rsidRPr="0063218D">
        <w:rPr>
          <w:i/>
          <w:iCs/>
        </w:rPr>
        <w:t>Bioessays</w:t>
      </w:r>
      <w:r w:rsidRPr="0063218D">
        <w:t xml:space="preserve">, </w:t>
      </w:r>
      <w:r w:rsidRPr="0063218D">
        <w:rPr>
          <w:i/>
          <w:iCs/>
        </w:rPr>
        <w:t>32</w:t>
      </w:r>
      <w:r w:rsidRPr="0063218D">
        <w:t>, 571–580.</w:t>
      </w:r>
      <w:r>
        <w:t xml:space="preserve"> doi: </w:t>
      </w:r>
      <w:r w:rsidRPr="002D6409">
        <w:t>10.1002/bies.200900192</w:t>
      </w:r>
    </w:p>
    <w:p w14:paraId="2F724BF9"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Gibbons, J. R. (1981). The biogeography of </w:t>
      </w:r>
      <w:r w:rsidRPr="0063218D">
        <w:rPr>
          <w:i/>
          <w:iCs/>
        </w:rPr>
        <w:t>Brachylophus</w:t>
      </w:r>
      <w:r w:rsidRPr="0063218D">
        <w:t xml:space="preserve"> (Iguanidae) including the description of a new species, </w:t>
      </w:r>
      <w:r w:rsidRPr="0063218D">
        <w:rPr>
          <w:i/>
          <w:iCs/>
        </w:rPr>
        <w:t>B. vitiensis</w:t>
      </w:r>
      <w:r w:rsidRPr="0063218D">
        <w:t xml:space="preserve">, from Fiji. </w:t>
      </w:r>
      <w:r w:rsidRPr="0063218D">
        <w:rPr>
          <w:i/>
          <w:iCs/>
        </w:rPr>
        <w:t>Journal of Herpetology</w:t>
      </w:r>
      <w:r w:rsidRPr="0063218D">
        <w:t xml:space="preserve">, </w:t>
      </w:r>
      <w:r w:rsidRPr="0063218D">
        <w:rPr>
          <w:i/>
          <w:iCs/>
        </w:rPr>
        <w:t>15</w:t>
      </w:r>
      <w:r w:rsidRPr="0063218D">
        <w:t>, 255–273.</w:t>
      </w:r>
      <w:r>
        <w:t xml:space="preserve"> doi: </w:t>
      </w:r>
      <w:r w:rsidRPr="002D6409">
        <w:t>10.2307/1563429</w:t>
      </w:r>
    </w:p>
    <w:p w14:paraId="4ED96626"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Gilbert, J. A., Quinn, R. A., Debelius, J., Xu, Z. Z., Morton, J., Garg, N., … Knight, R. (2016). Microbiome-wide association studies link dynamic microbial consortia to disease. </w:t>
      </w:r>
      <w:r w:rsidRPr="0063218D">
        <w:rPr>
          <w:i/>
          <w:iCs/>
        </w:rPr>
        <w:t>Nature</w:t>
      </w:r>
      <w:r w:rsidRPr="0063218D">
        <w:t xml:space="preserve">, </w:t>
      </w:r>
      <w:r w:rsidRPr="0063218D">
        <w:rPr>
          <w:i/>
          <w:iCs/>
        </w:rPr>
        <w:t>535</w:t>
      </w:r>
      <w:r w:rsidRPr="0063218D">
        <w:t>, 94–103.</w:t>
      </w:r>
      <w:r>
        <w:t xml:space="preserve"> doi: </w:t>
      </w:r>
      <w:r w:rsidRPr="002D6409">
        <w:t>10.1038/nature18850</w:t>
      </w:r>
    </w:p>
    <w:p w14:paraId="05309FB8" w14:textId="77777777" w:rsidR="00143B24" w:rsidRPr="002D6409" w:rsidRDefault="00143B24" w:rsidP="004C084B">
      <w:pPr>
        <w:pStyle w:val="NormalWeb"/>
        <w:spacing w:before="0" w:beforeAutospacing="0" w:after="0" w:afterAutospacing="0" w:line="480" w:lineRule="auto"/>
        <w:ind w:left="360" w:hanging="360"/>
        <w:contextualSpacing/>
      </w:pPr>
      <w:r w:rsidRPr="0063218D">
        <w:t xml:space="preserve">Good, I. J. (1953). The population frequencies of species and the estimation of population parameters. </w:t>
      </w:r>
      <w:r w:rsidRPr="0063218D">
        <w:rPr>
          <w:i/>
          <w:iCs/>
        </w:rPr>
        <w:t>Biometrika</w:t>
      </w:r>
      <w:r w:rsidRPr="0063218D">
        <w:t xml:space="preserve">, </w:t>
      </w:r>
      <w:r w:rsidRPr="0063218D">
        <w:rPr>
          <w:i/>
          <w:iCs/>
        </w:rPr>
        <w:t>40</w:t>
      </w:r>
      <w:r w:rsidRPr="0063218D">
        <w:t>, 237–264.</w:t>
      </w:r>
      <w:r>
        <w:t xml:space="preserve"> doi: </w:t>
      </w:r>
      <w:r w:rsidRPr="002D6409">
        <w:t>10.2307/2333344</w:t>
      </w:r>
    </w:p>
    <w:p w14:paraId="356BF624"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Gruner, E., Pfyffer, G. E., &amp; von Graevenitz, A. (1993). Characterization of </w:t>
      </w:r>
      <w:r w:rsidRPr="002D6409">
        <w:rPr>
          <w:i/>
          <w:iCs/>
        </w:rPr>
        <w:t>Brevibacterium</w:t>
      </w:r>
      <w:r w:rsidRPr="0063218D">
        <w:t xml:space="preserve"> spp</w:t>
      </w:r>
      <w:r>
        <w:t>.</w:t>
      </w:r>
      <w:r w:rsidRPr="0063218D">
        <w:t xml:space="preserve"> from clinical specimens. </w:t>
      </w:r>
      <w:r w:rsidRPr="0063218D">
        <w:rPr>
          <w:i/>
          <w:iCs/>
        </w:rPr>
        <w:t>Journal of Clinical Microbiology</w:t>
      </w:r>
      <w:r w:rsidRPr="0063218D">
        <w:t xml:space="preserve">, </w:t>
      </w:r>
      <w:r w:rsidRPr="0063218D">
        <w:rPr>
          <w:i/>
          <w:iCs/>
        </w:rPr>
        <w:t>31</w:t>
      </w:r>
      <w:r w:rsidRPr="0063218D">
        <w:t>, 1408–1412.</w:t>
      </w:r>
      <w:r>
        <w:t xml:space="preserve"> doi: </w:t>
      </w:r>
      <w:r w:rsidRPr="002D6409">
        <w:t>10.1128/JCM.31.6.1408-1412.1993</w:t>
      </w:r>
    </w:p>
    <w:p w14:paraId="09CE8192"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Harlow, P. S., Fisher, M., Tuiwawa, M., Biciloa, P. N., Palmeirim, J. M., Mersai, C., … Strand, E. (2007). The decline of the endemic Fijian crested iguana </w:t>
      </w:r>
      <w:r w:rsidRPr="0063218D">
        <w:rPr>
          <w:i/>
          <w:iCs/>
        </w:rPr>
        <w:t>Brachylophus vitiensis</w:t>
      </w:r>
      <w:r w:rsidRPr="0063218D">
        <w:t xml:space="preserve"> in the Yasawa and Mamanuca archipelagos, western Fiji. </w:t>
      </w:r>
      <w:r w:rsidRPr="0063218D">
        <w:rPr>
          <w:i/>
          <w:iCs/>
        </w:rPr>
        <w:t>Oryx</w:t>
      </w:r>
      <w:r w:rsidRPr="0063218D">
        <w:t xml:space="preserve">, </w:t>
      </w:r>
      <w:r w:rsidRPr="0063218D">
        <w:rPr>
          <w:i/>
          <w:iCs/>
        </w:rPr>
        <w:t>41</w:t>
      </w:r>
      <w:r w:rsidRPr="0063218D">
        <w:t>, 44–50.</w:t>
      </w:r>
      <w:r>
        <w:t xml:space="preserve"> doi: </w:t>
      </w:r>
      <w:r w:rsidRPr="002D6409">
        <w:t>10.1017/S0030605307001639</w:t>
      </w:r>
    </w:p>
    <w:p w14:paraId="524D843F"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Harlow, P. S., Hudson, R., &amp; Alberts, A. (2008). Fijian Crested Iguana </w:t>
      </w:r>
      <w:r w:rsidRPr="0063218D">
        <w:rPr>
          <w:i/>
          <w:iCs/>
        </w:rPr>
        <w:t>Brachylophus vitiensis</w:t>
      </w:r>
      <w:r w:rsidRPr="0063218D">
        <w:t xml:space="preserve"> Species Recovery Plan 2008-2012. </w:t>
      </w:r>
      <w:r w:rsidRPr="0063218D">
        <w:rPr>
          <w:i/>
          <w:iCs/>
        </w:rPr>
        <w:t>IUCN Species Survival Commission, Iguana Specialist Group</w:t>
      </w:r>
      <w:r w:rsidRPr="0063218D">
        <w:t>.</w:t>
      </w:r>
    </w:p>
    <w:p w14:paraId="02D7464C" w14:textId="77777777" w:rsidR="00143B24" w:rsidRPr="0063218D" w:rsidRDefault="00143B24" w:rsidP="004C084B">
      <w:pPr>
        <w:pStyle w:val="NormalWeb"/>
        <w:spacing w:before="0" w:beforeAutospacing="0" w:after="0" w:afterAutospacing="0" w:line="480" w:lineRule="auto"/>
        <w:ind w:left="360" w:hanging="360"/>
        <w:contextualSpacing/>
      </w:pPr>
      <w:r w:rsidRPr="0063218D">
        <w:t>Harlow, P. S.</w:t>
      </w:r>
      <w:r>
        <w:t>,</w:t>
      </w:r>
      <w:r w:rsidRPr="0063218D">
        <w:t xml:space="preserve"> Fisher, R. N., </w:t>
      </w:r>
      <w:r>
        <w:t xml:space="preserve">&amp; </w:t>
      </w:r>
      <w:r w:rsidRPr="0063218D">
        <w:t>Grant, T.</w:t>
      </w:r>
      <w:r>
        <w:t xml:space="preserve"> </w:t>
      </w:r>
      <w:r w:rsidRPr="0063218D">
        <w:t xml:space="preserve">(2012). </w:t>
      </w:r>
      <w:r w:rsidRPr="0063218D">
        <w:rPr>
          <w:i/>
          <w:iCs/>
        </w:rPr>
        <w:t>Brachylophus vitiensis</w:t>
      </w:r>
      <w:r w:rsidRPr="0063218D">
        <w:t xml:space="preserve">. </w:t>
      </w:r>
      <w:r w:rsidRPr="0063218D">
        <w:rPr>
          <w:i/>
          <w:iCs/>
        </w:rPr>
        <w:t>The IUCN Red List of Threatened Species 2012</w:t>
      </w:r>
      <w:r w:rsidRPr="0063218D">
        <w:t>, eT2965A2791620.</w:t>
      </w:r>
      <w:r>
        <w:t xml:space="preserve"> doi: </w:t>
      </w:r>
      <w:r w:rsidRPr="00FC37AC">
        <w:t>10.2305/IUCN.UK.2012.RLTS.T2965A2791620.en</w:t>
      </w:r>
    </w:p>
    <w:p w14:paraId="17B08A2F"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Jaccard, P. (1901). Étude comparative de la distribution florale dans une portion des Alpes et des Jura. </w:t>
      </w:r>
      <w:r w:rsidRPr="0063218D">
        <w:rPr>
          <w:i/>
          <w:iCs/>
        </w:rPr>
        <w:t>Bulletin de la Societe Vaudoise des Sciences Naturelles</w:t>
      </w:r>
      <w:r w:rsidRPr="0063218D">
        <w:t xml:space="preserve">, </w:t>
      </w:r>
      <w:r w:rsidRPr="0063218D">
        <w:rPr>
          <w:i/>
          <w:iCs/>
        </w:rPr>
        <w:t>37</w:t>
      </w:r>
      <w:r w:rsidRPr="0063218D">
        <w:t>, 547–579.</w:t>
      </w:r>
      <w:r>
        <w:t xml:space="preserve"> doi: </w:t>
      </w:r>
      <w:r w:rsidRPr="00632567">
        <w:t>10.5169/seals-266450</w:t>
      </w:r>
    </w:p>
    <w:p w14:paraId="6AB1E5DF" w14:textId="77777777" w:rsidR="00143B24" w:rsidRPr="0063218D" w:rsidRDefault="00143B24" w:rsidP="004C084B">
      <w:pPr>
        <w:pStyle w:val="NormalWeb"/>
        <w:spacing w:before="0" w:beforeAutospacing="0" w:after="0" w:afterAutospacing="0" w:line="480" w:lineRule="auto"/>
        <w:ind w:left="360" w:hanging="360"/>
        <w:contextualSpacing/>
      </w:pPr>
      <w:r w:rsidRPr="0063218D">
        <w:t>Jiang, H. Y., Ma, J. E., Li, J., Zhang, X. J., Li, L. M., He, N., … Chen</w:t>
      </w:r>
      <w:r>
        <w:t>,</w:t>
      </w:r>
      <w:r w:rsidRPr="0063218D">
        <w:t xml:space="preserve"> J. P. (2017). Diets alter the gut microbiome of crocodile lizards. </w:t>
      </w:r>
      <w:r w:rsidRPr="0063218D">
        <w:rPr>
          <w:i/>
          <w:iCs/>
        </w:rPr>
        <w:t>Frontiers in Microbiology</w:t>
      </w:r>
      <w:r w:rsidRPr="0063218D">
        <w:t xml:space="preserve">, </w:t>
      </w:r>
      <w:r w:rsidRPr="0063218D">
        <w:rPr>
          <w:i/>
          <w:iCs/>
        </w:rPr>
        <w:t>8</w:t>
      </w:r>
      <w:r w:rsidRPr="0063218D">
        <w:t>, e2073.</w:t>
      </w:r>
      <w:r>
        <w:t xml:space="preserve"> doi: </w:t>
      </w:r>
      <w:r w:rsidRPr="00632567">
        <w:t>10.3389/fmicb.2017.02073</w:t>
      </w:r>
    </w:p>
    <w:p w14:paraId="45CC80B7" w14:textId="77777777" w:rsidR="00143B24" w:rsidRPr="0063218D" w:rsidRDefault="00143B24" w:rsidP="004C084B">
      <w:pPr>
        <w:pStyle w:val="NormalWeb"/>
        <w:spacing w:before="0" w:beforeAutospacing="0" w:after="0" w:afterAutospacing="0" w:line="480" w:lineRule="auto"/>
        <w:ind w:left="360" w:hanging="360"/>
        <w:contextualSpacing/>
      </w:pPr>
      <w:r w:rsidRPr="00982383">
        <w:t xml:space="preserve">Jiménez, R. R., </w:t>
      </w:r>
      <w:r w:rsidRPr="0063218D">
        <w:t xml:space="preserve">&amp; Sommer, S. (2017). The amphibian microbiome: </w:t>
      </w:r>
      <w:r>
        <w:t>N</w:t>
      </w:r>
      <w:r w:rsidRPr="0063218D">
        <w:t xml:space="preserve">atural range of variation, pathogenic dysbiosis, and role in conservation. </w:t>
      </w:r>
      <w:r w:rsidRPr="0063218D">
        <w:rPr>
          <w:i/>
          <w:iCs/>
        </w:rPr>
        <w:t>Biodiversity and Conservation</w:t>
      </w:r>
      <w:r w:rsidRPr="0063218D">
        <w:t xml:space="preserve">, </w:t>
      </w:r>
      <w:r w:rsidRPr="0063218D">
        <w:rPr>
          <w:i/>
          <w:iCs/>
        </w:rPr>
        <w:t>26</w:t>
      </w:r>
      <w:r w:rsidRPr="0063218D">
        <w:t>, 763–786.</w:t>
      </w:r>
      <w:r>
        <w:t xml:space="preserve"> doi: </w:t>
      </w:r>
      <w:r w:rsidRPr="00632567">
        <w:t>10.1007/s10531-016-1272-x</w:t>
      </w:r>
    </w:p>
    <w:p w14:paraId="5172CB1D"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Keogh, J. S., Edwards, D. L., Fisher, R. N., &amp; Harlow, P. S. (2008). Molecular and morphological analysis of the critically endangered Fijian iguanas reveals cryptic diversity and a complex biogeographic history. </w:t>
      </w:r>
      <w:r w:rsidRPr="0063218D">
        <w:rPr>
          <w:i/>
          <w:iCs/>
        </w:rPr>
        <w:t>Philosophical Transactions of the Royal Society B: Biological Sciences</w:t>
      </w:r>
      <w:r w:rsidRPr="0063218D">
        <w:t xml:space="preserve">, </w:t>
      </w:r>
      <w:r w:rsidRPr="0063218D">
        <w:rPr>
          <w:i/>
          <w:iCs/>
        </w:rPr>
        <w:t>363</w:t>
      </w:r>
      <w:r w:rsidRPr="0063218D">
        <w:t>, 3413–3426.</w:t>
      </w:r>
      <w:r>
        <w:t xml:space="preserve"> </w:t>
      </w:r>
      <w:r w:rsidRPr="00632567">
        <w:t>doi: 10.1098/rstb.2008.0120</w:t>
      </w:r>
    </w:p>
    <w:p w14:paraId="3BE7012F"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Kohl, K. D., Brun, A., Magallanes, M., Brinkerhoff, J., Laspiur, A., Acosta, J. C., … Bordenstein, S. R. (2017). Gut microbial ecology of lizards: </w:t>
      </w:r>
      <w:r>
        <w:t>I</w:t>
      </w:r>
      <w:r w:rsidRPr="0063218D">
        <w:t xml:space="preserve">nsights into diversity in the wild, effects of captivity, variation across gut regions and transmission. </w:t>
      </w:r>
      <w:r w:rsidRPr="0063218D">
        <w:rPr>
          <w:i/>
          <w:iCs/>
        </w:rPr>
        <w:t>Molecular Ecology</w:t>
      </w:r>
      <w:r w:rsidRPr="0063218D">
        <w:t xml:space="preserve">, </w:t>
      </w:r>
      <w:r w:rsidRPr="0063218D">
        <w:rPr>
          <w:i/>
          <w:iCs/>
        </w:rPr>
        <w:t>26</w:t>
      </w:r>
      <w:r w:rsidRPr="0063218D">
        <w:t>, 1175–1189.</w:t>
      </w:r>
      <w:r>
        <w:t xml:space="preserve"> doi: </w:t>
      </w:r>
      <w:r w:rsidRPr="00632567">
        <w:t>10.1111/mec.13921</w:t>
      </w:r>
    </w:p>
    <w:p w14:paraId="28254643"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Kozich, J. J., Westcott, S. L., Baxter, N. T., Highlander, S. K., &amp; Schloss, P. D. (2013). Development of a dual-index sequencing strategy and curation pipeline for analyzing amplicon sequence data on the MiSeq Illumina sequencing platform. </w:t>
      </w:r>
      <w:r w:rsidRPr="0063218D">
        <w:rPr>
          <w:i/>
          <w:iCs/>
        </w:rPr>
        <w:t>Applied and Environmental Microbiology</w:t>
      </w:r>
      <w:r w:rsidRPr="0063218D">
        <w:t xml:space="preserve">, </w:t>
      </w:r>
      <w:r w:rsidRPr="0063218D">
        <w:rPr>
          <w:i/>
          <w:iCs/>
        </w:rPr>
        <w:t>79</w:t>
      </w:r>
      <w:r w:rsidRPr="0063218D">
        <w:t>, 5112–5120.</w:t>
      </w:r>
      <w:r>
        <w:t xml:space="preserve"> doi: </w:t>
      </w:r>
      <w:r w:rsidRPr="00632567">
        <w:t>10.1128/AEM.01043-13</w:t>
      </w:r>
    </w:p>
    <w:p w14:paraId="3905382E"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Ley, R. E., Hamady, M., Lozupone, C., Turnbaugh, P. J., Ramey, R. R., Bircher, J. S., … Gordon, J. I. (2008). Evolution of mammals and their gut microbes. </w:t>
      </w:r>
      <w:r w:rsidRPr="0063218D">
        <w:rPr>
          <w:i/>
          <w:iCs/>
        </w:rPr>
        <w:t>Science</w:t>
      </w:r>
      <w:r w:rsidRPr="0063218D">
        <w:t xml:space="preserve">, </w:t>
      </w:r>
      <w:r w:rsidRPr="0063218D">
        <w:rPr>
          <w:i/>
          <w:iCs/>
        </w:rPr>
        <w:t>320</w:t>
      </w:r>
      <w:r w:rsidRPr="0063218D">
        <w:t>, 1647–1651.</w:t>
      </w:r>
      <w:r>
        <w:t xml:space="preserve"> doi: </w:t>
      </w:r>
      <w:r w:rsidRPr="00632567">
        <w:t>10.1126/science.1155725</w:t>
      </w:r>
    </w:p>
    <w:p w14:paraId="18490D43"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Lindgreen, S. (2012). AdapterRemoval: </w:t>
      </w:r>
      <w:r>
        <w:t>E</w:t>
      </w:r>
      <w:r w:rsidRPr="0063218D">
        <w:t xml:space="preserve">asy cleaning of next-generation sequencing reads. </w:t>
      </w:r>
      <w:r w:rsidRPr="0063218D">
        <w:rPr>
          <w:i/>
          <w:iCs/>
        </w:rPr>
        <w:t>BMC Research Notes</w:t>
      </w:r>
      <w:r w:rsidRPr="0063218D">
        <w:t xml:space="preserve">, </w:t>
      </w:r>
      <w:r w:rsidRPr="0063218D">
        <w:rPr>
          <w:i/>
          <w:iCs/>
        </w:rPr>
        <w:t>5</w:t>
      </w:r>
      <w:r w:rsidRPr="0063218D">
        <w:t>, 337.</w:t>
      </w:r>
      <w:r>
        <w:t xml:space="preserve"> doi: </w:t>
      </w:r>
      <w:r w:rsidRPr="00632567">
        <w:t>10.1186/1756-0500-5-337</w:t>
      </w:r>
    </w:p>
    <w:p w14:paraId="458E80EE" w14:textId="77777777" w:rsidR="00143B24" w:rsidRPr="0063218D" w:rsidRDefault="00143B24" w:rsidP="004C084B">
      <w:pPr>
        <w:pStyle w:val="NormalWeb"/>
        <w:spacing w:before="0" w:beforeAutospacing="0" w:after="0" w:afterAutospacing="0" w:line="480" w:lineRule="auto"/>
        <w:ind w:left="360" w:hanging="360"/>
        <w:contextualSpacing/>
      </w:pPr>
      <w:r w:rsidRPr="0063218D">
        <w:t>Lozupone, C., &amp; Knight, R. (2005). UniFrac:</w:t>
      </w:r>
      <w:r>
        <w:t xml:space="preserve"> A</w:t>
      </w:r>
      <w:r w:rsidRPr="0063218D">
        <w:t xml:space="preserve"> new phylogenetic method for comparing microbial communities. </w:t>
      </w:r>
      <w:r w:rsidRPr="0063218D">
        <w:rPr>
          <w:i/>
          <w:iCs/>
        </w:rPr>
        <w:t>Applied and Environmental Microbiology</w:t>
      </w:r>
      <w:r w:rsidRPr="0063218D">
        <w:t xml:space="preserve">, </w:t>
      </w:r>
      <w:r w:rsidRPr="0063218D">
        <w:rPr>
          <w:i/>
          <w:iCs/>
        </w:rPr>
        <w:t>71</w:t>
      </w:r>
      <w:r w:rsidRPr="0063218D">
        <w:t>, 8228–8235.</w:t>
      </w:r>
      <w:r>
        <w:t xml:space="preserve"> </w:t>
      </w:r>
      <w:r w:rsidRPr="00632567">
        <w:t>doi: 10.1128/AEM.71.12.8228-8235.2005</w:t>
      </w:r>
    </w:p>
    <w:p w14:paraId="06F51024"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Mathews, F., Orros, M., McLaren, G., Gelling, M., &amp; Foster, R. (2005). Keeping fit on the ark: </w:t>
      </w:r>
      <w:r>
        <w:t>A</w:t>
      </w:r>
      <w:r w:rsidRPr="0063218D">
        <w:t xml:space="preserve">ssessing the suitability of captive-bred animals for release. </w:t>
      </w:r>
      <w:r w:rsidRPr="0063218D">
        <w:rPr>
          <w:i/>
          <w:iCs/>
        </w:rPr>
        <w:t>Biological Conservation</w:t>
      </w:r>
      <w:r w:rsidRPr="0063218D">
        <w:t xml:space="preserve">, </w:t>
      </w:r>
      <w:r w:rsidRPr="0063218D">
        <w:rPr>
          <w:i/>
          <w:iCs/>
        </w:rPr>
        <w:t>121</w:t>
      </w:r>
      <w:r w:rsidRPr="0063218D">
        <w:t>, 569–577.</w:t>
      </w:r>
      <w:r>
        <w:t xml:space="preserve"> doi: </w:t>
      </w:r>
      <w:r w:rsidRPr="00632567">
        <w:t>10.1016/j.biocon.2004.06.007</w:t>
      </w:r>
    </w:p>
    <w:p w14:paraId="0278FB37"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McGowan, P. J., Traylor‐Holzer, K., &amp; Leus, K. (2017). IUCN guidelines for determining when and how ex situ management should be used in species conservation. </w:t>
      </w:r>
      <w:r w:rsidRPr="0063218D">
        <w:rPr>
          <w:i/>
          <w:iCs/>
        </w:rPr>
        <w:t>Conservation Letters</w:t>
      </w:r>
      <w:r w:rsidRPr="0063218D">
        <w:t xml:space="preserve">, </w:t>
      </w:r>
      <w:r w:rsidRPr="0063218D">
        <w:rPr>
          <w:i/>
          <w:iCs/>
        </w:rPr>
        <w:t>10</w:t>
      </w:r>
      <w:r w:rsidRPr="0063218D">
        <w:t>, 361–366.</w:t>
      </w:r>
      <w:r>
        <w:t xml:space="preserve"> doi: </w:t>
      </w:r>
      <w:r w:rsidRPr="00632567">
        <w:t>10.1111/conl.12285</w:t>
      </w:r>
    </w:p>
    <w:p w14:paraId="764A210D"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McKenzie, V. J., Song, S. J., Delsuc, F., Prest, T. L., Oliverio, A. M., Korpita, T. M., … Avenant, N. L. (2017). The effects of captivity on the mammalian gut microbiome. </w:t>
      </w:r>
      <w:r w:rsidRPr="0063218D">
        <w:rPr>
          <w:i/>
          <w:iCs/>
        </w:rPr>
        <w:t>Integrative and Comparative Biology</w:t>
      </w:r>
      <w:r w:rsidRPr="0063218D">
        <w:t xml:space="preserve">, </w:t>
      </w:r>
      <w:r w:rsidRPr="0063218D">
        <w:rPr>
          <w:i/>
          <w:iCs/>
        </w:rPr>
        <w:t>57</w:t>
      </w:r>
      <w:r w:rsidRPr="0063218D">
        <w:t>, 690–704.</w:t>
      </w:r>
      <w:r>
        <w:t xml:space="preserve"> doi: </w:t>
      </w:r>
      <w:r w:rsidRPr="00632567">
        <w:t>10.1093/icb/icx090</w:t>
      </w:r>
    </w:p>
    <w:p w14:paraId="14E2F925"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Nakayama, T., Ohkusu, K., &amp; Tateda, K. (2009). The novel human pathogen </w:t>
      </w:r>
      <w:r w:rsidRPr="0063218D">
        <w:rPr>
          <w:i/>
          <w:iCs/>
        </w:rPr>
        <w:t>Nesterenkonia</w:t>
      </w:r>
      <w:r w:rsidRPr="0063218D">
        <w:t xml:space="preserve"> sp causes persistent asymptomatic bacteremia in an immunocompetent host. </w:t>
      </w:r>
      <w:r w:rsidRPr="0063218D">
        <w:rPr>
          <w:i/>
          <w:iCs/>
        </w:rPr>
        <w:t>Infectious Diseases Society of America 2009 Annual Meeting</w:t>
      </w:r>
      <w:r w:rsidRPr="0063218D">
        <w:t>.</w:t>
      </w:r>
    </w:p>
    <w:p w14:paraId="627CCFF0" w14:textId="77777777" w:rsidR="00143B24" w:rsidRPr="0063218D" w:rsidRDefault="00143B24" w:rsidP="004C084B">
      <w:pPr>
        <w:pStyle w:val="NormalWeb"/>
        <w:spacing w:before="0" w:beforeAutospacing="0" w:after="0" w:afterAutospacing="0" w:line="480" w:lineRule="auto"/>
        <w:ind w:left="360" w:hanging="360"/>
        <w:contextualSpacing/>
      </w:pPr>
      <w:r w:rsidRPr="0063218D">
        <w:t>Oksanen, J., Blanchet, F. G., Kindt, R., Legendre, P., Minchin, P. R., O’hara, R. B., … Wagner, H. (2016). Vegan: Community Ecology Package. R Package Version v2.3_4. URL https://CRAN.R-project.org/package=vegan.</w:t>
      </w:r>
    </w:p>
    <w:p w14:paraId="69421FAC"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Pérez-Buitrago, N., García, M. A., Sabat, A., Delgado, J., Álvarez, A., McMillan, O., &amp; Funk, S. M. (2008). Do headstart programs work? Survival and body condition in headstarted Mona Island iguanas </w:t>
      </w:r>
      <w:r w:rsidRPr="0063218D">
        <w:rPr>
          <w:i/>
          <w:iCs/>
        </w:rPr>
        <w:t>Cyclura cornuta stejnegeri</w:t>
      </w:r>
      <w:r w:rsidRPr="0063218D">
        <w:t xml:space="preserve">. </w:t>
      </w:r>
      <w:r w:rsidRPr="0063218D">
        <w:rPr>
          <w:i/>
          <w:iCs/>
        </w:rPr>
        <w:t>Endangered Species Research</w:t>
      </w:r>
      <w:r w:rsidRPr="0063218D">
        <w:t xml:space="preserve">, </w:t>
      </w:r>
      <w:r w:rsidRPr="0063218D">
        <w:rPr>
          <w:i/>
          <w:iCs/>
        </w:rPr>
        <w:t>6</w:t>
      </w:r>
      <w:r w:rsidRPr="0063218D">
        <w:t>, 55–65.</w:t>
      </w:r>
      <w:r>
        <w:t xml:space="preserve"> doi: </w:t>
      </w:r>
      <w:r w:rsidRPr="008C710F">
        <w:t>10.3354/esr00130</w:t>
      </w:r>
    </w:p>
    <w:p w14:paraId="28C6027F" w14:textId="77777777" w:rsidR="00143B24" w:rsidRPr="0063218D" w:rsidRDefault="00143B24" w:rsidP="004C084B">
      <w:pPr>
        <w:pStyle w:val="NormalWeb"/>
        <w:spacing w:before="0" w:beforeAutospacing="0" w:after="0" w:afterAutospacing="0" w:line="480" w:lineRule="auto"/>
        <w:ind w:left="360" w:hanging="360"/>
        <w:contextualSpacing/>
      </w:pPr>
      <w:r w:rsidRPr="0063218D">
        <w:t>R Core Team (2013). R: A language and environment for statistical computing R Foundation for Statistical Computing, Vienna, Austria URL https://wwwR-projectorg/.</w:t>
      </w:r>
    </w:p>
    <w:p w14:paraId="4F5A8306"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Redford, K. H., Amato, G., Baillie, J., Beldomenico, P., Bennett, E. L., Clum, N., … Lieberman, S. (2011). What does it mean to successfully conserve a (vertebrate) species? </w:t>
      </w:r>
      <w:r w:rsidRPr="0063218D">
        <w:rPr>
          <w:i/>
          <w:iCs/>
        </w:rPr>
        <w:t>BioScience</w:t>
      </w:r>
      <w:r w:rsidRPr="0063218D">
        <w:t xml:space="preserve">, </w:t>
      </w:r>
      <w:r w:rsidRPr="0063218D">
        <w:rPr>
          <w:i/>
          <w:iCs/>
        </w:rPr>
        <w:t>61</w:t>
      </w:r>
      <w:r w:rsidRPr="0063218D">
        <w:t>, 39–48.</w:t>
      </w:r>
      <w:r>
        <w:t xml:space="preserve"> doi: </w:t>
      </w:r>
      <w:r w:rsidRPr="008C710F">
        <w:t>10.1525/bio.2011.61.1.9</w:t>
      </w:r>
    </w:p>
    <w:p w14:paraId="5E61628E"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Redford, K. H., Segre, J. A., Salafsky, N., del Rio, C. M., &amp; McAloose, D. (2012). Conservation and the microbiome. </w:t>
      </w:r>
      <w:r w:rsidRPr="0063218D">
        <w:rPr>
          <w:i/>
          <w:iCs/>
        </w:rPr>
        <w:t>Conservation Biology</w:t>
      </w:r>
      <w:r w:rsidRPr="0063218D">
        <w:t xml:space="preserve">, </w:t>
      </w:r>
      <w:r w:rsidRPr="0063218D">
        <w:rPr>
          <w:i/>
          <w:iCs/>
        </w:rPr>
        <w:t>26</w:t>
      </w:r>
      <w:r w:rsidRPr="0063218D">
        <w:t>, 195–197.</w:t>
      </w:r>
      <w:r>
        <w:t xml:space="preserve"> </w:t>
      </w:r>
      <w:r w:rsidRPr="008C710F">
        <w:t>doi: 10.1111/j.1523-1739.2012.01829.x</w:t>
      </w:r>
    </w:p>
    <w:p w14:paraId="590ED892"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Ren, T., Kahrl, A. F., Wu, M., &amp; Cox, R. M. (2016). Does adaptive radiation of a host lineage promote ecological diversity of its bacterial communities? A test using gut microbiota of </w:t>
      </w:r>
      <w:r w:rsidRPr="0063218D">
        <w:rPr>
          <w:i/>
          <w:iCs/>
        </w:rPr>
        <w:t>Anolis</w:t>
      </w:r>
      <w:r w:rsidRPr="0063218D">
        <w:t xml:space="preserve"> lizards. </w:t>
      </w:r>
      <w:r w:rsidRPr="0063218D">
        <w:rPr>
          <w:i/>
          <w:iCs/>
        </w:rPr>
        <w:t>Molecular Ecology</w:t>
      </w:r>
      <w:r w:rsidRPr="0063218D">
        <w:t xml:space="preserve">, </w:t>
      </w:r>
      <w:r w:rsidRPr="0063218D">
        <w:rPr>
          <w:i/>
          <w:iCs/>
        </w:rPr>
        <w:t>25</w:t>
      </w:r>
      <w:r w:rsidRPr="0063218D">
        <w:t>, 4793–4804.</w:t>
      </w:r>
      <w:r>
        <w:t xml:space="preserve"> doi: </w:t>
      </w:r>
      <w:r w:rsidRPr="008C710F">
        <w:t>10.1111/mec.13796</w:t>
      </w:r>
    </w:p>
    <w:p w14:paraId="299743F7"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Schubert, M., Lindgreen, S., &amp; Orlando, L. (2016). AdapterRemoval v2: </w:t>
      </w:r>
      <w:r>
        <w:t>R</w:t>
      </w:r>
      <w:r w:rsidRPr="0063218D">
        <w:t xml:space="preserve">apid adapter trimming, identification, and read merging. </w:t>
      </w:r>
      <w:r w:rsidRPr="0063218D">
        <w:rPr>
          <w:i/>
          <w:iCs/>
        </w:rPr>
        <w:t>BMC Research Notes</w:t>
      </w:r>
      <w:r w:rsidRPr="0063218D">
        <w:t xml:space="preserve">, </w:t>
      </w:r>
      <w:r w:rsidRPr="0063218D">
        <w:rPr>
          <w:i/>
          <w:iCs/>
        </w:rPr>
        <w:t>9</w:t>
      </w:r>
      <w:r w:rsidRPr="0063218D">
        <w:t>, 88.</w:t>
      </w:r>
      <w:r>
        <w:t xml:space="preserve"> </w:t>
      </w:r>
      <w:r w:rsidRPr="008C710F">
        <w:t>doi: 10.1186/s13104-016-1900-2</w:t>
      </w:r>
    </w:p>
    <w:p w14:paraId="2B1715ED"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Shannon, C. E. (1948). A mathematical theory of communication. </w:t>
      </w:r>
      <w:r w:rsidRPr="0063218D">
        <w:rPr>
          <w:i/>
          <w:iCs/>
        </w:rPr>
        <w:t>Bell System Technical Journal</w:t>
      </w:r>
      <w:r w:rsidRPr="0063218D">
        <w:t xml:space="preserve">, </w:t>
      </w:r>
      <w:r w:rsidRPr="0063218D">
        <w:rPr>
          <w:i/>
          <w:iCs/>
        </w:rPr>
        <w:t>27</w:t>
      </w:r>
      <w:r w:rsidRPr="0063218D">
        <w:t>, 379–423.</w:t>
      </w:r>
      <w:r>
        <w:t xml:space="preserve"> doi: </w:t>
      </w:r>
      <w:r w:rsidRPr="008C710F">
        <w:t>10.1002/j.1538-7305.1948.tb01338.x</w:t>
      </w:r>
    </w:p>
    <w:p w14:paraId="2FB0EB9B"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Stanley, D., Geier, M. S., Chen, H., Hughes, R. J., &amp; Moore, R. J. (2015). Comparison of fecal and cecal microbiotas reveals qualitative similarities but quantitative differences. </w:t>
      </w:r>
      <w:r w:rsidRPr="0063218D">
        <w:rPr>
          <w:i/>
          <w:iCs/>
        </w:rPr>
        <w:t>BMC Microbiology</w:t>
      </w:r>
      <w:r w:rsidRPr="0063218D">
        <w:t xml:space="preserve">, </w:t>
      </w:r>
      <w:r w:rsidRPr="0063218D">
        <w:rPr>
          <w:i/>
          <w:iCs/>
        </w:rPr>
        <w:t>15</w:t>
      </w:r>
      <w:r w:rsidRPr="0063218D">
        <w:t>, 51.</w:t>
      </w:r>
      <w:r>
        <w:t xml:space="preserve"> doi: </w:t>
      </w:r>
      <w:r w:rsidRPr="008C710F">
        <w:t>10.1186/s12866-015-0388-6</w:t>
      </w:r>
    </w:p>
    <w:p w14:paraId="314B703A"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Tamai, K., Akashi, Y., Yoshimoto, Y., Yaguchi, Y., Takeuchi, Y., Shiigai, M., … Ohkusu, K. (2018). First case of a bloodstream infection caused by the genus </w:t>
      </w:r>
      <w:r w:rsidRPr="0063218D">
        <w:rPr>
          <w:i/>
          <w:iCs/>
        </w:rPr>
        <w:t>Brachybacterium</w:t>
      </w:r>
      <w:r w:rsidRPr="0063218D">
        <w:t xml:space="preserve">. </w:t>
      </w:r>
      <w:r w:rsidRPr="0063218D">
        <w:rPr>
          <w:i/>
          <w:iCs/>
        </w:rPr>
        <w:t>Journal of Infection and Chemotherapy</w:t>
      </w:r>
      <w:r w:rsidRPr="0063218D">
        <w:t xml:space="preserve">, </w:t>
      </w:r>
      <w:r w:rsidRPr="0063218D">
        <w:rPr>
          <w:i/>
          <w:iCs/>
        </w:rPr>
        <w:t>24</w:t>
      </w:r>
      <w:r w:rsidRPr="0063218D">
        <w:t>, 998–1003.</w:t>
      </w:r>
      <w:r>
        <w:t xml:space="preserve"> </w:t>
      </w:r>
      <w:r w:rsidRPr="008C710F">
        <w:t>doi: 10.1016/j.jiac.2018.06.005</w:t>
      </w:r>
    </w:p>
    <w:p w14:paraId="361D2F85"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Tear, T. H., Scott, J. M., Hayward, P. H., &amp; Griffith, B. (1993). Status and prospects for success of the Endangered Species Act: </w:t>
      </w:r>
      <w:r>
        <w:t>A</w:t>
      </w:r>
      <w:r w:rsidRPr="0063218D">
        <w:t xml:space="preserve"> look at recovery plans. </w:t>
      </w:r>
      <w:r w:rsidRPr="0063218D">
        <w:rPr>
          <w:i/>
          <w:iCs/>
        </w:rPr>
        <w:t>Science</w:t>
      </w:r>
      <w:r w:rsidRPr="0063218D">
        <w:t xml:space="preserve">, </w:t>
      </w:r>
      <w:r w:rsidRPr="0063218D">
        <w:rPr>
          <w:i/>
          <w:iCs/>
        </w:rPr>
        <w:t>262</w:t>
      </w:r>
      <w:r w:rsidRPr="0063218D">
        <w:t>, 976–978.</w:t>
      </w:r>
      <w:r>
        <w:t xml:space="preserve"> doi: </w:t>
      </w:r>
      <w:r w:rsidRPr="008C710F">
        <w:t>10.1126/science.262.5136.976</w:t>
      </w:r>
    </w:p>
    <w:p w14:paraId="18B4E1FA"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Titécat, M., Wallet, F., Vieillard, M. H., Courcol, R. J., &amp; Lo, C. (2014). </w:t>
      </w:r>
      <w:r w:rsidRPr="0063218D">
        <w:rPr>
          <w:i/>
          <w:iCs/>
        </w:rPr>
        <w:t>Ruminococcus gnavus</w:t>
      </w:r>
      <w:r w:rsidRPr="0063218D">
        <w:t xml:space="preserve">: </w:t>
      </w:r>
      <w:r>
        <w:t>A</w:t>
      </w:r>
      <w:r w:rsidRPr="0063218D">
        <w:t xml:space="preserve">n unusual pathogen in septic arthritis. </w:t>
      </w:r>
      <w:r w:rsidRPr="0063218D">
        <w:rPr>
          <w:i/>
          <w:iCs/>
        </w:rPr>
        <w:t>Anaerobe</w:t>
      </w:r>
      <w:r w:rsidRPr="0063218D">
        <w:t xml:space="preserve">, </w:t>
      </w:r>
      <w:r w:rsidRPr="0063218D">
        <w:rPr>
          <w:i/>
          <w:iCs/>
        </w:rPr>
        <w:t>30</w:t>
      </w:r>
      <w:r w:rsidRPr="0063218D">
        <w:t>, 159–160.</w:t>
      </w:r>
      <w:r>
        <w:t xml:space="preserve"> doi: </w:t>
      </w:r>
      <w:r w:rsidRPr="008C710F">
        <w:t>10.1016/j.anaerobe.2014.10.001</w:t>
      </w:r>
    </w:p>
    <w:p w14:paraId="6E4DF36F"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Wan, X., Ruan, R., McLaughlin, R. W., Hao, Y., Zheng, J., &amp; Wang, D. (2016). Fecal bacterial composition of the endangered Yangtze finless porpoises living under captive and semi-natural conditions. </w:t>
      </w:r>
      <w:r w:rsidRPr="0063218D">
        <w:rPr>
          <w:i/>
          <w:iCs/>
        </w:rPr>
        <w:t>Current Microbiology</w:t>
      </w:r>
      <w:r w:rsidRPr="0063218D">
        <w:t xml:space="preserve">, </w:t>
      </w:r>
      <w:r w:rsidRPr="0063218D">
        <w:rPr>
          <w:i/>
          <w:iCs/>
        </w:rPr>
        <w:t>72</w:t>
      </w:r>
      <w:r w:rsidRPr="0063218D">
        <w:t>, 306–314.</w:t>
      </w:r>
      <w:r>
        <w:t xml:space="preserve"> doi:</w:t>
      </w:r>
      <w:r w:rsidRPr="008C710F">
        <w:t xml:space="preserve"> 10.1007/s00284-015-0954-z</w:t>
      </w:r>
    </w:p>
    <w:p w14:paraId="3F80CB55"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Wasimuddin, Menke, S., Melzheimer, J., Thalwitzer, S., Heinrich, S., Wachter, B., &amp; Sommer, S. (2017). Gut microbiomes of free‐ranging and captive Namibian cheetahs: Diversity, putative functions and occurrence of potential pathogens. </w:t>
      </w:r>
      <w:r w:rsidRPr="0063218D">
        <w:rPr>
          <w:i/>
          <w:iCs/>
        </w:rPr>
        <w:t>Molecular Ecology</w:t>
      </w:r>
      <w:r w:rsidRPr="0063218D">
        <w:t xml:space="preserve">, </w:t>
      </w:r>
      <w:r w:rsidRPr="0063218D">
        <w:rPr>
          <w:i/>
          <w:iCs/>
        </w:rPr>
        <w:t>26</w:t>
      </w:r>
      <w:r w:rsidRPr="0063218D">
        <w:t>, 5515–5527.</w:t>
      </w:r>
      <w:r>
        <w:t xml:space="preserve"> doi</w:t>
      </w:r>
      <w:r w:rsidRPr="008C710F">
        <w:t>: 10.1111/mec.14278</w:t>
      </w:r>
    </w:p>
    <w:p w14:paraId="4B0545D5"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West, A. G., Waite, D. W., Deines, P., Bourne, D. G., Digby, A., McKenzie, V. J., &amp; Taylor, M. W. (2019). The microbiome in threatened species conservation. </w:t>
      </w:r>
      <w:r w:rsidRPr="0063218D">
        <w:rPr>
          <w:i/>
          <w:iCs/>
        </w:rPr>
        <w:t>Biological Conservation</w:t>
      </w:r>
      <w:r w:rsidRPr="0063218D">
        <w:t xml:space="preserve">, </w:t>
      </w:r>
      <w:r w:rsidRPr="0063218D">
        <w:rPr>
          <w:i/>
          <w:iCs/>
        </w:rPr>
        <w:t>229</w:t>
      </w:r>
      <w:r w:rsidRPr="0063218D">
        <w:t>, 85–98.</w:t>
      </w:r>
      <w:r>
        <w:t xml:space="preserve"> doi: </w:t>
      </w:r>
      <w:r w:rsidRPr="008C710F">
        <w:t>10.1016/j.biocon.2018.11.016</w:t>
      </w:r>
    </w:p>
    <w:p w14:paraId="2454E0EF" w14:textId="77777777" w:rsidR="00143B24" w:rsidRPr="0063218D" w:rsidRDefault="00143B24" w:rsidP="004C084B">
      <w:pPr>
        <w:pStyle w:val="NormalWeb"/>
        <w:spacing w:before="0" w:beforeAutospacing="0" w:after="0" w:afterAutospacing="0" w:line="480" w:lineRule="auto"/>
        <w:ind w:left="360" w:hanging="360"/>
        <w:contextualSpacing/>
      </w:pPr>
      <w:r w:rsidRPr="0063218D">
        <w:t xml:space="preserve">Wexler, H. M. (2007). </w:t>
      </w:r>
      <w:r w:rsidRPr="0063218D">
        <w:rPr>
          <w:i/>
          <w:iCs/>
        </w:rPr>
        <w:t>Bacteroides</w:t>
      </w:r>
      <w:r w:rsidRPr="0063218D">
        <w:t xml:space="preserve">: </w:t>
      </w:r>
      <w:r>
        <w:t>T</w:t>
      </w:r>
      <w:r w:rsidRPr="0063218D">
        <w:t xml:space="preserve">he good, the bad, and the nitty-gritty. </w:t>
      </w:r>
      <w:r w:rsidRPr="0063218D">
        <w:rPr>
          <w:i/>
          <w:iCs/>
        </w:rPr>
        <w:t>Clinical Microbiology Reviews</w:t>
      </w:r>
      <w:r w:rsidRPr="0063218D">
        <w:t xml:space="preserve">, </w:t>
      </w:r>
      <w:r w:rsidRPr="0063218D">
        <w:rPr>
          <w:i/>
          <w:iCs/>
        </w:rPr>
        <w:t>20</w:t>
      </w:r>
      <w:r w:rsidRPr="0063218D">
        <w:t>, 593–621.</w:t>
      </w:r>
      <w:r>
        <w:t xml:space="preserve"> </w:t>
      </w:r>
      <w:r w:rsidRPr="008C710F">
        <w:t>doi: 10.1128/CMR.00008-07</w:t>
      </w:r>
    </w:p>
    <w:p w14:paraId="67460185" w14:textId="77777777" w:rsidR="00143B24" w:rsidRPr="0063218D" w:rsidRDefault="00143B24" w:rsidP="004C084B">
      <w:pPr>
        <w:pStyle w:val="NormalWeb"/>
        <w:spacing w:before="0" w:beforeAutospacing="0" w:after="0" w:afterAutospacing="0" w:line="480" w:lineRule="auto"/>
        <w:ind w:left="360" w:hanging="360"/>
        <w:contextualSpacing/>
      </w:pPr>
      <w:r w:rsidRPr="0063218D">
        <w:t>Xie, Y., Xia, P., Wang, H., Yu, H., Giesy, J. P., Zhang, Y., … Zhang, X. (2016). Effects of captivity and artificial breeding on microbiota in feces of the red-crowned crane (</w:t>
      </w:r>
      <w:r w:rsidRPr="0063218D">
        <w:rPr>
          <w:i/>
          <w:iCs/>
        </w:rPr>
        <w:t>Grus japonensis</w:t>
      </w:r>
      <w:r w:rsidRPr="0063218D">
        <w:t xml:space="preserve">). </w:t>
      </w:r>
      <w:r w:rsidRPr="0063218D">
        <w:rPr>
          <w:i/>
          <w:iCs/>
        </w:rPr>
        <w:t>Scientific Reports</w:t>
      </w:r>
      <w:r w:rsidRPr="0063218D">
        <w:t xml:space="preserve">, </w:t>
      </w:r>
      <w:r w:rsidRPr="0063218D">
        <w:rPr>
          <w:i/>
          <w:iCs/>
        </w:rPr>
        <w:t>6</w:t>
      </w:r>
      <w:r w:rsidRPr="0063218D">
        <w:t>, 33350.</w:t>
      </w:r>
      <w:r>
        <w:t xml:space="preserve"> doi: </w:t>
      </w:r>
      <w:r w:rsidRPr="008C710F">
        <w:t>10.1038/srep33350</w:t>
      </w:r>
    </w:p>
    <w:p w14:paraId="03B53D36" w14:textId="77777777" w:rsidR="00143B24" w:rsidRPr="004A456F" w:rsidRDefault="00143B24" w:rsidP="004C084B">
      <w:pPr>
        <w:pStyle w:val="NormalWeb"/>
        <w:spacing w:before="0" w:beforeAutospacing="0" w:after="0" w:afterAutospacing="0" w:line="480" w:lineRule="auto"/>
        <w:ind w:left="360" w:hanging="360"/>
        <w:contextualSpacing/>
      </w:pPr>
      <w:r w:rsidRPr="0063218D">
        <w:t xml:space="preserve">Zhu, L., Wu, Q., Dai, J., Zhang, S., &amp; Wei, F. (2011). Evidence of cellulose metabolism by the giant panda gut microbiome. </w:t>
      </w:r>
      <w:r w:rsidRPr="0063218D">
        <w:rPr>
          <w:i/>
          <w:iCs/>
        </w:rPr>
        <w:t>Proceedings of the National Academy of Sciences</w:t>
      </w:r>
      <w:r w:rsidRPr="0063218D">
        <w:t xml:space="preserve">, </w:t>
      </w:r>
      <w:r w:rsidRPr="0063218D">
        <w:rPr>
          <w:i/>
          <w:iCs/>
        </w:rPr>
        <w:t>108</w:t>
      </w:r>
      <w:r w:rsidRPr="0063218D">
        <w:t>, 17714–17719.</w:t>
      </w:r>
      <w:r>
        <w:t xml:space="preserve"> doi: </w:t>
      </w:r>
      <w:r w:rsidRPr="008C710F">
        <w:t>10.1073/pnas.1017956108</w:t>
      </w:r>
    </w:p>
    <w:p w14:paraId="5AF9F7B0" w14:textId="77777777" w:rsidR="00143B24" w:rsidRPr="00C21098" w:rsidRDefault="00143B24" w:rsidP="004C084B">
      <w:pPr>
        <w:pStyle w:val="NormalWeb"/>
        <w:spacing w:line="480" w:lineRule="auto"/>
        <w:contextualSpacing/>
        <w:rPr>
          <w:b/>
          <w:bCs/>
        </w:rPr>
      </w:pPr>
    </w:p>
    <w:p w14:paraId="42A0082F" w14:textId="77777777" w:rsidR="00143B24" w:rsidRPr="00C21098" w:rsidRDefault="00143B24" w:rsidP="004C084B">
      <w:pPr>
        <w:pStyle w:val="NormalWeb"/>
        <w:spacing w:line="480" w:lineRule="auto"/>
        <w:contextualSpacing/>
        <w:rPr>
          <w:b/>
          <w:bCs/>
        </w:rPr>
      </w:pPr>
      <w:r w:rsidRPr="00C21098">
        <w:rPr>
          <w:b/>
          <w:bCs/>
        </w:rPr>
        <w:t>DATA ACCESSIBILITY STATEMENT</w:t>
      </w:r>
    </w:p>
    <w:p w14:paraId="1066C679" w14:textId="77777777" w:rsidR="00143B24" w:rsidRPr="00C21098" w:rsidRDefault="00143B24" w:rsidP="004C084B">
      <w:pPr>
        <w:pStyle w:val="NormalWeb"/>
        <w:spacing w:line="480" w:lineRule="auto"/>
        <w:contextualSpacing/>
      </w:pPr>
      <w:r w:rsidRPr="00C21098">
        <w:t xml:space="preserve">All 16S rRNA sequences have been deposited in the Sequence Read Archive (SRA) under accession no. </w:t>
      </w:r>
      <w:r w:rsidRPr="00347EAF">
        <w:t>PRJNA702127</w:t>
      </w:r>
      <w:r w:rsidRPr="00C21098">
        <w:t>.</w:t>
      </w:r>
    </w:p>
    <w:p w14:paraId="51D8C9CD" w14:textId="77777777" w:rsidR="00143B24" w:rsidRPr="00C21098" w:rsidRDefault="00143B24" w:rsidP="004C084B">
      <w:pPr>
        <w:pStyle w:val="NormalWeb"/>
        <w:spacing w:line="480" w:lineRule="auto"/>
        <w:contextualSpacing/>
        <w:rPr>
          <w:b/>
          <w:bCs/>
        </w:rPr>
      </w:pPr>
    </w:p>
    <w:p w14:paraId="04C2A002" w14:textId="77777777" w:rsidR="00143B24" w:rsidRPr="00C21098" w:rsidRDefault="00143B24" w:rsidP="004C084B">
      <w:pPr>
        <w:pStyle w:val="NormalWeb"/>
        <w:spacing w:line="480" w:lineRule="auto"/>
        <w:contextualSpacing/>
        <w:rPr>
          <w:b/>
          <w:bCs/>
        </w:rPr>
      </w:pPr>
      <w:r w:rsidRPr="00C21098">
        <w:rPr>
          <w:b/>
          <w:bCs/>
        </w:rPr>
        <w:t>AUTHOR CONTRIBUTIONS</w:t>
      </w:r>
    </w:p>
    <w:p w14:paraId="39811ABC" w14:textId="77777777" w:rsidR="00143B24" w:rsidRPr="00C21098" w:rsidRDefault="00143B24" w:rsidP="004C084B">
      <w:pPr>
        <w:pStyle w:val="NormalWeb"/>
        <w:spacing w:line="480" w:lineRule="auto"/>
        <w:contextualSpacing/>
      </w:pPr>
      <w:r w:rsidRPr="00C21098">
        <w:t>J.C.B. and R.N.F. coordinated fieldwork and collected samples; S.J.E, J.C.B, and C.D.S. completed sample processing and laboratory analyses; S.J.E. conducted molecular and phylogenetic analyses; and T.J.C assisted with study design and statistical analyses. S.J.E produced figures and wrote the manuscript. All authors provided critical review of the manuscript.</w:t>
      </w:r>
    </w:p>
    <w:p w14:paraId="28EB6601" w14:textId="77777777" w:rsidR="00143B24" w:rsidRPr="00C21098" w:rsidRDefault="00143B24" w:rsidP="004C084B">
      <w:pPr>
        <w:pStyle w:val="NormalWeb"/>
        <w:spacing w:line="480" w:lineRule="auto"/>
        <w:contextualSpacing/>
      </w:pPr>
    </w:p>
    <w:p w14:paraId="69B507AE" w14:textId="77777777" w:rsidR="00143B24" w:rsidRPr="00C21098" w:rsidRDefault="00143B24" w:rsidP="004C084B">
      <w:pPr>
        <w:pStyle w:val="NormalWeb"/>
        <w:spacing w:line="480" w:lineRule="auto"/>
        <w:contextualSpacing/>
        <w:rPr>
          <w:b/>
        </w:rPr>
      </w:pPr>
      <w:r w:rsidRPr="00C21098">
        <w:rPr>
          <w:b/>
          <w:bCs/>
        </w:rPr>
        <w:t>CONFLICT OF INTEREST</w:t>
      </w:r>
    </w:p>
    <w:p w14:paraId="60F49DD0" w14:textId="77777777" w:rsidR="00143B24" w:rsidRPr="00C21098" w:rsidRDefault="00143B24" w:rsidP="004C084B">
      <w:pPr>
        <w:pStyle w:val="NormalWeb"/>
        <w:spacing w:line="480" w:lineRule="auto"/>
        <w:contextualSpacing/>
      </w:pPr>
      <w:r w:rsidRPr="00C21098">
        <w:t>The authors declare no conflict of interest.</w:t>
      </w:r>
    </w:p>
    <w:p w14:paraId="500B7A7D" w14:textId="295CB3D6" w:rsidR="00143B24" w:rsidRPr="00C21098" w:rsidRDefault="00143B24" w:rsidP="004C084B">
      <w:pPr>
        <w:pStyle w:val="NormalWeb"/>
        <w:spacing w:line="480" w:lineRule="auto"/>
        <w:contextualSpacing/>
      </w:pPr>
    </w:p>
    <w:p w14:paraId="6366DB09" w14:textId="7A86E87A" w:rsidR="00143B24" w:rsidRPr="00C21098" w:rsidRDefault="00897108" w:rsidP="004C084B">
      <w:pPr>
        <w:pStyle w:val="NormalWeb"/>
        <w:spacing w:line="480" w:lineRule="auto"/>
        <w:contextualSpacing/>
        <w:rPr>
          <w:b/>
          <w:bCs/>
        </w:rPr>
      </w:pPr>
      <w:r>
        <w:rPr>
          <w:b/>
          <w:bCs/>
          <w:noProof/>
        </w:rPr>
        <w:drawing>
          <wp:anchor distT="0" distB="0" distL="114300" distR="114300" simplePos="0" relativeHeight="251672576" behindDoc="0" locked="0" layoutInCell="1" allowOverlap="1" wp14:anchorId="613A16A2" wp14:editId="57968429">
            <wp:simplePos x="0" y="0"/>
            <wp:positionH relativeFrom="column">
              <wp:posOffset>1257300</wp:posOffset>
            </wp:positionH>
            <wp:positionV relativeFrom="paragraph">
              <wp:posOffset>432435</wp:posOffset>
            </wp:positionV>
            <wp:extent cx="3086100" cy="36195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86100" cy="3619500"/>
                    </a:xfrm>
                    <a:prstGeom prst="rect">
                      <a:avLst/>
                    </a:prstGeom>
                  </pic:spPr>
                </pic:pic>
              </a:graphicData>
            </a:graphic>
            <wp14:sizeRelH relativeFrom="page">
              <wp14:pctWidth>0</wp14:pctWidth>
            </wp14:sizeRelH>
            <wp14:sizeRelV relativeFrom="page">
              <wp14:pctHeight>0</wp14:pctHeight>
            </wp14:sizeRelV>
          </wp:anchor>
        </w:drawing>
      </w:r>
      <w:r w:rsidR="00143B24" w:rsidRPr="00C21098">
        <w:rPr>
          <w:b/>
          <w:bCs/>
        </w:rPr>
        <w:t>FIGURES</w:t>
      </w:r>
      <w:r>
        <w:rPr>
          <w:b/>
          <w:bCs/>
        </w:rPr>
        <w:t xml:space="preserve"> AND FIGURE LEGENDS</w:t>
      </w:r>
    </w:p>
    <w:p w14:paraId="7BEDC900" w14:textId="77BBBF0E" w:rsidR="00143B24" w:rsidRPr="00C21098" w:rsidRDefault="00143B24" w:rsidP="004C084B">
      <w:pPr>
        <w:pStyle w:val="NormalWeb"/>
        <w:spacing w:line="480" w:lineRule="auto"/>
        <w:contextualSpacing/>
      </w:pPr>
      <w:r w:rsidRPr="00C21098">
        <w:t xml:space="preserve">Fig. 1. </w:t>
      </w:r>
      <w:r>
        <w:t xml:space="preserve">Adult </w:t>
      </w:r>
      <w:r w:rsidRPr="00C21098">
        <w:t xml:space="preserve">Fijian </w:t>
      </w:r>
      <w:r>
        <w:t>c</w:t>
      </w:r>
      <w:r w:rsidRPr="00C21098">
        <w:t xml:space="preserve">rested </w:t>
      </w:r>
      <w:r>
        <w:t>i</w:t>
      </w:r>
      <w:r w:rsidRPr="00C21098">
        <w:t>guana (</w:t>
      </w:r>
      <w:r w:rsidRPr="00C21098">
        <w:rPr>
          <w:i/>
          <w:iCs/>
        </w:rPr>
        <w:t>B. vitiensis</w:t>
      </w:r>
      <w:r w:rsidRPr="00C21098">
        <w:t xml:space="preserve">) </w:t>
      </w:r>
      <w:r>
        <w:t xml:space="preserve">perched </w:t>
      </w:r>
      <w:r w:rsidRPr="00C21098">
        <w:t>in native habitat on Monuriki Island</w:t>
      </w:r>
      <w:r>
        <w:t xml:space="preserve"> (Photo by J.C.B.)</w:t>
      </w:r>
      <w:r w:rsidRPr="00C21098">
        <w:t>.</w:t>
      </w:r>
    </w:p>
    <w:p w14:paraId="6C44F1F2" w14:textId="5809E28A" w:rsidR="00143B24" w:rsidRDefault="00897108" w:rsidP="004C084B">
      <w:pPr>
        <w:pStyle w:val="NormalWeb"/>
        <w:spacing w:line="480" w:lineRule="auto"/>
        <w:contextualSpacing/>
      </w:pPr>
      <w:r>
        <w:rPr>
          <w:noProof/>
        </w:rPr>
        <w:drawing>
          <wp:anchor distT="0" distB="0" distL="114300" distR="114300" simplePos="0" relativeHeight="251673600" behindDoc="0" locked="0" layoutInCell="1" allowOverlap="1" wp14:anchorId="720B2418" wp14:editId="1597B583">
            <wp:simplePos x="0" y="0"/>
            <wp:positionH relativeFrom="column">
              <wp:posOffset>584200</wp:posOffset>
            </wp:positionH>
            <wp:positionV relativeFrom="paragraph">
              <wp:posOffset>0</wp:posOffset>
            </wp:positionV>
            <wp:extent cx="4914900" cy="5753100"/>
            <wp:effectExtent l="0" t="0" r="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31">
                      <a:extLst>
                        <a:ext uri="{28A0092B-C50C-407E-A947-70E740481C1C}">
                          <a14:useLocalDpi xmlns:a14="http://schemas.microsoft.com/office/drawing/2010/main" val="0"/>
                        </a:ext>
                      </a:extLst>
                    </a:blip>
                    <a:srcRect l="9790" t="7686" b="13188"/>
                    <a:stretch/>
                  </pic:blipFill>
                  <pic:spPr bwMode="auto">
                    <a:xfrm>
                      <a:off x="0" y="0"/>
                      <a:ext cx="4914900" cy="5753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02AEF3" w14:textId="416D3574" w:rsidR="00143B24" w:rsidRPr="00C21098" w:rsidRDefault="00143B24" w:rsidP="004C084B">
      <w:pPr>
        <w:pStyle w:val="NormalWeb"/>
        <w:spacing w:line="480" w:lineRule="auto"/>
        <w:contextualSpacing/>
      </w:pPr>
      <w:r w:rsidRPr="00C21098">
        <w:t>Fig. 2. Principal coordinate</w:t>
      </w:r>
      <w:r>
        <w:t>s</w:t>
      </w:r>
      <w:r w:rsidRPr="00C21098">
        <w:t xml:space="preserve"> analys</w:t>
      </w:r>
      <w:r>
        <w:t xml:space="preserve">is plots </w:t>
      </w:r>
      <w:r w:rsidRPr="00C21098">
        <w:t xml:space="preserve">of </w:t>
      </w:r>
      <w:r>
        <w:t xml:space="preserve">initial (2017) </w:t>
      </w:r>
      <w:r w:rsidRPr="00C21098">
        <w:t xml:space="preserve">A) cloacal swabs and B) fecal samples </w:t>
      </w:r>
      <w:r>
        <w:t>across four Fijian crested iguana treatment groups</w:t>
      </w:r>
      <w:r w:rsidRPr="00C21098">
        <w:t>.</w:t>
      </w:r>
      <w:r>
        <w:t xml:space="preserve"> Treatment groups include wild caught founders (WCF) in captivity and captive-born headstart individuals (CB2017) in captivity at Kula Eco Park on Viti Levu, Fiji as well as captive-born individuals released onto Monuriki Island in 2015 (CB2015) and fully wild individuals on Monuriki Island (Wild). Number of individual samples per treatment group is indicated in parentheses.</w:t>
      </w:r>
    </w:p>
    <w:p w14:paraId="7DFE789D" w14:textId="44539A8D" w:rsidR="00143B24" w:rsidRDefault="00897108" w:rsidP="004C084B">
      <w:pPr>
        <w:pStyle w:val="NormalWeb"/>
        <w:spacing w:line="480" w:lineRule="auto"/>
        <w:contextualSpacing/>
      </w:pPr>
      <w:r>
        <w:rPr>
          <w:noProof/>
        </w:rPr>
        <w:drawing>
          <wp:anchor distT="0" distB="0" distL="114300" distR="114300" simplePos="0" relativeHeight="251674624" behindDoc="0" locked="0" layoutInCell="1" allowOverlap="1" wp14:anchorId="7B4E4F4F" wp14:editId="00E5301D">
            <wp:simplePos x="0" y="0"/>
            <wp:positionH relativeFrom="column">
              <wp:posOffset>0</wp:posOffset>
            </wp:positionH>
            <wp:positionV relativeFrom="paragraph">
              <wp:posOffset>0</wp:posOffset>
            </wp:positionV>
            <wp:extent cx="5346700" cy="2463800"/>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32">
                      <a:extLst>
                        <a:ext uri="{28A0092B-C50C-407E-A947-70E740481C1C}">
                          <a14:useLocalDpi xmlns:a14="http://schemas.microsoft.com/office/drawing/2010/main" val="0"/>
                        </a:ext>
                      </a:extLst>
                    </a:blip>
                    <a:srcRect l="4700" t="18895" r="5343" b="50040"/>
                    <a:stretch/>
                  </pic:blipFill>
                  <pic:spPr bwMode="auto">
                    <a:xfrm>
                      <a:off x="0" y="0"/>
                      <a:ext cx="5346700" cy="2463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662529" w14:textId="1FCE31A7" w:rsidR="00143B24" w:rsidRPr="00C21098" w:rsidRDefault="00143B24" w:rsidP="004C084B">
      <w:pPr>
        <w:pStyle w:val="NormalWeb"/>
        <w:spacing w:line="480" w:lineRule="auto"/>
        <w:contextualSpacing/>
      </w:pPr>
      <w:r w:rsidRPr="00C21098">
        <w:t>Fig. 3. Alpha diversity metrics of</w:t>
      </w:r>
      <w:r>
        <w:t xml:space="preserve"> initial</w:t>
      </w:r>
      <w:r w:rsidRPr="00C21098">
        <w:t xml:space="preserve"> </w:t>
      </w:r>
      <w:r>
        <w:t xml:space="preserve">(2017) </w:t>
      </w:r>
      <w:r w:rsidRPr="00C21098">
        <w:t xml:space="preserve">fecal samples across </w:t>
      </w:r>
      <w:r>
        <w:t>four treatment groups. Treatments included wild caught founder (WCF) iguanas in captivity, captive-born headstart individuals (CB2017) in captivity, captive-born individuals released onto Monuriki in 2015 (CB2015), and fully wild individuals on Monuriki Island (Wild)</w:t>
      </w:r>
      <w:r w:rsidRPr="00C21098">
        <w:t>.</w:t>
      </w:r>
      <w:r>
        <w:t xml:space="preserve"> Paired symbols denote significantly distinct treatment groups.</w:t>
      </w:r>
    </w:p>
    <w:p w14:paraId="37AC4EC4" w14:textId="6B2C33F9" w:rsidR="00143B24" w:rsidRDefault="00143B24" w:rsidP="004C084B">
      <w:pPr>
        <w:pStyle w:val="NormalWeb"/>
        <w:spacing w:line="480" w:lineRule="auto"/>
        <w:contextualSpacing/>
      </w:pPr>
    </w:p>
    <w:p w14:paraId="685689DF" w14:textId="3253A145" w:rsidR="00143B24" w:rsidRDefault="00897108" w:rsidP="004C084B">
      <w:pPr>
        <w:pStyle w:val="NormalWeb"/>
        <w:spacing w:line="480" w:lineRule="auto"/>
        <w:contextualSpacing/>
      </w:pPr>
      <w:r>
        <w:rPr>
          <w:noProof/>
        </w:rPr>
        <w:drawing>
          <wp:anchor distT="0" distB="0" distL="114300" distR="114300" simplePos="0" relativeHeight="251675648" behindDoc="0" locked="0" layoutInCell="1" allowOverlap="1" wp14:anchorId="29991F47" wp14:editId="1EE5DBF9">
            <wp:simplePos x="0" y="0"/>
            <wp:positionH relativeFrom="column">
              <wp:posOffset>444500</wp:posOffset>
            </wp:positionH>
            <wp:positionV relativeFrom="paragraph">
              <wp:posOffset>0</wp:posOffset>
            </wp:positionV>
            <wp:extent cx="4940300" cy="6426200"/>
            <wp:effectExtent l="0" t="0" r="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33">
                      <a:extLst>
                        <a:ext uri="{28A0092B-C50C-407E-A947-70E740481C1C}">
                          <a14:useLocalDpi xmlns:a14="http://schemas.microsoft.com/office/drawing/2010/main" val="0"/>
                        </a:ext>
                      </a:extLst>
                    </a:blip>
                    <a:srcRect l="10257" t="7206" r="6624" b="11770"/>
                    <a:stretch/>
                  </pic:blipFill>
                  <pic:spPr bwMode="auto">
                    <a:xfrm>
                      <a:off x="0" y="0"/>
                      <a:ext cx="4940300" cy="6426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43B24" w:rsidRPr="00C21098">
        <w:t>Fig. 4. Principal coordinates analysis of reintroduced and initial</w:t>
      </w:r>
      <w:r w:rsidR="00143B24">
        <w:t xml:space="preserve"> (2017)</w:t>
      </w:r>
      <w:r w:rsidR="00143B24" w:rsidRPr="00C21098">
        <w:t xml:space="preserve"> A) cloacal swabs and B) fecal samples across</w:t>
      </w:r>
      <w:r w:rsidR="00143B24">
        <w:t xml:space="preserve"> three Fijian crested iguana </w:t>
      </w:r>
      <w:r w:rsidR="00143B24" w:rsidRPr="00C21098">
        <w:t>treatment groups.</w:t>
      </w:r>
      <w:r w:rsidR="00143B24">
        <w:t xml:space="preserve"> Captive pre-release samples include wild caught founders (WCF) in captivity and captive-born headstart individuals (CB2017) in captivity at Kula Eco Park collected February 2017. Non-captive individuals consist of captive-born individuals released onto Monuriki island in 2015 (CB2015) and fully wild individuals on Monuriki island (Wild). Post-release treatments include formerly captive WCF and CB2017 individuals sampled in late April 2017, two months after release onto Monuriki </w:t>
      </w:r>
      <w:r>
        <w:rPr>
          <w:noProof/>
        </w:rPr>
        <w:drawing>
          <wp:anchor distT="0" distB="0" distL="114300" distR="114300" simplePos="0" relativeHeight="251676672" behindDoc="0" locked="0" layoutInCell="1" allowOverlap="1" wp14:anchorId="32804A1B" wp14:editId="6C2BD28A">
            <wp:simplePos x="0" y="0"/>
            <wp:positionH relativeFrom="column">
              <wp:posOffset>-406400</wp:posOffset>
            </wp:positionH>
            <wp:positionV relativeFrom="paragraph">
              <wp:posOffset>1054735</wp:posOffset>
            </wp:positionV>
            <wp:extent cx="6837045" cy="3492500"/>
            <wp:effectExtent l="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rotWithShape="1">
                    <a:blip r:embed="rId34">
                      <a:extLst>
                        <a:ext uri="{28A0092B-C50C-407E-A947-70E740481C1C}">
                          <a14:useLocalDpi xmlns:a14="http://schemas.microsoft.com/office/drawing/2010/main" val="0"/>
                        </a:ext>
                      </a:extLst>
                    </a:blip>
                    <a:srcRect l="5769" t="20176" r="5129" b="45716"/>
                    <a:stretch/>
                  </pic:blipFill>
                  <pic:spPr bwMode="auto">
                    <a:xfrm>
                      <a:off x="0" y="0"/>
                      <a:ext cx="6837045" cy="3492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43B24">
        <w:t>Island.</w:t>
      </w:r>
    </w:p>
    <w:p w14:paraId="5AF41397" w14:textId="288C883F" w:rsidR="00143B24" w:rsidRDefault="00143B24" w:rsidP="004C084B">
      <w:pPr>
        <w:pStyle w:val="NormalWeb"/>
        <w:spacing w:line="480" w:lineRule="auto"/>
        <w:contextualSpacing/>
      </w:pPr>
    </w:p>
    <w:p w14:paraId="52A2B17F" w14:textId="7BC0EFAF" w:rsidR="00897108" w:rsidRDefault="00143B24" w:rsidP="004C084B">
      <w:pPr>
        <w:pStyle w:val="NormalWeb"/>
        <w:spacing w:line="480" w:lineRule="auto"/>
        <w:contextualSpacing/>
      </w:pPr>
      <w:r w:rsidRPr="00C21098">
        <w:t xml:space="preserve">Fig. 5. Alpha diversity metrics </w:t>
      </w:r>
      <w:r>
        <w:t xml:space="preserve">of </w:t>
      </w:r>
      <w:r w:rsidRPr="00C21098">
        <w:t xml:space="preserve">fecal samples </w:t>
      </w:r>
      <w:r>
        <w:t>from</w:t>
      </w:r>
      <w:r w:rsidRPr="00C21098">
        <w:t xml:space="preserve"> reintroduced</w:t>
      </w:r>
      <w:r>
        <w:t xml:space="preserve"> Fijian crested iguana hosts compared</w:t>
      </w:r>
      <w:r w:rsidRPr="00C21098">
        <w:t xml:space="preserve"> against initial samples.</w:t>
      </w:r>
      <w:r w:rsidRPr="00553BA4">
        <w:t xml:space="preserve"> </w:t>
      </w:r>
      <w:r>
        <w:t>Captive pre-release samples include wild caught founders (WCF) in captivity and captive-born headstart individuals (CB2017) in captivity at Kula Eco Park. Non-captive individuals consist of captive-born individuals released onto Monuriki island in 2015 (CB2015) and fully wild individuals on Monuriki island (Wild). Initial sample collection occurred in Febraury 2017. Post-release treatments include formerly captive WCF and CB2017 individuals sampled two months after release onto Monuriki Island in April 2017.</w:t>
      </w:r>
      <w:r w:rsidRPr="00CC74C3">
        <w:t xml:space="preserve"> </w:t>
      </w:r>
      <w:r>
        <w:t>Paired symbols denote significantly distinct treatment groups.</w:t>
      </w:r>
    </w:p>
    <w:p w14:paraId="33B81385" w14:textId="77777777" w:rsidR="00897108" w:rsidRDefault="00897108">
      <w:pPr>
        <w:rPr>
          <w:rFonts w:eastAsia="Times New Roman" w:cs="Times New Roman"/>
        </w:rPr>
      </w:pPr>
      <w:r>
        <w:br w:type="page"/>
      </w:r>
    </w:p>
    <w:p w14:paraId="25E2DE15" w14:textId="421AC95F" w:rsidR="00BD0FEB" w:rsidRPr="00BD0FEB" w:rsidRDefault="00BD0FEB" w:rsidP="00BD0FEB">
      <w:pPr>
        <w:pStyle w:val="NormalWeb"/>
        <w:spacing w:line="480" w:lineRule="auto"/>
        <w:jc w:val="center"/>
        <w:rPr>
          <w:b/>
          <w:sz w:val="28"/>
          <w:szCs w:val="28"/>
        </w:rPr>
      </w:pPr>
      <w:r w:rsidRPr="00BD0FEB">
        <w:rPr>
          <w:b/>
          <w:sz w:val="28"/>
          <w:szCs w:val="28"/>
        </w:rPr>
        <w:t>Chapter 4: Gut microbiota shifts through headstart and reintroduction of the locally threatened Texas horned lizard (</w:t>
      </w:r>
      <w:r w:rsidRPr="00BD0FEB">
        <w:rPr>
          <w:b/>
          <w:i/>
          <w:iCs/>
          <w:sz w:val="28"/>
          <w:szCs w:val="28"/>
        </w:rPr>
        <w:t>Phyrnosoma cornutum</w:t>
      </w:r>
      <w:r w:rsidRPr="00BD0FEB">
        <w:rPr>
          <w:b/>
          <w:sz w:val="28"/>
          <w:szCs w:val="28"/>
        </w:rPr>
        <w:t>)</w:t>
      </w:r>
    </w:p>
    <w:p w14:paraId="0B6E901E" w14:textId="546563A7" w:rsidR="00BD0FEB" w:rsidRDefault="00BD0FEB" w:rsidP="00BD0FEB">
      <w:pPr>
        <w:pStyle w:val="NormalWeb"/>
        <w:spacing w:line="480" w:lineRule="auto"/>
        <w:contextualSpacing/>
        <w:jc w:val="center"/>
      </w:pPr>
      <w:r w:rsidRPr="00BD0FEB">
        <w:t>Samuel J. Eliades, Raymond W. Moody, Brad Lock, Lisa P. Barrett, Rebecca J. Snyder, Katherine M. Stroh, Jessa L. Watters, and Cameron D. Siler</w:t>
      </w:r>
    </w:p>
    <w:p w14:paraId="26E3787A" w14:textId="1D41E041" w:rsidR="00BD0FEB" w:rsidRPr="00BD0FEB" w:rsidRDefault="00BD0FEB" w:rsidP="00BD0FEB">
      <w:pPr>
        <w:pStyle w:val="NormalWeb"/>
        <w:spacing w:line="480" w:lineRule="auto"/>
        <w:contextualSpacing/>
        <w:jc w:val="center"/>
        <w:rPr>
          <w:i/>
          <w:iCs/>
        </w:rPr>
      </w:pPr>
      <w:r>
        <w:rPr>
          <w:i/>
          <w:iCs/>
        </w:rPr>
        <w:t>Formatted for Zoo Biology</w:t>
      </w:r>
    </w:p>
    <w:p w14:paraId="549F0EA1" w14:textId="77777777" w:rsidR="00947FD0" w:rsidRPr="00B06E64" w:rsidRDefault="00947FD0" w:rsidP="00947FD0">
      <w:pPr>
        <w:pStyle w:val="NormalWeb"/>
        <w:spacing w:line="480" w:lineRule="auto"/>
        <w:contextualSpacing/>
        <w:rPr>
          <w:b/>
        </w:rPr>
      </w:pPr>
      <w:r w:rsidRPr="00C21098">
        <w:rPr>
          <w:b/>
        </w:rPr>
        <w:t>ABSTRACT</w:t>
      </w:r>
    </w:p>
    <w:p w14:paraId="7DBFCB2A" w14:textId="77777777" w:rsidR="00CE2FD2" w:rsidRDefault="00947FD0" w:rsidP="00947FD0">
      <w:pPr>
        <w:pStyle w:val="NormalWeb"/>
        <w:spacing w:line="480" w:lineRule="auto"/>
        <w:contextualSpacing/>
      </w:pPr>
      <w:r>
        <w:t>Animals raised in captivity as part of reintroduction programs must adapt rapidly to novel conditions</w:t>
      </w:r>
      <w:r w:rsidRPr="008C72AB">
        <w:t xml:space="preserve"> </w:t>
      </w:r>
      <w:r>
        <w:t>when released into native habitats. The host’s microbiome may be critical in this acclimation process, as gut microbiomes often vary significantly between captive and wild conspecifics. We sought to better understand the interconnectedness of wildlife headstart and reintroduction programs and host-associated gut microbial communities in Texas horned lizards (</w:t>
      </w:r>
      <w:r>
        <w:rPr>
          <w:i/>
          <w:iCs/>
        </w:rPr>
        <w:t>Phyrnosoma cornutum</w:t>
      </w:r>
      <w:r>
        <w:t xml:space="preserve">) in Oklahoma, a </w:t>
      </w:r>
      <w:r>
        <w:rPr>
          <w:bCs/>
        </w:rPr>
        <w:t>Tier I Species of Greatest Conservation Need in the state</w:t>
      </w:r>
      <w:r>
        <w:t xml:space="preserve">. We raised hatchling </w:t>
      </w:r>
      <w:r>
        <w:rPr>
          <w:i/>
          <w:iCs/>
        </w:rPr>
        <w:t>P</w:t>
      </w:r>
      <w:r>
        <w:t xml:space="preserve">. </w:t>
      </w:r>
      <w:r>
        <w:rPr>
          <w:i/>
          <w:iCs/>
        </w:rPr>
        <w:t>cornutum</w:t>
      </w:r>
      <w:r>
        <w:t xml:space="preserve"> at the Oklahoma City Zoo and Botanical Garden for either one or two years before reintroducing them to their source population on Tinker Air Force Base in Midwest City, Oklahoma. We did this to 1) document differences in gut microbial communities between </w:t>
      </w:r>
      <w:r>
        <w:rPr>
          <w:bCs/>
        </w:rPr>
        <w:t>captive-reared and wild lizards and 2) assess whether gut microbiota in reintroduced Texas horned lizards shifted to closely resemble wild counterparts following release. Within three months of reintroduction, headstart Texas horned lizard microbiomes were substantially more similar to wild counterparts than while housed in captivity. These results suggest that reintroduced animals have the capacity to rapidly alter gut microbiota to reflect microbial communities found in naturally occurring host populations. This study offers promising signs for the plasticity of the microbiota in reintroduced hosts and underscores the need for continuous monitoring efforts in headstart programs.</w:t>
      </w:r>
    </w:p>
    <w:p w14:paraId="0C6AEFB4" w14:textId="4AC1895E" w:rsidR="00947FD0" w:rsidRPr="00C21098" w:rsidRDefault="00947FD0" w:rsidP="00947FD0">
      <w:pPr>
        <w:pStyle w:val="NormalWeb"/>
        <w:spacing w:line="480" w:lineRule="auto"/>
        <w:contextualSpacing/>
      </w:pPr>
      <w:r w:rsidRPr="00C21098">
        <w:rPr>
          <w:b/>
          <w:caps/>
        </w:rPr>
        <w:t>Keywords</w:t>
      </w:r>
    </w:p>
    <w:p w14:paraId="7D7A7F57" w14:textId="77777777" w:rsidR="00947FD0" w:rsidRPr="00C21098" w:rsidRDefault="00947FD0" w:rsidP="00947FD0">
      <w:pPr>
        <w:pStyle w:val="NormalWeb"/>
        <w:spacing w:line="480" w:lineRule="auto"/>
        <w:contextualSpacing/>
      </w:pPr>
      <w:r>
        <w:t>C</w:t>
      </w:r>
      <w:r w:rsidRPr="0039326E">
        <w:t xml:space="preserve">aptive management, </w:t>
      </w:r>
      <w:r>
        <w:t>c</w:t>
      </w:r>
      <w:r w:rsidRPr="0039326E">
        <w:t>onservation, headstart, microbio</w:t>
      </w:r>
      <w:r>
        <w:t>me</w:t>
      </w:r>
      <w:r w:rsidRPr="0039326E">
        <w:t xml:space="preserve">, </w:t>
      </w:r>
      <w:r>
        <w:t xml:space="preserve">reintroduction, </w:t>
      </w:r>
      <w:r w:rsidRPr="0039326E">
        <w:t>reptiles</w:t>
      </w:r>
    </w:p>
    <w:p w14:paraId="325DD963" w14:textId="4AF5B6DA" w:rsidR="00947FD0" w:rsidRDefault="00947FD0" w:rsidP="00CE2FD2">
      <w:pPr>
        <w:rPr>
          <w:b/>
          <w:bCs/>
        </w:rPr>
      </w:pPr>
      <w:r w:rsidRPr="00C21098">
        <w:rPr>
          <w:b/>
          <w:bCs/>
        </w:rPr>
        <w:t>INTRODUCTION</w:t>
      </w:r>
    </w:p>
    <w:p w14:paraId="55698B3F" w14:textId="77777777" w:rsidR="00947FD0" w:rsidRDefault="00947FD0" w:rsidP="00947FD0">
      <w:pPr>
        <w:pStyle w:val="NormalWeb"/>
        <w:spacing w:line="480" w:lineRule="auto"/>
        <w:contextualSpacing/>
        <w:rPr>
          <w:bCs/>
        </w:rPr>
      </w:pPr>
      <w:r w:rsidRPr="00AA0B86">
        <w:rPr>
          <w:bCs/>
        </w:rPr>
        <w:t>The Texas</w:t>
      </w:r>
      <w:r>
        <w:rPr>
          <w:bCs/>
        </w:rPr>
        <w:t xml:space="preserve"> h</w:t>
      </w:r>
      <w:r w:rsidRPr="00AA0B86">
        <w:rPr>
          <w:bCs/>
        </w:rPr>
        <w:t>orned</w:t>
      </w:r>
      <w:r>
        <w:rPr>
          <w:bCs/>
        </w:rPr>
        <w:t xml:space="preserve"> l</w:t>
      </w:r>
      <w:r w:rsidRPr="00AA0B86">
        <w:rPr>
          <w:bCs/>
        </w:rPr>
        <w:t>izard</w:t>
      </w:r>
      <w:r>
        <w:rPr>
          <w:bCs/>
        </w:rPr>
        <w:t xml:space="preserve"> (</w:t>
      </w:r>
      <w:r w:rsidRPr="00AA0B86">
        <w:rPr>
          <w:bCs/>
          <w:i/>
        </w:rPr>
        <w:t>Phrynosoma cornutum</w:t>
      </w:r>
      <w:r>
        <w:rPr>
          <w:bCs/>
          <w:iCs/>
        </w:rPr>
        <w:t>)</w:t>
      </w:r>
      <w:r w:rsidRPr="00AA0B86">
        <w:rPr>
          <w:bCs/>
        </w:rPr>
        <w:t xml:space="preserve"> is one of the most </w:t>
      </w:r>
      <w:r>
        <w:rPr>
          <w:bCs/>
        </w:rPr>
        <w:t>iconic reptile</w:t>
      </w:r>
      <w:r w:rsidRPr="00AA0B86">
        <w:rPr>
          <w:bCs/>
        </w:rPr>
        <w:t xml:space="preserve"> species </w:t>
      </w:r>
      <w:r>
        <w:rPr>
          <w:bCs/>
        </w:rPr>
        <w:t>in North America</w:t>
      </w:r>
      <w:r w:rsidRPr="00AA0B86">
        <w:rPr>
          <w:bCs/>
        </w:rPr>
        <w:t>. Well known for its distinctive horns, lateral spikes, and flattened body</w:t>
      </w:r>
      <w:r>
        <w:rPr>
          <w:bCs/>
        </w:rPr>
        <w:t xml:space="preserve">, </w:t>
      </w:r>
      <w:r>
        <w:rPr>
          <w:bCs/>
          <w:i/>
          <w:iCs/>
        </w:rPr>
        <w:t>P. cornutum</w:t>
      </w:r>
      <w:r w:rsidRPr="00AA0B86">
        <w:rPr>
          <w:bCs/>
        </w:rPr>
        <w:t xml:space="preserve"> </w:t>
      </w:r>
      <w:r>
        <w:rPr>
          <w:bCs/>
        </w:rPr>
        <w:t>is native to</w:t>
      </w:r>
      <w:r w:rsidRPr="00AA0B86">
        <w:rPr>
          <w:bCs/>
        </w:rPr>
        <w:t xml:space="preserve"> desert and grassland habitats </w:t>
      </w:r>
      <w:r>
        <w:rPr>
          <w:bCs/>
        </w:rPr>
        <w:t xml:space="preserve">in the south-central United States and Mexico </w:t>
      </w:r>
      <w:r w:rsidRPr="00AA0B86">
        <w:rPr>
          <w:bCs/>
        </w:rPr>
        <w:t>with sandy or loose</w:t>
      </w:r>
      <w:r>
        <w:rPr>
          <w:bCs/>
        </w:rPr>
        <w:t xml:space="preserve"> </w:t>
      </w:r>
      <w:r w:rsidRPr="00AA0B86">
        <w:rPr>
          <w:bCs/>
        </w:rPr>
        <w:t>soil</w:t>
      </w:r>
      <w:r>
        <w:rPr>
          <w:bCs/>
        </w:rPr>
        <w:t>s</w:t>
      </w:r>
      <w:r w:rsidRPr="00AA0B86">
        <w:rPr>
          <w:bCs/>
        </w:rPr>
        <w:t xml:space="preserve"> that facilitat</w:t>
      </w:r>
      <w:r>
        <w:rPr>
          <w:bCs/>
        </w:rPr>
        <w:t>e</w:t>
      </w:r>
      <w:r w:rsidRPr="00AA0B86">
        <w:rPr>
          <w:bCs/>
        </w:rPr>
        <w:t xml:space="preserve"> burrowing for nesting and </w:t>
      </w:r>
      <w:r>
        <w:rPr>
          <w:bCs/>
        </w:rPr>
        <w:t>brumation</w:t>
      </w:r>
      <w:r w:rsidRPr="00AA0B86">
        <w:rPr>
          <w:bCs/>
        </w:rPr>
        <w:t xml:space="preserve"> (Price</w:t>
      </w:r>
      <w:r>
        <w:rPr>
          <w:bCs/>
        </w:rPr>
        <w:t xml:space="preserve"> </w:t>
      </w:r>
      <w:r w:rsidRPr="00AA0B86">
        <w:rPr>
          <w:bCs/>
        </w:rPr>
        <w:t xml:space="preserve">1990; Burrow et al. 2001). </w:t>
      </w:r>
      <w:r>
        <w:rPr>
          <w:bCs/>
        </w:rPr>
        <w:t xml:space="preserve">Historical </w:t>
      </w:r>
      <w:r>
        <w:t xml:space="preserve">accounts of this species have been documented </w:t>
      </w:r>
      <w:r w:rsidRPr="00BB0A99">
        <w:t xml:space="preserve">as far north as Kansas, east to Missouri, west to Colorado, and south </w:t>
      </w:r>
      <w:r>
        <w:t>into</w:t>
      </w:r>
      <w:r w:rsidRPr="00BB0A99">
        <w:t xml:space="preserve"> Mexico (Price 1990). Despite an expansive geographic range, local extirpations of Texas horned lizards have been </w:t>
      </w:r>
      <w:r>
        <w:t>recorded</w:t>
      </w:r>
      <w:r w:rsidRPr="00BB0A99">
        <w:t xml:space="preserve"> </w:t>
      </w:r>
      <w:r>
        <w:t xml:space="preserve">regularly </w:t>
      </w:r>
      <w:r w:rsidRPr="00BB0A99">
        <w:t xml:space="preserve">across </w:t>
      </w:r>
      <w:r>
        <w:t xml:space="preserve">many of its known </w:t>
      </w:r>
      <w:r w:rsidRPr="00BB0A99">
        <w:t>localities</w:t>
      </w:r>
      <w:r>
        <w:t>, particularly since the 1950s</w:t>
      </w:r>
      <w:r w:rsidRPr="00BB0A99">
        <w:t xml:space="preserve"> (Price 1990</w:t>
      </w:r>
      <w:r>
        <w:t>;</w:t>
      </w:r>
      <w:r w:rsidRPr="00BB0A99">
        <w:t xml:space="preserve"> Carpenter et al. 1993</w:t>
      </w:r>
      <w:r>
        <w:t>;</w:t>
      </w:r>
      <w:r w:rsidRPr="00BB0A99">
        <w:t xml:space="preserve"> Donaldson et al. 1994</w:t>
      </w:r>
      <w:r>
        <w:t>;</w:t>
      </w:r>
      <w:r w:rsidRPr="00BB0A99">
        <w:t xml:space="preserve"> Busby</w:t>
      </w:r>
      <w:r>
        <w:t xml:space="preserve"> and Parmelee</w:t>
      </w:r>
      <w:r w:rsidRPr="00BB0A99">
        <w:t xml:space="preserve"> 1996).</w:t>
      </w:r>
      <w:r>
        <w:rPr>
          <w:bCs/>
        </w:rPr>
        <w:t xml:space="preserve"> </w:t>
      </w:r>
      <w:r w:rsidRPr="00AA0B86">
        <w:rPr>
          <w:bCs/>
        </w:rPr>
        <w:t>These declines have been linked to several factors including</w:t>
      </w:r>
      <w:r>
        <w:rPr>
          <w:bCs/>
        </w:rPr>
        <w:t xml:space="preserve"> </w:t>
      </w:r>
      <w:r w:rsidRPr="00AA0B86">
        <w:rPr>
          <w:bCs/>
        </w:rPr>
        <w:t>overexploitation for the pet trade (particularly in the first half of the 20</w:t>
      </w:r>
      <w:r w:rsidRPr="00AA0B86">
        <w:rPr>
          <w:bCs/>
          <w:vertAlign w:val="superscript"/>
        </w:rPr>
        <w:t>th</w:t>
      </w:r>
      <w:r w:rsidRPr="00AA0B86">
        <w:rPr>
          <w:bCs/>
        </w:rPr>
        <w:t xml:space="preserve"> century), the spread of invasive red imported fire ant</w:t>
      </w:r>
      <w:r>
        <w:rPr>
          <w:bCs/>
        </w:rPr>
        <w:t>s</w:t>
      </w:r>
      <w:r w:rsidRPr="00AA0B86">
        <w:rPr>
          <w:bCs/>
        </w:rPr>
        <w:t xml:space="preserve"> (</w:t>
      </w:r>
      <w:r w:rsidRPr="00AA0B86">
        <w:rPr>
          <w:bCs/>
          <w:i/>
        </w:rPr>
        <w:t>Solenopsis invicta</w:t>
      </w:r>
      <w:r w:rsidRPr="00AA0B86">
        <w:rPr>
          <w:bCs/>
        </w:rPr>
        <w:t>), and</w:t>
      </w:r>
      <w:r>
        <w:rPr>
          <w:bCs/>
        </w:rPr>
        <w:t xml:space="preserve"> </w:t>
      </w:r>
      <w:r w:rsidRPr="00AA0B86">
        <w:rPr>
          <w:bCs/>
        </w:rPr>
        <w:t xml:space="preserve">habitat </w:t>
      </w:r>
      <w:r>
        <w:rPr>
          <w:bCs/>
        </w:rPr>
        <w:t xml:space="preserve">disruption, including </w:t>
      </w:r>
      <w:r w:rsidRPr="00AA0B86">
        <w:rPr>
          <w:bCs/>
        </w:rPr>
        <w:t xml:space="preserve">loss, fragmentation, increased road mortality, and </w:t>
      </w:r>
      <w:r>
        <w:rPr>
          <w:bCs/>
        </w:rPr>
        <w:t>declines</w:t>
      </w:r>
      <w:r w:rsidRPr="00AA0B86">
        <w:rPr>
          <w:bCs/>
        </w:rPr>
        <w:t xml:space="preserve"> of their primary food source,</w:t>
      </w:r>
      <w:r>
        <w:rPr>
          <w:bCs/>
        </w:rPr>
        <w:t xml:space="preserve"> native ant species</w:t>
      </w:r>
      <w:r w:rsidRPr="00AA0B86">
        <w:rPr>
          <w:bCs/>
        </w:rPr>
        <w:t xml:space="preserve"> (Price 1990; Carpenter et al. 1993; Donaldson et al. 1994).</w:t>
      </w:r>
    </w:p>
    <w:p w14:paraId="4D0FD963" w14:textId="77777777" w:rsidR="00947FD0" w:rsidRPr="00AA0B86" w:rsidRDefault="00947FD0" w:rsidP="00947FD0">
      <w:pPr>
        <w:pStyle w:val="NormalWeb"/>
        <w:spacing w:line="480" w:lineRule="auto"/>
        <w:ind w:firstLine="360"/>
        <w:contextualSpacing/>
        <w:rPr>
          <w:bCs/>
        </w:rPr>
      </w:pPr>
      <w:r w:rsidRPr="00BB0A99">
        <w:t>Though Texas horned lizard populations have become increasingly isolated within fragmented landscapes, subpopulations are able to persist so long as sufficient suitable habitat remains (Carpenter et al. 1993</w:t>
      </w:r>
      <w:r>
        <w:t>;</w:t>
      </w:r>
      <w:r w:rsidRPr="00BB0A99">
        <w:t xml:space="preserve"> Donaldson et al.</w:t>
      </w:r>
      <w:r>
        <w:t xml:space="preserve"> </w:t>
      </w:r>
      <w:r w:rsidRPr="00BB0A99">
        <w:t>1994</w:t>
      </w:r>
      <w:r>
        <w:t>;</w:t>
      </w:r>
      <w:r w:rsidRPr="00BB0A99">
        <w:t xml:space="preserve"> Stark 2000</w:t>
      </w:r>
      <w:r>
        <w:t>;</w:t>
      </w:r>
      <w:r w:rsidRPr="00BB0A99">
        <w:t xml:space="preserve"> Endriss et al. 2007</w:t>
      </w:r>
      <w:r>
        <w:t>; Vesy et al. 2021</w:t>
      </w:r>
      <w:r w:rsidRPr="00BB0A99">
        <w:t>).</w:t>
      </w:r>
      <w:r>
        <w:rPr>
          <w:bCs/>
        </w:rPr>
        <w:t xml:space="preserve"> </w:t>
      </w:r>
      <w:r w:rsidRPr="00AA0B86">
        <w:rPr>
          <w:bCs/>
        </w:rPr>
        <w:t xml:space="preserve">The species </w:t>
      </w:r>
      <w:r>
        <w:rPr>
          <w:bCs/>
        </w:rPr>
        <w:t xml:space="preserve">generally </w:t>
      </w:r>
      <w:r w:rsidRPr="00AA0B86">
        <w:rPr>
          <w:bCs/>
        </w:rPr>
        <w:t>requires mosaic</w:t>
      </w:r>
      <w:r>
        <w:rPr>
          <w:bCs/>
        </w:rPr>
        <w:t xml:space="preserve"> landscapes</w:t>
      </w:r>
      <w:r w:rsidRPr="00AA0B86">
        <w:rPr>
          <w:bCs/>
        </w:rPr>
        <w:t xml:space="preserve"> to thermoregulate between open and shaded areas throughout the day and between seasons (Bogosian et al. 2012; Wolf et al. 2015), with home ranges vary</w:t>
      </w:r>
      <w:r>
        <w:rPr>
          <w:bCs/>
        </w:rPr>
        <w:t>ing</w:t>
      </w:r>
      <w:r w:rsidRPr="00AA0B86">
        <w:rPr>
          <w:bCs/>
        </w:rPr>
        <w:t xml:space="preserve"> greatly in size </w:t>
      </w:r>
      <w:r>
        <w:rPr>
          <w:bCs/>
        </w:rPr>
        <w:t xml:space="preserve">from </w:t>
      </w:r>
      <w:r w:rsidRPr="00AA0B86">
        <w:rPr>
          <w:bCs/>
        </w:rPr>
        <w:t>100–8,400m</w:t>
      </w:r>
      <w:r w:rsidRPr="00AA0B86">
        <w:rPr>
          <w:bCs/>
          <w:vertAlign w:val="superscript"/>
        </w:rPr>
        <w:t>2</w:t>
      </w:r>
      <w:r>
        <w:rPr>
          <w:bCs/>
        </w:rPr>
        <w:t xml:space="preserve"> </w:t>
      </w:r>
      <w:r w:rsidRPr="00AA0B86">
        <w:rPr>
          <w:bCs/>
        </w:rPr>
        <w:t xml:space="preserve">based on age </w:t>
      </w:r>
      <w:r>
        <w:rPr>
          <w:bCs/>
        </w:rPr>
        <w:t xml:space="preserve">and </w:t>
      </w:r>
      <w:r w:rsidRPr="00AA0B86">
        <w:rPr>
          <w:bCs/>
        </w:rPr>
        <w:t>sex of lizards a</w:t>
      </w:r>
      <w:r>
        <w:rPr>
          <w:bCs/>
        </w:rPr>
        <w:t>s well as</w:t>
      </w:r>
      <w:r w:rsidRPr="00AA0B86">
        <w:rPr>
          <w:bCs/>
        </w:rPr>
        <w:t xml:space="preserve"> season</w:t>
      </w:r>
      <w:r>
        <w:rPr>
          <w:bCs/>
        </w:rPr>
        <w:t>ality</w:t>
      </w:r>
      <w:r w:rsidRPr="00AA0B86">
        <w:rPr>
          <w:bCs/>
        </w:rPr>
        <w:t xml:space="preserve"> (Fair and Henke 1999</w:t>
      </w:r>
      <w:r>
        <w:t>; Vesy et al. 2021</w:t>
      </w:r>
      <w:r w:rsidRPr="00AA0B86">
        <w:rPr>
          <w:bCs/>
        </w:rPr>
        <w:t>).</w:t>
      </w:r>
      <w:r>
        <w:rPr>
          <w:bCs/>
        </w:rPr>
        <w:t xml:space="preserve"> Despite </w:t>
      </w:r>
      <w:r w:rsidRPr="00AA0B86">
        <w:rPr>
          <w:bCs/>
        </w:rPr>
        <w:t>th</w:t>
      </w:r>
      <w:r>
        <w:rPr>
          <w:bCs/>
        </w:rPr>
        <w:t>is</w:t>
      </w:r>
      <w:r w:rsidRPr="00AA0B86">
        <w:rPr>
          <w:bCs/>
        </w:rPr>
        <w:t xml:space="preserve"> species</w:t>
      </w:r>
      <w:r>
        <w:rPr>
          <w:bCs/>
        </w:rPr>
        <w:t>’</w:t>
      </w:r>
      <w:r w:rsidRPr="00AA0B86">
        <w:rPr>
          <w:bCs/>
        </w:rPr>
        <w:t xml:space="preserve"> </w:t>
      </w:r>
      <w:r>
        <w:rPr>
          <w:bCs/>
        </w:rPr>
        <w:t>ability to persist</w:t>
      </w:r>
      <w:r w:rsidRPr="00AA0B86">
        <w:rPr>
          <w:bCs/>
        </w:rPr>
        <w:t xml:space="preserve"> in small, isolated pockets</w:t>
      </w:r>
      <w:r>
        <w:rPr>
          <w:bCs/>
        </w:rPr>
        <w:t>,</w:t>
      </w:r>
      <w:r w:rsidRPr="00AA0B86">
        <w:rPr>
          <w:bCs/>
        </w:rPr>
        <w:t xml:space="preserve"> increased efforts </w:t>
      </w:r>
      <w:r>
        <w:rPr>
          <w:bCs/>
        </w:rPr>
        <w:t>are being</w:t>
      </w:r>
      <w:r w:rsidRPr="00AA0B86">
        <w:rPr>
          <w:bCs/>
        </w:rPr>
        <w:t xml:space="preserve"> undertaken to monitor population health and proactively address continued </w:t>
      </w:r>
      <w:r>
        <w:rPr>
          <w:bCs/>
        </w:rPr>
        <w:t xml:space="preserve">population </w:t>
      </w:r>
      <w:r w:rsidRPr="00AA0B86">
        <w:rPr>
          <w:bCs/>
        </w:rPr>
        <w:t>declines</w:t>
      </w:r>
      <w:r w:rsidRPr="00DC575C">
        <w:rPr>
          <w:bCs/>
        </w:rPr>
        <w:t xml:space="preserve"> </w:t>
      </w:r>
      <w:r w:rsidRPr="00AA0B86">
        <w:rPr>
          <w:bCs/>
        </w:rPr>
        <w:t>as human encroachment</w:t>
      </w:r>
      <w:r>
        <w:rPr>
          <w:bCs/>
        </w:rPr>
        <w:t xml:space="preserve"> continues</w:t>
      </w:r>
      <w:r w:rsidRPr="00AA0B86">
        <w:rPr>
          <w:bCs/>
        </w:rPr>
        <w:t>.</w:t>
      </w:r>
    </w:p>
    <w:p w14:paraId="74137B36" w14:textId="77777777" w:rsidR="00947FD0" w:rsidRPr="002853DF" w:rsidRDefault="00947FD0" w:rsidP="00947FD0">
      <w:pPr>
        <w:pStyle w:val="NormalWeb"/>
        <w:spacing w:line="480" w:lineRule="auto"/>
        <w:ind w:firstLine="360"/>
        <w:contextualSpacing/>
        <w:rPr>
          <w:bCs/>
        </w:rPr>
      </w:pPr>
      <w:r w:rsidRPr="00AA0B86">
        <w:rPr>
          <w:bCs/>
        </w:rPr>
        <w:t xml:space="preserve">One </w:t>
      </w:r>
      <w:r>
        <w:rPr>
          <w:bCs/>
        </w:rPr>
        <w:t xml:space="preserve">possible </w:t>
      </w:r>
      <w:r w:rsidRPr="00AA0B86">
        <w:rPr>
          <w:bCs/>
        </w:rPr>
        <w:t xml:space="preserve">measure </w:t>
      </w:r>
      <w:r>
        <w:rPr>
          <w:bCs/>
        </w:rPr>
        <w:t xml:space="preserve">that can be </w:t>
      </w:r>
      <w:r w:rsidRPr="00AA0B86">
        <w:rPr>
          <w:bCs/>
        </w:rPr>
        <w:t xml:space="preserve">taken </w:t>
      </w:r>
      <w:r>
        <w:rPr>
          <w:bCs/>
        </w:rPr>
        <w:t>to directly address</w:t>
      </w:r>
      <w:r w:rsidRPr="00AA0B86">
        <w:rPr>
          <w:bCs/>
        </w:rPr>
        <w:t xml:space="preserve"> declining</w:t>
      </w:r>
      <w:r>
        <w:rPr>
          <w:bCs/>
        </w:rPr>
        <w:t xml:space="preserve"> wildlife</w:t>
      </w:r>
      <w:r w:rsidRPr="00AA0B86">
        <w:rPr>
          <w:bCs/>
        </w:rPr>
        <w:t xml:space="preserve"> population trends is conservation translocation, involving deliberate movement and release of organisms to meet defined conservation objectives (IUCN/SSC 201</w:t>
      </w:r>
      <w:r>
        <w:rPr>
          <w:bCs/>
        </w:rPr>
        <w:t>3</w:t>
      </w:r>
      <w:r w:rsidRPr="00AA0B86">
        <w:rPr>
          <w:bCs/>
        </w:rPr>
        <w:t xml:space="preserve">). </w:t>
      </w:r>
      <w:r>
        <w:rPr>
          <w:bCs/>
        </w:rPr>
        <w:t>H</w:t>
      </w:r>
      <w:r w:rsidRPr="00AA0B86">
        <w:rPr>
          <w:bCs/>
        </w:rPr>
        <w:t xml:space="preserve">eadstart </w:t>
      </w:r>
      <w:r>
        <w:rPr>
          <w:bCs/>
        </w:rPr>
        <w:t>programs</w:t>
      </w:r>
      <w:r w:rsidRPr="00AA0B86">
        <w:rPr>
          <w:bCs/>
        </w:rPr>
        <w:t xml:space="preserve"> </w:t>
      </w:r>
      <w:r>
        <w:rPr>
          <w:bCs/>
        </w:rPr>
        <w:t xml:space="preserve">are a type of translocation initiative </w:t>
      </w:r>
      <w:r w:rsidRPr="00AA0B86">
        <w:rPr>
          <w:bCs/>
        </w:rPr>
        <w:t xml:space="preserve">employed in wildlife management </w:t>
      </w:r>
      <w:r>
        <w:rPr>
          <w:bCs/>
        </w:rPr>
        <w:t>programs</w:t>
      </w:r>
      <w:r w:rsidRPr="00AA0B86">
        <w:rPr>
          <w:bCs/>
        </w:rPr>
        <w:t xml:space="preserve"> to reinforce population</w:t>
      </w:r>
      <w:r>
        <w:rPr>
          <w:bCs/>
        </w:rPr>
        <w:t>s</w:t>
      </w:r>
      <w:r w:rsidRPr="00AA0B86">
        <w:rPr>
          <w:bCs/>
        </w:rPr>
        <w:t xml:space="preserve"> </w:t>
      </w:r>
      <w:r>
        <w:rPr>
          <w:bCs/>
        </w:rPr>
        <w:t xml:space="preserve">of </w:t>
      </w:r>
      <w:r w:rsidRPr="00AA0B86">
        <w:rPr>
          <w:bCs/>
        </w:rPr>
        <w:t xml:space="preserve">threatened </w:t>
      </w:r>
      <w:r>
        <w:rPr>
          <w:bCs/>
        </w:rPr>
        <w:t>species</w:t>
      </w:r>
      <w:r w:rsidRPr="00AA0B86">
        <w:rPr>
          <w:bCs/>
        </w:rPr>
        <w:t xml:space="preserve"> (Redford et al. 2011; </w:t>
      </w:r>
      <w:r>
        <w:rPr>
          <w:bCs/>
        </w:rPr>
        <w:t xml:space="preserve">Burke 2015; </w:t>
      </w:r>
      <w:r w:rsidRPr="00AA0B86">
        <w:rPr>
          <w:bCs/>
        </w:rPr>
        <w:t>McGowan et al. 2016</w:t>
      </w:r>
      <w:r>
        <w:rPr>
          <w:bCs/>
        </w:rPr>
        <w:t>; Bennett et al. 2017</w:t>
      </w:r>
      <w:r w:rsidRPr="00AA0B86">
        <w:rPr>
          <w:bCs/>
        </w:rPr>
        <w:t>). The goal of headstart programs is to increase hatch</w:t>
      </w:r>
      <w:r>
        <w:rPr>
          <w:bCs/>
        </w:rPr>
        <w:t>l</w:t>
      </w:r>
      <w:r w:rsidRPr="00AA0B86">
        <w:rPr>
          <w:bCs/>
        </w:rPr>
        <w:t xml:space="preserve">ing </w:t>
      </w:r>
      <w:r>
        <w:rPr>
          <w:bCs/>
        </w:rPr>
        <w:t xml:space="preserve">or </w:t>
      </w:r>
      <w:r w:rsidRPr="00AA0B86">
        <w:rPr>
          <w:bCs/>
        </w:rPr>
        <w:t xml:space="preserve">juvenile survival rates by rearing individuals in </w:t>
      </w:r>
      <w:r>
        <w:rPr>
          <w:bCs/>
        </w:rPr>
        <w:t>captivity</w:t>
      </w:r>
      <w:r w:rsidRPr="00AA0B86">
        <w:rPr>
          <w:bCs/>
        </w:rPr>
        <w:t xml:space="preserve"> during vulnerable life stages before reintroduc</w:t>
      </w:r>
      <w:r>
        <w:rPr>
          <w:bCs/>
        </w:rPr>
        <w:t>tion under the expectation that larger and healthier reintroduced individuals will have increased survivorship</w:t>
      </w:r>
      <w:r w:rsidRPr="00AA0B86">
        <w:rPr>
          <w:bCs/>
        </w:rPr>
        <w:t xml:space="preserve"> </w:t>
      </w:r>
      <w:r>
        <w:rPr>
          <w:bCs/>
        </w:rPr>
        <w:t>in</w:t>
      </w:r>
      <w:r w:rsidRPr="00AA0B86">
        <w:rPr>
          <w:bCs/>
        </w:rPr>
        <w:t xml:space="preserve"> the wild (Alberts 2007</w:t>
      </w:r>
      <w:r>
        <w:rPr>
          <w:bCs/>
        </w:rPr>
        <w:t>; Burke 2015; Bennet et al. 2017</w:t>
      </w:r>
      <w:r w:rsidRPr="00AA0B86">
        <w:rPr>
          <w:bCs/>
        </w:rPr>
        <w:t xml:space="preserve">). </w:t>
      </w:r>
      <w:r>
        <w:rPr>
          <w:bCs/>
        </w:rPr>
        <w:t>Such tactics have been used to aid species from various taxonomic groups including mammals, birds, amphibians, and reptiles</w:t>
      </w:r>
      <w:r w:rsidRPr="00AA0B86">
        <w:rPr>
          <w:bCs/>
        </w:rPr>
        <w:t xml:space="preserve"> (</w:t>
      </w:r>
      <w:r w:rsidRPr="00C21098">
        <w:t xml:space="preserve">Fischer </w:t>
      </w:r>
      <w:r>
        <w:t>and</w:t>
      </w:r>
      <w:r w:rsidRPr="00C21098">
        <w:t xml:space="preserve"> Lindenmayer 2000; </w:t>
      </w:r>
      <w:r w:rsidRPr="004A456F">
        <w:t>Mathews</w:t>
      </w:r>
      <w:r>
        <w:t xml:space="preserve"> et al.</w:t>
      </w:r>
      <w:r w:rsidRPr="004A456F">
        <w:t xml:space="preserve"> 2005</w:t>
      </w:r>
      <w:r>
        <w:t xml:space="preserve">; </w:t>
      </w:r>
      <w:r w:rsidRPr="00AA0B86">
        <w:rPr>
          <w:bCs/>
        </w:rPr>
        <w:t>Germano and Bishop 200</w:t>
      </w:r>
      <w:r>
        <w:rPr>
          <w:bCs/>
        </w:rPr>
        <w:t>9</w:t>
      </w:r>
      <w:r w:rsidRPr="00AA0B86">
        <w:rPr>
          <w:bCs/>
        </w:rPr>
        <w:t xml:space="preserve">), </w:t>
      </w:r>
      <w:r>
        <w:rPr>
          <w:bCs/>
        </w:rPr>
        <w:t xml:space="preserve">and these programs </w:t>
      </w:r>
      <w:r w:rsidRPr="00AA0B86">
        <w:rPr>
          <w:bCs/>
        </w:rPr>
        <w:t>continue to serve an important role in population management and wildlife recovery plans</w:t>
      </w:r>
      <w:r>
        <w:rPr>
          <w:bCs/>
        </w:rPr>
        <w:t xml:space="preserve"> (e.g., Bennet et al. 2017; Brown et al. 2021; Eliades et al. 2021). This </w:t>
      </w:r>
      <w:r w:rsidRPr="00AA0B86">
        <w:rPr>
          <w:bCs/>
        </w:rPr>
        <w:t>includ</w:t>
      </w:r>
      <w:r>
        <w:rPr>
          <w:bCs/>
        </w:rPr>
        <w:t>es recent</w:t>
      </w:r>
      <w:r w:rsidRPr="00AA0B86">
        <w:rPr>
          <w:bCs/>
        </w:rPr>
        <w:t xml:space="preserve"> efforts to combat declining population trends observed for</w:t>
      </w:r>
      <w:r>
        <w:rPr>
          <w:bCs/>
        </w:rPr>
        <w:t xml:space="preserve"> Texas horned lizards.</w:t>
      </w:r>
    </w:p>
    <w:p w14:paraId="2A6AB510" w14:textId="77777777" w:rsidR="00947FD0" w:rsidRDefault="00947FD0" w:rsidP="00947FD0">
      <w:pPr>
        <w:pStyle w:val="NormalWeb"/>
        <w:spacing w:line="480" w:lineRule="auto"/>
        <w:ind w:firstLine="360"/>
        <w:contextualSpacing/>
        <w:rPr>
          <w:bCs/>
        </w:rPr>
      </w:pPr>
      <w:r w:rsidRPr="00AA0B86">
        <w:rPr>
          <w:bCs/>
        </w:rPr>
        <w:t>In Oklahoma, t</w:t>
      </w:r>
      <w:r>
        <w:rPr>
          <w:bCs/>
        </w:rPr>
        <w:t>he Texas horned lizard is designated a Tier I Species of Greatest Conservation Need, as population declines have been observed statewide (Oklahoma Department of Wildlife Conservation 2016). T</w:t>
      </w:r>
      <w:r w:rsidRPr="00AA0B86">
        <w:rPr>
          <w:bCs/>
        </w:rPr>
        <w:t xml:space="preserve">he </w:t>
      </w:r>
      <w:r>
        <w:rPr>
          <w:bCs/>
        </w:rPr>
        <w:t xml:space="preserve"> best </w:t>
      </w:r>
      <w:r w:rsidRPr="00AA0B86">
        <w:rPr>
          <w:bCs/>
        </w:rPr>
        <w:t>studied population</w:t>
      </w:r>
      <w:r>
        <w:rPr>
          <w:bCs/>
        </w:rPr>
        <w:t xml:space="preserve"> of </w:t>
      </w:r>
      <w:r>
        <w:rPr>
          <w:bCs/>
          <w:i/>
          <w:iCs/>
        </w:rPr>
        <w:t>P. cornutum</w:t>
      </w:r>
      <w:r w:rsidRPr="00AA0B86">
        <w:rPr>
          <w:bCs/>
        </w:rPr>
        <w:t xml:space="preserve"> </w:t>
      </w:r>
      <w:r>
        <w:rPr>
          <w:bCs/>
          <w:iCs/>
        </w:rPr>
        <w:t>in the state</w:t>
      </w:r>
      <w:r w:rsidRPr="00AA0B86">
        <w:rPr>
          <w:bCs/>
        </w:rPr>
        <w:t xml:space="preserve"> occurs at Tinker Air Force Base (TAFB), in </w:t>
      </w:r>
      <w:r>
        <w:rPr>
          <w:bCs/>
        </w:rPr>
        <w:t>Midwest City,</w:t>
      </w:r>
      <w:r w:rsidRPr="00AA0B86">
        <w:rPr>
          <w:bCs/>
        </w:rPr>
        <w:t xml:space="preserve"> </w:t>
      </w:r>
      <w:r>
        <w:rPr>
          <w:bCs/>
        </w:rPr>
        <w:t xml:space="preserve">Oklahoma, where a long-term and </w:t>
      </w:r>
      <w:r w:rsidRPr="00AA0B86">
        <w:rPr>
          <w:bCs/>
        </w:rPr>
        <w:t xml:space="preserve">ongoing </w:t>
      </w:r>
      <w:r>
        <w:rPr>
          <w:bCs/>
        </w:rPr>
        <w:t xml:space="preserve">wildlife monitoring program has been in place for more than 20 years, investigating </w:t>
      </w:r>
      <w:r w:rsidRPr="00AA0B86">
        <w:rPr>
          <w:bCs/>
        </w:rPr>
        <w:t xml:space="preserve">population demographics, survival rates, habitat requirements, and general behavior </w:t>
      </w:r>
      <w:r>
        <w:rPr>
          <w:bCs/>
        </w:rPr>
        <w:t>of the small, isolated population</w:t>
      </w:r>
      <w:r w:rsidRPr="00AA0B86">
        <w:rPr>
          <w:bCs/>
        </w:rPr>
        <w:t xml:space="preserve"> (Endriss et al. 2007; Moody et al. 2007; Bogosian et al. 2012; Wolf et al. 2013, 2014, 2015; Mook et al. 2017</w:t>
      </w:r>
      <w:r>
        <w:rPr>
          <w:bCs/>
        </w:rPr>
        <w:t>; Vesy et al. 2021; Eliades et al. 2022</w:t>
      </w:r>
      <w:r w:rsidRPr="00AA0B86">
        <w:rPr>
          <w:bCs/>
        </w:rPr>
        <w:t xml:space="preserve">). Since the start of horned lizard studies at TAFB in 2003, overall population size has </w:t>
      </w:r>
      <w:r>
        <w:rPr>
          <w:bCs/>
        </w:rPr>
        <w:t xml:space="preserve">fluctuated drastically, as have </w:t>
      </w:r>
      <w:r w:rsidRPr="00AA0B86">
        <w:rPr>
          <w:bCs/>
        </w:rPr>
        <w:t xml:space="preserve">individual survival rates at all life stages, and small-scale habitat restoration studies have shown little effect </w:t>
      </w:r>
      <w:r>
        <w:rPr>
          <w:bCs/>
        </w:rPr>
        <w:t xml:space="preserve">on increasing suspected population size </w:t>
      </w:r>
      <w:r w:rsidRPr="00AA0B86">
        <w:rPr>
          <w:bCs/>
        </w:rPr>
        <w:t>(Endriss et al. 2007; Wolf et al. 2013</w:t>
      </w:r>
      <w:r>
        <w:rPr>
          <w:bCs/>
        </w:rPr>
        <w:t>; Vesy et al. 2021</w:t>
      </w:r>
      <w:r w:rsidRPr="00AA0B86">
        <w:rPr>
          <w:bCs/>
        </w:rPr>
        <w:t xml:space="preserve">). </w:t>
      </w:r>
      <w:r>
        <w:rPr>
          <w:bCs/>
        </w:rPr>
        <w:t xml:space="preserve">Demographic studies have found that increased hatchling and juvenile survivorship have the greatest effect on </w:t>
      </w:r>
      <w:r>
        <w:rPr>
          <w:bCs/>
          <w:i/>
          <w:iCs/>
        </w:rPr>
        <w:t>P</w:t>
      </w:r>
      <w:r>
        <w:rPr>
          <w:bCs/>
        </w:rPr>
        <w:t xml:space="preserve">. </w:t>
      </w:r>
      <w:r>
        <w:rPr>
          <w:bCs/>
          <w:i/>
          <w:iCs/>
        </w:rPr>
        <w:t>cornutum</w:t>
      </w:r>
      <w:r>
        <w:rPr>
          <w:bCs/>
        </w:rPr>
        <w:t xml:space="preserve"> population growth on TAFB (Wolf et al. 2014). </w:t>
      </w:r>
      <w:r w:rsidRPr="00AA0B86">
        <w:rPr>
          <w:bCs/>
        </w:rPr>
        <w:t>To bolster this</w:t>
      </w:r>
      <w:r>
        <w:rPr>
          <w:bCs/>
        </w:rPr>
        <w:t xml:space="preserve"> small</w:t>
      </w:r>
      <w:r w:rsidRPr="00AA0B86">
        <w:rPr>
          <w:bCs/>
        </w:rPr>
        <w:t xml:space="preserve"> urban population, a headstart program for Texas </w:t>
      </w:r>
      <w:r>
        <w:rPr>
          <w:bCs/>
        </w:rPr>
        <w:t>h</w:t>
      </w:r>
      <w:r w:rsidRPr="00AA0B86">
        <w:rPr>
          <w:bCs/>
        </w:rPr>
        <w:t xml:space="preserve">orned </w:t>
      </w:r>
      <w:r>
        <w:rPr>
          <w:bCs/>
        </w:rPr>
        <w:t>l</w:t>
      </w:r>
      <w:r w:rsidRPr="00AA0B86">
        <w:rPr>
          <w:bCs/>
        </w:rPr>
        <w:t>izards at the O</w:t>
      </w:r>
      <w:r>
        <w:rPr>
          <w:bCs/>
        </w:rPr>
        <w:t xml:space="preserve">klahoma </w:t>
      </w:r>
      <w:r w:rsidRPr="00AA0B86">
        <w:rPr>
          <w:bCs/>
        </w:rPr>
        <w:t>C</w:t>
      </w:r>
      <w:r>
        <w:rPr>
          <w:bCs/>
        </w:rPr>
        <w:t>ity</w:t>
      </w:r>
      <w:r w:rsidRPr="00AA0B86">
        <w:rPr>
          <w:bCs/>
        </w:rPr>
        <w:t xml:space="preserve"> Zoo </w:t>
      </w:r>
      <w:r>
        <w:rPr>
          <w:bCs/>
        </w:rPr>
        <w:t xml:space="preserve">and Botanical Garden (OKC Zoo) </w:t>
      </w:r>
      <w:r w:rsidRPr="00AA0B86">
        <w:rPr>
          <w:bCs/>
        </w:rPr>
        <w:t>was initiated in 2019</w:t>
      </w:r>
      <w:r>
        <w:rPr>
          <w:bCs/>
        </w:rPr>
        <w:t>. This program began</w:t>
      </w:r>
      <w:r w:rsidRPr="00AA0B86">
        <w:rPr>
          <w:bCs/>
        </w:rPr>
        <w:t xml:space="preserve"> with the goal of </w:t>
      </w:r>
      <w:r>
        <w:rPr>
          <w:bCs/>
        </w:rPr>
        <w:t xml:space="preserve">establishing </w:t>
      </w:r>
      <w:r w:rsidRPr="00AA0B86">
        <w:rPr>
          <w:bCs/>
        </w:rPr>
        <w:t xml:space="preserve">a viable </w:t>
      </w:r>
      <w:r>
        <w:rPr>
          <w:bCs/>
        </w:rPr>
        <w:t>methodology</w:t>
      </w:r>
      <w:r w:rsidRPr="00AA0B86">
        <w:rPr>
          <w:bCs/>
        </w:rPr>
        <w:t xml:space="preserve"> to increase hatchling survivorship during early development before releasing </w:t>
      </w:r>
      <w:r>
        <w:rPr>
          <w:bCs/>
        </w:rPr>
        <w:t>more robust</w:t>
      </w:r>
      <w:r w:rsidRPr="00AA0B86">
        <w:rPr>
          <w:bCs/>
        </w:rPr>
        <w:t xml:space="preserve"> lizards back into </w:t>
      </w:r>
      <w:r>
        <w:rPr>
          <w:bCs/>
        </w:rPr>
        <w:t xml:space="preserve">the </w:t>
      </w:r>
      <w:r w:rsidRPr="00AA0B86">
        <w:rPr>
          <w:bCs/>
        </w:rPr>
        <w:t>source population</w:t>
      </w:r>
      <w:r>
        <w:rPr>
          <w:bCs/>
        </w:rPr>
        <w:t xml:space="preserve"> on TAFB </w:t>
      </w:r>
      <w:r w:rsidRPr="00AA0B86">
        <w:rPr>
          <w:bCs/>
        </w:rPr>
        <w:t>(Endriss et al. 2007</w:t>
      </w:r>
      <w:r>
        <w:rPr>
          <w:bCs/>
        </w:rPr>
        <w:t>; Wolf et al. 2014</w:t>
      </w:r>
      <w:r w:rsidRPr="00AA0B86">
        <w:rPr>
          <w:bCs/>
        </w:rPr>
        <w:t>).</w:t>
      </w:r>
    </w:p>
    <w:p w14:paraId="5AB0F6C2" w14:textId="77777777" w:rsidR="00947FD0" w:rsidRDefault="00947FD0" w:rsidP="00947FD0">
      <w:pPr>
        <w:pStyle w:val="NormalWeb"/>
        <w:spacing w:line="480" w:lineRule="auto"/>
        <w:ind w:firstLine="360"/>
        <w:contextualSpacing/>
        <w:rPr>
          <w:bCs/>
        </w:rPr>
      </w:pPr>
      <w:r>
        <w:rPr>
          <w:bCs/>
        </w:rPr>
        <w:t>Of particular interest in the creation and implementation of this headstart program for Texas horned lizards in Oklahoma has been the study of gut microbiomes in lizards while in human care and after release into native habitat. Animals housed in captivity generally harbor distinct gut microbial assemblages as compared to wild counterparts (</w:t>
      </w:r>
      <w:r w:rsidRPr="002C507D">
        <w:t>Bahrndorff et al. 2016;</w:t>
      </w:r>
      <w:r>
        <w:t xml:space="preserve"> </w:t>
      </w:r>
      <w:r w:rsidRPr="002864F5">
        <w:t>Jiménez</w:t>
      </w:r>
      <w:r w:rsidRPr="00C21098">
        <w:t xml:space="preserve"> </w:t>
      </w:r>
      <w:r>
        <w:t>and</w:t>
      </w:r>
      <w:r w:rsidRPr="00C21098">
        <w:t xml:space="preserve"> Sommer 2017</w:t>
      </w:r>
      <w:r>
        <w:t xml:space="preserve">; </w:t>
      </w:r>
      <w:r w:rsidRPr="00255F64">
        <w:t>Trevelline</w:t>
      </w:r>
      <w:r w:rsidRPr="002C507D">
        <w:t xml:space="preserve"> </w:t>
      </w:r>
      <w:r>
        <w:t xml:space="preserve">et al. 2019; </w:t>
      </w:r>
      <w:r w:rsidRPr="002C507D">
        <w:t>West et al. 2019</w:t>
      </w:r>
      <w:r>
        <w:t xml:space="preserve">; Zhu et al. 2021; </w:t>
      </w:r>
      <w:r w:rsidRPr="002C507D">
        <w:t>Dallas and Warne 2022</w:t>
      </w:r>
      <w:r>
        <w:rPr>
          <w:bCs/>
        </w:rPr>
        <w:t xml:space="preserve">). Captive hosts tend to have lower alpha diversity and more homogenized microbial compositions than their wild counterparts (Eigeland et al. 2012; Amato et al. 2013; Cheng et al. 2015; Clayton et al. 2016; </w:t>
      </w:r>
      <w:r w:rsidRPr="006E0939">
        <w:rPr>
          <w:bCs/>
        </w:rPr>
        <w:t xml:space="preserve">Kueneman et al. 2016; Stumpf et al. 2016; </w:t>
      </w:r>
      <w:r>
        <w:rPr>
          <w:bCs/>
        </w:rPr>
        <w:t>West et al. 2019). Given the integral role that microbiomes play in maintaining host health via nutrient intake, immune response, and even organismal behavior (</w:t>
      </w:r>
      <w:r w:rsidRPr="00E91225">
        <w:t>Fraune and Bosch 2010; Cho and Blaser 2012; Lee and Hase 2014</w:t>
      </w:r>
      <w:r>
        <w:rPr>
          <w:bCs/>
        </w:rPr>
        <w:t>), well-suited microbiomes may be needed for organisms to persist when released from captive conditions. Translocated individuals without locally adapted gut bacterial communities may be unprepared for native habitats, leading to reduced survivorship in the wild (</w:t>
      </w:r>
      <w:r w:rsidRPr="004A456F">
        <w:t>Redford</w:t>
      </w:r>
      <w:r>
        <w:t xml:space="preserve"> et al. </w:t>
      </w:r>
      <w:r w:rsidRPr="004A456F">
        <w:t>2012</w:t>
      </w:r>
      <w:r w:rsidRPr="00C21098">
        <w:t>;</w:t>
      </w:r>
      <w:r>
        <w:t xml:space="preserve"> </w:t>
      </w:r>
      <w:r w:rsidRPr="00C21098">
        <w:t>Bahrndorff</w:t>
      </w:r>
      <w:r>
        <w:t xml:space="preserve"> et al.</w:t>
      </w:r>
      <w:r w:rsidRPr="004A456F">
        <w:t xml:space="preserve"> 2016</w:t>
      </w:r>
      <w:r>
        <w:t xml:space="preserve">; </w:t>
      </w:r>
      <w:r w:rsidRPr="002864F5">
        <w:t>Jiménez</w:t>
      </w:r>
      <w:r w:rsidRPr="00C21098">
        <w:t xml:space="preserve"> </w:t>
      </w:r>
      <w:r>
        <w:t>and</w:t>
      </w:r>
      <w:r w:rsidRPr="00C21098">
        <w:t xml:space="preserve"> Sommer 2017;</w:t>
      </w:r>
      <w:r>
        <w:t xml:space="preserve"> </w:t>
      </w:r>
      <w:r w:rsidRPr="00255F64">
        <w:t>Trevelline</w:t>
      </w:r>
      <w:r w:rsidRPr="002C507D">
        <w:t xml:space="preserve"> </w:t>
      </w:r>
      <w:r>
        <w:t xml:space="preserve">et al. 2019; </w:t>
      </w:r>
      <w:r w:rsidRPr="00C21098">
        <w:t xml:space="preserve">West </w:t>
      </w:r>
      <w:r w:rsidRPr="00413434">
        <w:t>et al.</w:t>
      </w:r>
      <w:r w:rsidRPr="00C21098">
        <w:t xml:space="preserve"> 2019</w:t>
      </w:r>
      <w:r>
        <w:t>; Zhu et al. 2021</w:t>
      </w:r>
      <w:r>
        <w:rPr>
          <w:bCs/>
        </w:rPr>
        <w:t>). Initial reintroduction studies on Tasmanian Devils (Chong et al. 2019) and Fijian crested iguanas (Eliades et al. 2021) suggest that microbiomes in translocated hosts are sufficiently plastic to eventually mirror resident populations. However, additional examinations of reintroduction effects on microbiomes in different host species and the rates at which transitions in microbial communities may occur following host release are needed.</w:t>
      </w:r>
    </w:p>
    <w:p w14:paraId="484EB541" w14:textId="374A2169" w:rsidR="00CE2FD2" w:rsidRDefault="00947FD0" w:rsidP="00CE2FD2">
      <w:pPr>
        <w:pStyle w:val="NormalWeb"/>
        <w:spacing w:line="480" w:lineRule="auto"/>
        <w:ind w:firstLine="360"/>
        <w:contextualSpacing/>
        <w:rPr>
          <w:bCs/>
        </w:rPr>
      </w:pPr>
      <w:r>
        <w:rPr>
          <w:bCs/>
        </w:rPr>
        <w:t>In 2021, we translocated 34 Texas horned lizard juveniles raised at the OKC Zoo to native prairie habitat on TAFB to reinforce the wild population. We collected fecal samples as proxies for endogenous microbial communities in wild lizards at TAFB and captive-reared hosts both before and after translocation to 1) identify differences in gut microbial communities between captive-reared and wild individuals and 2) assess whether gut microbiota in reintroduced lizards adjust to resemble wild counterparts more closely within one active season on TAFB from April through September. We anticipated to see initial disparities in gut microbiomes between captive and wild hosts and eventual shifts in endogenous microbial assemblages of captive-reared hosts to mirror wild individuals after translocation. These</w:t>
      </w:r>
      <w:r w:rsidRPr="00AA0B86">
        <w:rPr>
          <w:bCs/>
        </w:rPr>
        <w:t xml:space="preserve"> microbial datasets will be essential in adjusting </w:t>
      </w:r>
      <w:r>
        <w:rPr>
          <w:bCs/>
        </w:rPr>
        <w:t xml:space="preserve">future </w:t>
      </w:r>
      <w:r w:rsidRPr="00AA0B86">
        <w:rPr>
          <w:bCs/>
        </w:rPr>
        <w:t xml:space="preserve">captive husbandry conditions to promote beneficial microbial assemblages that </w:t>
      </w:r>
      <w:r>
        <w:rPr>
          <w:bCs/>
        </w:rPr>
        <w:t xml:space="preserve">may </w:t>
      </w:r>
      <w:r w:rsidRPr="00AA0B86">
        <w:rPr>
          <w:bCs/>
        </w:rPr>
        <w:t xml:space="preserve">improve </w:t>
      </w:r>
      <w:r>
        <w:rPr>
          <w:bCs/>
        </w:rPr>
        <w:t xml:space="preserve">reintroduced </w:t>
      </w:r>
      <w:r w:rsidRPr="00AA0B86">
        <w:rPr>
          <w:bCs/>
        </w:rPr>
        <w:t>horned lizard survivorship in the wild (Redford et al. 2012; West et al. 2019</w:t>
      </w:r>
      <w:r>
        <w:rPr>
          <w:bCs/>
        </w:rPr>
        <w:t>; Yang et al. 2020</w:t>
      </w:r>
      <w:r w:rsidRPr="00AA0B86">
        <w:rPr>
          <w:bCs/>
        </w:rPr>
        <w:t>).</w:t>
      </w:r>
    </w:p>
    <w:p w14:paraId="31F09036" w14:textId="77777777" w:rsidR="00CE2FD2" w:rsidRPr="00CE2FD2" w:rsidRDefault="00CE2FD2" w:rsidP="00CE2FD2">
      <w:pPr>
        <w:pStyle w:val="NormalWeb"/>
        <w:spacing w:line="480" w:lineRule="auto"/>
        <w:contextualSpacing/>
        <w:rPr>
          <w:bCs/>
        </w:rPr>
      </w:pPr>
    </w:p>
    <w:p w14:paraId="0E705C1A" w14:textId="77777777" w:rsidR="00947FD0" w:rsidRPr="00C21098" w:rsidRDefault="00947FD0" w:rsidP="00947FD0">
      <w:pPr>
        <w:pStyle w:val="NormalWeb"/>
        <w:spacing w:line="480" w:lineRule="auto"/>
        <w:contextualSpacing/>
        <w:rPr>
          <w:b/>
        </w:rPr>
      </w:pPr>
      <w:r w:rsidRPr="00C21098">
        <w:rPr>
          <w:b/>
          <w:bCs/>
        </w:rPr>
        <w:t>MATERIALS AND METHODS</w:t>
      </w:r>
    </w:p>
    <w:p w14:paraId="0789FB56" w14:textId="77777777" w:rsidR="00947FD0" w:rsidRPr="00C21098" w:rsidRDefault="00947FD0" w:rsidP="00947FD0">
      <w:pPr>
        <w:pStyle w:val="NormalWeb"/>
        <w:spacing w:line="480" w:lineRule="auto"/>
        <w:contextualSpacing/>
        <w:rPr>
          <w:b/>
          <w:bCs/>
        </w:rPr>
      </w:pPr>
    </w:p>
    <w:p w14:paraId="537BB3F6" w14:textId="77777777" w:rsidR="00947FD0" w:rsidRDefault="00947FD0" w:rsidP="00947FD0">
      <w:pPr>
        <w:pStyle w:val="NormalWeb"/>
        <w:spacing w:line="480" w:lineRule="auto"/>
        <w:contextualSpacing/>
        <w:rPr>
          <w:b/>
        </w:rPr>
      </w:pPr>
      <w:r w:rsidRPr="00112735">
        <w:rPr>
          <w:b/>
        </w:rPr>
        <w:t>Animal maintenance and sample collection</w:t>
      </w:r>
    </w:p>
    <w:p w14:paraId="4BB3B42A" w14:textId="77777777" w:rsidR="00947FD0" w:rsidRDefault="00947FD0" w:rsidP="00947FD0">
      <w:pPr>
        <w:pStyle w:val="NormalWeb"/>
        <w:spacing w:line="480" w:lineRule="auto"/>
        <w:contextualSpacing/>
        <w:rPr>
          <w:bCs/>
        </w:rPr>
      </w:pPr>
      <w:r>
        <w:rPr>
          <w:bCs/>
        </w:rPr>
        <w:t>Texas horned lizard eggs and hatchlings were collected from TAFB and transported to the OKC Zoo for rearing in captivity during the summers (June–August) of 2019 and 2020. In total, 34 Texas horned lizards were raised for a joint reintroduction onto TAFB in June 2021 (15 individuals from 2019 cohort, 19 individuals from 2020 cohort). Husbandry conditions for animals while at the OKC Zoo are outlined in detail by Barrett et al. (2022). All Texas horned lizards were housed individually in 20-gallon aquariums. These enclosures were kept at stable temperatures year-round with an ambient temperature of ~24</w:t>
      </w:r>
      <w:r w:rsidRPr="00E46614">
        <w:rPr>
          <w:bCs/>
        </w:rPr>
        <w:t>°</w:t>
      </w:r>
      <w:r>
        <w:rPr>
          <w:bCs/>
        </w:rPr>
        <w:t>C and a basking temperature of 37</w:t>
      </w:r>
      <w:r w:rsidRPr="00E46614">
        <w:rPr>
          <w:bCs/>
        </w:rPr>
        <w:t>°</w:t>
      </w:r>
      <w:r>
        <w:rPr>
          <w:bCs/>
        </w:rPr>
        <w:t>C available for eight hours daily (9:00–17:00). Light and watering cycles were also constant, with UVB fixtures on for 11 hours per day (8:00–19:00) and misting systems programed to turn on twice daily</w:t>
      </w:r>
      <w:r w:rsidRPr="000440DE">
        <w:rPr>
          <w:bCs/>
        </w:rPr>
        <w:t xml:space="preserve"> </w:t>
      </w:r>
      <w:r>
        <w:rPr>
          <w:bCs/>
        </w:rPr>
        <w:t>for ~30 seconds at 10:30h and 14:00h. All lizards were fed a stable diet of pinhead crickets and fruit flies dusted with Repashy Calcium Plus for their one- or two-year rearing periods.</w:t>
      </w:r>
    </w:p>
    <w:p w14:paraId="48139A41" w14:textId="77777777" w:rsidR="00947FD0" w:rsidRDefault="00947FD0" w:rsidP="00947FD0">
      <w:pPr>
        <w:pStyle w:val="NormalWeb"/>
        <w:spacing w:line="480" w:lineRule="auto"/>
        <w:ind w:firstLine="270"/>
        <w:contextualSpacing/>
        <w:rPr>
          <w:bCs/>
        </w:rPr>
      </w:pPr>
      <w:r>
        <w:rPr>
          <w:bCs/>
        </w:rPr>
        <w:t>To collect fecal samples from captive lizards at the OKC Zoo, animals were placed in individual, sterilized, 6 qt shoebox containers within their home aquaria and left for one hour (Fig. 1A). Occasionally, food was offered via broadcast feeding while in these containers to stimulate activity and metabolic function. Fecal samples deposited by lizards during this period were stored immediately in Zymo DNA/RNA Shield at ambient temperatures for a maximum of 30 days following manufacturer guidelines before being transported to the Sam Noble Museum for long-term storage at -20</w:t>
      </w:r>
      <w:r w:rsidRPr="00E46614">
        <w:rPr>
          <w:bCs/>
        </w:rPr>
        <w:t>°</w:t>
      </w:r>
      <w:r>
        <w:rPr>
          <w:bCs/>
        </w:rPr>
        <w:t>C.</w:t>
      </w:r>
    </w:p>
    <w:p w14:paraId="33119824" w14:textId="77777777" w:rsidR="00947FD0" w:rsidRDefault="00947FD0" w:rsidP="00947FD0">
      <w:pPr>
        <w:pStyle w:val="NormalWeb"/>
        <w:spacing w:line="480" w:lineRule="auto"/>
        <w:ind w:firstLine="270"/>
        <w:contextualSpacing/>
        <w:rPr>
          <w:bCs/>
        </w:rPr>
      </w:pPr>
      <w:r>
        <w:rPr>
          <w:bCs/>
        </w:rPr>
        <w:t>On 1 June 2021, 34 Texas horned lizards were translocated from the OKC Zoo to four soft-release pens on TAFB for a five-week soft-release acclimation period. Soft-release pens were ~ 10 ft x 10 ft and consisted of one piece of aluminum siding dug four inches into the ground with mesh netting over top to avoid potential predation (Fig. 1C). Lizards were placed in groups of 7–10 individuals from the same age cohorts and split between the four pens. On 9 July 2021, we removed 21 headstart Texas horned lizards from soft-release pens (10 mortalities, 3 unknown fates during acclimation period), and lizards were given complete access to their release site on TAFB. All lizards were equipped with Cell Track Tech LifeTags (Cellular Tracking Technologies, Cape May, NJ) and/or Recco harmonic radar diodes (</w:t>
      </w:r>
      <w:r w:rsidRPr="002C5F1B">
        <w:rPr>
          <w:bCs/>
        </w:rPr>
        <w:t>RECCO Rescue Systems, Lidingo, Sweden</w:t>
      </w:r>
      <w:r>
        <w:rPr>
          <w:bCs/>
        </w:rPr>
        <w:t>) to identify and relocate individuals following complete reintroduction.</w:t>
      </w:r>
    </w:p>
    <w:p w14:paraId="45065F77" w14:textId="77777777" w:rsidR="00947FD0" w:rsidRDefault="00947FD0" w:rsidP="00947FD0">
      <w:pPr>
        <w:pStyle w:val="NormalWeb"/>
        <w:spacing w:line="480" w:lineRule="auto"/>
        <w:ind w:firstLine="270"/>
        <w:contextualSpacing/>
        <w:rPr>
          <w:bCs/>
        </w:rPr>
      </w:pPr>
      <w:r>
        <w:rPr>
          <w:bCs/>
        </w:rPr>
        <w:t>We were not able to recover any fecal samples from headstart lizards during the five-week soft-release phase (1 June</w:t>
      </w:r>
      <w:r>
        <w:rPr>
          <w:bCs/>
        </w:rPr>
        <w:softHyphen/>
        <w:t>–9 July 2021), but we collected fecal samples after complete release on TAFB to analyze microbiome shifts associated with complete animal translocation. Lizards were tracked via LifeTags or harmonic radar diodes, caught by hand, and placed in sterilized 6 qt shoebox containers in the nearest shaded area to the site of encounter (Fig. 1B). No food was offered during sample collection on TAFB. Individuals were left in tubs for roughly one hour and then placed back at the exact site of encounter. We tracked and monitored lizards on TAFB from the time of translocation to the end of the active season in early October (Wolf et al. 2013; Vesy et al. 2021). Field sampling of wild and translocated Texas horned lizards occurred from 23 June</w:t>
      </w:r>
      <w:r>
        <w:rPr>
          <w:bCs/>
        </w:rPr>
        <w:softHyphen/>
        <w:t>–15 September and 15 July–28 September respectively (</w:t>
      </w:r>
      <w:r w:rsidRPr="00DA2ACB">
        <w:rPr>
          <w:bCs/>
        </w:rPr>
        <w:t>Table 1</w:t>
      </w:r>
      <w:r>
        <w:rPr>
          <w:bCs/>
        </w:rPr>
        <w:t>). We again stored fecal samples immediately in Zymo DNA/RNA Shield in the field and then moved samples to an air-conditioned research facility on TAFB for temporary storage up to 30 days before eventual transportation to the Sam Noble Museum for long-term storage at -20</w:t>
      </w:r>
      <w:r w:rsidRPr="00E46614">
        <w:rPr>
          <w:bCs/>
        </w:rPr>
        <w:t>°</w:t>
      </w:r>
      <w:r>
        <w:rPr>
          <w:bCs/>
        </w:rPr>
        <w:t>C.</w:t>
      </w:r>
    </w:p>
    <w:p w14:paraId="20892F86" w14:textId="77777777" w:rsidR="00947FD0" w:rsidRPr="006F012C" w:rsidRDefault="00947FD0" w:rsidP="00947FD0">
      <w:pPr>
        <w:pStyle w:val="NormalWeb"/>
        <w:spacing w:line="480" w:lineRule="auto"/>
        <w:ind w:firstLine="270"/>
        <w:contextualSpacing/>
        <w:rPr>
          <w:bCs/>
        </w:rPr>
      </w:pPr>
    </w:p>
    <w:p w14:paraId="49F0F29C" w14:textId="77777777" w:rsidR="00947FD0" w:rsidRDefault="00947FD0" w:rsidP="00947FD0">
      <w:pPr>
        <w:pStyle w:val="NormalWeb"/>
        <w:spacing w:line="480" w:lineRule="auto"/>
        <w:contextualSpacing/>
        <w:rPr>
          <w:b/>
        </w:rPr>
      </w:pPr>
      <w:r w:rsidRPr="006B2115">
        <w:rPr>
          <w:b/>
        </w:rPr>
        <w:t>Microbial inventories</w:t>
      </w:r>
      <w:r>
        <w:rPr>
          <w:b/>
        </w:rPr>
        <w:t xml:space="preserve"> and comparisons</w:t>
      </w:r>
    </w:p>
    <w:p w14:paraId="3B9816BA" w14:textId="77777777" w:rsidR="00947FD0" w:rsidRPr="00160558" w:rsidRDefault="00947FD0" w:rsidP="00947FD0">
      <w:pPr>
        <w:pStyle w:val="NormalWeb"/>
        <w:spacing w:line="480" w:lineRule="auto"/>
        <w:contextualSpacing/>
        <w:rPr>
          <w:bCs/>
        </w:rPr>
      </w:pPr>
      <w:r>
        <w:rPr>
          <w:bCs/>
        </w:rPr>
        <w:t>We sent 95 fecal samples and one negative control of Zymo DNA/RNA Shield to Zymo Research for DNA extraction through their ZymoBIOMICS</w:t>
      </w:r>
      <w:r w:rsidRPr="00160558">
        <w:rPr>
          <w:bCs/>
        </w:rPr>
        <w:t>™</w:t>
      </w:r>
      <w:r>
        <w:rPr>
          <w:bCs/>
        </w:rPr>
        <w:t xml:space="preserve"> service. Our 96 DNA extracts were returned along with two positive controls and two negative controls to the Sam Noble Museum, where </w:t>
      </w:r>
      <w:r w:rsidRPr="00160558">
        <w:t>we amplified the V4 region of the 16S rRNA gene (Kozich</w:t>
      </w:r>
      <w:r>
        <w:t xml:space="preserve"> et al. </w:t>
      </w:r>
      <w:r w:rsidRPr="00160558">
        <w:t xml:space="preserve">2013). </w:t>
      </w:r>
      <w:r>
        <w:t xml:space="preserve">Remaining sample processing and analyses closely mirror protocols from Eliades et al. (2021). </w:t>
      </w:r>
      <w:r w:rsidRPr="00160558">
        <w:t xml:space="preserve">PCR products were cleaned, normalized, and pooled using a Sequel Prep Normalization Plate Kit. Pooled libraries were purified using Agencourt® AMPure® magnetic bead capture and </w:t>
      </w:r>
      <w:r>
        <w:t xml:space="preserve">brought </w:t>
      </w:r>
      <w:r w:rsidRPr="00160558">
        <w:t>to the University of Oklahoma’s Consolidated Core Lab</w:t>
      </w:r>
      <w:r>
        <w:t xml:space="preserve"> </w:t>
      </w:r>
      <w:r w:rsidRPr="00160558">
        <w:t>for sequencing using 515F and 806R primers targeting 2x</w:t>
      </w:r>
      <w:r>
        <w:t>25</w:t>
      </w:r>
      <w:r w:rsidRPr="00160558">
        <w:t>0bp reads on an Illumina MiSeq sequencing platform (Caporaso et al. 2012).</w:t>
      </w:r>
    </w:p>
    <w:p w14:paraId="54AC9F0F" w14:textId="77777777" w:rsidR="00947FD0" w:rsidRPr="00794892" w:rsidRDefault="00947FD0" w:rsidP="00947FD0">
      <w:pPr>
        <w:pStyle w:val="NormalWeb"/>
        <w:spacing w:line="480" w:lineRule="auto"/>
        <w:ind w:firstLine="360"/>
        <w:contextualSpacing/>
      </w:pPr>
      <w:r w:rsidRPr="00794892">
        <w:t xml:space="preserve">We paired and trimmed raw sequences using AdapterRemoval2 v2.2.2 with default parameters (Lindgreen 2012; Schubert, Lindgreen, </w:t>
      </w:r>
      <w:r>
        <w:t>and</w:t>
      </w:r>
      <w:r w:rsidRPr="00794892">
        <w:t xml:space="preserve"> Orlando 2016). Cleaned sequences were clustered </w:t>
      </w:r>
      <w:r w:rsidRPr="00794892">
        <w:rPr>
          <w:i/>
        </w:rPr>
        <w:t>de novo</w:t>
      </w:r>
      <w:r w:rsidRPr="00794892">
        <w:t xml:space="preserve"> into operational taxonomic units (OTUs) using UPARSE in USEARCH v11.0.667 at a minimum sequence identity of 97% and a minimum abundance of four (Edgar 2013). Remaining sample curation and analysis was carried out in QIIME v1.9.1 (Caporaso et al. 2010). Taxonomies were assigned to OTUs using GreenGenes v13.8 (DeSantis et al. 2006). Archaea, chloroplast, mitochondria, PhiX, and other non-bacterial sequences were removed from processed OTU tables to ensure only bacterial sequences were included in downstream analyses. All 16S rRNA sequences have been deposited in the Sequence Read Archive (SRA) under accession no. </w:t>
      </w:r>
      <w:r w:rsidRPr="00BD1298">
        <w:t>XXXX</w:t>
      </w:r>
      <w:r w:rsidRPr="00794892">
        <w:t>.</w:t>
      </w:r>
    </w:p>
    <w:p w14:paraId="7D5ED2D8" w14:textId="0108856B" w:rsidR="00947FD0" w:rsidRPr="00E11F94" w:rsidRDefault="00947FD0" w:rsidP="000A7B38">
      <w:pPr>
        <w:pStyle w:val="NormalWeb"/>
        <w:spacing w:line="480" w:lineRule="auto"/>
        <w:ind w:firstLine="360"/>
        <w:contextualSpacing/>
      </w:pPr>
      <w:r>
        <w:t xml:space="preserve">From </w:t>
      </w:r>
      <w:r w:rsidRPr="00E10B1A">
        <w:t>our 95 f</w:t>
      </w:r>
      <w:r>
        <w:t xml:space="preserve">ecal </w:t>
      </w:r>
      <w:r w:rsidRPr="00E10B1A">
        <w:t xml:space="preserve">samples </w:t>
      </w:r>
      <w:r>
        <w:t>sequenced</w:t>
      </w:r>
      <w:r w:rsidRPr="00E10B1A">
        <w:t xml:space="preserve">, </w:t>
      </w:r>
      <w:r>
        <w:t>we removed d</w:t>
      </w:r>
      <w:r w:rsidRPr="00E10B1A">
        <w:t xml:space="preserve">uplicates </w:t>
      </w:r>
      <w:r>
        <w:t xml:space="preserve">that were </w:t>
      </w:r>
      <w:r w:rsidRPr="00E10B1A">
        <w:t xml:space="preserve">subsamples from the same fecal deposit and </w:t>
      </w:r>
      <w:r>
        <w:t>retained</w:t>
      </w:r>
      <w:r w:rsidRPr="00E10B1A">
        <w:t xml:space="preserve"> only the sample with greater sequencing depth</w:t>
      </w:r>
      <w:r>
        <w:t xml:space="preserve"> (</w:t>
      </w:r>
      <w:r w:rsidRPr="002F1A6B">
        <w:rPr>
          <w:i/>
          <w:iCs/>
        </w:rPr>
        <w:t>n</w:t>
      </w:r>
      <w:r>
        <w:t xml:space="preserve"> = 7)</w:t>
      </w:r>
      <w:r w:rsidRPr="00E10B1A">
        <w:t xml:space="preserve">. Samples with fewer than 850 </w:t>
      </w:r>
      <w:r>
        <w:t>reads (</w:t>
      </w:r>
      <w:r w:rsidRPr="002F1A6B">
        <w:rPr>
          <w:i/>
          <w:iCs/>
        </w:rPr>
        <w:t>n</w:t>
      </w:r>
      <w:r>
        <w:t xml:space="preserve"> = 6) </w:t>
      </w:r>
      <w:r w:rsidRPr="00E10B1A">
        <w:t>were also removed</w:t>
      </w:r>
      <w:r>
        <w:t xml:space="preserve"> to ensure sufficient sequencing depth was present for each sample</w:t>
      </w:r>
      <w:r w:rsidRPr="00E10B1A">
        <w:t>.</w:t>
      </w:r>
      <w:r>
        <w:t xml:space="preserve"> Finally, we removed all samples collected outside of March–September 2021 (</w:t>
      </w:r>
      <w:r w:rsidRPr="002F1A6B">
        <w:rPr>
          <w:i/>
          <w:iCs/>
        </w:rPr>
        <w:t>n</w:t>
      </w:r>
      <w:r>
        <w:t xml:space="preserve"> = 14) to ensure all sampling was done within one active season for Texas horned lizards on TAFB (Vesy et al. 2021) and minimize the potential influences of time and seasonality as confounding variables in microbiome comparisons. Our finalized dataset consisted of 68 total samples taken from 14 wild Texas horned lizards and nine captive-reared lizards translocated from the OKC Zoo to TAFB (Table 1). </w:t>
      </w:r>
      <w:r w:rsidR="00080E74">
        <w:t xml:space="preserve">Sampling was uneven across treatment groups (Table 1). </w:t>
      </w:r>
      <w:r>
        <w:t xml:space="preserve">We retrieved 23 fecal samples from the 14 wild Texas horned lizards encountered on TAFB, 22 samples from eight headstart lizards pre-release at the OKC Zoo, and 23 samples from all nine captive-reared individuals after reintroduction onto TAFB; </w:t>
      </w:r>
      <w:r w:rsidRPr="00207264">
        <w:t>Table 1</w:t>
      </w:r>
      <w:r>
        <w:t xml:space="preserve">). One translocated lizard (ID 991-1) lost its only pre-release sample during filtering due to insufficient </w:t>
      </w:r>
      <w:r w:rsidR="00D70844">
        <w:t>sequencing</w:t>
      </w:r>
      <w:r>
        <w:t xml:space="preserve"> depth (</w:t>
      </w:r>
      <w:r w:rsidRPr="00207264">
        <w:t>Table 1</w:t>
      </w:r>
      <w:r>
        <w:t xml:space="preserve">). </w:t>
      </w:r>
      <w:r w:rsidR="00080E74">
        <w:t>In</w:t>
      </w:r>
      <w:r w:rsidR="00093EEB">
        <w:t xml:space="preserve"> the pre-release group</w:t>
      </w:r>
      <w:r w:rsidR="00080E74">
        <w:t>,</w:t>
      </w:r>
      <w:r w:rsidR="00093EEB">
        <w:t xml:space="preserve"> the maximum number of samples taken from a single lizard at different time points was seven </w:t>
      </w:r>
      <w:r w:rsidR="00080E74">
        <w:t xml:space="preserve">and two lizards were represented by a single sample. In the post-release treatment, the maximum number of samples included from an individual was six and four lizards were represented by a single sample. Finally in the wild group, one individual was sampled four times while nine other animals were only sampled once (Table 1). </w:t>
      </w:r>
      <w:r>
        <w:t>T</w:t>
      </w:r>
      <w:r w:rsidR="000A7B38">
        <w:t>his</w:t>
      </w:r>
      <w:r w:rsidR="00080E74">
        <w:t xml:space="preserve"> curated dataset of </w:t>
      </w:r>
      <w:r>
        <w:t xml:space="preserve">68 samples returned </w:t>
      </w:r>
      <w:r w:rsidRPr="00071E10">
        <w:t>6</w:t>
      </w:r>
      <w:r>
        <w:t>,</w:t>
      </w:r>
      <w:r w:rsidRPr="00071E10">
        <w:t>570</w:t>
      </w:r>
      <w:r>
        <w:t>,</w:t>
      </w:r>
      <w:r w:rsidRPr="00071E10">
        <w:t>445</w:t>
      </w:r>
      <w:r>
        <w:t xml:space="preserve"> reads with a minimum read depth of 857 reads and a maximum of</w:t>
      </w:r>
      <w:r w:rsidRPr="00071E10">
        <w:t xml:space="preserve"> 600</w:t>
      </w:r>
      <w:r>
        <w:t>,</w:t>
      </w:r>
      <w:r w:rsidRPr="00071E10">
        <w:t>876</w:t>
      </w:r>
      <w:r>
        <w:t xml:space="preserve"> per sample. W</w:t>
      </w:r>
      <w:r w:rsidRPr="00E11F94">
        <w:t>e rarefied all samples</w:t>
      </w:r>
      <w:r>
        <w:t xml:space="preserve"> from this finalized pool</w:t>
      </w:r>
      <w:r w:rsidRPr="00E11F94">
        <w:t xml:space="preserve"> to 850 reads per sample (Good’s estimate = 0.96 ± 0.01, range: 0.93–0.99) before continuing with analyses.</w:t>
      </w:r>
    </w:p>
    <w:p w14:paraId="39CBA4DA" w14:textId="6245AF1E" w:rsidR="00947FD0" w:rsidRPr="00487548" w:rsidRDefault="00947FD0" w:rsidP="00947FD0">
      <w:pPr>
        <w:pStyle w:val="NormalWeb"/>
        <w:spacing w:line="480" w:lineRule="auto"/>
        <w:ind w:firstLine="360"/>
        <w:contextualSpacing/>
      </w:pPr>
      <w:r w:rsidRPr="00487548">
        <w:t xml:space="preserve">To better understand the effects of reintroduction on microbiota in Texas horned lizards, we compared </w:t>
      </w:r>
      <w:r>
        <w:t xml:space="preserve">rarefied sequence data using </w:t>
      </w:r>
      <w:r w:rsidRPr="00487548">
        <w:t>a variety of community membership metrics</w:t>
      </w:r>
      <w:r>
        <w:t xml:space="preserve"> across samples</w:t>
      </w:r>
      <w:r w:rsidRPr="00487548">
        <w:t xml:space="preserve">. </w:t>
      </w:r>
      <w:r>
        <w:t>Treatment groups included captive lizards pre-release, captive lizards post-release, and wild lizards on TAFB (</w:t>
      </w:r>
      <w:r w:rsidRPr="00207264">
        <w:t>Table 1</w:t>
      </w:r>
      <w:r>
        <w:t>). Because sample sizes were uneven between individuals, w</w:t>
      </w:r>
      <w:r>
        <w:rPr>
          <w:bCs/>
        </w:rPr>
        <w:t>e repeated analyses individually for the eight lizards sampled before and after translocation to support conclusions drawn from preliminary treatment groupings (</w:t>
      </w:r>
      <w:r w:rsidRPr="00207264">
        <w:t>Table 1</w:t>
      </w:r>
      <w:r>
        <w:rPr>
          <w:bCs/>
        </w:rPr>
        <w:t xml:space="preserve">). </w:t>
      </w:r>
      <w:r w:rsidRPr="00487548">
        <w:t xml:space="preserve">We first calculated alpha diversity measurements including number of observed OTUs, the Shannon index (Shannon 1948), and Faith’s Phylogenetic Diversity (Faith’s PD; Faith 1992). Alpha diversity measurements </w:t>
      </w:r>
      <w:r>
        <w:t xml:space="preserve">between treatments </w:t>
      </w:r>
      <w:r w:rsidRPr="00487548">
        <w:t xml:space="preserve">were compared using analysis of variance (ANOVA) tests in R v3.6.2 (R Core Team 2013) with the Tukey Test used for post-hoc analyses. </w:t>
      </w:r>
      <w:r>
        <w:t xml:space="preserve">We used </w:t>
      </w:r>
      <w:r w:rsidRPr="00487548">
        <w:t>Kruskal-Wallis tests with Bonferroni corrections to compare relative abundances of bacterial taxa between</w:t>
      </w:r>
      <w:r>
        <w:t xml:space="preserve"> treatment</w:t>
      </w:r>
      <w:r w:rsidRPr="00487548">
        <w:t xml:space="preserve"> groups.</w:t>
      </w:r>
      <w:r>
        <w:t xml:space="preserve"> </w:t>
      </w:r>
      <w:r w:rsidRPr="002033F3">
        <w:t xml:space="preserve">To </w:t>
      </w:r>
      <w:r>
        <w:t xml:space="preserve">more accurately </w:t>
      </w:r>
      <w:r w:rsidR="00D70844">
        <w:t>identify</w:t>
      </w:r>
      <w:r>
        <w:t xml:space="preserve"> </w:t>
      </w:r>
      <w:r w:rsidRPr="002033F3">
        <w:t xml:space="preserve">specific taxa that </w:t>
      </w:r>
      <w:r>
        <w:t>differed</w:t>
      </w:r>
      <w:r w:rsidRPr="002033F3">
        <w:t xml:space="preserve"> between treatments, we used BLAST (Altschul</w:t>
      </w:r>
      <w:r>
        <w:t xml:space="preserve"> et al. </w:t>
      </w:r>
      <w:r w:rsidRPr="002033F3">
        <w:t>1990) and compared our novel sequences against those available in the National Center for Biotechnology Information’s (NCBI) Nucleotide database.</w:t>
      </w:r>
    </w:p>
    <w:p w14:paraId="548006C0" w14:textId="16F63ACE" w:rsidR="00947FD0" w:rsidRDefault="00947FD0" w:rsidP="00947FD0">
      <w:pPr>
        <w:pStyle w:val="NormalWeb"/>
        <w:spacing w:line="480" w:lineRule="auto"/>
        <w:ind w:firstLine="360"/>
        <w:contextualSpacing/>
      </w:pPr>
      <w:r w:rsidRPr="008448C7">
        <w:t>To compare community diversity and structure between treatment groups, we used principal coordinates analys</w:t>
      </w:r>
      <w:r>
        <w:t>e</w:t>
      </w:r>
      <w:r w:rsidRPr="008448C7">
        <w:t>s (PCoA) on beta diversity metrics including weighted and unweighted UniFrac distances and the binary Jaccard index (Jaccard 1901</w:t>
      </w:r>
      <w:r>
        <w:t xml:space="preserve">; </w:t>
      </w:r>
      <w:r w:rsidRPr="008448C7">
        <w:t xml:space="preserve">Lozupone </w:t>
      </w:r>
      <w:r>
        <w:t>and</w:t>
      </w:r>
      <w:r w:rsidRPr="008448C7">
        <w:t xml:space="preserve"> Knight 2005). </w:t>
      </w:r>
      <w:r w:rsidRPr="00862285">
        <w:t>The adonis</w:t>
      </w:r>
      <w:r>
        <w:t>()</w:t>
      </w:r>
      <w:r w:rsidRPr="00862285">
        <w:t xml:space="preserve"> function in the </w:t>
      </w:r>
      <w:r w:rsidRPr="00BA2F95">
        <w:rPr>
          <w:i/>
          <w:iCs/>
        </w:rPr>
        <w:t>vegan</w:t>
      </w:r>
      <w:r w:rsidRPr="00862285">
        <w:t xml:space="preserve"> v2.3_4 package (Oksanen et al. 2016) of R v3.3.1 (R Core Team 2013) was used</w:t>
      </w:r>
      <w:r>
        <w:t xml:space="preserve"> through QIIME</w:t>
      </w:r>
      <w:r w:rsidRPr="00862285">
        <w:t xml:space="preserve"> on beta diversity distance matrices </w:t>
      </w:r>
      <w:r w:rsidR="004B6BFE" w:rsidRPr="00862285">
        <w:t xml:space="preserve">to </w:t>
      </w:r>
      <w:r w:rsidR="004B6BFE">
        <w:t xml:space="preserve">run PERMANOVA tests </w:t>
      </w:r>
      <w:r w:rsidRPr="00862285">
        <w:t xml:space="preserve">with 999 permutations </w:t>
      </w:r>
      <w:r w:rsidR="004B6BFE">
        <w:t>c</w:t>
      </w:r>
      <w:r w:rsidRPr="00862285">
        <w:t>ompar</w:t>
      </w:r>
      <w:r w:rsidR="004B6BFE">
        <w:t>ing</w:t>
      </w:r>
      <w:r w:rsidRPr="00862285">
        <w:t xml:space="preserve"> community composition statistically between </w:t>
      </w:r>
      <w:r>
        <w:t xml:space="preserve">our three </w:t>
      </w:r>
      <w:r w:rsidRPr="00862285">
        <w:t>groups.</w:t>
      </w:r>
    </w:p>
    <w:p w14:paraId="4E8FDF7F" w14:textId="77777777" w:rsidR="00947FD0" w:rsidRPr="00C21098" w:rsidRDefault="00947FD0" w:rsidP="00947FD0">
      <w:pPr>
        <w:pStyle w:val="NormalWeb"/>
        <w:spacing w:line="480" w:lineRule="auto"/>
        <w:contextualSpacing/>
      </w:pPr>
    </w:p>
    <w:p w14:paraId="007DEC9F" w14:textId="77777777" w:rsidR="00947FD0" w:rsidRPr="00C21098" w:rsidRDefault="00947FD0" w:rsidP="00947FD0">
      <w:pPr>
        <w:pStyle w:val="NormalWeb"/>
        <w:spacing w:line="480" w:lineRule="auto"/>
        <w:contextualSpacing/>
        <w:rPr>
          <w:b/>
        </w:rPr>
      </w:pPr>
      <w:r w:rsidRPr="00C21098">
        <w:rPr>
          <w:b/>
          <w:bCs/>
        </w:rPr>
        <w:t>RESULTS</w:t>
      </w:r>
    </w:p>
    <w:p w14:paraId="79EB4F4C" w14:textId="77777777" w:rsidR="00947FD0" w:rsidRDefault="00947FD0" w:rsidP="00947FD0">
      <w:pPr>
        <w:pStyle w:val="NormalWeb"/>
        <w:spacing w:line="480" w:lineRule="auto"/>
        <w:contextualSpacing/>
        <w:rPr>
          <w:b/>
        </w:rPr>
      </w:pPr>
      <w:r w:rsidRPr="00FF7376">
        <w:rPr>
          <w:b/>
        </w:rPr>
        <w:t>General</w:t>
      </w:r>
      <w:r>
        <w:rPr>
          <w:b/>
        </w:rPr>
        <w:t xml:space="preserve"> patterns</w:t>
      </w:r>
      <w:r w:rsidRPr="00FF7376">
        <w:rPr>
          <w:b/>
        </w:rPr>
        <w:t xml:space="preserve"> in Texas horned lizard gut microbiomes</w:t>
      </w:r>
    </w:p>
    <w:p w14:paraId="534E1803" w14:textId="77777777" w:rsidR="00947FD0" w:rsidRDefault="00947FD0" w:rsidP="00947FD0">
      <w:pPr>
        <w:pStyle w:val="NormalWeb"/>
        <w:spacing w:line="480" w:lineRule="auto"/>
        <w:contextualSpacing/>
        <w:rPr>
          <w:bCs/>
        </w:rPr>
      </w:pPr>
      <w:r>
        <w:rPr>
          <w:bCs/>
        </w:rPr>
        <w:t xml:space="preserve">Across all 68 Texas horned lizard fecal samples from the OKC Zoo and TAFB, samples averaged 90.37 </w:t>
      </w:r>
      <w:r w:rsidRPr="001554A5">
        <w:t>±</w:t>
      </w:r>
      <w:r>
        <w:t xml:space="preserve"> 22.48</w:t>
      </w:r>
      <w:r>
        <w:rPr>
          <w:bCs/>
        </w:rPr>
        <w:t xml:space="preserve"> unique OTUs per 850 reads,</w:t>
      </w:r>
      <w:r w:rsidRPr="00C50266">
        <w:rPr>
          <w:bCs/>
        </w:rPr>
        <w:t xml:space="preserve"> </w:t>
      </w:r>
      <w:r>
        <w:rPr>
          <w:bCs/>
        </w:rPr>
        <w:t xml:space="preserve">with a maximum of 139 and minimum of 12. The Shannon index ranged from 2.63 to 5.97 (mean = </w:t>
      </w:r>
      <w:r w:rsidRPr="001554A5">
        <w:rPr>
          <w:bCs/>
        </w:rPr>
        <w:t xml:space="preserve">4.65 </w:t>
      </w:r>
      <w:r w:rsidRPr="001554A5">
        <w:t xml:space="preserve">± </w:t>
      </w:r>
      <w:r w:rsidRPr="001554A5">
        <w:rPr>
          <w:bCs/>
        </w:rPr>
        <w:t>0.73)</w:t>
      </w:r>
      <w:r>
        <w:rPr>
          <w:bCs/>
        </w:rPr>
        <w:t xml:space="preserve"> and Faith’s PD ranged from 2.02 to 11.67 (mean = 8.74</w:t>
      </w:r>
      <w:r w:rsidRPr="001554A5">
        <w:rPr>
          <w:bCs/>
        </w:rPr>
        <w:t xml:space="preserve"> </w:t>
      </w:r>
      <w:r w:rsidRPr="001554A5">
        <w:t xml:space="preserve">± </w:t>
      </w:r>
      <w:r>
        <w:rPr>
          <w:bCs/>
        </w:rPr>
        <w:t>1.53). Interestingly, 88.79% of rarified reads were assigned to just two phyla, Bacteroidetes (47.42%) and Firmicutes (41.37%) (</w:t>
      </w:r>
      <w:r w:rsidRPr="003E1ECC">
        <w:t xml:space="preserve">Fig. </w:t>
      </w:r>
      <w:r>
        <w:rPr>
          <w:bCs/>
        </w:rPr>
        <w:t>2). We found 10 OTUs assigned to the order Clostridiales in 80% of all Texas horned lizard samples collected (</w:t>
      </w:r>
      <w:r w:rsidRPr="003E1ECC">
        <w:rPr>
          <w:bCs/>
        </w:rPr>
        <w:t>Appendix S1</w:t>
      </w:r>
      <w:r>
        <w:rPr>
          <w:bCs/>
        </w:rPr>
        <w:t>), indicating a core set of microbes in both captive and wild lizards.</w:t>
      </w:r>
    </w:p>
    <w:p w14:paraId="75FC04C7" w14:textId="77777777" w:rsidR="00947FD0" w:rsidRPr="00F862E9" w:rsidRDefault="00947FD0" w:rsidP="00947FD0">
      <w:pPr>
        <w:pStyle w:val="NormalWeb"/>
        <w:spacing w:line="480" w:lineRule="auto"/>
        <w:contextualSpacing/>
        <w:rPr>
          <w:bCs/>
        </w:rPr>
      </w:pPr>
    </w:p>
    <w:p w14:paraId="60503064" w14:textId="77777777" w:rsidR="00947FD0" w:rsidRPr="00F862E9" w:rsidRDefault="00947FD0" w:rsidP="00947FD0">
      <w:pPr>
        <w:pStyle w:val="NormalWeb"/>
        <w:spacing w:line="480" w:lineRule="auto"/>
        <w:contextualSpacing/>
        <w:rPr>
          <w:b/>
        </w:rPr>
      </w:pPr>
      <w:r w:rsidRPr="00F862E9">
        <w:rPr>
          <w:b/>
        </w:rPr>
        <w:t>Comparison of microbiota between</w:t>
      </w:r>
      <w:r>
        <w:rPr>
          <w:b/>
        </w:rPr>
        <w:t xml:space="preserve"> pre-release, post-release, and wild</w:t>
      </w:r>
      <w:r w:rsidRPr="00F862E9">
        <w:rPr>
          <w:b/>
        </w:rPr>
        <w:t xml:space="preserve"> </w:t>
      </w:r>
      <w:r>
        <w:rPr>
          <w:b/>
        </w:rPr>
        <w:t>lizards</w:t>
      </w:r>
    </w:p>
    <w:p w14:paraId="7F5D4DF5" w14:textId="206D17B4" w:rsidR="00947FD0" w:rsidRDefault="00947FD0" w:rsidP="00947FD0">
      <w:pPr>
        <w:pStyle w:val="NormalWeb"/>
        <w:spacing w:line="480" w:lineRule="auto"/>
        <w:contextualSpacing/>
        <w:rPr>
          <w:bCs/>
        </w:rPr>
      </w:pPr>
      <w:r w:rsidRPr="00810EB9">
        <w:t xml:space="preserve">We found no significant differences in </w:t>
      </w:r>
      <w:r>
        <w:t>alpha diversity measures</w:t>
      </w:r>
      <w:r w:rsidRPr="00810EB9">
        <w:t xml:space="preserve"> </w:t>
      </w:r>
      <w:r>
        <w:t>(</w:t>
      </w:r>
      <w:r w:rsidRPr="00810EB9">
        <w:t>number of OTUs</w:t>
      </w:r>
      <w:r>
        <w:t xml:space="preserve"> [</w:t>
      </w:r>
      <w:r w:rsidRPr="003B5550">
        <w:rPr>
          <w:i/>
          <w:iCs/>
        </w:rPr>
        <w:t>F</w:t>
      </w:r>
      <w:r>
        <w:t xml:space="preserve"> = </w:t>
      </w:r>
      <w:r w:rsidRPr="003B5550">
        <w:t xml:space="preserve">1.86  </w:t>
      </w:r>
      <w:r>
        <w:rPr>
          <w:i/>
          <w:iCs/>
        </w:rPr>
        <w:t>P</w:t>
      </w:r>
      <w:r>
        <w:t xml:space="preserve"> = </w:t>
      </w:r>
      <w:r w:rsidRPr="003B5550">
        <w:t>0.164</w:t>
      </w:r>
      <w:r>
        <w:t>]</w:t>
      </w:r>
      <w:r w:rsidRPr="00810EB9">
        <w:t>, Shannon</w:t>
      </w:r>
      <w:r>
        <w:t xml:space="preserve"> index [</w:t>
      </w:r>
      <w:r w:rsidRPr="003B5550">
        <w:rPr>
          <w:i/>
          <w:iCs/>
        </w:rPr>
        <w:t>F</w:t>
      </w:r>
      <w:r>
        <w:t xml:space="preserve"> = </w:t>
      </w:r>
      <w:r w:rsidRPr="003B5550">
        <w:t>0.655</w:t>
      </w:r>
      <w:r>
        <w:t xml:space="preserve">, </w:t>
      </w:r>
      <w:r w:rsidRPr="003B5550">
        <w:rPr>
          <w:i/>
          <w:iCs/>
        </w:rPr>
        <w:t>P</w:t>
      </w:r>
      <w:r>
        <w:t xml:space="preserve"> =</w:t>
      </w:r>
      <w:r w:rsidRPr="003B5550">
        <w:t xml:space="preserve"> 0.523</w:t>
      </w:r>
      <w:r>
        <w:t>]</w:t>
      </w:r>
      <w:r w:rsidRPr="00810EB9">
        <w:t xml:space="preserve">, </w:t>
      </w:r>
      <w:r>
        <w:t>or</w:t>
      </w:r>
      <w:r w:rsidRPr="00810EB9">
        <w:t xml:space="preserve"> Faith’s PD</w:t>
      </w:r>
      <w:r>
        <w:t xml:space="preserve"> [</w:t>
      </w:r>
      <w:r w:rsidRPr="003B5550">
        <w:rPr>
          <w:i/>
          <w:iCs/>
        </w:rPr>
        <w:t>F</w:t>
      </w:r>
      <w:r>
        <w:t xml:space="preserve"> = </w:t>
      </w:r>
      <w:r w:rsidRPr="003B5550">
        <w:t>0.645</w:t>
      </w:r>
      <w:r>
        <w:t xml:space="preserve">, </w:t>
      </w:r>
      <w:r w:rsidRPr="003B5550">
        <w:rPr>
          <w:i/>
          <w:iCs/>
        </w:rPr>
        <w:t>P</w:t>
      </w:r>
      <w:r>
        <w:t xml:space="preserve"> =</w:t>
      </w:r>
      <w:r w:rsidRPr="003B5550">
        <w:t xml:space="preserve"> 0.528</w:t>
      </w:r>
      <w:r>
        <w:t>])</w:t>
      </w:r>
      <w:r w:rsidRPr="00810EB9">
        <w:t xml:space="preserve"> when comparing </w:t>
      </w:r>
      <w:r>
        <w:t xml:space="preserve">samples from </w:t>
      </w:r>
      <w:r w:rsidRPr="00810EB9">
        <w:t>our three treatment conditions</w:t>
      </w:r>
      <w:r>
        <w:t>: headstart lizards pre-release, post-release, and wild hosts (</w:t>
      </w:r>
      <w:r w:rsidRPr="003E1ECC">
        <w:t xml:space="preserve">Fig. </w:t>
      </w:r>
      <w:r>
        <w:t xml:space="preserve">3). </w:t>
      </w:r>
      <w:r>
        <w:rPr>
          <w:bCs/>
        </w:rPr>
        <w:t xml:space="preserve"> However, </w:t>
      </w:r>
      <w:r w:rsidR="004B6BFE">
        <w:rPr>
          <w:bCs/>
        </w:rPr>
        <w:t>PERMANOVA results</w:t>
      </w:r>
      <w:r>
        <w:rPr>
          <w:bCs/>
        </w:rPr>
        <w:t xml:space="preserve"> revealed significant differences among treatment groups in weighted UniFrac</w:t>
      </w:r>
      <w:r w:rsidRPr="00105457">
        <w:rPr>
          <w:bCs/>
        </w:rPr>
        <w:t xml:space="preserve"> (</w:t>
      </w:r>
      <w:r w:rsidRPr="00105457">
        <w:rPr>
          <w:i/>
          <w:iCs/>
        </w:rPr>
        <w:t>R</w:t>
      </w:r>
      <w:r w:rsidRPr="00105457">
        <w:rPr>
          <w:vertAlign w:val="superscript"/>
        </w:rPr>
        <w:t>2</w:t>
      </w:r>
      <w:r w:rsidRPr="00105457">
        <w:t xml:space="preserve"> = </w:t>
      </w:r>
      <w:r w:rsidRPr="00105457">
        <w:rPr>
          <w:bCs/>
        </w:rPr>
        <w:t>0.15018</w:t>
      </w:r>
      <w:r w:rsidRPr="00105457">
        <w:t xml:space="preserve">, </w:t>
      </w:r>
      <w:r w:rsidRPr="00105457">
        <w:rPr>
          <w:i/>
        </w:rPr>
        <w:t>P</w:t>
      </w:r>
      <w:r w:rsidRPr="00105457">
        <w:rPr>
          <w:iCs/>
        </w:rPr>
        <w:t xml:space="preserve"> = </w:t>
      </w:r>
      <w:r w:rsidRPr="00105457">
        <w:rPr>
          <w:bCs/>
        </w:rPr>
        <w:t xml:space="preserve">0.001), unweighted </w:t>
      </w:r>
      <w:r>
        <w:rPr>
          <w:bCs/>
        </w:rPr>
        <w:t xml:space="preserve">UniFrac </w:t>
      </w:r>
      <w:r w:rsidRPr="00105457">
        <w:rPr>
          <w:bCs/>
        </w:rPr>
        <w:t>(</w:t>
      </w:r>
      <w:r w:rsidRPr="00105457">
        <w:rPr>
          <w:i/>
          <w:iCs/>
        </w:rPr>
        <w:t>R</w:t>
      </w:r>
      <w:r w:rsidRPr="00105457">
        <w:rPr>
          <w:vertAlign w:val="superscript"/>
        </w:rPr>
        <w:t>2</w:t>
      </w:r>
      <w:r w:rsidRPr="00105457">
        <w:t xml:space="preserve"> = </w:t>
      </w:r>
      <w:r w:rsidRPr="00105457">
        <w:rPr>
          <w:bCs/>
        </w:rPr>
        <w:t>0.16277</w:t>
      </w:r>
      <w:r w:rsidRPr="00105457">
        <w:t xml:space="preserve">, </w:t>
      </w:r>
      <w:r w:rsidRPr="00105457">
        <w:rPr>
          <w:i/>
        </w:rPr>
        <w:t>P</w:t>
      </w:r>
      <w:r w:rsidRPr="00105457">
        <w:rPr>
          <w:iCs/>
        </w:rPr>
        <w:t xml:space="preserve"> = </w:t>
      </w:r>
      <w:r w:rsidRPr="00105457">
        <w:rPr>
          <w:bCs/>
        </w:rPr>
        <w:t>0.001)</w:t>
      </w:r>
      <w:r>
        <w:rPr>
          <w:bCs/>
        </w:rPr>
        <w:t>,</w:t>
      </w:r>
      <w:r w:rsidRPr="00105457">
        <w:rPr>
          <w:bCs/>
        </w:rPr>
        <w:t xml:space="preserve"> and Jaccard</w:t>
      </w:r>
      <w:r>
        <w:rPr>
          <w:bCs/>
        </w:rPr>
        <w:t xml:space="preserve"> distances</w:t>
      </w:r>
      <w:r w:rsidRPr="00105457">
        <w:rPr>
          <w:bCs/>
        </w:rPr>
        <w:t xml:space="preserve"> (</w:t>
      </w:r>
      <w:r w:rsidRPr="00105457">
        <w:rPr>
          <w:i/>
          <w:iCs/>
        </w:rPr>
        <w:t>R</w:t>
      </w:r>
      <w:r w:rsidRPr="00105457">
        <w:rPr>
          <w:vertAlign w:val="superscript"/>
        </w:rPr>
        <w:t>2</w:t>
      </w:r>
      <w:r w:rsidRPr="00105457">
        <w:t xml:space="preserve"> = </w:t>
      </w:r>
      <w:r w:rsidRPr="00105457">
        <w:rPr>
          <w:bCs/>
        </w:rPr>
        <w:t>0.16814</w:t>
      </w:r>
      <w:r w:rsidRPr="00105457">
        <w:t xml:space="preserve">, </w:t>
      </w:r>
      <w:r w:rsidRPr="00105457">
        <w:rPr>
          <w:i/>
        </w:rPr>
        <w:t>P</w:t>
      </w:r>
      <w:r w:rsidRPr="00105457">
        <w:rPr>
          <w:iCs/>
        </w:rPr>
        <w:t xml:space="preserve"> =</w:t>
      </w:r>
      <w:r w:rsidRPr="00105457">
        <w:rPr>
          <w:bCs/>
        </w:rPr>
        <w:t xml:space="preserve"> 0.001)</w:t>
      </w:r>
      <w:r>
        <w:rPr>
          <w:bCs/>
        </w:rPr>
        <w:t xml:space="preserve">. PCoA plots of the three treatments indicate differentiation between groups in beta diversity metrics </w:t>
      </w:r>
      <w:r w:rsidRPr="003E1ECC">
        <w:rPr>
          <w:bCs/>
        </w:rPr>
        <w:t xml:space="preserve">(Fig. </w:t>
      </w:r>
      <w:r>
        <w:rPr>
          <w:bCs/>
        </w:rPr>
        <w:t xml:space="preserve">3). Within-group Jaccard distances were 0.71 for captive individuals pre-release, 0.68 post-release, and 0.70 for wild hosts. Between groups, captive and wild Jaccard distances averaged 0.84, pre-release and post-release 0.77, and post-release and wild 0.74, suggesting greatest compositional differences in the fecal microbiota between captive and wild hosts, followed by pre-release and post-release lizards, and greatest compositional similarity between translocated and wild hosts based on the Jaccard index. </w:t>
      </w:r>
    </w:p>
    <w:p w14:paraId="3984A3D8" w14:textId="77777777" w:rsidR="00947FD0" w:rsidRDefault="00947FD0" w:rsidP="00947FD0">
      <w:pPr>
        <w:pStyle w:val="NormalWeb"/>
        <w:spacing w:line="480" w:lineRule="auto"/>
        <w:ind w:firstLine="360"/>
        <w:contextualSpacing/>
        <w:rPr>
          <w:bCs/>
        </w:rPr>
      </w:pPr>
      <w:r>
        <w:rPr>
          <w:bCs/>
        </w:rPr>
        <w:t>We identified 38 specific OTUs that varied significantly in rarified abundances between treatment groups from Kruskal-Wallis tests (</w:t>
      </w:r>
      <w:r w:rsidRPr="00657588">
        <w:rPr>
          <w:bCs/>
        </w:rPr>
        <w:t>Appendix S2</w:t>
      </w:r>
      <w:r>
        <w:rPr>
          <w:bCs/>
        </w:rPr>
        <w:t xml:space="preserve">). BLAST searches of these OTUs returned at least two strains of clinical interest. One OTU matched to </w:t>
      </w:r>
      <w:r w:rsidRPr="00E62DF2">
        <w:rPr>
          <w:bCs/>
          <w:i/>
          <w:iCs/>
        </w:rPr>
        <w:t>Bacteroides thetaiotaomicron</w:t>
      </w:r>
      <w:r>
        <w:rPr>
          <w:bCs/>
        </w:rPr>
        <w:t xml:space="preserve"> (mean reads per sample = 35.59 pre-release, 0.09 post-release, 0.09 wild) and the other </w:t>
      </w:r>
      <w:r w:rsidRPr="00E62DF2">
        <w:rPr>
          <w:bCs/>
          <w:i/>
          <w:iCs/>
        </w:rPr>
        <w:t>Providencia rettgeri</w:t>
      </w:r>
      <w:r>
        <w:rPr>
          <w:bCs/>
          <w:i/>
          <w:iCs/>
        </w:rPr>
        <w:t xml:space="preserve"> </w:t>
      </w:r>
      <w:r>
        <w:rPr>
          <w:bCs/>
        </w:rPr>
        <w:t>(mean reads per sample = 61.09 pre-release, 25.17 post-release, 0.30 wild). In both instances, bacterial strains with possible clinical significance in humans (Murphy et al. 2011; Ye et al. 2020) were found to be significantly more common in captive Texas horned lizards before reintroduction compared to after release or to wild conspecifics.</w:t>
      </w:r>
    </w:p>
    <w:p w14:paraId="308E686A" w14:textId="48D55842" w:rsidR="00947FD0" w:rsidRDefault="00947FD0" w:rsidP="00947FD0">
      <w:pPr>
        <w:pStyle w:val="NormalWeb"/>
        <w:spacing w:line="480" w:lineRule="auto"/>
        <w:ind w:firstLine="360"/>
        <w:contextualSpacing/>
        <w:rPr>
          <w:bCs/>
        </w:rPr>
      </w:pPr>
      <w:r>
        <w:rPr>
          <w:bCs/>
        </w:rPr>
        <w:t xml:space="preserve">To directly identify if captive Texas horned lizards harbored distinct microbiomes compared to wild conspecifics before release, we ran analyses looking at the pre-release and wild treatment groups exclusively. We found no significant differences in alpha diversity metrics examined including </w:t>
      </w:r>
      <w:r w:rsidRPr="00810EB9">
        <w:t>number of OTUs</w:t>
      </w:r>
      <w:r>
        <w:t xml:space="preserve"> (</w:t>
      </w:r>
      <w:r w:rsidRPr="003B5550">
        <w:rPr>
          <w:i/>
          <w:iCs/>
        </w:rPr>
        <w:t>F</w:t>
      </w:r>
      <w:r>
        <w:t xml:space="preserve"> = </w:t>
      </w:r>
      <w:r w:rsidRPr="007F1100">
        <w:rPr>
          <w:bCs/>
        </w:rPr>
        <w:t>0.453</w:t>
      </w:r>
      <w:r>
        <w:rPr>
          <w:bCs/>
        </w:rPr>
        <w:t xml:space="preserve">, </w:t>
      </w:r>
      <w:r>
        <w:rPr>
          <w:i/>
          <w:iCs/>
        </w:rPr>
        <w:t>P</w:t>
      </w:r>
      <w:r>
        <w:t xml:space="preserve"> = </w:t>
      </w:r>
      <w:r w:rsidRPr="003B5550">
        <w:t>0.</w:t>
      </w:r>
      <w:r>
        <w:t>505)</w:t>
      </w:r>
      <w:r w:rsidRPr="00810EB9">
        <w:t>, Shannon</w:t>
      </w:r>
      <w:r>
        <w:t xml:space="preserve"> index (</w:t>
      </w:r>
      <w:r w:rsidRPr="003B5550">
        <w:rPr>
          <w:i/>
          <w:iCs/>
        </w:rPr>
        <w:t>F</w:t>
      </w:r>
      <w:r>
        <w:t xml:space="preserve"> = </w:t>
      </w:r>
      <w:r w:rsidRPr="003B5550">
        <w:t>0.</w:t>
      </w:r>
      <w:r>
        <w:t xml:space="preserve">047, </w:t>
      </w:r>
      <w:r w:rsidRPr="003B5550">
        <w:rPr>
          <w:i/>
          <w:iCs/>
        </w:rPr>
        <w:t>P</w:t>
      </w:r>
      <w:r>
        <w:t xml:space="preserve"> =</w:t>
      </w:r>
      <w:r w:rsidRPr="003B5550">
        <w:t xml:space="preserve"> 0.</w:t>
      </w:r>
      <w:r>
        <w:t>830)</w:t>
      </w:r>
      <w:r w:rsidRPr="00810EB9">
        <w:t xml:space="preserve">, </w:t>
      </w:r>
      <w:r>
        <w:t>and</w:t>
      </w:r>
      <w:r w:rsidRPr="00810EB9">
        <w:t xml:space="preserve"> Faith’s PD</w:t>
      </w:r>
      <w:r>
        <w:t xml:space="preserve"> (</w:t>
      </w:r>
      <w:r w:rsidRPr="003B5550">
        <w:rPr>
          <w:i/>
          <w:iCs/>
        </w:rPr>
        <w:t>F</w:t>
      </w:r>
      <w:r>
        <w:t xml:space="preserve"> = </w:t>
      </w:r>
      <w:r w:rsidRPr="003B5550">
        <w:t>0.</w:t>
      </w:r>
      <w:r>
        <w:t xml:space="preserve">003, </w:t>
      </w:r>
      <w:r w:rsidRPr="003B5550">
        <w:rPr>
          <w:i/>
          <w:iCs/>
        </w:rPr>
        <w:t>P</w:t>
      </w:r>
      <w:r>
        <w:t xml:space="preserve"> =</w:t>
      </w:r>
      <w:r w:rsidRPr="003B5550">
        <w:t xml:space="preserve"> 0.</w:t>
      </w:r>
      <w:r>
        <w:t>960)</w:t>
      </w:r>
      <w:r>
        <w:rPr>
          <w:bCs/>
        </w:rPr>
        <w:t xml:space="preserve">. Gut microbial compositions were significantly distinct in </w:t>
      </w:r>
      <w:r w:rsidR="004B6BFE">
        <w:rPr>
          <w:bCs/>
        </w:rPr>
        <w:t>PERMANOVA findings</w:t>
      </w:r>
      <w:r>
        <w:rPr>
          <w:bCs/>
        </w:rPr>
        <w:t xml:space="preserve"> for weighted </w:t>
      </w:r>
      <w:r w:rsidRPr="00EF0F3C">
        <w:rPr>
          <w:bCs/>
        </w:rPr>
        <w:t>UniFrac (</w:t>
      </w:r>
      <w:r w:rsidRPr="00EF0F3C">
        <w:rPr>
          <w:i/>
          <w:iCs/>
        </w:rPr>
        <w:t>R</w:t>
      </w:r>
      <w:r w:rsidRPr="00EF0F3C">
        <w:rPr>
          <w:vertAlign w:val="superscript"/>
        </w:rPr>
        <w:t>2</w:t>
      </w:r>
      <w:r w:rsidRPr="00EF0F3C">
        <w:t xml:space="preserve"> = </w:t>
      </w:r>
      <w:r w:rsidRPr="00EF0F3C">
        <w:rPr>
          <w:bCs/>
        </w:rPr>
        <w:t xml:space="preserve">0.13633, </w:t>
      </w:r>
      <w:r w:rsidRPr="00EF0F3C">
        <w:rPr>
          <w:i/>
        </w:rPr>
        <w:t>P</w:t>
      </w:r>
      <w:r w:rsidRPr="00EF0F3C">
        <w:rPr>
          <w:iCs/>
        </w:rPr>
        <w:t xml:space="preserve"> =</w:t>
      </w:r>
      <w:r w:rsidRPr="00EF0F3C">
        <w:t xml:space="preserve"> </w:t>
      </w:r>
      <w:r w:rsidRPr="00EF0F3C">
        <w:rPr>
          <w:bCs/>
        </w:rPr>
        <w:t>0.001), unweighted UniFrac (</w:t>
      </w:r>
      <w:r w:rsidRPr="00EF0F3C">
        <w:rPr>
          <w:i/>
          <w:iCs/>
        </w:rPr>
        <w:t>R</w:t>
      </w:r>
      <w:r w:rsidRPr="00EF0F3C">
        <w:rPr>
          <w:vertAlign w:val="superscript"/>
        </w:rPr>
        <w:t>2</w:t>
      </w:r>
      <w:r w:rsidRPr="00EF0F3C">
        <w:t xml:space="preserve"> = </w:t>
      </w:r>
      <w:r w:rsidRPr="00EF0F3C">
        <w:rPr>
          <w:bCs/>
        </w:rPr>
        <w:t xml:space="preserve">0.16901, </w:t>
      </w:r>
      <w:r w:rsidRPr="00EF0F3C">
        <w:rPr>
          <w:i/>
        </w:rPr>
        <w:t>P</w:t>
      </w:r>
      <w:r w:rsidRPr="00EF0F3C">
        <w:rPr>
          <w:iCs/>
        </w:rPr>
        <w:t xml:space="preserve"> =</w:t>
      </w:r>
      <w:r w:rsidRPr="00EF0F3C">
        <w:t xml:space="preserve"> </w:t>
      </w:r>
      <w:r w:rsidRPr="00EF0F3C">
        <w:rPr>
          <w:bCs/>
        </w:rPr>
        <w:t>0.001), and Jaccard (</w:t>
      </w:r>
      <w:r w:rsidRPr="00EF0F3C">
        <w:rPr>
          <w:i/>
          <w:iCs/>
        </w:rPr>
        <w:t>R</w:t>
      </w:r>
      <w:r w:rsidRPr="00EF0F3C">
        <w:rPr>
          <w:vertAlign w:val="superscript"/>
        </w:rPr>
        <w:t>2</w:t>
      </w:r>
      <w:r w:rsidRPr="00EF0F3C">
        <w:t xml:space="preserve"> = </w:t>
      </w:r>
      <w:r w:rsidRPr="00EF0F3C">
        <w:rPr>
          <w:bCs/>
        </w:rPr>
        <w:t xml:space="preserve">0.18165, </w:t>
      </w:r>
      <w:r w:rsidRPr="00EF0F3C">
        <w:rPr>
          <w:i/>
        </w:rPr>
        <w:t>P</w:t>
      </w:r>
      <w:r w:rsidRPr="00EF0F3C">
        <w:rPr>
          <w:iCs/>
        </w:rPr>
        <w:t xml:space="preserve"> =</w:t>
      </w:r>
      <w:r w:rsidRPr="00EF0F3C">
        <w:t xml:space="preserve"> </w:t>
      </w:r>
      <w:r w:rsidRPr="00EF0F3C">
        <w:rPr>
          <w:bCs/>
        </w:rPr>
        <w:t>0.001) metrics.</w:t>
      </w:r>
      <w:r>
        <w:rPr>
          <w:bCs/>
        </w:rPr>
        <w:t xml:space="preserve"> Visual</w:t>
      </w:r>
      <w:r w:rsidR="00D70844">
        <w:rPr>
          <w:bCs/>
        </w:rPr>
        <w:t>iza</w:t>
      </w:r>
      <w:r>
        <w:rPr>
          <w:bCs/>
        </w:rPr>
        <w:t>tion of differences is apparent in PCoA plots (</w:t>
      </w:r>
      <w:r w:rsidRPr="00657588">
        <w:rPr>
          <w:bCs/>
        </w:rPr>
        <w:t xml:space="preserve">Fig. </w:t>
      </w:r>
      <w:r>
        <w:rPr>
          <w:bCs/>
        </w:rPr>
        <w:t>4</w:t>
      </w:r>
      <w:r w:rsidRPr="00657588">
        <w:rPr>
          <w:bCs/>
        </w:rPr>
        <w:t>A</w:t>
      </w:r>
      <w:r>
        <w:rPr>
          <w:bCs/>
        </w:rPr>
        <w:t>).</w:t>
      </w:r>
    </w:p>
    <w:p w14:paraId="62488744" w14:textId="56BD9739" w:rsidR="00947FD0" w:rsidRDefault="00947FD0" w:rsidP="00947FD0">
      <w:pPr>
        <w:pStyle w:val="NormalWeb"/>
        <w:spacing w:line="480" w:lineRule="auto"/>
        <w:ind w:firstLine="360"/>
        <w:contextualSpacing/>
        <w:rPr>
          <w:bCs/>
        </w:rPr>
      </w:pPr>
      <w:r>
        <w:rPr>
          <w:bCs/>
        </w:rPr>
        <w:t>We conducted additional analyses looking at headstart Texas horned lizards pre- and post-release to better understand gut microbial shifts associated with host reintroduction to native habitat on TAFB. Although there were still no differences in the Shannon index (</w:t>
      </w:r>
      <w:r>
        <w:rPr>
          <w:bCs/>
          <w:i/>
          <w:iCs/>
        </w:rPr>
        <w:t xml:space="preserve">F </w:t>
      </w:r>
      <w:r>
        <w:rPr>
          <w:bCs/>
        </w:rPr>
        <w:t xml:space="preserve">= </w:t>
      </w:r>
      <w:r w:rsidRPr="007F3466">
        <w:rPr>
          <w:bCs/>
        </w:rPr>
        <w:t>0.805</w:t>
      </w:r>
      <w:r>
        <w:rPr>
          <w:bCs/>
        </w:rPr>
        <w:t xml:space="preserve">, </w:t>
      </w:r>
      <w:r>
        <w:rPr>
          <w:bCs/>
          <w:i/>
          <w:iCs/>
        </w:rPr>
        <w:t xml:space="preserve">P </w:t>
      </w:r>
      <w:r>
        <w:rPr>
          <w:bCs/>
        </w:rPr>
        <w:t xml:space="preserve">= </w:t>
      </w:r>
      <w:r w:rsidRPr="007F3466">
        <w:rPr>
          <w:bCs/>
        </w:rPr>
        <w:t xml:space="preserve">  0.374</w:t>
      </w:r>
      <w:r>
        <w:rPr>
          <w:bCs/>
        </w:rPr>
        <w:t>) or Faith’s PD (</w:t>
      </w:r>
      <w:r w:rsidRPr="007F3466">
        <w:rPr>
          <w:bCs/>
          <w:i/>
          <w:iCs/>
        </w:rPr>
        <w:t>F</w:t>
      </w:r>
      <w:r>
        <w:rPr>
          <w:bCs/>
        </w:rPr>
        <w:t xml:space="preserve"> = </w:t>
      </w:r>
      <w:r w:rsidRPr="007F3466">
        <w:rPr>
          <w:bCs/>
        </w:rPr>
        <w:t>0.805</w:t>
      </w:r>
      <w:r>
        <w:rPr>
          <w:bCs/>
        </w:rPr>
        <w:t xml:space="preserve">, </w:t>
      </w:r>
      <w:r w:rsidRPr="007F3466">
        <w:rPr>
          <w:bCs/>
          <w:i/>
          <w:iCs/>
        </w:rPr>
        <w:t>P</w:t>
      </w:r>
      <w:r>
        <w:rPr>
          <w:bCs/>
        </w:rPr>
        <w:t xml:space="preserve"> =</w:t>
      </w:r>
      <w:r w:rsidRPr="007F3466">
        <w:rPr>
          <w:bCs/>
        </w:rPr>
        <w:t xml:space="preserve"> 0.374</w:t>
      </w:r>
      <w:r>
        <w:rPr>
          <w:bCs/>
        </w:rPr>
        <w:t>), we did find a significant increase in the number of observed OTUs after lizards were released from captivity (</w:t>
      </w:r>
      <w:r>
        <w:rPr>
          <w:bCs/>
          <w:i/>
          <w:iCs/>
        </w:rPr>
        <w:t xml:space="preserve">F </w:t>
      </w:r>
      <w:r>
        <w:rPr>
          <w:bCs/>
        </w:rPr>
        <w:t xml:space="preserve">= 4.517, </w:t>
      </w:r>
      <w:r w:rsidRPr="00A33D63">
        <w:rPr>
          <w:i/>
          <w:iCs/>
        </w:rPr>
        <w:t xml:space="preserve">P </w:t>
      </w:r>
      <w:r>
        <w:t>=</w:t>
      </w:r>
      <w:r w:rsidRPr="00A33D63">
        <w:t xml:space="preserve"> 0.0</w:t>
      </w:r>
      <w:r>
        <w:t>39; mean reads pre-release = 84, post-release = 97</w:t>
      </w:r>
      <w:r>
        <w:rPr>
          <w:bCs/>
        </w:rPr>
        <w:t xml:space="preserve">). Beta diversity metrics were again statistically distinct </w:t>
      </w:r>
      <w:r w:rsidR="004B6BFE">
        <w:rPr>
          <w:bCs/>
        </w:rPr>
        <w:t>in PERMANOVA</w:t>
      </w:r>
      <w:r>
        <w:rPr>
          <w:bCs/>
        </w:rPr>
        <w:t xml:space="preserve"> tests of weighted UniFrac (</w:t>
      </w:r>
      <w:r w:rsidRPr="00EF0F3C">
        <w:rPr>
          <w:i/>
          <w:iCs/>
        </w:rPr>
        <w:t>R</w:t>
      </w:r>
      <w:r w:rsidRPr="00EF0F3C">
        <w:rPr>
          <w:vertAlign w:val="superscript"/>
        </w:rPr>
        <w:t>2</w:t>
      </w:r>
      <w:r w:rsidRPr="00EF0F3C">
        <w:t xml:space="preserve"> = </w:t>
      </w:r>
      <w:r w:rsidRPr="00EF0F3C">
        <w:rPr>
          <w:bCs/>
        </w:rPr>
        <w:t>0.11267</w:t>
      </w:r>
      <w:r>
        <w:rPr>
          <w:bCs/>
        </w:rPr>
        <w:t xml:space="preserve">, </w:t>
      </w:r>
      <w:r w:rsidRPr="00EF0F3C">
        <w:rPr>
          <w:i/>
        </w:rPr>
        <w:t>P</w:t>
      </w:r>
      <w:r w:rsidRPr="00EF0F3C">
        <w:rPr>
          <w:iCs/>
        </w:rPr>
        <w:t xml:space="preserve"> =</w:t>
      </w:r>
      <w:r w:rsidRPr="00EF0F3C">
        <w:t xml:space="preserve"> </w:t>
      </w:r>
      <w:r w:rsidRPr="00EF0F3C">
        <w:rPr>
          <w:bCs/>
        </w:rPr>
        <w:t>0.002</w:t>
      </w:r>
      <w:r>
        <w:rPr>
          <w:bCs/>
        </w:rPr>
        <w:t>), unweighted UniFrac (</w:t>
      </w:r>
      <w:r w:rsidRPr="00EF0F3C">
        <w:rPr>
          <w:i/>
          <w:iCs/>
        </w:rPr>
        <w:t>R</w:t>
      </w:r>
      <w:r w:rsidRPr="00EF0F3C">
        <w:rPr>
          <w:vertAlign w:val="superscript"/>
        </w:rPr>
        <w:t>2</w:t>
      </w:r>
      <w:r w:rsidRPr="00EF0F3C">
        <w:t xml:space="preserve"> = </w:t>
      </w:r>
      <w:r w:rsidRPr="00F46E79">
        <w:rPr>
          <w:bCs/>
        </w:rPr>
        <w:t>0.12541</w:t>
      </w:r>
      <w:r>
        <w:rPr>
          <w:bCs/>
        </w:rPr>
        <w:t>,</w:t>
      </w:r>
      <w:r w:rsidRPr="00F46E79">
        <w:rPr>
          <w:i/>
        </w:rPr>
        <w:t xml:space="preserve"> </w:t>
      </w:r>
      <w:r w:rsidRPr="00EF0F3C">
        <w:rPr>
          <w:i/>
        </w:rPr>
        <w:t>P</w:t>
      </w:r>
      <w:r w:rsidRPr="00EF0F3C">
        <w:rPr>
          <w:iCs/>
        </w:rPr>
        <w:t xml:space="preserve"> =</w:t>
      </w:r>
      <w:r w:rsidRPr="00EF0F3C">
        <w:t xml:space="preserve"> </w:t>
      </w:r>
      <w:r w:rsidRPr="00F46E79">
        <w:rPr>
          <w:bCs/>
        </w:rPr>
        <w:t>0.001</w:t>
      </w:r>
      <w:r>
        <w:rPr>
          <w:bCs/>
        </w:rPr>
        <w:t>), and Jaccard distances (</w:t>
      </w:r>
      <w:r w:rsidRPr="00EF0F3C">
        <w:rPr>
          <w:i/>
          <w:iCs/>
        </w:rPr>
        <w:t>R</w:t>
      </w:r>
      <w:r w:rsidRPr="00EF0F3C">
        <w:rPr>
          <w:vertAlign w:val="superscript"/>
        </w:rPr>
        <w:t>2</w:t>
      </w:r>
      <w:r w:rsidRPr="00EF0F3C">
        <w:t xml:space="preserve"> = </w:t>
      </w:r>
      <w:r w:rsidRPr="00F46E79">
        <w:rPr>
          <w:bCs/>
        </w:rPr>
        <w:t>0.11673</w:t>
      </w:r>
      <w:r>
        <w:rPr>
          <w:bCs/>
        </w:rPr>
        <w:t>,</w:t>
      </w:r>
      <w:r w:rsidRPr="00F46E79">
        <w:rPr>
          <w:i/>
        </w:rPr>
        <w:t xml:space="preserve"> </w:t>
      </w:r>
      <w:r w:rsidRPr="00EF0F3C">
        <w:rPr>
          <w:i/>
        </w:rPr>
        <w:t>P</w:t>
      </w:r>
      <w:r w:rsidRPr="00EF0F3C">
        <w:rPr>
          <w:iCs/>
        </w:rPr>
        <w:t xml:space="preserve"> =</w:t>
      </w:r>
      <w:r w:rsidRPr="00EF0F3C">
        <w:t xml:space="preserve"> </w:t>
      </w:r>
      <w:r w:rsidRPr="00F46E79">
        <w:rPr>
          <w:bCs/>
        </w:rPr>
        <w:t>0.001</w:t>
      </w:r>
      <w:r>
        <w:rPr>
          <w:bCs/>
        </w:rPr>
        <w:t>) and clustering in PCoA plots was somewhat apparent in all three indices used (</w:t>
      </w:r>
      <w:r w:rsidRPr="00583D5B">
        <w:rPr>
          <w:bCs/>
        </w:rPr>
        <w:t xml:space="preserve">Fig. </w:t>
      </w:r>
      <w:r>
        <w:rPr>
          <w:bCs/>
        </w:rPr>
        <w:t>4</w:t>
      </w:r>
      <w:r w:rsidRPr="00583D5B">
        <w:rPr>
          <w:bCs/>
        </w:rPr>
        <w:t>B</w:t>
      </w:r>
      <w:r>
        <w:rPr>
          <w:bCs/>
        </w:rPr>
        <w:t>).</w:t>
      </w:r>
    </w:p>
    <w:p w14:paraId="137A36F7" w14:textId="1320F719" w:rsidR="00947FD0" w:rsidRDefault="00947FD0" w:rsidP="00947FD0">
      <w:pPr>
        <w:pStyle w:val="NormalWeb"/>
        <w:spacing w:line="480" w:lineRule="auto"/>
        <w:ind w:firstLine="360"/>
        <w:contextualSpacing/>
        <w:rPr>
          <w:bCs/>
        </w:rPr>
      </w:pPr>
      <w:r>
        <w:rPr>
          <w:bCs/>
        </w:rPr>
        <w:t xml:space="preserve">Finally, we sought to determine if gut microbial compositions in headstart Texas horned lizards had shifted after release to align with wild counterparts more closely within three months of reintroduction by comparing post-release samples with wild ones. We found no significant differences in </w:t>
      </w:r>
      <w:r>
        <w:t>observed</w:t>
      </w:r>
      <w:r w:rsidRPr="00810EB9">
        <w:t xml:space="preserve"> OTUs</w:t>
      </w:r>
      <w:r>
        <w:t xml:space="preserve"> (</w:t>
      </w:r>
      <w:r w:rsidRPr="003B5550">
        <w:rPr>
          <w:i/>
          <w:iCs/>
        </w:rPr>
        <w:t>F</w:t>
      </w:r>
      <w:r>
        <w:t xml:space="preserve"> = </w:t>
      </w:r>
      <w:r>
        <w:rPr>
          <w:bCs/>
        </w:rPr>
        <w:t xml:space="preserve">1.402, </w:t>
      </w:r>
      <w:r>
        <w:rPr>
          <w:i/>
          <w:iCs/>
        </w:rPr>
        <w:t>P</w:t>
      </w:r>
      <w:r>
        <w:t xml:space="preserve"> = </w:t>
      </w:r>
      <w:r w:rsidRPr="003B5550">
        <w:t>0.</w:t>
      </w:r>
      <w:r>
        <w:t>243)</w:t>
      </w:r>
      <w:r w:rsidRPr="00810EB9">
        <w:t>, Shannon</w:t>
      </w:r>
      <w:r>
        <w:t xml:space="preserve"> index (</w:t>
      </w:r>
      <w:r w:rsidRPr="003B5550">
        <w:rPr>
          <w:i/>
          <w:iCs/>
        </w:rPr>
        <w:t>F</w:t>
      </w:r>
      <w:r>
        <w:t xml:space="preserve"> = 1.020, </w:t>
      </w:r>
      <w:r w:rsidRPr="003B5550">
        <w:rPr>
          <w:i/>
          <w:iCs/>
        </w:rPr>
        <w:t>P</w:t>
      </w:r>
      <w:r>
        <w:t xml:space="preserve"> =</w:t>
      </w:r>
      <w:r w:rsidRPr="003B5550">
        <w:t xml:space="preserve"> 0.</w:t>
      </w:r>
      <w:r>
        <w:t>318)</w:t>
      </w:r>
      <w:r w:rsidRPr="00810EB9">
        <w:t xml:space="preserve">, </w:t>
      </w:r>
      <w:r>
        <w:t>and</w:t>
      </w:r>
      <w:r w:rsidRPr="00810EB9">
        <w:t xml:space="preserve"> Faith’s PD</w:t>
      </w:r>
      <w:r>
        <w:t xml:space="preserve"> (</w:t>
      </w:r>
      <w:r w:rsidRPr="003B5550">
        <w:rPr>
          <w:i/>
          <w:iCs/>
        </w:rPr>
        <w:t>F</w:t>
      </w:r>
      <w:r>
        <w:t xml:space="preserve"> = </w:t>
      </w:r>
      <w:r w:rsidRPr="003B5550">
        <w:t>0.</w:t>
      </w:r>
      <w:r>
        <w:t xml:space="preserve">851, </w:t>
      </w:r>
      <w:r w:rsidRPr="003B5550">
        <w:rPr>
          <w:i/>
          <w:iCs/>
        </w:rPr>
        <w:t>P</w:t>
      </w:r>
      <w:r>
        <w:t xml:space="preserve"> =</w:t>
      </w:r>
      <w:r w:rsidRPr="003B5550">
        <w:t xml:space="preserve"> 0.</w:t>
      </w:r>
      <w:r>
        <w:t>361)</w:t>
      </w:r>
      <w:r>
        <w:rPr>
          <w:bCs/>
        </w:rPr>
        <w:t xml:space="preserve">. Significant statistical distinctions were recovered </w:t>
      </w:r>
      <w:r w:rsidR="004B6BFE">
        <w:rPr>
          <w:bCs/>
        </w:rPr>
        <w:t>via PERMANOVA</w:t>
      </w:r>
      <w:r>
        <w:rPr>
          <w:bCs/>
        </w:rPr>
        <w:t xml:space="preserve"> though weaker compared to previous pair-wise comparisons in weighted UniFrac (</w:t>
      </w:r>
      <w:r w:rsidRPr="00EF0F3C">
        <w:rPr>
          <w:i/>
          <w:iCs/>
        </w:rPr>
        <w:t>R</w:t>
      </w:r>
      <w:r w:rsidRPr="00EF0F3C">
        <w:rPr>
          <w:vertAlign w:val="superscript"/>
        </w:rPr>
        <w:t>2</w:t>
      </w:r>
      <w:r w:rsidRPr="00EF0F3C">
        <w:t xml:space="preserve"> = </w:t>
      </w:r>
      <w:r w:rsidRPr="00EF10A3">
        <w:rPr>
          <w:bCs/>
        </w:rPr>
        <w:t>0.09679</w:t>
      </w:r>
      <w:r>
        <w:rPr>
          <w:bCs/>
        </w:rPr>
        <w:t>,</w:t>
      </w:r>
      <w:r w:rsidRPr="00EF10A3">
        <w:rPr>
          <w:i/>
        </w:rPr>
        <w:t xml:space="preserve"> </w:t>
      </w:r>
      <w:r w:rsidRPr="00EF0F3C">
        <w:rPr>
          <w:i/>
        </w:rPr>
        <w:t>P</w:t>
      </w:r>
      <w:r w:rsidRPr="00EF0F3C">
        <w:rPr>
          <w:iCs/>
        </w:rPr>
        <w:t xml:space="preserve"> =</w:t>
      </w:r>
      <w:r w:rsidRPr="00EF0F3C">
        <w:t xml:space="preserve"> </w:t>
      </w:r>
      <w:r w:rsidRPr="00EF10A3">
        <w:rPr>
          <w:bCs/>
        </w:rPr>
        <w:t>0.004</w:t>
      </w:r>
      <w:r>
        <w:rPr>
          <w:bCs/>
        </w:rPr>
        <w:t>), unweighted UniFrac (</w:t>
      </w:r>
      <w:r w:rsidRPr="00EF0F3C">
        <w:rPr>
          <w:i/>
          <w:iCs/>
        </w:rPr>
        <w:t>R</w:t>
      </w:r>
      <w:r w:rsidRPr="00EF0F3C">
        <w:rPr>
          <w:vertAlign w:val="superscript"/>
        </w:rPr>
        <w:t>2</w:t>
      </w:r>
      <w:r w:rsidRPr="00EF0F3C">
        <w:t xml:space="preserve"> = </w:t>
      </w:r>
      <w:r w:rsidRPr="00EF10A3">
        <w:rPr>
          <w:bCs/>
        </w:rPr>
        <w:t>0.08134</w:t>
      </w:r>
      <w:r>
        <w:rPr>
          <w:bCs/>
        </w:rPr>
        <w:t>,</w:t>
      </w:r>
      <w:r w:rsidRPr="00EF10A3">
        <w:rPr>
          <w:i/>
        </w:rPr>
        <w:t xml:space="preserve"> </w:t>
      </w:r>
      <w:r w:rsidRPr="00EF0F3C">
        <w:rPr>
          <w:i/>
        </w:rPr>
        <w:t>P</w:t>
      </w:r>
      <w:r w:rsidRPr="00EF0F3C">
        <w:rPr>
          <w:iCs/>
        </w:rPr>
        <w:t xml:space="preserve"> =</w:t>
      </w:r>
      <w:r w:rsidRPr="00EF0F3C">
        <w:t xml:space="preserve"> </w:t>
      </w:r>
      <w:r w:rsidRPr="00EF10A3">
        <w:rPr>
          <w:bCs/>
        </w:rPr>
        <w:t>0.001</w:t>
      </w:r>
      <w:r>
        <w:rPr>
          <w:bCs/>
        </w:rPr>
        <w:t>), and Jaccard indices (</w:t>
      </w:r>
      <w:r w:rsidRPr="00EF0F3C">
        <w:rPr>
          <w:i/>
          <w:iCs/>
        </w:rPr>
        <w:t>R</w:t>
      </w:r>
      <w:r w:rsidRPr="00EF0F3C">
        <w:rPr>
          <w:vertAlign w:val="superscript"/>
        </w:rPr>
        <w:t>2</w:t>
      </w:r>
      <w:r w:rsidRPr="00EF0F3C">
        <w:t xml:space="preserve"> = </w:t>
      </w:r>
      <w:r w:rsidRPr="00EF10A3">
        <w:rPr>
          <w:bCs/>
        </w:rPr>
        <w:t>0.09054</w:t>
      </w:r>
      <w:r>
        <w:rPr>
          <w:bCs/>
        </w:rPr>
        <w:t>,</w:t>
      </w:r>
      <w:r w:rsidRPr="00EF10A3">
        <w:rPr>
          <w:i/>
        </w:rPr>
        <w:t xml:space="preserve"> </w:t>
      </w:r>
      <w:r w:rsidRPr="00EF0F3C">
        <w:rPr>
          <w:i/>
        </w:rPr>
        <w:t>P</w:t>
      </w:r>
      <w:r w:rsidRPr="00EF0F3C">
        <w:rPr>
          <w:iCs/>
        </w:rPr>
        <w:t xml:space="preserve"> =</w:t>
      </w:r>
      <w:r w:rsidRPr="00EF0F3C">
        <w:t xml:space="preserve"> </w:t>
      </w:r>
      <w:r w:rsidRPr="00EF10A3">
        <w:rPr>
          <w:bCs/>
        </w:rPr>
        <w:t>0.001</w:t>
      </w:r>
      <w:r>
        <w:rPr>
          <w:bCs/>
        </w:rPr>
        <w:t>). Interestingly, clusters were not readily distinguishable in PCoA plots (</w:t>
      </w:r>
      <w:r w:rsidRPr="00583D5B">
        <w:rPr>
          <w:bCs/>
        </w:rPr>
        <w:t xml:space="preserve">Fig. </w:t>
      </w:r>
      <w:r>
        <w:rPr>
          <w:bCs/>
        </w:rPr>
        <w:t>4</w:t>
      </w:r>
      <w:r w:rsidRPr="00583D5B">
        <w:rPr>
          <w:bCs/>
        </w:rPr>
        <w:t>C</w:t>
      </w:r>
      <w:r>
        <w:rPr>
          <w:bCs/>
        </w:rPr>
        <w:t>).</w:t>
      </w:r>
    </w:p>
    <w:p w14:paraId="529B4D7D" w14:textId="77777777" w:rsidR="00947FD0" w:rsidRDefault="00947FD0" w:rsidP="00947FD0">
      <w:pPr>
        <w:pStyle w:val="NormalWeb"/>
        <w:spacing w:line="480" w:lineRule="auto"/>
        <w:contextualSpacing/>
        <w:rPr>
          <w:b/>
          <w:bCs/>
        </w:rPr>
      </w:pPr>
    </w:p>
    <w:p w14:paraId="2AF8913F" w14:textId="77777777" w:rsidR="00947FD0" w:rsidRPr="00F862E9" w:rsidRDefault="00947FD0" w:rsidP="00947FD0">
      <w:pPr>
        <w:pStyle w:val="NormalWeb"/>
        <w:spacing w:line="480" w:lineRule="auto"/>
        <w:contextualSpacing/>
        <w:rPr>
          <w:b/>
        </w:rPr>
      </w:pPr>
      <w:r w:rsidRPr="00F862E9">
        <w:rPr>
          <w:b/>
        </w:rPr>
        <w:t xml:space="preserve">Comparison of microbiota </w:t>
      </w:r>
      <w:r>
        <w:rPr>
          <w:b/>
        </w:rPr>
        <w:t>individually in headstart lizards pre- and post-release</w:t>
      </w:r>
    </w:p>
    <w:p w14:paraId="1CE8F9C0" w14:textId="07E7F348" w:rsidR="00947FD0" w:rsidRPr="008F7D8E" w:rsidRDefault="00947FD0" w:rsidP="00947FD0">
      <w:pPr>
        <w:pStyle w:val="NormalWeb"/>
        <w:spacing w:line="480" w:lineRule="auto"/>
        <w:contextualSpacing/>
        <w:rPr>
          <w:bCs/>
        </w:rPr>
      </w:pPr>
      <w:r>
        <w:rPr>
          <w:bCs/>
        </w:rPr>
        <w:t>We found that most individuals (5/8) sampled both before and after translocation displayed a consistent pattern of increased average observed OTUs after reintroduction to native habitat on TAFB (</w:t>
      </w:r>
      <w:r w:rsidRPr="00791D04">
        <w:rPr>
          <w:bCs/>
        </w:rPr>
        <w:t xml:space="preserve">Fig. </w:t>
      </w:r>
      <w:r>
        <w:rPr>
          <w:bCs/>
        </w:rPr>
        <w:t xml:space="preserve">5). In comparing beta diversity metrics within individuals pre- and post-release, results were less consistent. Due to limited sample sizes within individuals, </w:t>
      </w:r>
      <w:r w:rsidR="004B6BFE">
        <w:rPr>
          <w:bCs/>
        </w:rPr>
        <w:t xml:space="preserve">PERMANOVA analyses </w:t>
      </w:r>
      <w:r>
        <w:rPr>
          <w:bCs/>
        </w:rPr>
        <w:t>were not always possible. However, most lizards displayed patterns of distinct clustering in microbiome composition pre-release and less apparent separation between post-release and wild conspecific samples in PCoA plots of beta diversity metrics (</w:t>
      </w:r>
      <w:r w:rsidRPr="00791D04">
        <w:t xml:space="preserve">Fig. </w:t>
      </w:r>
      <w:r w:rsidRPr="00791D04">
        <w:rPr>
          <w:bCs/>
        </w:rPr>
        <w:t>S</w:t>
      </w:r>
      <w:r>
        <w:rPr>
          <w:bCs/>
        </w:rPr>
        <w:t xml:space="preserve">1). This tendency was especially clear in individual ID 849-11, the lizard with the most complete sampling time series before and after release (seven samples from captivity, four following release; </w:t>
      </w:r>
      <w:r w:rsidRPr="00791D04">
        <w:t xml:space="preserve">Fig. </w:t>
      </w:r>
      <w:r>
        <w:rPr>
          <w:bCs/>
        </w:rPr>
        <w:t>6</w:t>
      </w:r>
      <w:r w:rsidRPr="00791D04">
        <w:t>).</w:t>
      </w:r>
      <w:r w:rsidRPr="00370991">
        <w:rPr>
          <w:bCs/>
        </w:rPr>
        <w:t xml:space="preserve"> </w:t>
      </w:r>
      <w:r>
        <w:rPr>
          <w:bCs/>
        </w:rPr>
        <w:t xml:space="preserve">We found significant statistical distinction in this individual pre-release and post-release and wild </w:t>
      </w:r>
      <w:r w:rsidR="00D70844">
        <w:rPr>
          <w:bCs/>
        </w:rPr>
        <w:t>conspecifics</w:t>
      </w:r>
      <w:r>
        <w:rPr>
          <w:bCs/>
        </w:rPr>
        <w:t xml:space="preserve"> in weighted UniFrac (</w:t>
      </w:r>
      <w:r w:rsidRPr="00EF0F3C">
        <w:rPr>
          <w:i/>
          <w:iCs/>
        </w:rPr>
        <w:t>R</w:t>
      </w:r>
      <w:r w:rsidRPr="00EF0F3C">
        <w:rPr>
          <w:vertAlign w:val="superscript"/>
        </w:rPr>
        <w:t>2</w:t>
      </w:r>
      <w:r w:rsidRPr="00EF0F3C">
        <w:t xml:space="preserve"> = </w:t>
      </w:r>
      <w:r w:rsidRPr="00370991">
        <w:rPr>
          <w:bCs/>
        </w:rPr>
        <w:t>0.22854</w:t>
      </w:r>
      <w:r>
        <w:rPr>
          <w:bCs/>
        </w:rPr>
        <w:t>,</w:t>
      </w:r>
      <w:r w:rsidRPr="00EF10A3">
        <w:rPr>
          <w:i/>
        </w:rPr>
        <w:t xml:space="preserve"> </w:t>
      </w:r>
      <w:r w:rsidRPr="00EF0F3C">
        <w:rPr>
          <w:i/>
        </w:rPr>
        <w:t>P</w:t>
      </w:r>
      <w:r w:rsidRPr="00EF0F3C">
        <w:rPr>
          <w:iCs/>
        </w:rPr>
        <w:t xml:space="preserve"> =</w:t>
      </w:r>
      <w:r w:rsidRPr="00EF0F3C">
        <w:t xml:space="preserve"> </w:t>
      </w:r>
      <w:r w:rsidRPr="00370991">
        <w:rPr>
          <w:bCs/>
        </w:rPr>
        <w:t>0.002</w:t>
      </w:r>
      <w:r>
        <w:rPr>
          <w:bCs/>
        </w:rPr>
        <w:t>), unweighted UniFrac (</w:t>
      </w:r>
      <w:r w:rsidRPr="00EF0F3C">
        <w:rPr>
          <w:i/>
          <w:iCs/>
        </w:rPr>
        <w:t>R</w:t>
      </w:r>
      <w:r w:rsidRPr="00EF0F3C">
        <w:rPr>
          <w:vertAlign w:val="superscript"/>
        </w:rPr>
        <w:t>2</w:t>
      </w:r>
      <w:r w:rsidRPr="00EF0F3C">
        <w:t xml:space="preserve"> = </w:t>
      </w:r>
      <w:r w:rsidRPr="00370991">
        <w:rPr>
          <w:bCs/>
        </w:rPr>
        <w:t>0.22365</w:t>
      </w:r>
      <w:r>
        <w:rPr>
          <w:bCs/>
        </w:rPr>
        <w:t>,</w:t>
      </w:r>
      <w:r w:rsidRPr="00EF10A3">
        <w:rPr>
          <w:i/>
        </w:rPr>
        <w:t xml:space="preserve"> </w:t>
      </w:r>
      <w:r w:rsidRPr="00EF0F3C">
        <w:rPr>
          <w:i/>
        </w:rPr>
        <w:t>P</w:t>
      </w:r>
      <w:r w:rsidRPr="00EF0F3C">
        <w:rPr>
          <w:iCs/>
        </w:rPr>
        <w:t xml:space="preserve"> =</w:t>
      </w:r>
      <w:r w:rsidRPr="00EF0F3C">
        <w:t xml:space="preserve"> </w:t>
      </w:r>
      <w:r w:rsidRPr="00370991">
        <w:rPr>
          <w:bCs/>
        </w:rPr>
        <w:t>0.001</w:t>
      </w:r>
      <w:r>
        <w:rPr>
          <w:bCs/>
        </w:rPr>
        <w:t>), and Jaccard indices (</w:t>
      </w:r>
      <w:r w:rsidRPr="00EF0F3C">
        <w:rPr>
          <w:i/>
          <w:iCs/>
        </w:rPr>
        <w:t>R</w:t>
      </w:r>
      <w:r w:rsidRPr="00EF0F3C">
        <w:rPr>
          <w:vertAlign w:val="superscript"/>
        </w:rPr>
        <w:t>2</w:t>
      </w:r>
      <w:r w:rsidRPr="00EF0F3C">
        <w:t xml:space="preserve"> = </w:t>
      </w:r>
      <w:r w:rsidRPr="00370991">
        <w:rPr>
          <w:bCs/>
        </w:rPr>
        <w:t>0.25157</w:t>
      </w:r>
      <w:r>
        <w:rPr>
          <w:bCs/>
        </w:rPr>
        <w:t>,</w:t>
      </w:r>
      <w:r w:rsidRPr="00EF10A3">
        <w:rPr>
          <w:i/>
        </w:rPr>
        <w:t xml:space="preserve"> </w:t>
      </w:r>
      <w:r w:rsidRPr="00EF0F3C">
        <w:rPr>
          <w:i/>
        </w:rPr>
        <w:t>P</w:t>
      </w:r>
      <w:r w:rsidRPr="00EF0F3C">
        <w:rPr>
          <w:iCs/>
        </w:rPr>
        <w:t xml:space="preserve"> =</w:t>
      </w:r>
      <w:r w:rsidRPr="00EF0F3C">
        <w:t xml:space="preserve"> </w:t>
      </w:r>
      <w:r w:rsidRPr="00EF10A3">
        <w:rPr>
          <w:bCs/>
        </w:rPr>
        <w:t>0.001</w:t>
      </w:r>
      <w:r>
        <w:rPr>
          <w:bCs/>
        </w:rPr>
        <w:t>).</w:t>
      </w:r>
    </w:p>
    <w:p w14:paraId="30C208C0" w14:textId="77777777" w:rsidR="00947FD0" w:rsidRPr="00F4074E" w:rsidRDefault="00947FD0" w:rsidP="00947FD0">
      <w:pPr>
        <w:pStyle w:val="NormalWeb"/>
        <w:spacing w:line="480" w:lineRule="auto"/>
        <w:ind w:firstLine="360"/>
        <w:contextualSpacing/>
        <w:rPr>
          <w:bCs/>
        </w:rPr>
      </w:pPr>
    </w:p>
    <w:p w14:paraId="1ED68AF7" w14:textId="77777777" w:rsidR="00947FD0" w:rsidRDefault="00947FD0" w:rsidP="00947FD0">
      <w:pPr>
        <w:pStyle w:val="NormalWeb"/>
        <w:spacing w:line="480" w:lineRule="auto"/>
        <w:contextualSpacing/>
        <w:rPr>
          <w:b/>
          <w:bCs/>
        </w:rPr>
      </w:pPr>
      <w:r w:rsidRPr="00C21098">
        <w:rPr>
          <w:b/>
          <w:bCs/>
        </w:rPr>
        <w:t>DISCUSSION</w:t>
      </w:r>
    </w:p>
    <w:p w14:paraId="279DD7B6" w14:textId="77777777" w:rsidR="00947FD0" w:rsidRDefault="00947FD0" w:rsidP="00947FD0">
      <w:pPr>
        <w:pStyle w:val="NormalWeb"/>
        <w:spacing w:line="480" w:lineRule="auto"/>
        <w:contextualSpacing/>
      </w:pPr>
      <w:r>
        <w:t>In this study, we show that captive-reared Texas horned lizards at the OKC Zoo harbored microbial communities that were similarly diverse yet compositionally distinct from wild counterparts. Interestingly, this distinction largely faded within three months of host reintroductions to native habitat on TAFB (</w:t>
      </w:r>
      <w:r w:rsidRPr="00791D04">
        <w:t xml:space="preserve">Figs. </w:t>
      </w:r>
      <w:r>
        <w:t>3</w:t>
      </w:r>
      <w:r w:rsidRPr="00791D04">
        <w:t xml:space="preserve">, </w:t>
      </w:r>
      <w:r>
        <w:t>4). By the end of one active season, headstarted Texas horned lizards had microbial compositions that closely reflected wild conspecifics as indicated by lessened Jaccard distinctions and weakened PERMANOVA differentiation in all three beta diversity metrics. Our findings on gut microbiota from a headstart program thus have major implications for the study of gut microbiomes in future conservation initiatives (</w:t>
      </w:r>
      <w:r w:rsidRPr="002C507D">
        <w:t xml:space="preserve">Redford et al. 2012; Bahrndorff et al. 2016; Jiménez </w:t>
      </w:r>
      <w:r>
        <w:t>and</w:t>
      </w:r>
      <w:r w:rsidRPr="002C507D">
        <w:t xml:space="preserve"> Sommer 2017; West et al. 2019</w:t>
      </w:r>
      <w:r>
        <w:t xml:space="preserve">; </w:t>
      </w:r>
      <w:r w:rsidRPr="002C507D">
        <w:t>Dallas and Warne 2022).</w:t>
      </w:r>
    </w:p>
    <w:p w14:paraId="6D691A83" w14:textId="77777777" w:rsidR="00947FD0" w:rsidRDefault="00947FD0" w:rsidP="00947FD0">
      <w:pPr>
        <w:pStyle w:val="NormalWeb"/>
        <w:spacing w:line="480" w:lineRule="auto"/>
        <w:ind w:firstLine="360"/>
        <w:contextualSpacing/>
      </w:pPr>
      <w:r>
        <w:t>A well-established body of evidence supports that captivity alters gut microbiomes in species across a broad taxonomic spectrum including reptiles (</w:t>
      </w:r>
      <w:r w:rsidRPr="00A37734">
        <w:t>Alfano et al. 2015; Cheng et al. 2015; Clayton et al. 2016; Kueneman</w:t>
      </w:r>
      <w:r>
        <w:t xml:space="preserve"> et al. 2016; Jiang et al. 2017; Kohl et al. 2017; </w:t>
      </w:r>
      <w:r w:rsidRPr="00A37734">
        <w:t>McKenzie et al. 2017</w:t>
      </w:r>
      <w:r>
        <w:t>;</w:t>
      </w:r>
      <w:r w:rsidRPr="0011442D">
        <w:t xml:space="preserve"> </w:t>
      </w:r>
      <w:r>
        <w:t>Fong et al. 2020; Eliades et al. 2021). Furthering this trend, we found that fecal samples from captive Texas horned lizards showed distinct communities in beta diversity metrics compared to wild counterparts and even samples collected from hosts after reintroduction to TAFB. We show that Firmicutes and Bacteroidetes dominate the gut microbiomes of captive and wild Texas horned lizards alike, and Jaccard distances suggest that rare OTUs were most different between pre-release and wild treatment groups, while post-release and wild lizards were most similar in microbial compositions. Limited differences in alpha diversity and apparent differences in beta metrics have been found in other captive reptile species, including those of conservation significance (Kohl et al. 2017; Fong et al. 2020; Eliades et al. 2021).</w:t>
      </w:r>
    </w:p>
    <w:p w14:paraId="742AF2AC" w14:textId="77777777" w:rsidR="00947FD0" w:rsidRDefault="00947FD0" w:rsidP="00947FD0">
      <w:pPr>
        <w:pStyle w:val="NormalWeb"/>
        <w:spacing w:line="480" w:lineRule="auto"/>
        <w:ind w:firstLine="360"/>
        <w:contextualSpacing/>
      </w:pPr>
      <w:r>
        <w:t xml:space="preserve">We identified several OTUs including potential pathogens that differed significantly in abundances between pre-release, post-release, and wild Texas horned lizard treatment groups </w:t>
      </w:r>
      <w:r w:rsidRPr="009A7FD5">
        <w:t>(Appendix S2</w:t>
      </w:r>
      <w:r>
        <w:t xml:space="preserve">). In two cases, possible pathogenic bacteria identified as </w:t>
      </w:r>
      <w:r w:rsidRPr="00E62DF2">
        <w:rPr>
          <w:bCs/>
          <w:i/>
          <w:iCs/>
        </w:rPr>
        <w:t>Bacteroides thetaiotaomicron</w:t>
      </w:r>
      <w:r>
        <w:rPr>
          <w:bCs/>
        </w:rPr>
        <w:t xml:space="preserve"> and </w:t>
      </w:r>
      <w:r w:rsidRPr="00E62DF2">
        <w:rPr>
          <w:bCs/>
          <w:i/>
          <w:iCs/>
        </w:rPr>
        <w:t>Providencia rettgeri</w:t>
      </w:r>
      <w:r>
        <w:rPr>
          <w:bCs/>
          <w:i/>
          <w:iCs/>
        </w:rPr>
        <w:t xml:space="preserve"> </w:t>
      </w:r>
      <w:r>
        <w:t>were found readily in captive lizards at the OKC Zoo but rarely in individuals after translocation or in wild individuals on TAFB. Previous studies of microbiota in captive reptiles suggest that the introduction of potential pathogens to animals in human care may not be uncommon (Jiang et al. 2017; Kohl et al. 2017; Fong et al. 2020;</w:t>
      </w:r>
      <w:r w:rsidRPr="0011442D">
        <w:t xml:space="preserve"> </w:t>
      </w:r>
      <w:r>
        <w:t xml:space="preserve">Eliades et al. 2021). Further, a study on reintroduced Fijian iguanas in the genus </w:t>
      </w:r>
      <w:r>
        <w:rPr>
          <w:i/>
          <w:iCs/>
        </w:rPr>
        <w:t xml:space="preserve">Brachylophus </w:t>
      </w:r>
      <w:r>
        <w:t>found that potential pathogens associated with host captivity may become less abundant after host reintroduction (Eliades et al. 2021). Serious consideration should be taken before reintroducing animals in sympatry with conspecifics as horizontal transmission of pathogens could be highly dangerous for imperiled populations (</w:t>
      </w:r>
      <w:r w:rsidRPr="002C507D">
        <w:t>Bahrndorff et al. 2016; West et al. 2019</w:t>
      </w:r>
      <w:r>
        <w:t xml:space="preserve">; Eliades et al. 2021; </w:t>
      </w:r>
      <w:r w:rsidRPr="002C507D">
        <w:t>Dallas and Warne 2022</w:t>
      </w:r>
      <w:r>
        <w:t>).</w:t>
      </w:r>
    </w:p>
    <w:p w14:paraId="2EAC9DA8" w14:textId="77777777" w:rsidR="00947FD0" w:rsidRDefault="00947FD0" w:rsidP="00947FD0">
      <w:pPr>
        <w:pStyle w:val="NormalWeb"/>
        <w:spacing w:line="480" w:lineRule="auto"/>
        <w:ind w:firstLine="360"/>
        <w:contextualSpacing/>
      </w:pPr>
      <w:r>
        <w:t>Captive-reared Texas horned lizards experienced rapid restructuring of microbiota following release onto native prairie habitat at TAFB. However, it should be noted that we only reintroduced lizards at one and two years old and not adult, reproductive individuals. Ontogenetic shifts in microbiome composition between juvenile and adult life stages have been reported previously in multiple reptile taxa (Troyer 1984; Yuan et al. 2015; Price et al. 2017). It is possible that by releasing juveniles, we introduced animals that still had a degree of flexibility in microbiome composition, but that raising and releasing adults could have different outcomes (</w:t>
      </w:r>
      <w:r w:rsidRPr="00792D1B">
        <w:t xml:space="preserve">Dallas </w:t>
      </w:r>
      <w:r>
        <w:t xml:space="preserve">and </w:t>
      </w:r>
      <w:r w:rsidRPr="00792D1B">
        <w:t>Warne 2022</w:t>
      </w:r>
      <w:r>
        <w:t>). Additional studies on ontogenetic development of microbiomes in reptiles is needed to better understand possible implications for reintroduction efforts.</w:t>
      </w:r>
    </w:p>
    <w:p w14:paraId="2F290289" w14:textId="77777777" w:rsidR="00947FD0" w:rsidRDefault="00947FD0" w:rsidP="00947FD0">
      <w:pPr>
        <w:pStyle w:val="NormalWeb"/>
        <w:spacing w:line="480" w:lineRule="auto"/>
        <w:ind w:firstLine="360"/>
        <w:contextualSpacing/>
      </w:pPr>
      <w:r>
        <w:t>Nevertheless, the adaptability of microbiota in reintroduced Texas horned lizards offers significant promise for the viability of captive-rearing programs to bolster declining wildlife populations. Reintroduction programs historically have suffered low success (e.g., low survivorship post-reintroduction) and microbial incompatibilities have been hypothesized as partially responsible for these setbacks though studying such impacts remains challenging (</w:t>
      </w:r>
      <w:r w:rsidRPr="002C507D">
        <w:t xml:space="preserve">Redford et al. 2012; Bahrndorff et al. 2016; Jiménez </w:t>
      </w:r>
      <w:r>
        <w:t>and</w:t>
      </w:r>
      <w:r w:rsidRPr="002C507D">
        <w:t xml:space="preserve"> Sommer 2017; West et al. 2019</w:t>
      </w:r>
      <w:r>
        <w:t xml:space="preserve">; </w:t>
      </w:r>
      <w:r w:rsidRPr="002C507D">
        <w:t>Dallas and Warne 2022</w:t>
      </w:r>
      <w:r>
        <w:t>). For instance, we were able to collect fecal samples before and after translocation from only eight of 34 individual lizards reintroduced onto TAFB in 2021. Fate tracking remains a costly and time-intensive endeavor that obfuscates our capacity to truly understand the success of reintroduction programs (Chong et al. 2019). Our findings of lizards with microbiomes distinct from wild types in captivity and then comparable to wild types after reintroduction could be indicative of several possibilities. First, it may indicate that in general, most lizards shift from a captive-type microbiome to a wild-type after release to native habitat. Alternatively, it could be that the few lizards we recaptured and sampled had survived due in part to their capacity to shift microbiota, providing an adaptive advantage. Those translocated individuals unable to acclimate microbial assemblages rapidly enough may have died.</w:t>
      </w:r>
      <w:r w:rsidRPr="00B23222">
        <w:t xml:space="preserve"> </w:t>
      </w:r>
      <w:r>
        <w:t>Future release efforts with improved fate-tracking techniques will help to better understand the role of gut microbiomes in reintroduction success (Chong et al. 2019; Yang et al. 2020).</w:t>
      </w:r>
    </w:p>
    <w:p w14:paraId="535306B4" w14:textId="77777777" w:rsidR="00947FD0" w:rsidRDefault="00947FD0" w:rsidP="00947FD0">
      <w:pPr>
        <w:pStyle w:val="NormalWeb"/>
        <w:spacing w:line="480" w:lineRule="auto"/>
        <w:ind w:firstLine="360"/>
        <w:contextualSpacing/>
      </w:pPr>
      <w:r>
        <w:t>We found that captive-reared juvenile Texas horned lizards clearly have distinct microbiomes from wild conspecifics on TAFB and that these communities shift rapidly to reflect native types after host reintroductions. Additional reintroduction efforts focused on adults could provide insight into the plastic nature and adaptability of gut microbiomes in hosts at various life stages (</w:t>
      </w:r>
      <w:r w:rsidRPr="002C507D">
        <w:t>Dallas and Warne 2022</w:t>
      </w:r>
      <w:r>
        <w:t>). Further, animal husbandry manipulations such as the use of probiotics or diet augmentation in captive lizards slated for release would be invaluable in assessing how modified microbial assemblages impact success and survivorship following release (</w:t>
      </w:r>
      <w:r w:rsidRPr="00BA2183">
        <w:t>Loudon</w:t>
      </w:r>
      <w:r>
        <w:t xml:space="preserve"> et al. 2014; </w:t>
      </w:r>
      <w:r w:rsidRPr="00F31AB0">
        <w:t>Kueneman</w:t>
      </w:r>
      <w:r>
        <w:t xml:space="preserve"> et al. 2016; </w:t>
      </w:r>
      <w:r w:rsidRPr="00F31AB0">
        <w:t>Stumpf</w:t>
      </w:r>
      <w:r>
        <w:t xml:space="preserve"> et al. 2016; West et al. 2019; Yang et al. 2020). This study provides crucial baseline data on microbiomes in a threatened, iconic North American reptile species. Future works expanding on these conclusions will be able to more concretely untangle the role that microbiomes play in headstart and reintroduction program success in translocated species.</w:t>
      </w:r>
    </w:p>
    <w:p w14:paraId="3335056D" w14:textId="77777777" w:rsidR="00947FD0" w:rsidRPr="00C21098" w:rsidRDefault="00947FD0" w:rsidP="00947FD0">
      <w:pPr>
        <w:pStyle w:val="NormalWeb"/>
        <w:spacing w:line="480" w:lineRule="auto"/>
        <w:contextualSpacing/>
      </w:pPr>
    </w:p>
    <w:p w14:paraId="141DFEDE" w14:textId="77777777" w:rsidR="00947FD0" w:rsidRPr="00C21098" w:rsidRDefault="00947FD0" w:rsidP="00947FD0">
      <w:pPr>
        <w:pStyle w:val="NormalWeb"/>
        <w:spacing w:line="480" w:lineRule="auto"/>
        <w:contextualSpacing/>
        <w:rPr>
          <w:b/>
        </w:rPr>
      </w:pPr>
      <w:r w:rsidRPr="00C21098">
        <w:rPr>
          <w:b/>
          <w:bCs/>
        </w:rPr>
        <w:t>ACKNOWLEDGEMENTS</w:t>
      </w:r>
    </w:p>
    <w:p w14:paraId="5DC73D13" w14:textId="77777777" w:rsidR="00947FD0" w:rsidRPr="007233E4" w:rsidRDefault="00947FD0" w:rsidP="00947FD0">
      <w:pPr>
        <w:pStyle w:val="NormalWeb"/>
        <w:spacing w:line="480" w:lineRule="auto"/>
        <w:contextualSpacing/>
        <w:rPr>
          <w:highlight w:val="yellow"/>
        </w:rPr>
      </w:pPr>
      <w:r w:rsidRPr="00CD1B40">
        <w:t xml:space="preserve">This study was carried out under the permission of Tinker Air Force Base and </w:t>
      </w:r>
      <w:r>
        <w:t xml:space="preserve">the </w:t>
      </w:r>
      <w:r w:rsidRPr="00CD1B40">
        <w:t>Oklahoma City Zoo and Botanical Garden’s Scientific Review Committee. All methods were carried out in accordance with protocol R21-012 of the Institutional Animal Care and Use Committee of the University of Oklahoma.</w:t>
      </w:r>
      <w:r>
        <w:t xml:space="preserve"> </w:t>
      </w:r>
      <w:r w:rsidRPr="0079424D">
        <w:rPr>
          <w:bCs/>
        </w:rPr>
        <w:t>The project was jointly funded by grants from the O</w:t>
      </w:r>
      <w:r>
        <w:rPr>
          <w:bCs/>
        </w:rPr>
        <w:t>KC Zoo</w:t>
      </w:r>
      <w:r w:rsidRPr="0079424D">
        <w:rPr>
          <w:bCs/>
        </w:rPr>
        <w:t>, the Friends of the Sunset Zoo, the Horned Lizard Conservation Society</w:t>
      </w:r>
      <w:r>
        <w:rPr>
          <w:bCs/>
        </w:rPr>
        <w:t>,</w:t>
      </w:r>
      <w:r w:rsidRPr="0079424D">
        <w:rPr>
          <w:bCs/>
        </w:rPr>
        <w:t xml:space="preserve"> and a OU Biogeography of Behavior Seed Grant to S.J.E., </w:t>
      </w:r>
      <w:r w:rsidRPr="00100202">
        <w:t>NSF grant DEB 1657648 to C.D.S., and ODWC Grant F20AF10405 (T-118-R-1) to C. Siler, J. Watters, H. Lanier, K. Marske, and K. Sankaranarayanan</w:t>
      </w:r>
      <w:r>
        <w:t xml:space="preserve">. </w:t>
      </w:r>
      <w:r w:rsidRPr="00B6359D">
        <w:t>W</w:t>
      </w:r>
      <w:r>
        <w:t xml:space="preserve">e thank R. Woodson, R. Karpinski, and the Herpetology team at the OKC Zoo for assistance in Texas horned lizard husbandry and care. Thank you to D. Lawson at the OKC Zoo and M. Howery at the Oklahoma Department of Wildlife Conservation for making the establishment of the headstart program possible. We thank and appreciate the many technicians and volunteers at the OKC Zoo and OU that assisted with lizard tracking on TAFB. </w:t>
      </w:r>
      <w:r w:rsidRPr="00100202">
        <w:t>Lastly, we thank anonymous reviewers for their critical evaluations of this manuscript.</w:t>
      </w:r>
    </w:p>
    <w:p w14:paraId="3F7EE51C" w14:textId="77777777" w:rsidR="00947FD0" w:rsidRPr="00C21098" w:rsidRDefault="00947FD0" w:rsidP="00947FD0">
      <w:pPr>
        <w:pStyle w:val="NormalWeb"/>
        <w:spacing w:line="480" w:lineRule="auto"/>
        <w:contextualSpacing/>
      </w:pPr>
    </w:p>
    <w:p w14:paraId="02282989" w14:textId="77777777" w:rsidR="00947FD0" w:rsidRPr="0063218D" w:rsidRDefault="00947FD0" w:rsidP="00947FD0">
      <w:pPr>
        <w:pStyle w:val="NormalWeb"/>
        <w:spacing w:line="480" w:lineRule="auto"/>
        <w:contextualSpacing/>
      </w:pPr>
      <w:r w:rsidRPr="0063218D">
        <w:rPr>
          <w:b/>
          <w:bCs/>
        </w:rPr>
        <w:t>REFERENCES</w:t>
      </w:r>
    </w:p>
    <w:p w14:paraId="59CE0F63"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Alberts, A. C. (2007). Behavioral considerations of headstarting as a conservation strategy for endangered Caribbean rock iguanas. </w:t>
      </w:r>
      <w:r w:rsidRPr="00B541A8">
        <w:rPr>
          <w:i/>
        </w:rPr>
        <w:t>Applied Animal Behaviour Science</w:t>
      </w:r>
      <w:r w:rsidRPr="00B541A8">
        <w:t xml:space="preserve">, </w:t>
      </w:r>
      <w:r w:rsidRPr="00B541A8">
        <w:rPr>
          <w:i/>
        </w:rPr>
        <w:t>102</w:t>
      </w:r>
      <w:r w:rsidRPr="00B541A8">
        <w:t>, 380–391. doi: 10.1016/j.applanim.2006.05.037</w:t>
      </w:r>
    </w:p>
    <w:p w14:paraId="51311FA9"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Alfano, N., Courtiol, A., Vielgrader, H., Timms, P., Roca, A. L., &amp; Greenwood, A. D. (2015). Variation in koala microbiomes within and between individuals: Effect of body region and captivity status. </w:t>
      </w:r>
      <w:r w:rsidRPr="00B541A8">
        <w:rPr>
          <w:i/>
        </w:rPr>
        <w:t>Scientific Reports</w:t>
      </w:r>
      <w:r w:rsidRPr="00B541A8">
        <w:t xml:space="preserve">, </w:t>
      </w:r>
      <w:r w:rsidRPr="00B541A8">
        <w:rPr>
          <w:i/>
        </w:rPr>
        <w:t>5</w:t>
      </w:r>
      <w:r w:rsidRPr="00B541A8">
        <w:t>, 10189. doi: 10.1038/srep10189</w:t>
      </w:r>
    </w:p>
    <w:p w14:paraId="649866F1" w14:textId="77777777" w:rsidR="00947FD0" w:rsidRDefault="00947FD0" w:rsidP="00947FD0">
      <w:pPr>
        <w:pStyle w:val="NormalWeb"/>
        <w:spacing w:before="0" w:beforeAutospacing="0" w:after="0" w:afterAutospacing="0" w:line="480" w:lineRule="auto"/>
        <w:ind w:left="360" w:hanging="360"/>
        <w:contextualSpacing/>
      </w:pPr>
      <w:r w:rsidRPr="00B541A8">
        <w:t xml:space="preserve">Altschul, S. F., Gish, W., Miller, W., Myers, E. W., &amp; Lipman, D. J. (1990). Basic local alignment search tool. </w:t>
      </w:r>
      <w:r w:rsidRPr="00B541A8">
        <w:rPr>
          <w:i/>
        </w:rPr>
        <w:t>Journal of Molecular Biology</w:t>
      </w:r>
      <w:r w:rsidRPr="00B541A8">
        <w:t xml:space="preserve">, </w:t>
      </w:r>
      <w:r w:rsidRPr="00B541A8">
        <w:rPr>
          <w:i/>
        </w:rPr>
        <w:t>215</w:t>
      </w:r>
      <w:r w:rsidRPr="00B541A8">
        <w:t>, 403–410. doi: 10.1016/S0022-2836(05)80360-2</w:t>
      </w:r>
    </w:p>
    <w:p w14:paraId="45B20F81" w14:textId="77777777" w:rsidR="00947FD0" w:rsidRPr="00B541A8" w:rsidRDefault="00947FD0" w:rsidP="00947FD0">
      <w:pPr>
        <w:pStyle w:val="NormalWeb"/>
        <w:spacing w:before="0" w:beforeAutospacing="0" w:after="0" w:afterAutospacing="0" w:line="480" w:lineRule="auto"/>
        <w:ind w:left="360" w:hanging="360"/>
        <w:contextualSpacing/>
      </w:pPr>
      <w:r w:rsidRPr="00255F64">
        <w:t xml:space="preserve">Amato, K.R., 2013. Co-evolution in context: the importance of studying gut microbiomes in wild animals. </w:t>
      </w:r>
      <w:r w:rsidRPr="00255F64">
        <w:rPr>
          <w:i/>
          <w:iCs/>
        </w:rPr>
        <w:t>Microbiome Science and Medicine</w:t>
      </w:r>
      <w:r>
        <w:t>,</w:t>
      </w:r>
      <w:r w:rsidRPr="00255F64">
        <w:t xml:space="preserve"> </w:t>
      </w:r>
      <w:r w:rsidRPr="00255F64">
        <w:rPr>
          <w:i/>
          <w:iCs/>
        </w:rPr>
        <w:t>1</w:t>
      </w:r>
      <w:r w:rsidRPr="00255F64">
        <w:t>, 10–29. doi</w:t>
      </w:r>
      <w:r>
        <w:t xml:space="preserve">: </w:t>
      </w:r>
      <w:r w:rsidRPr="00255F64">
        <w:t xml:space="preserve">10. 2478/micsm-2013-0002. </w:t>
      </w:r>
    </w:p>
    <w:p w14:paraId="5B09AD8A"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Bahrndorff, S., Alemu, T., Alemneh, T., &amp; Lund Nielsen, J. (2016). The microbiome of animals: Implications for conservation biology. </w:t>
      </w:r>
      <w:r w:rsidRPr="00B541A8">
        <w:rPr>
          <w:i/>
        </w:rPr>
        <w:t>International Journal of Genomics</w:t>
      </w:r>
      <w:r w:rsidRPr="00B541A8">
        <w:t xml:space="preserve">, </w:t>
      </w:r>
      <w:r w:rsidRPr="00B541A8">
        <w:rPr>
          <w:i/>
        </w:rPr>
        <w:t>2016</w:t>
      </w:r>
      <w:r w:rsidRPr="00B541A8">
        <w:t>, 5304028. doi: 10.1155/2016/5304028</w:t>
      </w:r>
    </w:p>
    <w:p w14:paraId="1D5373A2" w14:textId="77777777" w:rsidR="00947FD0" w:rsidRDefault="00947FD0" w:rsidP="00947FD0">
      <w:pPr>
        <w:spacing w:line="480" w:lineRule="auto"/>
        <w:ind w:left="360" w:hanging="360"/>
        <w:rPr>
          <w:bCs/>
        </w:rPr>
      </w:pPr>
      <w:r w:rsidRPr="00DD6D6D">
        <w:rPr>
          <w:bCs/>
        </w:rPr>
        <w:t xml:space="preserve">Barrett, L. P., Anthony, K. L., Eliades, S. J., Siler, C. D., Lock, B., </w:t>
      </w:r>
      <w:r>
        <w:rPr>
          <w:bCs/>
        </w:rPr>
        <w:t>and</w:t>
      </w:r>
      <w:r w:rsidRPr="00DD6D6D">
        <w:rPr>
          <w:bCs/>
        </w:rPr>
        <w:t xml:space="preserve"> Snyder, R. J. (</w:t>
      </w:r>
      <w:r w:rsidRPr="00DD6D6D">
        <w:rPr>
          <w:bCs/>
          <w:i/>
          <w:iCs/>
        </w:rPr>
        <w:t>In Review</w:t>
      </w:r>
      <w:r w:rsidRPr="00DD6D6D">
        <w:rPr>
          <w:bCs/>
        </w:rPr>
        <w:t>)</w:t>
      </w:r>
      <w:r w:rsidRPr="00DD6D6D">
        <w:t xml:space="preserve"> </w:t>
      </w:r>
      <w:r w:rsidRPr="00DD6D6D">
        <w:rPr>
          <w:bCs/>
        </w:rPr>
        <w:t>Personality assessment of headstart Texas horned lizards</w:t>
      </w:r>
      <w:r>
        <w:rPr>
          <w:bCs/>
        </w:rPr>
        <w:t xml:space="preserve"> (</w:t>
      </w:r>
      <w:r>
        <w:rPr>
          <w:bCs/>
          <w:i/>
          <w:iCs/>
        </w:rPr>
        <w:t>Phyrnosoma cornutum</w:t>
      </w:r>
      <w:r>
        <w:rPr>
          <w:bCs/>
        </w:rPr>
        <w:t>)</w:t>
      </w:r>
      <w:r w:rsidRPr="00DD6D6D">
        <w:rPr>
          <w:bCs/>
        </w:rPr>
        <w:t xml:space="preserve"> in human care prior to release.</w:t>
      </w:r>
      <w:r w:rsidRPr="00DD6D6D">
        <w:rPr>
          <w:i/>
          <w:iCs/>
        </w:rPr>
        <w:t xml:space="preserve"> Applied Animal Behaviour Science</w:t>
      </w:r>
      <w:r w:rsidRPr="00DD6D6D">
        <w:t>.</w:t>
      </w:r>
    </w:p>
    <w:p w14:paraId="2587C1EE" w14:textId="77777777" w:rsidR="00947FD0" w:rsidRPr="00DD6D6D" w:rsidRDefault="00947FD0" w:rsidP="00947FD0">
      <w:pPr>
        <w:spacing w:line="480" w:lineRule="auto"/>
        <w:ind w:left="360" w:hanging="360"/>
        <w:rPr>
          <w:bCs/>
        </w:rPr>
      </w:pPr>
      <w:r>
        <w:t xml:space="preserve">Bennett, A. M., Steiner, J., Carstairs, S., Gielens, A., and Davy, C. M. (2017). A question of scale: replication and the effective evaluation of conservation interventions. </w:t>
      </w:r>
      <w:r>
        <w:rPr>
          <w:i/>
          <w:iCs/>
        </w:rPr>
        <w:t>Facets</w:t>
      </w:r>
      <w:r>
        <w:t xml:space="preserve">, </w:t>
      </w:r>
      <w:r>
        <w:rPr>
          <w:i/>
          <w:iCs/>
        </w:rPr>
        <w:t>2</w:t>
      </w:r>
      <w:r>
        <w:t>, 892</w:t>
      </w:r>
      <w:r>
        <w:softHyphen/>
        <w:t xml:space="preserve">–909. </w:t>
      </w:r>
      <w:r w:rsidRPr="00A15F07">
        <w:t>doi:10.1139/ facets-2017-0010</w:t>
      </w:r>
    </w:p>
    <w:p w14:paraId="64278427" w14:textId="77777777" w:rsidR="00947FD0" w:rsidRPr="00D3033D" w:rsidRDefault="00947FD0" w:rsidP="00947FD0">
      <w:pPr>
        <w:spacing w:line="480" w:lineRule="auto"/>
        <w:ind w:left="360" w:hanging="360"/>
      </w:pPr>
      <w:r w:rsidRPr="00D3033D">
        <w:t xml:space="preserve">Bogosian, V. III, E.C. Hellgren, M.W. Sears, R.W. Moody. </w:t>
      </w:r>
      <w:r w:rsidRPr="00B218AA">
        <w:t xml:space="preserve">(2012). </w:t>
      </w:r>
      <w:r w:rsidRPr="00D3033D">
        <w:t xml:space="preserve">High-resolution niche models via a correlative approach: comparing and combining correlative and process-based information. </w:t>
      </w:r>
      <w:r w:rsidRPr="00D3033D">
        <w:rPr>
          <w:i/>
        </w:rPr>
        <w:t>Ecological Modelling,</w:t>
      </w:r>
      <w:r w:rsidRPr="00D3033D">
        <w:t xml:space="preserve"> </w:t>
      </w:r>
      <w:r w:rsidRPr="00D3033D">
        <w:rPr>
          <w:i/>
        </w:rPr>
        <w:t>237–238</w:t>
      </w:r>
      <w:r w:rsidRPr="00D3033D">
        <w:t>, 63–73. doi: 10.1016/j.ecolmodel.2012.04.017</w:t>
      </w:r>
    </w:p>
    <w:p w14:paraId="5B05AAF3" w14:textId="77777777" w:rsidR="00947FD0" w:rsidRDefault="00947FD0" w:rsidP="00947FD0">
      <w:pPr>
        <w:spacing w:line="480" w:lineRule="auto"/>
        <w:ind w:left="360" w:hanging="360"/>
      </w:pPr>
      <w:r w:rsidRPr="00D3033D">
        <w:t xml:space="preserve">Brown, J.C., Shirley, M.H., Yog‐yog, </w:t>
      </w:r>
      <w:r w:rsidRPr="00B541A8">
        <w:t xml:space="preserve">A., </w:t>
      </w:r>
      <w:r w:rsidRPr="00D3033D">
        <w:t xml:space="preserve">van Weerd, M., Balbas, M.G., Tarun, B.A. and </w:t>
      </w:r>
      <w:r w:rsidRPr="00B541A8">
        <w:t>Siler, C.</w:t>
      </w:r>
      <w:r w:rsidRPr="00D3033D">
        <w:t>D. (2021). Use of diet and body condition assessments as intermediate indicators of translocation success in the Critically Endangered Philippine crocodile (</w:t>
      </w:r>
      <w:r w:rsidRPr="00D3033D">
        <w:rPr>
          <w:i/>
          <w:iCs/>
        </w:rPr>
        <w:t>Crocodylus mindorensis</w:t>
      </w:r>
      <w:r w:rsidRPr="00D3033D">
        <w:t xml:space="preserve">). </w:t>
      </w:r>
      <w:r w:rsidRPr="00D3033D">
        <w:rPr>
          <w:i/>
          <w:iCs/>
        </w:rPr>
        <w:t>Aquatic Conservation: Marine and Freshwater Ecosystems</w:t>
      </w:r>
      <w:r w:rsidRPr="00D3033D">
        <w:t xml:space="preserve">, </w:t>
      </w:r>
      <w:r w:rsidRPr="00D3033D">
        <w:rPr>
          <w:i/>
          <w:iCs/>
        </w:rPr>
        <w:t>31</w:t>
      </w:r>
      <w:r w:rsidRPr="00D3033D">
        <w:t>, 2817</w:t>
      </w:r>
      <w:r w:rsidRPr="00D3033D">
        <w:softHyphen/>
        <w:t>–2829. doi: 10.1002/aqc.3700</w:t>
      </w:r>
    </w:p>
    <w:p w14:paraId="037C23DE" w14:textId="77777777" w:rsidR="00947FD0" w:rsidRPr="00D3033D" w:rsidRDefault="00947FD0" w:rsidP="00947FD0">
      <w:pPr>
        <w:spacing w:line="480" w:lineRule="auto"/>
        <w:ind w:left="360" w:hanging="360"/>
      </w:pPr>
      <w:r w:rsidRPr="00FF4B81">
        <w:t xml:space="preserve">Burke, R. L. (2015). Head-starting turtles: learning from experience. </w:t>
      </w:r>
      <w:r w:rsidRPr="00FF4B81">
        <w:rPr>
          <w:i/>
          <w:iCs/>
        </w:rPr>
        <w:t>Herpetological Conservation and Biology</w:t>
      </w:r>
      <w:r w:rsidRPr="00FF4B81">
        <w:t xml:space="preserve">, </w:t>
      </w:r>
      <w:r w:rsidRPr="00FF4B81">
        <w:rPr>
          <w:i/>
          <w:iCs/>
        </w:rPr>
        <w:t>10</w:t>
      </w:r>
      <w:r w:rsidRPr="00FF4B81">
        <w:t>, 299</w:t>
      </w:r>
      <w:r>
        <w:softHyphen/>
        <w:t>–</w:t>
      </w:r>
      <w:r w:rsidRPr="00FF4B81">
        <w:t>308.</w:t>
      </w:r>
    </w:p>
    <w:p w14:paraId="4C78AB3A" w14:textId="77777777" w:rsidR="00947FD0" w:rsidRPr="00D3033D" w:rsidRDefault="00947FD0" w:rsidP="00947FD0">
      <w:pPr>
        <w:spacing w:line="480" w:lineRule="auto"/>
        <w:ind w:left="360" w:hanging="360"/>
      </w:pPr>
      <w:r w:rsidRPr="00D3033D">
        <w:t>Burrow, A.</w:t>
      </w:r>
      <w:r w:rsidRPr="00B541A8">
        <w:t xml:space="preserve">L., </w:t>
      </w:r>
      <w:r w:rsidRPr="00D3033D">
        <w:t xml:space="preserve">R.T. Kazmaier, E.C. Hellgren, D.C. Ruthven III. (2001). Microhabitat selection by Texas Horned Lizards in southern Texas. </w:t>
      </w:r>
      <w:r w:rsidRPr="00D3033D">
        <w:rPr>
          <w:i/>
          <w:iCs/>
        </w:rPr>
        <w:t>The Journal of Wildlife Management</w:t>
      </w:r>
      <w:r w:rsidRPr="00D3033D">
        <w:t xml:space="preserve">, </w:t>
      </w:r>
      <w:r w:rsidRPr="00D3033D">
        <w:rPr>
          <w:i/>
          <w:iCs/>
        </w:rPr>
        <w:t>65</w:t>
      </w:r>
      <w:r w:rsidRPr="00D3033D">
        <w:t>, 645–652. doi: 10.2307/3803015</w:t>
      </w:r>
    </w:p>
    <w:p w14:paraId="4C4DB705" w14:textId="77777777" w:rsidR="00947FD0" w:rsidRPr="00D3033D" w:rsidRDefault="00947FD0" w:rsidP="00947FD0">
      <w:pPr>
        <w:spacing w:line="480" w:lineRule="auto"/>
        <w:ind w:left="360" w:hanging="360"/>
      </w:pPr>
      <w:r w:rsidRPr="00D3033D">
        <w:t>Busby, W.H. and Parmelee, J.R.</w:t>
      </w:r>
      <w:r>
        <w:t xml:space="preserve"> (</w:t>
      </w:r>
      <w:r w:rsidRPr="00D3033D">
        <w:t>1996</w:t>
      </w:r>
      <w:r>
        <w:t>)</w:t>
      </w:r>
      <w:r w:rsidRPr="00D3033D">
        <w:t xml:space="preserve">. Historical changes in a herpetofaunal assemblage in the Flint Hills of Kansas. </w:t>
      </w:r>
      <w:r w:rsidRPr="00D3033D">
        <w:rPr>
          <w:i/>
          <w:iCs/>
        </w:rPr>
        <w:t>American Midland Naturalist</w:t>
      </w:r>
      <w:r w:rsidRPr="00D3033D">
        <w:t>, 81</w:t>
      </w:r>
      <w:r w:rsidRPr="00D3033D">
        <w:softHyphen/>
        <w:t>–91. doi: 10.2307/2426874</w:t>
      </w:r>
    </w:p>
    <w:p w14:paraId="5C732AAF"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Caporaso, J. G., Kuczynski, J., Stombaugh, J., Bittinger, K., Bushman, F. D., Costello, E. K., … Huttley, G. A. (2010). QIIME allows analysis of high-throughput community sequencing data. </w:t>
      </w:r>
      <w:r w:rsidRPr="00B541A8">
        <w:rPr>
          <w:i/>
        </w:rPr>
        <w:t>Nature Methods</w:t>
      </w:r>
      <w:r w:rsidRPr="00B541A8">
        <w:t xml:space="preserve">, </w:t>
      </w:r>
      <w:r w:rsidRPr="00B541A8">
        <w:rPr>
          <w:i/>
        </w:rPr>
        <w:t>7</w:t>
      </w:r>
      <w:r w:rsidRPr="00B541A8">
        <w:t>, 335. doi: 10.1038/nmeth.f.303</w:t>
      </w:r>
    </w:p>
    <w:p w14:paraId="49395CAE"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Caporaso, J. G., Lauber, C. L., Walters, W. A., Berg-Lyons, D., Huntley, J., Fierer, N., … Gormley, N. (2012). Ultra-high-throughput microbial community analysis on the Illumina HiSeq and MiSeq platforms. </w:t>
      </w:r>
      <w:r w:rsidRPr="00B541A8">
        <w:rPr>
          <w:i/>
        </w:rPr>
        <w:t>The ISME Journal</w:t>
      </w:r>
      <w:r w:rsidRPr="00B541A8">
        <w:t xml:space="preserve">, </w:t>
      </w:r>
      <w:r w:rsidRPr="00B541A8">
        <w:rPr>
          <w:i/>
        </w:rPr>
        <w:t>6</w:t>
      </w:r>
      <w:r w:rsidRPr="00B541A8">
        <w:t>, 1621–1624. doi: 10.1038/ismej.2012.8</w:t>
      </w:r>
    </w:p>
    <w:p w14:paraId="38A568A3" w14:textId="77777777" w:rsidR="00947FD0" w:rsidRPr="00D3033D" w:rsidRDefault="00947FD0" w:rsidP="00947FD0">
      <w:pPr>
        <w:spacing w:line="480" w:lineRule="auto"/>
        <w:ind w:left="360" w:hanging="360"/>
      </w:pPr>
      <w:r w:rsidRPr="00D3033D">
        <w:t>Carpenter, C.C., R. St. Clair, P. Gier</w:t>
      </w:r>
      <w:r w:rsidRPr="00B541A8">
        <w:t xml:space="preserve">. (1993). </w:t>
      </w:r>
      <w:r w:rsidRPr="00D3033D">
        <w:t>Determination of the distribution and abundance of the Texas Horned Lizard (</w:t>
      </w:r>
      <w:r w:rsidRPr="00D3033D">
        <w:rPr>
          <w:i/>
          <w:iCs/>
        </w:rPr>
        <w:t>Phrynosoma cornutum</w:t>
      </w:r>
      <w:r w:rsidRPr="00D3033D">
        <w:t>) in Oklahoma. Final Report, Federal Aid Project E-18, Oklahoma Department of Wildlife Conservation, Oklahoma City, OK.</w:t>
      </w:r>
    </w:p>
    <w:p w14:paraId="3CABFE7F"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Cheng, Y., Fox, S., Pemberton, D., Hogg, C., Papenfuss, A. T., &amp; Belov, K. (2015). The Tasmanian devil microbiome—implications for conservation and management. </w:t>
      </w:r>
      <w:r w:rsidRPr="00B541A8">
        <w:rPr>
          <w:i/>
        </w:rPr>
        <w:t>Microbiome</w:t>
      </w:r>
      <w:r w:rsidRPr="00B541A8">
        <w:t xml:space="preserve">, </w:t>
      </w:r>
      <w:r w:rsidRPr="00B541A8">
        <w:rPr>
          <w:i/>
        </w:rPr>
        <w:t>3</w:t>
      </w:r>
      <w:r w:rsidRPr="00B541A8">
        <w:t>, 76. doi: 10.1186/s40168-015-0143-0</w:t>
      </w:r>
    </w:p>
    <w:p w14:paraId="2D4F1A57" w14:textId="77777777" w:rsidR="00947FD0" w:rsidRDefault="00947FD0" w:rsidP="00947FD0">
      <w:pPr>
        <w:pStyle w:val="NormalWeb"/>
        <w:spacing w:before="0" w:beforeAutospacing="0" w:after="0" w:afterAutospacing="0" w:line="480" w:lineRule="auto"/>
        <w:ind w:left="360" w:hanging="360"/>
        <w:contextualSpacing/>
      </w:pPr>
      <w:r w:rsidRPr="00B541A8">
        <w:t xml:space="preserve">Cho, I., &amp; Blaser, M. J. (2012). The human microbiome: At the interface of health and disease. </w:t>
      </w:r>
      <w:r w:rsidRPr="00B541A8">
        <w:rPr>
          <w:i/>
        </w:rPr>
        <w:t>Nature Reviews Genetics</w:t>
      </w:r>
      <w:r w:rsidRPr="00B541A8">
        <w:t xml:space="preserve">, </w:t>
      </w:r>
      <w:r w:rsidRPr="00B541A8">
        <w:rPr>
          <w:i/>
        </w:rPr>
        <w:t>13</w:t>
      </w:r>
      <w:r w:rsidRPr="00B541A8">
        <w:t>, 260–270. doi: 10.1038/nrg3182</w:t>
      </w:r>
    </w:p>
    <w:p w14:paraId="4EB24B07" w14:textId="77777777" w:rsidR="00947FD0" w:rsidRPr="00B541A8" w:rsidRDefault="00947FD0" w:rsidP="00947FD0">
      <w:pPr>
        <w:pStyle w:val="NormalWeb"/>
        <w:spacing w:line="480" w:lineRule="auto"/>
        <w:ind w:left="360" w:hanging="360"/>
        <w:contextualSpacing/>
      </w:pPr>
      <w:r w:rsidRPr="00034476">
        <w:t xml:space="preserve">Chong, R., Grueber, C. E., Fox, S., Wise, P., Barrs, V. R., Hogg, C. J., &amp; Belov, K. (2019). Looking like the locals-gut microbiome changes post-release in an endangered species. </w:t>
      </w:r>
      <w:r w:rsidRPr="00034476">
        <w:rPr>
          <w:i/>
          <w:iCs/>
        </w:rPr>
        <w:t>Animal Microbiome</w:t>
      </w:r>
      <w:r w:rsidRPr="00034476">
        <w:t xml:space="preserve">, </w:t>
      </w:r>
      <w:r w:rsidRPr="00034476">
        <w:rPr>
          <w:i/>
          <w:iCs/>
        </w:rPr>
        <w:t>1</w:t>
      </w:r>
      <w:r w:rsidRPr="00034476">
        <w:t>, 1</w:t>
      </w:r>
      <w:r>
        <w:t>–</w:t>
      </w:r>
      <w:r w:rsidRPr="00034476">
        <w:t>10.</w:t>
      </w:r>
      <w:r>
        <w:t xml:space="preserve"> doi: </w:t>
      </w:r>
      <w:r w:rsidRPr="00034476">
        <w:t>10.1186/s42523-019-0012-4</w:t>
      </w:r>
    </w:p>
    <w:p w14:paraId="28F53A10"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Clayton, J. B., Vangay, P., Huang, H., Ward, T., Hillmann, B. M., Al-Ghalith, G. A., … Cabana, F. (2016). Captivity humanizes the primate microbiome. </w:t>
      </w:r>
      <w:r w:rsidRPr="00B541A8">
        <w:rPr>
          <w:i/>
        </w:rPr>
        <w:t>Proceedings of the National Academy of Sciences</w:t>
      </w:r>
      <w:r w:rsidRPr="00B541A8">
        <w:t xml:space="preserve">, </w:t>
      </w:r>
      <w:r w:rsidRPr="00B541A8">
        <w:rPr>
          <w:i/>
        </w:rPr>
        <w:t>113</w:t>
      </w:r>
      <w:r w:rsidRPr="00B541A8">
        <w:t>, 10376–10381. doi: 10.1073/pnas.1521835113</w:t>
      </w:r>
    </w:p>
    <w:p w14:paraId="62C14E94" w14:textId="77777777" w:rsidR="00947FD0" w:rsidRPr="00D3033D" w:rsidRDefault="00947FD0" w:rsidP="00947FD0">
      <w:pPr>
        <w:spacing w:line="480" w:lineRule="auto"/>
        <w:ind w:left="360" w:hanging="360"/>
      </w:pPr>
      <w:r w:rsidRPr="00D3033D">
        <w:t xml:space="preserve">Dallas, J. </w:t>
      </w:r>
      <w:r w:rsidRPr="00B541A8">
        <w:t xml:space="preserve">W., </w:t>
      </w:r>
      <w:r w:rsidRPr="00D3033D">
        <w:t>&amp; Warne,</w:t>
      </w:r>
      <w:r w:rsidRPr="00B541A8">
        <w:t xml:space="preserve"> R. </w:t>
      </w:r>
      <w:r w:rsidRPr="00D3033D">
        <w:t xml:space="preserve">W. (2022). Captivity and Animal Microbiomes: Potential Roles of Microbiota for Influencing Animal Conservation. </w:t>
      </w:r>
      <w:r w:rsidRPr="00D3033D">
        <w:rPr>
          <w:i/>
          <w:iCs/>
        </w:rPr>
        <w:t>Microbial Ecology</w:t>
      </w:r>
      <w:r w:rsidRPr="00D3033D">
        <w:t>, 1-19. doi: 10.1007/s00248-022-01991-0</w:t>
      </w:r>
    </w:p>
    <w:p w14:paraId="2CF06AA5"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DeSantis, T. Z., Hugenholtz, P., Larsen, N., Rojas, M., Brodie, E. L., Keller, K., … Andersen, G. L. (2006). Greengenes, a chimera-checked 16S rRNA gene database and workbench compatible with ARB. </w:t>
      </w:r>
      <w:r w:rsidRPr="00B541A8">
        <w:rPr>
          <w:i/>
        </w:rPr>
        <w:t>Applied and Environmental Microbiology</w:t>
      </w:r>
      <w:r w:rsidRPr="00B541A8">
        <w:t xml:space="preserve">, </w:t>
      </w:r>
      <w:r w:rsidRPr="00B541A8">
        <w:rPr>
          <w:i/>
        </w:rPr>
        <w:t>72</w:t>
      </w:r>
      <w:r w:rsidRPr="00B541A8">
        <w:t>, 5069–5072. doi: 10.1128/AEM.03006-05</w:t>
      </w:r>
    </w:p>
    <w:p w14:paraId="1E37FE7B" w14:textId="77777777" w:rsidR="00947FD0" w:rsidRDefault="00947FD0" w:rsidP="00947FD0">
      <w:pPr>
        <w:spacing w:line="480" w:lineRule="auto"/>
        <w:ind w:left="360" w:hanging="360"/>
      </w:pPr>
      <w:r w:rsidRPr="00D3033D">
        <w:t xml:space="preserve">Donaldson, W., A.H Price, J. Morse. </w:t>
      </w:r>
      <w:r>
        <w:t>(</w:t>
      </w:r>
      <w:r w:rsidRPr="00D3033D">
        <w:t>1994</w:t>
      </w:r>
      <w:r>
        <w:t>)</w:t>
      </w:r>
      <w:r w:rsidRPr="00D3033D">
        <w:t>. The current status and future prospects of the Texas Horned Lizard (</w:t>
      </w:r>
      <w:r w:rsidRPr="00D3033D">
        <w:rPr>
          <w:i/>
        </w:rPr>
        <w:t>Phrynosoma cornutum</w:t>
      </w:r>
      <w:r w:rsidRPr="00D3033D">
        <w:t xml:space="preserve">) in Texas. </w:t>
      </w:r>
      <w:r w:rsidRPr="00D3033D">
        <w:rPr>
          <w:i/>
        </w:rPr>
        <w:t>Texas Journal of Science</w:t>
      </w:r>
      <w:r w:rsidRPr="00D3033D">
        <w:rPr>
          <w:iCs/>
        </w:rPr>
        <w:t>,</w:t>
      </w:r>
      <w:r w:rsidRPr="00D3033D">
        <w:t xml:space="preserve"> </w:t>
      </w:r>
      <w:r w:rsidRPr="00D3033D">
        <w:rPr>
          <w:i/>
        </w:rPr>
        <w:t>46</w:t>
      </w:r>
      <w:r w:rsidRPr="00D3033D">
        <w:t>, 97–113.</w:t>
      </w:r>
    </w:p>
    <w:p w14:paraId="652A738C" w14:textId="77777777" w:rsidR="00947FD0" w:rsidRPr="00D3033D" w:rsidRDefault="00947FD0" w:rsidP="00947FD0">
      <w:pPr>
        <w:spacing w:line="480" w:lineRule="auto"/>
        <w:ind w:left="360" w:hanging="360"/>
      </w:pPr>
      <w:r w:rsidRPr="00255F64">
        <w:t xml:space="preserve">Eigeland, K. A., Lanyon, J. M., Trott, D. J., Ouwerkerk, D., Blanshard, W., Milinovich, G. J., ... </w:t>
      </w:r>
      <w:r>
        <w:t>and</w:t>
      </w:r>
      <w:r w:rsidRPr="00255F64">
        <w:t xml:space="preserve"> Klieve, A. V. (2012). Bacterial community structure in the hindgut of wild and captive dugongs (</w:t>
      </w:r>
      <w:r w:rsidRPr="00255F64">
        <w:rPr>
          <w:i/>
          <w:iCs/>
        </w:rPr>
        <w:t>Dugong dugon</w:t>
      </w:r>
      <w:r w:rsidRPr="00255F64">
        <w:t xml:space="preserve">). </w:t>
      </w:r>
      <w:r w:rsidRPr="00255F64">
        <w:rPr>
          <w:i/>
          <w:iCs/>
        </w:rPr>
        <w:t>Aquatic Mammals</w:t>
      </w:r>
      <w:r w:rsidRPr="00255F64">
        <w:t xml:space="preserve">, </w:t>
      </w:r>
      <w:r w:rsidRPr="00255F64">
        <w:rPr>
          <w:i/>
          <w:iCs/>
        </w:rPr>
        <w:t>38</w:t>
      </w:r>
      <w:r w:rsidRPr="00255F64">
        <w:t>, 402.</w:t>
      </w:r>
      <w:r>
        <w:t xml:space="preserve"> doi: </w:t>
      </w:r>
      <w:r w:rsidRPr="006E0939">
        <w:t>10.1578/AM.38.4.2012.402</w:t>
      </w:r>
    </w:p>
    <w:p w14:paraId="289FAAE9" w14:textId="77777777" w:rsidR="00947FD0" w:rsidRDefault="00947FD0" w:rsidP="00947FD0">
      <w:pPr>
        <w:spacing w:line="480" w:lineRule="auto"/>
        <w:ind w:left="360" w:hanging="360"/>
      </w:pPr>
      <w:r w:rsidRPr="00B541A8">
        <w:t xml:space="preserve">Eliades, S. J., Brown, J. C., Colston, T. J., Fisher, R. N., Niukula, J. B., Gray, K., ... </w:t>
      </w:r>
      <w:r w:rsidRPr="00D3033D">
        <w:t>&amp; Siler,</w:t>
      </w:r>
      <w:r w:rsidRPr="00B541A8">
        <w:t xml:space="preserve"> C. </w:t>
      </w:r>
      <w:r w:rsidRPr="00D3033D">
        <w:t>D. (2021). Gut microbial ecology of the Critically Endangered Fijian crested iguana (</w:t>
      </w:r>
      <w:r w:rsidRPr="00D3033D">
        <w:rPr>
          <w:i/>
          <w:iCs/>
        </w:rPr>
        <w:t>Brachylophus vitiensis</w:t>
      </w:r>
      <w:r w:rsidRPr="00D3033D">
        <w:t xml:space="preserve">): Effects of captivity status and host reintroduction on endogenous microbiomes. </w:t>
      </w:r>
      <w:r w:rsidRPr="00D3033D">
        <w:rPr>
          <w:i/>
          <w:iCs/>
        </w:rPr>
        <w:t>Ecology and Evolution</w:t>
      </w:r>
      <w:r w:rsidRPr="00D3033D">
        <w:t xml:space="preserve">, </w:t>
      </w:r>
      <w:r w:rsidRPr="00D3033D">
        <w:rPr>
          <w:i/>
          <w:iCs/>
        </w:rPr>
        <w:t>11</w:t>
      </w:r>
      <w:r w:rsidRPr="00D3033D">
        <w:t>, 4731–4743. doi: 10.1002/ece3.7373</w:t>
      </w:r>
    </w:p>
    <w:p w14:paraId="106C7973" w14:textId="77777777" w:rsidR="00947FD0" w:rsidRPr="00D3033D" w:rsidRDefault="00947FD0" w:rsidP="00947FD0">
      <w:pPr>
        <w:spacing w:line="480" w:lineRule="auto"/>
        <w:ind w:left="360" w:hanging="360"/>
      </w:pPr>
      <w:r w:rsidRPr="007F56AD">
        <w:t>Eliades, S.J.,</w:t>
      </w:r>
      <w:r w:rsidRPr="007F56AD">
        <w:rPr>
          <w:bCs/>
        </w:rPr>
        <w:t xml:space="preserve"> Stroh, K. M., Siler, C. D., Moody, R. W., Snyder, R. J., Barrett, L. P., and Lock, B. (2022)</w:t>
      </w:r>
      <w:r w:rsidRPr="007F56AD">
        <w:rPr>
          <w:b/>
          <w:bCs/>
          <w:i/>
          <w:iCs/>
        </w:rPr>
        <w:t xml:space="preserve"> </w:t>
      </w:r>
      <w:r w:rsidRPr="007F56AD">
        <w:rPr>
          <w:i/>
          <w:iCs/>
        </w:rPr>
        <w:t xml:space="preserve">Phrynosoma cornutum </w:t>
      </w:r>
      <w:r w:rsidRPr="007F56AD">
        <w:t>(Texas Horned Lizard). Behavior.</w:t>
      </w:r>
      <w:r w:rsidRPr="007F56AD">
        <w:rPr>
          <w:i/>
          <w:iCs/>
        </w:rPr>
        <w:t xml:space="preserve"> Herpetological Review</w:t>
      </w:r>
      <w:r w:rsidRPr="007F56AD">
        <w:t xml:space="preserve">, </w:t>
      </w:r>
      <w:r w:rsidRPr="007F56AD">
        <w:rPr>
          <w:i/>
          <w:iCs/>
        </w:rPr>
        <w:t>53</w:t>
      </w:r>
      <w:r w:rsidRPr="007F56AD">
        <w:t>, 134–135.</w:t>
      </w:r>
    </w:p>
    <w:p w14:paraId="2C7BEB39" w14:textId="77777777" w:rsidR="00947FD0" w:rsidRPr="00D3033D" w:rsidRDefault="00947FD0" w:rsidP="00947FD0">
      <w:pPr>
        <w:spacing w:line="480" w:lineRule="auto"/>
        <w:ind w:left="360" w:hanging="360"/>
      </w:pPr>
      <w:r w:rsidRPr="00D3033D">
        <w:t>Endriss, D.A., E.C. Hellgren, S.F. Fox, R.W. Moody.</w:t>
      </w:r>
      <w:r w:rsidRPr="00B541A8">
        <w:t xml:space="preserve"> (2007). </w:t>
      </w:r>
      <w:r w:rsidRPr="00D3033D">
        <w:t>Demography of an urban population of the Texas Horned Lizard (</w:t>
      </w:r>
      <w:r w:rsidRPr="00D3033D">
        <w:rPr>
          <w:i/>
        </w:rPr>
        <w:t>Phrynosoma cornutum</w:t>
      </w:r>
      <w:r w:rsidRPr="00D3033D">
        <w:t xml:space="preserve">) in central Oklahoma. </w:t>
      </w:r>
      <w:r w:rsidRPr="00D3033D">
        <w:rPr>
          <w:i/>
        </w:rPr>
        <w:t>Herpetologica</w:t>
      </w:r>
      <w:r w:rsidRPr="00D3033D">
        <w:t xml:space="preserve"> </w:t>
      </w:r>
      <w:r w:rsidRPr="00D3033D">
        <w:rPr>
          <w:iCs/>
        </w:rPr>
        <w:t>63</w:t>
      </w:r>
      <w:r w:rsidRPr="00D3033D">
        <w:t>:320–331. doi: 10.1655/0018-0831(2007)63[320:DOAUPO]2.0.CO;2</w:t>
      </w:r>
    </w:p>
    <w:p w14:paraId="28FBB742" w14:textId="77777777" w:rsidR="00947FD0" w:rsidRPr="00D3033D" w:rsidRDefault="00947FD0" w:rsidP="00947FD0">
      <w:pPr>
        <w:spacing w:line="480" w:lineRule="auto"/>
        <w:ind w:left="360" w:hanging="360"/>
        <w:rPr>
          <w:color w:val="212121"/>
          <w:shd w:val="clear" w:color="auto" w:fill="FFFFFF"/>
        </w:rPr>
      </w:pPr>
      <w:r w:rsidRPr="00D3033D">
        <w:rPr>
          <w:color w:val="212121"/>
          <w:shd w:val="clear" w:color="auto" w:fill="FFFFFF"/>
        </w:rPr>
        <w:t xml:space="preserve">Fair, W.S., S.E. Henke. </w:t>
      </w:r>
      <w:r>
        <w:rPr>
          <w:color w:val="212121"/>
          <w:shd w:val="clear" w:color="auto" w:fill="FFFFFF"/>
        </w:rPr>
        <w:t>(</w:t>
      </w:r>
      <w:r w:rsidRPr="00D3033D">
        <w:rPr>
          <w:color w:val="212121"/>
          <w:shd w:val="clear" w:color="auto" w:fill="FFFFFF"/>
        </w:rPr>
        <w:t>1999</w:t>
      </w:r>
      <w:r>
        <w:rPr>
          <w:color w:val="212121"/>
          <w:shd w:val="clear" w:color="auto" w:fill="FFFFFF"/>
        </w:rPr>
        <w:t>)</w:t>
      </w:r>
      <w:r w:rsidRPr="00D3033D">
        <w:rPr>
          <w:color w:val="212121"/>
          <w:shd w:val="clear" w:color="auto" w:fill="FFFFFF"/>
        </w:rPr>
        <w:t>. Movements, home ranges, and survival of Texas horned lizards (</w:t>
      </w:r>
      <w:r w:rsidRPr="00D3033D">
        <w:rPr>
          <w:i/>
        </w:rPr>
        <w:t>Phrynosoma cornutum</w:t>
      </w:r>
      <w:r w:rsidRPr="00D3033D">
        <w:rPr>
          <w:color w:val="212121"/>
          <w:shd w:val="clear" w:color="auto" w:fill="FFFFFF"/>
        </w:rPr>
        <w:t xml:space="preserve">). </w:t>
      </w:r>
      <w:r w:rsidRPr="00D3033D">
        <w:rPr>
          <w:i/>
          <w:iCs/>
          <w:color w:val="212121"/>
          <w:shd w:val="clear" w:color="auto" w:fill="FFFFFF"/>
        </w:rPr>
        <w:t>Journal of Herpetology</w:t>
      </w:r>
      <w:r>
        <w:rPr>
          <w:color w:val="212121"/>
          <w:shd w:val="clear" w:color="auto" w:fill="FFFFFF"/>
        </w:rPr>
        <w:t>,</w:t>
      </w:r>
      <w:r w:rsidRPr="00D3033D">
        <w:rPr>
          <w:color w:val="212121"/>
          <w:shd w:val="clear" w:color="auto" w:fill="FFFFFF"/>
        </w:rPr>
        <w:t xml:space="preserve"> </w:t>
      </w:r>
      <w:r w:rsidRPr="00D3033D">
        <w:rPr>
          <w:i/>
          <w:iCs/>
          <w:color w:val="212121"/>
          <w:shd w:val="clear" w:color="auto" w:fill="FFFFFF"/>
        </w:rPr>
        <w:t>33</w:t>
      </w:r>
      <w:r w:rsidRPr="00D3033D">
        <w:rPr>
          <w:color w:val="212121"/>
          <w:shd w:val="clear" w:color="auto" w:fill="FFFFFF"/>
        </w:rPr>
        <w:t>, 517–525. doi: 10.2307/1565567</w:t>
      </w:r>
    </w:p>
    <w:p w14:paraId="5BB238BD"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Faith, D. P. (1992). Conservation evaluation and phylogenetic diversity. </w:t>
      </w:r>
      <w:r w:rsidRPr="00B541A8">
        <w:rPr>
          <w:i/>
        </w:rPr>
        <w:t>Biological Conservation</w:t>
      </w:r>
      <w:r w:rsidRPr="00B541A8">
        <w:t xml:space="preserve">, </w:t>
      </w:r>
      <w:r w:rsidRPr="00B541A8">
        <w:rPr>
          <w:i/>
        </w:rPr>
        <w:t>61</w:t>
      </w:r>
      <w:r w:rsidRPr="00B541A8">
        <w:t>, 1–10. doi: 10.1016/0006-3207(92)91201-3</w:t>
      </w:r>
    </w:p>
    <w:p w14:paraId="5F379BBA"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Fischer, J., &amp; Lindenmayer, D. B. (2000). An assessment of the published results of animal relocations. </w:t>
      </w:r>
      <w:r w:rsidRPr="00B541A8">
        <w:rPr>
          <w:i/>
        </w:rPr>
        <w:t>Biological Conservation</w:t>
      </w:r>
      <w:r w:rsidRPr="00B541A8">
        <w:t xml:space="preserve">, </w:t>
      </w:r>
      <w:r w:rsidRPr="00B541A8">
        <w:rPr>
          <w:i/>
        </w:rPr>
        <w:t>96</w:t>
      </w:r>
      <w:r w:rsidRPr="00B541A8">
        <w:t>, 1–11. doi: 10.1016/S0006-3207(00)00048-3</w:t>
      </w:r>
    </w:p>
    <w:p w14:paraId="735E0C14" w14:textId="77777777" w:rsidR="00947FD0" w:rsidRDefault="00947FD0" w:rsidP="00947FD0">
      <w:pPr>
        <w:spacing w:line="480" w:lineRule="auto"/>
        <w:ind w:left="360" w:hanging="360"/>
      </w:pPr>
      <w:r>
        <w:t>Fong, J</w:t>
      </w:r>
      <w:r w:rsidRPr="00B541A8">
        <w:t xml:space="preserve">. J., </w:t>
      </w:r>
      <w:r>
        <w:t>Sung, Y. H., &amp; Ding, L.</w:t>
      </w:r>
      <w:r w:rsidRPr="00B541A8">
        <w:t xml:space="preserve"> (2020). </w:t>
      </w:r>
      <w:r>
        <w:t>Comparative analysis of the fecal microbiota of wild and captive beal’s eyed turtle (</w:t>
      </w:r>
      <w:r w:rsidRPr="00D3033D">
        <w:rPr>
          <w:i/>
          <w:iCs/>
        </w:rPr>
        <w:t>Sacalia bealei</w:t>
      </w:r>
      <w:r>
        <w:t xml:space="preserve">) by 16S rRNA gene sequencing. </w:t>
      </w:r>
      <w:r>
        <w:rPr>
          <w:i/>
          <w:iCs/>
        </w:rPr>
        <w:t>Frontiers in microbiology</w:t>
      </w:r>
      <w:r>
        <w:t xml:space="preserve">, 2732. doi: </w:t>
      </w:r>
      <w:r w:rsidRPr="00D3033D">
        <w:t>10.3389/fmicb.2020.570890</w:t>
      </w:r>
    </w:p>
    <w:p w14:paraId="7A024F7A"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Fraune, S., &amp; Bosch, T. C. (2010). Why bacteria matter in animal development and evolution. </w:t>
      </w:r>
      <w:r w:rsidRPr="00B541A8">
        <w:rPr>
          <w:i/>
        </w:rPr>
        <w:t>Bioessays</w:t>
      </w:r>
      <w:r w:rsidRPr="00B541A8">
        <w:t xml:space="preserve">, </w:t>
      </w:r>
      <w:r w:rsidRPr="00B541A8">
        <w:rPr>
          <w:i/>
        </w:rPr>
        <w:t>32</w:t>
      </w:r>
      <w:r w:rsidRPr="00B541A8">
        <w:t>, 571–580. doi: 10.1002/bies.200900192</w:t>
      </w:r>
    </w:p>
    <w:p w14:paraId="45AFF108" w14:textId="77777777" w:rsidR="00947FD0" w:rsidRPr="0011238A" w:rsidRDefault="00947FD0" w:rsidP="00947FD0">
      <w:pPr>
        <w:spacing w:line="480" w:lineRule="auto"/>
        <w:ind w:left="360" w:hanging="360"/>
        <w:rPr>
          <w:color w:val="000000"/>
          <w:sz w:val="22"/>
          <w:szCs w:val="22"/>
        </w:rPr>
      </w:pPr>
      <w:r w:rsidRPr="0011238A">
        <w:rPr>
          <w:sz w:val="22"/>
          <w:szCs w:val="22"/>
        </w:rPr>
        <w:t>Germano, J.M., P.J. Bishop.</w:t>
      </w:r>
      <w:r w:rsidRPr="00B541A8">
        <w:rPr>
          <w:sz w:val="22"/>
        </w:rPr>
        <w:t xml:space="preserve"> (200</w:t>
      </w:r>
      <w:r>
        <w:rPr>
          <w:sz w:val="22"/>
        </w:rPr>
        <w:t>9</w:t>
      </w:r>
      <w:r w:rsidRPr="00B541A8">
        <w:rPr>
          <w:sz w:val="22"/>
        </w:rPr>
        <w:t xml:space="preserve">). </w:t>
      </w:r>
      <w:r w:rsidRPr="0011238A">
        <w:rPr>
          <w:sz w:val="22"/>
          <w:szCs w:val="22"/>
        </w:rPr>
        <w:t xml:space="preserve">Suitability of amphibians and reptiles for translocation. </w:t>
      </w:r>
      <w:r w:rsidRPr="0011238A">
        <w:rPr>
          <w:i/>
          <w:iCs/>
          <w:sz w:val="22"/>
          <w:szCs w:val="22"/>
        </w:rPr>
        <w:t>Conservation Biology</w:t>
      </w:r>
      <w:r>
        <w:rPr>
          <w:sz w:val="22"/>
          <w:szCs w:val="22"/>
        </w:rPr>
        <w:t>,</w:t>
      </w:r>
      <w:r w:rsidRPr="0011238A">
        <w:rPr>
          <w:sz w:val="22"/>
          <w:szCs w:val="22"/>
        </w:rPr>
        <w:t xml:space="preserve"> </w:t>
      </w:r>
      <w:r w:rsidRPr="00D3033D">
        <w:rPr>
          <w:i/>
          <w:iCs/>
          <w:sz w:val="22"/>
          <w:szCs w:val="22"/>
        </w:rPr>
        <w:t>23</w:t>
      </w:r>
      <w:r>
        <w:rPr>
          <w:sz w:val="22"/>
          <w:szCs w:val="22"/>
        </w:rPr>
        <w:t xml:space="preserve">, </w:t>
      </w:r>
      <w:r w:rsidRPr="0011238A">
        <w:rPr>
          <w:sz w:val="22"/>
          <w:szCs w:val="22"/>
        </w:rPr>
        <w:t>7–15.</w:t>
      </w:r>
      <w:r>
        <w:rPr>
          <w:sz w:val="22"/>
          <w:szCs w:val="22"/>
        </w:rPr>
        <w:t xml:space="preserve"> doi: </w:t>
      </w:r>
      <w:r w:rsidRPr="00436459">
        <w:rPr>
          <w:sz w:val="22"/>
          <w:szCs w:val="22"/>
        </w:rPr>
        <w:t>10.1111/j.1523-1739.</w:t>
      </w:r>
      <w:r w:rsidRPr="00B541A8">
        <w:rPr>
          <w:sz w:val="22"/>
        </w:rPr>
        <w:t>2008</w:t>
      </w:r>
      <w:r w:rsidRPr="00436459">
        <w:rPr>
          <w:sz w:val="22"/>
          <w:szCs w:val="22"/>
        </w:rPr>
        <w:t>.01123.x</w:t>
      </w:r>
    </w:p>
    <w:p w14:paraId="09BEA789" w14:textId="77777777" w:rsidR="00947FD0" w:rsidRPr="00BA2F95" w:rsidRDefault="00947FD0" w:rsidP="00947FD0">
      <w:pPr>
        <w:spacing w:line="480" w:lineRule="auto"/>
        <w:ind w:left="360" w:hanging="360"/>
        <w:rPr>
          <w:sz w:val="22"/>
        </w:rPr>
      </w:pPr>
      <w:r w:rsidRPr="0011238A">
        <w:rPr>
          <w:sz w:val="22"/>
          <w:szCs w:val="22"/>
        </w:rPr>
        <w:t xml:space="preserve">IUCN/SSC. </w:t>
      </w:r>
      <w:r w:rsidRPr="00B541A8">
        <w:rPr>
          <w:sz w:val="22"/>
        </w:rPr>
        <w:t xml:space="preserve">(2013). </w:t>
      </w:r>
      <w:r w:rsidRPr="00436459">
        <w:rPr>
          <w:sz w:val="22"/>
          <w:szCs w:val="22"/>
        </w:rPr>
        <w:t xml:space="preserve">Guidelines for Reintroductions and Other Conservation Translocations. </w:t>
      </w:r>
      <w:r w:rsidRPr="00BA2F95">
        <w:rPr>
          <w:sz w:val="22"/>
          <w:szCs w:val="22"/>
        </w:rPr>
        <w:t xml:space="preserve">Version 1.0. Gland, Switzerland: IUCN </w:t>
      </w:r>
      <w:r w:rsidRPr="00BA2F95">
        <w:rPr>
          <w:sz w:val="22"/>
        </w:rPr>
        <w:t xml:space="preserve">Species Survival Commission, </w:t>
      </w:r>
      <w:r w:rsidRPr="00BA2F95">
        <w:rPr>
          <w:sz w:val="22"/>
          <w:szCs w:val="22"/>
        </w:rPr>
        <w:t>57 pp</w:t>
      </w:r>
      <w:r w:rsidRPr="00BA2F95">
        <w:rPr>
          <w:sz w:val="22"/>
        </w:rPr>
        <w:t>.</w:t>
      </w:r>
    </w:p>
    <w:p w14:paraId="722DEE43" w14:textId="77777777" w:rsidR="00947FD0" w:rsidRPr="00BA2F95" w:rsidRDefault="00947FD0" w:rsidP="00947FD0">
      <w:pPr>
        <w:pStyle w:val="NormalWeb"/>
        <w:spacing w:before="0" w:beforeAutospacing="0" w:after="0" w:afterAutospacing="0" w:line="480" w:lineRule="auto"/>
        <w:ind w:left="360" w:hanging="360"/>
        <w:contextualSpacing/>
      </w:pPr>
      <w:r w:rsidRPr="00BA2F95">
        <w:t xml:space="preserve">Jaccard, P. (1901). Étude comparative de la distribution florale dans une portion des Alpes et des Jura. </w:t>
      </w:r>
      <w:r w:rsidRPr="00BA2F95">
        <w:rPr>
          <w:i/>
        </w:rPr>
        <w:t>Bulletin de la Societe Vaudoise des Sciences Naturelles</w:t>
      </w:r>
      <w:r w:rsidRPr="00BA2F95">
        <w:t xml:space="preserve">, </w:t>
      </w:r>
      <w:r w:rsidRPr="00BA2F95">
        <w:rPr>
          <w:i/>
        </w:rPr>
        <w:t>37</w:t>
      </w:r>
      <w:r w:rsidRPr="00BA2F95">
        <w:t>, 547–579. doi: 10.5169/seals-266450</w:t>
      </w:r>
    </w:p>
    <w:p w14:paraId="671A62B8" w14:textId="77777777" w:rsidR="00947FD0" w:rsidRPr="00BA2F95" w:rsidRDefault="00947FD0" w:rsidP="00947FD0">
      <w:pPr>
        <w:pStyle w:val="NormalWeb"/>
        <w:spacing w:before="0" w:beforeAutospacing="0" w:after="0" w:afterAutospacing="0" w:line="480" w:lineRule="auto"/>
        <w:ind w:left="360" w:hanging="360"/>
        <w:contextualSpacing/>
      </w:pPr>
      <w:r w:rsidRPr="002053EE">
        <w:rPr>
          <w:lang w:val="de-DE"/>
        </w:rPr>
        <w:t xml:space="preserve">Jiang, H. Y., Ma, J. E., Li, J., Zhang, X. J., Li, L. M., He, N., … </w:t>
      </w:r>
      <w:r w:rsidRPr="00B541A8">
        <w:t xml:space="preserve">Chen, J. P. (2017). Diets alter the gut microbiome of crocodile lizards. </w:t>
      </w:r>
      <w:r w:rsidRPr="00BA2F95">
        <w:rPr>
          <w:i/>
        </w:rPr>
        <w:t>Frontiers in Microbiology</w:t>
      </w:r>
      <w:r w:rsidRPr="00BA2F95">
        <w:t xml:space="preserve">, </w:t>
      </w:r>
      <w:r w:rsidRPr="00BA2F95">
        <w:rPr>
          <w:i/>
        </w:rPr>
        <w:t>8</w:t>
      </w:r>
      <w:r w:rsidRPr="00BA2F95">
        <w:t>, e2073. doi: 10.3389/fmicb.2017.02073</w:t>
      </w:r>
    </w:p>
    <w:p w14:paraId="7A4A19B6" w14:textId="77777777" w:rsidR="00947FD0" w:rsidRPr="00B541A8" w:rsidRDefault="00947FD0" w:rsidP="00947FD0">
      <w:pPr>
        <w:pStyle w:val="NormalWeb"/>
        <w:spacing w:before="0" w:beforeAutospacing="0" w:after="0" w:afterAutospacing="0" w:line="480" w:lineRule="auto"/>
        <w:ind w:left="360" w:hanging="360"/>
        <w:contextualSpacing/>
      </w:pPr>
      <w:r w:rsidRPr="00BA2F95">
        <w:t xml:space="preserve">Jiménez, R. R., &amp; Sommer, S. (2017). </w:t>
      </w:r>
      <w:r w:rsidRPr="00B541A8">
        <w:t xml:space="preserve">The amphibian microbiome: Natural range of variation, pathogenic dysbiosis, and role in conservation. </w:t>
      </w:r>
      <w:r w:rsidRPr="00B541A8">
        <w:rPr>
          <w:i/>
        </w:rPr>
        <w:t>Biodiversity and Conservation</w:t>
      </w:r>
      <w:r w:rsidRPr="00B541A8">
        <w:t xml:space="preserve">, </w:t>
      </w:r>
      <w:r w:rsidRPr="00B541A8">
        <w:rPr>
          <w:i/>
        </w:rPr>
        <w:t>26</w:t>
      </w:r>
      <w:r w:rsidRPr="00B541A8">
        <w:t>, 763–786. doi: 10.1007/s10531-016-1272-x</w:t>
      </w:r>
    </w:p>
    <w:p w14:paraId="07C95867"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Kohl, K. D., Brun, A., Magallanes, M., Brinkerhoff, J., Laspiur, A., Acosta, J. C., … Bordenstein, S. R. (2017). Gut microbial ecology of lizards: Insights into diversity in the wild, effects of captivity, variation across gut regions and transmission. </w:t>
      </w:r>
      <w:r w:rsidRPr="00B541A8">
        <w:rPr>
          <w:i/>
        </w:rPr>
        <w:t>Molecular Ecology</w:t>
      </w:r>
      <w:r w:rsidRPr="00B541A8">
        <w:t xml:space="preserve">, </w:t>
      </w:r>
      <w:r w:rsidRPr="00B541A8">
        <w:rPr>
          <w:i/>
        </w:rPr>
        <w:t>26</w:t>
      </w:r>
      <w:r w:rsidRPr="00B541A8">
        <w:t>, 1175–1189. doi: 10.1111/mec.13921</w:t>
      </w:r>
    </w:p>
    <w:p w14:paraId="52510F81"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Kozich, J. J., Westcott, S. L., Baxter, N. T., Highlander, S. K., &amp; Schloss, P. D. (2013). Development of a dual-index sequencing strategy and curation pipeline for analyzing amplicon sequence data on the MiSeq Illumina sequencing platform. </w:t>
      </w:r>
      <w:r w:rsidRPr="00B541A8">
        <w:rPr>
          <w:i/>
        </w:rPr>
        <w:t>Applied and Environmental Microbiology</w:t>
      </w:r>
      <w:r w:rsidRPr="00B541A8">
        <w:t xml:space="preserve">, </w:t>
      </w:r>
      <w:r w:rsidRPr="00B541A8">
        <w:rPr>
          <w:i/>
        </w:rPr>
        <w:t>79</w:t>
      </w:r>
      <w:r w:rsidRPr="00B541A8">
        <w:t>, 5112–5120. doi: 10.1128/AEM.01043-13</w:t>
      </w:r>
    </w:p>
    <w:p w14:paraId="0ACCA886" w14:textId="77777777" w:rsidR="00947FD0" w:rsidRPr="009D672A" w:rsidRDefault="00947FD0" w:rsidP="00947FD0">
      <w:pPr>
        <w:spacing w:line="480" w:lineRule="auto"/>
        <w:ind w:left="360" w:hanging="360"/>
      </w:pPr>
      <w:r>
        <w:t xml:space="preserve">Kueneman, J. G., Woodhams, D. C., Harris, R., Archer, H. M., Knight, R., &amp; McKenzie, V. J. </w:t>
      </w:r>
      <w:r w:rsidRPr="00B541A8">
        <w:t xml:space="preserve">(2016). </w:t>
      </w:r>
      <w:r>
        <w:t xml:space="preserve">Probiotic treatment restores protection against lethal fungal infection lost during amphibian captivity. </w:t>
      </w:r>
      <w:r>
        <w:rPr>
          <w:i/>
          <w:iCs/>
        </w:rPr>
        <w:t>Proceedings of the Royal Society B: Biological Sciences</w:t>
      </w:r>
      <w:r>
        <w:t xml:space="preserve">, </w:t>
      </w:r>
      <w:r>
        <w:rPr>
          <w:i/>
          <w:iCs/>
        </w:rPr>
        <w:t>283</w:t>
      </w:r>
      <w:r>
        <w:t xml:space="preserve">, 20161553. doi: </w:t>
      </w:r>
      <w:r w:rsidRPr="009D672A">
        <w:t>doi.org/10.1098/rspb.2016.1553</w:t>
      </w:r>
    </w:p>
    <w:p w14:paraId="6869DC4B" w14:textId="77777777" w:rsidR="00947FD0" w:rsidRDefault="00947FD0" w:rsidP="00947FD0">
      <w:pPr>
        <w:spacing w:line="480" w:lineRule="auto"/>
        <w:ind w:left="360" w:hanging="360"/>
      </w:pPr>
      <w:r>
        <w:t>Lee, W</w:t>
      </w:r>
      <w:r w:rsidRPr="00B541A8">
        <w:t xml:space="preserve">. J., </w:t>
      </w:r>
      <w:r>
        <w:t>&amp; Hase, K.</w:t>
      </w:r>
      <w:r w:rsidRPr="00B541A8">
        <w:t xml:space="preserve"> (2014). </w:t>
      </w:r>
      <w:r>
        <w:t xml:space="preserve">Gut microbiota–generated metabolites in animal health and disease. </w:t>
      </w:r>
      <w:r>
        <w:rPr>
          <w:i/>
          <w:iCs/>
        </w:rPr>
        <w:t>Nature chemical biology</w:t>
      </w:r>
      <w:r>
        <w:t xml:space="preserve">, </w:t>
      </w:r>
      <w:r>
        <w:rPr>
          <w:i/>
          <w:iCs/>
        </w:rPr>
        <w:t>10</w:t>
      </w:r>
      <w:r>
        <w:t>, 416</w:t>
      </w:r>
      <w:r>
        <w:softHyphen/>
        <w:t xml:space="preserve">–424. doi: </w:t>
      </w:r>
      <w:r w:rsidRPr="00DA7CEC">
        <w:t>10.1038/nchembio.1535</w:t>
      </w:r>
    </w:p>
    <w:p w14:paraId="40350B41"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Lindgreen, S. (2012). AdapterRemoval: Easy cleaning of next-generation sequencing reads. </w:t>
      </w:r>
      <w:r w:rsidRPr="00B541A8">
        <w:rPr>
          <w:i/>
        </w:rPr>
        <w:t>BMC Research Notes</w:t>
      </w:r>
      <w:r w:rsidRPr="00B541A8">
        <w:t xml:space="preserve">, </w:t>
      </w:r>
      <w:r w:rsidRPr="00B541A8">
        <w:rPr>
          <w:i/>
        </w:rPr>
        <w:t>5</w:t>
      </w:r>
      <w:r w:rsidRPr="00B541A8">
        <w:t>, 337. doi: 10.1186/1756-0500-5-337</w:t>
      </w:r>
    </w:p>
    <w:p w14:paraId="4DFD8691" w14:textId="77777777" w:rsidR="00947FD0" w:rsidRDefault="00947FD0" w:rsidP="00947FD0">
      <w:pPr>
        <w:spacing w:line="480" w:lineRule="auto"/>
        <w:ind w:left="360" w:hanging="360"/>
      </w:pPr>
      <w:r>
        <w:t>Loudon, A.</w:t>
      </w:r>
      <w:r w:rsidRPr="00B541A8">
        <w:t xml:space="preserve"> H., </w:t>
      </w:r>
      <w:r>
        <w:t>Woodhams, D. C., Parfrey, L. W., Archer,</w:t>
      </w:r>
      <w:r w:rsidRPr="00B541A8">
        <w:t xml:space="preserve"> H., </w:t>
      </w:r>
      <w:r>
        <w:t>Knight, R., McKenzie, V., &amp; Harris, R. N. (2014). Microbial community dynamics and effect of environmental microbial reservoirs on red-backed salamanders (</w:t>
      </w:r>
      <w:r w:rsidRPr="00DA7CEC">
        <w:rPr>
          <w:i/>
          <w:iCs/>
        </w:rPr>
        <w:t>Plethodon cinereus</w:t>
      </w:r>
      <w:r>
        <w:t xml:space="preserve">). </w:t>
      </w:r>
      <w:r>
        <w:rPr>
          <w:i/>
          <w:iCs/>
        </w:rPr>
        <w:t>The ISME journal</w:t>
      </w:r>
      <w:r>
        <w:t xml:space="preserve">, </w:t>
      </w:r>
      <w:r>
        <w:rPr>
          <w:i/>
          <w:iCs/>
        </w:rPr>
        <w:t>8</w:t>
      </w:r>
      <w:r>
        <w:t>, 830</w:t>
      </w:r>
      <w:r>
        <w:softHyphen/>
        <w:t xml:space="preserve">–840. doi: </w:t>
      </w:r>
      <w:r w:rsidRPr="001A5B86">
        <w:t>10.1038/ismej.2013.200</w:t>
      </w:r>
    </w:p>
    <w:p w14:paraId="12204D3C"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Lozupone, C., &amp; Knight, R. (2005). UniFrac: A new phylogenetic method for comparing microbial communities. </w:t>
      </w:r>
      <w:r w:rsidRPr="00B541A8">
        <w:rPr>
          <w:i/>
        </w:rPr>
        <w:t>Applied and Environmental Microbiology</w:t>
      </w:r>
      <w:r w:rsidRPr="00B541A8">
        <w:t xml:space="preserve">, </w:t>
      </w:r>
      <w:r w:rsidRPr="00B541A8">
        <w:rPr>
          <w:i/>
        </w:rPr>
        <w:t>71</w:t>
      </w:r>
      <w:r w:rsidRPr="00B541A8">
        <w:t>, 8228–8235. doi: 10.1128/AEM.71.12.8228-8235.2005</w:t>
      </w:r>
    </w:p>
    <w:p w14:paraId="7C3FA121"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Mathews, F., Orros, M., McLaren, G., Gelling, M., &amp; Foster, R. (2005). Keeping fit on the ark: Assessing the suitability of captive-bred animals for release. </w:t>
      </w:r>
      <w:r w:rsidRPr="00B541A8">
        <w:rPr>
          <w:i/>
        </w:rPr>
        <w:t>Biological Conservation</w:t>
      </w:r>
      <w:r w:rsidRPr="00B541A8">
        <w:t xml:space="preserve">, </w:t>
      </w:r>
      <w:r w:rsidRPr="00B541A8">
        <w:rPr>
          <w:i/>
        </w:rPr>
        <w:t>121</w:t>
      </w:r>
      <w:r w:rsidRPr="00B541A8">
        <w:t>, 569–577. doi: 10.1016/j.biocon.2004.06.007</w:t>
      </w:r>
    </w:p>
    <w:p w14:paraId="301560E1"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McGowan, P. J., Traylor‐Holzer, K., &amp; Leus, K. (2017). IUCN guidelines for determining when and how ex situ management should be used in species conservation. </w:t>
      </w:r>
      <w:r w:rsidRPr="00B541A8">
        <w:rPr>
          <w:i/>
        </w:rPr>
        <w:t>Conservation Letters</w:t>
      </w:r>
      <w:r w:rsidRPr="00B541A8">
        <w:t xml:space="preserve">, </w:t>
      </w:r>
      <w:r w:rsidRPr="00B541A8">
        <w:rPr>
          <w:i/>
        </w:rPr>
        <w:t>10</w:t>
      </w:r>
      <w:r w:rsidRPr="00B541A8">
        <w:t>, 361–366. doi: 10.1111/conl.12285</w:t>
      </w:r>
    </w:p>
    <w:p w14:paraId="3F32752D"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McKenzie, V. J., Song, S. J., Delsuc, F., Prest, T. L., Oliverio, A. M., Korpita, T. M., … Avenant, N. L. (2017). The effects of captivity on the mammalian gut microbiome. </w:t>
      </w:r>
      <w:r w:rsidRPr="00B541A8">
        <w:rPr>
          <w:i/>
        </w:rPr>
        <w:t>Integrative and Comparative Biology</w:t>
      </w:r>
      <w:r w:rsidRPr="00B541A8">
        <w:t xml:space="preserve">, </w:t>
      </w:r>
      <w:r w:rsidRPr="00B541A8">
        <w:rPr>
          <w:i/>
        </w:rPr>
        <w:t>57</w:t>
      </w:r>
      <w:r w:rsidRPr="00B541A8">
        <w:t>, 690–704. doi: 10.1093/icb/icx090</w:t>
      </w:r>
    </w:p>
    <w:p w14:paraId="0DC6063C" w14:textId="77777777" w:rsidR="00947FD0" w:rsidRDefault="00947FD0" w:rsidP="00947FD0">
      <w:pPr>
        <w:spacing w:line="480" w:lineRule="auto"/>
        <w:ind w:left="360" w:hanging="360"/>
      </w:pPr>
      <w:r w:rsidRPr="001A5B86">
        <w:t xml:space="preserve">Moody, R.W., D.A. Endriss, E.C. Hellgren, S.F. Fox. </w:t>
      </w:r>
      <w:r>
        <w:t>(</w:t>
      </w:r>
      <w:r w:rsidRPr="001A5B86">
        <w:t>2007</w:t>
      </w:r>
      <w:r>
        <w:t>)</w:t>
      </w:r>
      <w:r w:rsidRPr="001A5B86">
        <w:t>. Studying a population of Texas horned lizards (</w:t>
      </w:r>
      <w:r w:rsidRPr="001A5B86">
        <w:rPr>
          <w:i/>
          <w:iCs/>
        </w:rPr>
        <w:t>Phrynosoma cornutum</w:t>
      </w:r>
      <w:r w:rsidRPr="001A5B86">
        <w:t xml:space="preserve">) in an urban/military environment. </w:t>
      </w:r>
      <w:r w:rsidRPr="001A5B86">
        <w:rPr>
          <w:i/>
        </w:rPr>
        <w:t>Iguana</w:t>
      </w:r>
      <w:r>
        <w:rPr>
          <w:iCs/>
        </w:rPr>
        <w:t>,</w:t>
      </w:r>
      <w:r w:rsidRPr="001A5B86">
        <w:t xml:space="preserve"> </w:t>
      </w:r>
      <w:r w:rsidRPr="001A5B86">
        <w:rPr>
          <w:i/>
        </w:rPr>
        <w:t>14</w:t>
      </w:r>
      <w:r>
        <w:rPr>
          <w:iCs/>
        </w:rPr>
        <w:t xml:space="preserve">, </w:t>
      </w:r>
      <w:r w:rsidRPr="001A5B86">
        <w:t>8–17.</w:t>
      </w:r>
    </w:p>
    <w:p w14:paraId="00E9D8D5" w14:textId="77777777" w:rsidR="00947FD0" w:rsidRDefault="00947FD0" w:rsidP="00947FD0">
      <w:pPr>
        <w:spacing w:line="480" w:lineRule="auto"/>
        <w:ind w:left="360" w:hanging="360"/>
      </w:pPr>
      <w:r w:rsidRPr="001A5B86">
        <w:t>Mook, J., E.M. Schauber, M. Vesy, R.W. Moody, D. Nolan.</w:t>
      </w:r>
      <w:r w:rsidRPr="00B541A8">
        <w:t xml:space="preserve"> (2017). </w:t>
      </w:r>
      <w:r w:rsidRPr="001A5B86">
        <w:rPr>
          <w:i/>
          <w:iCs/>
        </w:rPr>
        <w:t>Phrynosoma cornutum</w:t>
      </w:r>
      <w:r w:rsidRPr="001A5B86">
        <w:t xml:space="preserve"> (Texas Horned Lizard) Behavior. </w:t>
      </w:r>
      <w:r w:rsidRPr="001A5B86">
        <w:rPr>
          <w:i/>
        </w:rPr>
        <w:t>Herpetological Review</w:t>
      </w:r>
      <w:r>
        <w:rPr>
          <w:iCs/>
        </w:rPr>
        <w:t>,</w:t>
      </w:r>
      <w:r w:rsidRPr="001A5B86">
        <w:t xml:space="preserve"> </w:t>
      </w:r>
      <w:r w:rsidRPr="001A5B86">
        <w:rPr>
          <w:i/>
        </w:rPr>
        <w:t>48</w:t>
      </w:r>
      <w:r>
        <w:rPr>
          <w:iCs/>
        </w:rPr>
        <w:t xml:space="preserve">, </w:t>
      </w:r>
      <w:r w:rsidRPr="001A5B86">
        <w:rPr>
          <w:iCs/>
        </w:rPr>
        <w:t>197–198</w:t>
      </w:r>
      <w:r w:rsidRPr="001A5B86">
        <w:t>.</w:t>
      </w:r>
    </w:p>
    <w:p w14:paraId="26301D3A" w14:textId="77777777" w:rsidR="00947FD0" w:rsidRDefault="00947FD0" w:rsidP="00947FD0">
      <w:pPr>
        <w:spacing w:line="480" w:lineRule="auto"/>
        <w:ind w:left="360" w:hanging="360"/>
      </w:pPr>
      <w:r>
        <w:t>Murphy, E. C., Mörgelin, M., Cooney, J. C., &amp; Frick, I.</w:t>
      </w:r>
      <w:r w:rsidRPr="00B541A8">
        <w:t xml:space="preserve"> M. </w:t>
      </w:r>
      <w:r>
        <w:t xml:space="preserve">(2011). Interaction of </w:t>
      </w:r>
      <w:r w:rsidRPr="009A63A4">
        <w:rPr>
          <w:i/>
          <w:iCs/>
        </w:rPr>
        <w:t>Bacteroides fragilis</w:t>
      </w:r>
      <w:r>
        <w:t xml:space="preserve"> and </w:t>
      </w:r>
      <w:r w:rsidRPr="009A63A4">
        <w:rPr>
          <w:i/>
          <w:iCs/>
        </w:rPr>
        <w:t>Bacteroides thetaiotaomicron</w:t>
      </w:r>
      <w:r>
        <w:t xml:space="preserve"> with the kallikrein-kinin system. </w:t>
      </w:r>
      <w:r>
        <w:rPr>
          <w:i/>
          <w:iCs/>
        </w:rPr>
        <w:t>Microbiology</w:t>
      </w:r>
      <w:r>
        <w:t xml:space="preserve">, </w:t>
      </w:r>
      <w:r>
        <w:rPr>
          <w:i/>
          <w:iCs/>
        </w:rPr>
        <w:t>157</w:t>
      </w:r>
      <w:r>
        <w:t xml:space="preserve">, 2094–2105. </w:t>
      </w:r>
      <w:r w:rsidRPr="009A63A4">
        <w:t>doi</w:t>
      </w:r>
      <w:r>
        <w:t>: 10.1099/mic.0.046862-0</w:t>
      </w:r>
    </w:p>
    <w:p w14:paraId="1EDDF63E" w14:textId="77777777" w:rsidR="00947FD0" w:rsidRPr="001A5B86" w:rsidRDefault="00947FD0" w:rsidP="00947FD0">
      <w:pPr>
        <w:spacing w:line="480" w:lineRule="auto"/>
        <w:ind w:left="360" w:hanging="360"/>
      </w:pPr>
      <w:r w:rsidRPr="001A5B86">
        <w:t xml:space="preserve">Oklahoma Department of Wildlife Conservation (ODWC). </w:t>
      </w:r>
      <w:r w:rsidRPr="00B541A8">
        <w:t xml:space="preserve">(2016). </w:t>
      </w:r>
      <w:r w:rsidRPr="001A5B86">
        <w:t>Oklahoma Comprehensive Wildlife Conservation Strategy. Strategic Conservation Plan for Oklahoma's Rare &amp; Declining Wildlife.</w:t>
      </w:r>
      <w:r>
        <w:t xml:space="preserve"> </w:t>
      </w:r>
      <w:r w:rsidRPr="001A5B86">
        <w:t>URL</w:t>
      </w:r>
      <w:r>
        <w:t xml:space="preserve"> </w:t>
      </w:r>
      <w:r w:rsidRPr="003A5E93">
        <w:t xml:space="preserve">efotg.sc.egov.usda.gov/references/public/OK/OK_CWCS_9_15.pdf </w:t>
      </w:r>
      <w:r w:rsidRPr="001A5B86">
        <w:t xml:space="preserve">(Accessed on </w:t>
      </w:r>
      <w:r>
        <w:t>5</w:t>
      </w:r>
      <w:r w:rsidRPr="001A5B86">
        <w:t xml:space="preserve"> </w:t>
      </w:r>
      <w:r>
        <w:t>June</w:t>
      </w:r>
      <w:r w:rsidRPr="001A5B86">
        <w:t xml:space="preserve"> 202</w:t>
      </w:r>
      <w:r>
        <w:t>2</w:t>
      </w:r>
      <w:r w:rsidRPr="001A5B86">
        <w:t>).</w:t>
      </w:r>
    </w:p>
    <w:p w14:paraId="443C6208" w14:textId="77777777" w:rsidR="00947FD0" w:rsidRPr="00B541A8" w:rsidRDefault="00947FD0" w:rsidP="00947FD0">
      <w:pPr>
        <w:pStyle w:val="NormalWeb"/>
        <w:spacing w:before="0" w:beforeAutospacing="0" w:after="0" w:afterAutospacing="0" w:line="480" w:lineRule="auto"/>
        <w:ind w:left="360" w:hanging="360"/>
        <w:contextualSpacing/>
      </w:pPr>
      <w:r w:rsidRPr="002053EE">
        <w:rPr>
          <w:lang w:val="de-DE"/>
        </w:rPr>
        <w:t xml:space="preserve">Oksanen, J., Blanchet, F. G., Kindt, R., Legendre, P., Minchin, P. R., O’hara, R. B., … </w:t>
      </w:r>
      <w:r w:rsidRPr="00B541A8">
        <w:t xml:space="preserve">Wagner, H. (2016). Vegan: Community Ecology Package. R Package Version v2.3_4. </w:t>
      </w:r>
      <w:r w:rsidRPr="003E7BD0">
        <w:t xml:space="preserve">URL </w:t>
      </w:r>
      <w:hyperlink r:id="rId35" w:history="1">
        <w:r w:rsidRPr="001D1C52">
          <w:rPr>
            <w:rStyle w:val="Hyperlink"/>
          </w:rPr>
          <w:t>https://CRAN.R-project.org/package=vegan</w:t>
        </w:r>
      </w:hyperlink>
      <w:r w:rsidRPr="003E7BD0">
        <w:t>.</w:t>
      </w:r>
    </w:p>
    <w:p w14:paraId="5B89A342" w14:textId="77777777" w:rsidR="00947FD0" w:rsidRPr="003E7BD0" w:rsidRDefault="00947FD0" w:rsidP="00947FD0">
      <w:pPr>
        <w:pStyle w:val="NormalWeb"/>
        <w:spacing w:line="480" w:lineRule="auto"/>
        <w:ind w:left="360" w:hanging="360"/>
        <w:contextualSpacing/>
      </w:pPr>
      <w:r w:rsidRPr="005E318E">
        <w:t xml:space="preserve">Price, A.H. </w:t>
      </w:r>
      <w:r>
        <w:t>(</w:t>
      </w:r>
      <w:r w:rsidRPr="005E318E">
        <w:t>1990</w:t>
      </w:r>
      <w:r>
        <w:t>)</w:t>
      </w:r>
      <w:r w:rsidRPr="005E318E">
        <w:t xml:space="preserve">. </w:t>
      </w:r>
      <w:r w:rsidRPr="005E318E">
        <w:rPr>
          <w:i/>
        </w:rPr>
        <w:t>Phrynosoma cornutum</w:t>
      </w:r>
      <w:r w:rsidRPr="005E318E">
        <w:t xml:space="preserve">. </w:t>
      </w:r>
      <w:r w:rsidRPr="005E318E">
        <w:rPr>
          <w:i/>
        </w:rPr>
        <w:t>Catalogue of American Amphibians and Reptiles</w:t>
      </w:r>
      <w:r>
        <w:rPr>
          <w:iCs/>
        </w:rPr>
        <w:t>,</w:t>
      </w:r>
      <w:r w:rsidRPr="005E318E">
        <w:rPr>
          <w:iCs/>
        </w:rPr>
        <w:t xml:space="preserve"> </w:t>
      </w:r>
      <w:r w:rsidRPr="005E318E">
        <w:rPr>
          <w:i/>
        </w:rPr>
        <w:t>1990</w:t>
      </w:r>
      <w:r>
        <w:rPr>
          <w:iCs/>
        </w:rPr>
        <w:t xml:space="preserve">, </w:t>
      </w:r>
      <w:r w:rsidRPr="005E318E">
        <w:rPr>
          <w:iCs/>
        </w:rPr>
        <w:t>469.1–469.7</w:t>
      </w:r>
      <w:r w:rsidRPr="005E318E">
        <w:t>.</w:t>
      </w:r>
    </w:p>
    <w:p w14:paraId="4A49151C" w14:textId="77777777" w:rsidR="00947FD0" w:rsidRPr="00D2362F" w:rsidRDefault="00947FD0" w:rsidP="00947FD0">
      <w:pPr>
        <w:pStyle w:val="NormalWeb"/>
        <w:spacing w:line="480" w:lineRule="auto"/>
        <w:ind w:left="360" w:hanging="360"/>
        <w:contextualSpacing/>
      </w:pPr>
      <w:r w:rsidRPr="00D2362F">
        <w:t>Price, J. T., Paladino, F. V., Lamont, M. M., Witherington, B. E., Bates, S. T., &amp; Soule, T. (2017). Characterization of the juvenile green turtle (</w:t>
      </w:r>
      <w:r w:rsidRPr="00D2362F">
        <w:rPr>
          <w:i/>
          <w:iCs/>
        </w:rPr>
        <w:t>Chelonia mydas</w:t>
      </w:r>
      <w:r w:rsidRPr="00D2362F">
        <w:t xml:space="preserve">) microbiome throughout an ontogenetic shift from pelagic to neritic habitats. </w:t>
      </w:r>
      <w:r w:rsidRPr="00D2362F">
        <w:rPr>
          <w:i/>
          <w:iCs/>
        </w:rPr>
        <w:t>PloS one</w:t>
      </w:r>
      <w:r w:rsidRPr="00D2362F">
        <w:t xml:space="preserve">, </w:t>
      </w:r>
      <w:r w:rsidRPr="00D2362F">
        <w:rPr>
          <w:i/>
          <w:iCs/>
        </w:rPr>
        <w:t>12</w:t>
      </w:r>
      <w:r w:rsidRPr="00D2362F">
        <w:t>(5), e0177642.</w:t>
      </w:r>
      <w:r>
        <w:t xml:space="preserve"> doi: </w:t>
      </w:r>
      <w:r w:rsidRPr="00D2362F">
        <w:t>10.1371/journal.pone.0177642</w:t>
      </w:r>
    </w:p>
    <w:p w14:paraId="70BBAFDB" w14:textId="77777777" w:rsidR="00947FD0" w:rsidRPr="00B541A8" w:rsidRDefault="00947FD0" w:rsidP="00947FD0">
      <w:pPr>
        <w:pStyle w:val="NormalWeb"/>
        <w:spacing w:before="0" w:beforeAutospacing="0" w:after="0" w:afterAutospacing="0" w:line="480" w:lineRule="auto"/>
        <w:ind w:left="360" w:hanging="360"/>
        <w:contextualSpacing/>
      </w:pPr>
      <w:r w:rsidRPr="00B541A8">
        <w:t>R Core Team (2013). R: A language and environment for statistical computing R Foundation for Statistical Computing, Vienna, Austria URL https://wwwR-projectorg/.</w:t>
      </w:r>
    </w:p>
    <w:p w14:paraId="6B5658D8"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Redford, K. H., Amato, G., Baillie, J., Beldomenico, P., Bennett, E. L., Clum, N., … Lieberman, S. (2011). What does it mean to successfully conserve a (vertebrate) species? </w:t>
      </w:r>
      <w:r w:rsidRPr="00B541A8">
        <w:rPr>
          <w:i/>
        </w:rPr>
        <w:t>BioScience</w:t>
      </w:r>
      <w:r w:rsidRPr="00B541A8">
        <w:t xml:space="preserve">, </w:t>
      </w:r>
      <w:r w:rsidRPr="00B541A8">
        <w:rPr>
          <w:i/>
        </w:rPr>
        <w:t>61</w:t>
      </w:r>
      <w:r w:rsidRPr="00B541A8">
        <w:t>, 39–48. doi: 10.1525/bio.2011.61.1.9</w:t>
      </w:r>
    </w:p>
    <w:p w14:paraId="6A9B5312"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Redford, K. H., Segre, J. A., Salafsky, N., del Rio, C. M., &amp; McAloose, D. (2012). Conservation and the microbiome. </w:t>
      </w:r>
      <w:r w:rsidRPr="00B541A8">
        <w:rPr>
          <w:i/>
        </w:rPr>
        <w:t>Conservation Biology</w:t>
      </w:r>
      <w:r w:rsidRPr="00B541A8">
        <w:t xml:space="preserve">, </w:t>
      </w:r>
      <w:r w:rsidRPr="00B541A8">
        <w:rPr>
          <w:i/>
        </w:rPr>
        <w:t>26</w:t>
      </w:r>
      <w:r w:rsidRPr="00B541A8">
        <w:t>, 195–197. doi: 10.1111/j.1523-1739.2012.01829.x</w:t>
      </w:r>
    </w:p>
    <w:p w14:paraId="63CEDC70"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Ren, T., Kahrl, A. F., Wu, M., &amp; Cox, R. M. (2016). Does adaptive radiation of a host lineage promote ecological diversity of its bacterial communities? A test using gut microbiota of </w:t>
      </w:r>
      <w:r w:rsidRPr="00B541A8">
        <w:rPr>
          <w:i/>
        </w:rPr>
        <w:t>Anolis</w:t>
      </w:r>
      <w:r w:rsidRPr="00B541A8">
        <w:t xml:space="preserve"> lizards. </w:t>
      </w:r>
      <w:r w:rsidRPr="00B541A8">
        <w:rPr>
          <w:i/>
        </w:rPr>
        <w:t>Molecular Ecology</w:t>
      </w:r>
      <w:r w:rsidRPr="00B541A8">
        <w:t xml:space="preserve">, </w:t>
      </w:r>
      <w:r w:rsidRPr="00B541A8">
        <w:rPr>
          <w:i/>
        </w:rPr>
        <w:t>25</w:t>
      </w:r>
      <w:r w:rsidRPr="00B541A8">
        <w:t>, 4793–4804. doi: 10.1111/mec.13796</w:t>
      </w:r>
    </w:p>
    <w:p w14:paraId="11EB9B0B"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Schubert, M., Lindgreen, S., &amp; Orlando, L. (2016). AdapterRemoval v2: Rapid adapter trimming, identification, and read merging. </w:t>
      </w:r>
      <w:r w:rsidRPr="00B541A8">
        <w:rPr>
          <w:i/>
        </w:rPr>
        <w:t>BMC Research Notes</w:t>
      </w:r>
      <w:r w:rsidRPr="00B541A8">
        <w:t xml:space="preserve">, </w:t>
      </w:r>
      <w:r w:rsidRPr="00B541A8">
        <w:rPr>
          <w:i/>
        </w:rPr>
        <w:t>9</w:t>
      </w:r>
      <w:r w:rsidRPr="00B541A8">
        <w:t>, 88. doi: 10.1186/s13104-016-1900-2</w:t>
      </w:r>
    </w:p>
    <w:p w14:paraId="16A7AD1F" w14:textId="77777777" w:rsidR="00947FD0" w:rsidRPr="00B541A8" w:rsidRDefault="00947FD0" w:rsidP="00947FD0">
      <w:pPr>
        <w:pStyle w:val="NormalWeb"/>
        <w:spacing w:before="0" w:beforeAutospacing="0" w:after="0" w:afterAutospacing="0" w:line="480" w:lineRule="auto"/>
        <w:ind w:left="360" w:hanging="360"/>
        <w:contextualSpacing/>
      </w:pPr>
      <w:r w:rsidRPr="00B541A8">
        <w:t xml:space="preserve">Shannon, C. E. (1948). A mathematical theory of communication. </w:t>
      </w:r>
      <w:r w:rsidRPr="00B541A8">
        <w:rPr>
          <w:i/>
        </w:rPr>
        <w:t>Bell System Technical Journal</w:t>
      </w:r>
      <w:r w:rsidRPr="00B541A8">
        <w:t xml:space="preserve">, </w:t>
      </w:r>
      <w:r w:rsidRPr="00B541A8">
        <w:rPr>
          <w:i/>
        </w:rPr>
        <w:t>27</w:t>
      </w:r>
      <w:r w:rsidRPr="00B541A8">
        <w:t>, 379–423. doi: 10.1002/j.1538-7305.1948.tb01338.x</w:t>
      </w:r>
    </w:p>
    <w:p w14:paraId="39A9339D" w14:textId="77777777" w:rsidR="00947FD0" w:rsidRDefault="00947FD0" w:rsidP="00947FD0">
      <w:pPr>
        <w:spacing w:line="480" w:lineRule="auto"/>
        <w:ind w:left="360" w:hanging="360"/>
      </w:pPr>
      <w:r w:rsidRPr="00971E6F">
        <w:t>Stark, R. C. (2000). Habitat use, daily movements, and body size of the Texas horned lizard in an urban environment in north-central Oklahoma (</w:t>
      </w:r>
      <w:r>
        <w:t>Master’s Thesis</w:t>
      </w:r>
      <w:r w:rsidRPr="00971E6F">
        <w:t>, Oklahoma State University).</w:t>
      </w:r>
    </w:p>
    <w:p w14:paraId="2B2DCE1A" w14:textId="77777777" w:rsidR="00947FD0" w:rsidRDefault="00947FD0" w:rsidP="00947FD0">
      <w:pPr>
        <w:spacing w:line="480" w:lineRule="auto"/>
        <w:ind w:left="360" w:hanging="360"/>
      </w:pPr>
      <w:r w:rsidRPr="00971E6F">
        <w:t xml:space="preserve">Stumpf, R. M., Gomez, A., </w:t>
      </w:r>
      <w:r w:rsidRPr="00B541A8">
        <w:t xml:space="preserve">Amato, K. </w:t>
      </w:r>
      <w:r w:rsidRPr="00971E6F">
        <w:t xml:space="preserve">R., Yeoman, C. J., Polk, J. D., Wilson, B. A., ... &amp; Leigh, S. R. </w:t>
      </w:r>
      <w:r w:rsidRPr="00B541A8">
        <w:t xml:space="preserve">(2016). </w:t>
      </w:r>
      <w:r w:rsidRPr="00971E6F">
        <w:t xml:space="preserve">Microbiomes, metagenomics, and primate conservation: New strategies, tools, and applications. </w:t>
      </w:r>
      <w:r w:rsidRPr="00971E6F">
        <w:rPr>
          <w:i/>
          <w:iCs/>
        </w:rPr>
        <w:t>Biological Conservation</w:t>
      </w:r>
      <w:r w:rsidRPr="00971E6F">
        <w:t xml:space="preserve">, </w:t>
      </w:r>
      <w:r w:rsidRPr="00971E6F">
        <w:rPr>
          <w:i/>
          <w:iCs/>
        </w:rPr>
        <w:t>199</w:t>
      </w:r>
      <w:r w:rsidRPr="00971E6F">
        <w:t>, 56</w:t>
      </w:r>
      <w:r>
        <w:softHyphen/>
        <w:t>–</w:t>
      </w:r>
      <w:r w:rsidRPr="00971E6F">
        <w:t>66.</w:t>
      </w:r>
      <w:r>
        <w:t xml:space="preserve"> doi: </w:t>
      </w:r>
      <w:r w:rsidRPr="00971E6F">
        <w:t>10.1016/j.biocon.2016.03.035</w:t>
      </w:r>
    </w:p>
    <w:p w14:paraId="17487A8A" w14:textId="77777777" w:rsidR="00947FD0" w:rsidRPr="00255F64" w:rsidRDefault="00947FD0" w:rsidP="00947FD0">
      <w:pPr>
        <w:spacing w:line="480" w:lineRule="auto"/>
        <w:ind w:left="360" w:hanging="360"/>
      </w:pPr>
      <w:r w:rsidRPr="00255F64">
        <w:t xml:space="preserve">Trevelline, B. K., Fontaine, S. S., Hartup, B. K., &amp; Kohl, K. D. (2019). Conservation biology needs a microbial renaissance: a call for the consideration of host-associated microbiota in wildlife management practices. </w:t>
      </w:r>
      <w:r w:rsidRPr="00255F64">
        <w:rPr>
          <w:i/>
          <w:iCs/>
        </w:rPr>
        <w:t>Proceedings of the Royal Society B</w:t>
      </w:r>
      <w:r w:rsidRPr="00255F64">
        <w:t xml:space="preserve">, </w:t>
      </w:r>
      <w:r w:rsidRPr="00255F64">
        <w:rPr>
          <w:i/>
          <w:iCs/>
        </w:rPr>
        <w:t>286</w:t>
      </w:r>
      <w:r w:rsidRPr="00255F64">
        <w:t>, 20182448.</w:t>
      </w:r>
      <w:r>
        <w:t xml:space="preserve"> doi: </w:t>
      </w:r>
      <w:r w:rsidRPr="00255F64">
        <w:t>10.1098/rspb.2018.2448</w:t>
      </w:r>
    </w:p>
    <w:p w14:paraId="5291B15C" w14:textId="77777777" w:rsidR="00947FD0" w:rsidRDefault="00947FD0" w:rsidP="00947FD0">
      <w:pPr>
        <w:spacing w:line="480" w:lineRule="auto"/>
        <w:ind w:left="360" w:hanging="360"/>
      </w:pPr>
      <w:r w:rsidRPr="00971E6F">
        <w:t xml:space="preserve">Troyer, K. (1984). Behavioral acquisition of the hindgut fermentation system by hatchling </w:t>
      </w:r>
      <w:r w:rsidRPr="00971E6F">
        <w:rPr>
          <w:i/>
          <w:iCs/>
        </w:rPr>
        <w:t>Iguana iguana</w:t>
      </w:r>
      <w:r w:rsidRPr="00971E6F">
        <w:t xml:space="preserve">. </w:t>
      </w:r>
      <w:r w:rsidRPr="00971E6F">
        <w:rPr>
          <w:i/>
          <w:iCs/>
        </w:rPr>
        <w:t>Behavioral Ecology and Sociobiology</w:t>
      </w:r>
      <w:r w:rsidRPr="00971E6F">
        <w:t xml:space="preserve">, </w:t>
      </w:r>
      <w:r w:rsidRPr="00971E6F">
        <w:rPr>
          <w:i/>
          <w:iCs/>
        </w:rPr>
        <w:t>14</w:t>
      </w:r>
      <w:r w:rsidRPr="00971E6F">
        <w:t>, 189</w:t>
      </w:r>
      <w:r>
        <w:t>–</w:t>
      </w:r>
      <w:r w:rsidRPr="00971E6F">
        <w:t>193.</w:t>
      </w:r>
      <w:r>
        <w:t xml:space="preserve"> doi: </w:t>
      </w:r>
      <w:r w:rsidRPr="00971E6F">
        <w:t>10.1007/BF00299618</w:t>
      </w:r>
    </w:p>
    <w:p w14:paraId="3A4DFD39" w14:textId="77777777" w:rsidR="00947FD0" w:rsidRDefault="00947FD0" w:rsidP="00947FD0">
      <w:pPr>
        <w:spacing w:line="480" w:lineRule="auto"/>
        <w:ind w:left="360" w:hanging="360"/>
      </w:pPr>
      <w:r w:rsidRPr="00971E6F">
        <w:t xml:space="preserve">Vesy, M. </w:t>
      </w:r>
      <w:r w:rsidRPr="00B541A8">
        <w:t xml:space="preserve">N., </w:t>
      </w:r>
      <w:r w:rsidRPr="00971E6F">
        <w:t>Watters,</w:t>
      </w:r>
      <w:r w:rsidRPr="00B541A8">
        <w:t xml:space="preserve"> J. L., </w:t>
      </w:r>
      <w:r w:rsidRPr="00971E6F">
        <w:t xml:space="preserve">Moody, R. </w:t>
      </w:r>
      <w:r w:rsidRPr="00B541A8">
        <w:t xml:space="preserve">W., </w:t>
      </w:r>
      <w:r w:rsidRPr="00971E6F">
        <w:t xml:space="preserve">Schauber, E. </w:t>
      </w:r>
      <w:r w:rsidRPr="00B541A8">
        <w:t xml:space="preserve">M., </w:t>
      </w:r>
      <w:r w:rsidRPr="00971E6F">
        <w:t xml:space="preserve">Mook, J. M., &amp; Siler, C. D. (2021). Survivorship and Spatial Patterns of an Urban Population of Texas Horned Lizards. </w:t>
      </w:r>
      <w:r w:rsidRPr="00971E6F">
        <w:rPr>
          <w:i/>
          <w:iCs/>
        </w:rPr>
        <w:t>The Journal of Wildlife Management</w:t>
      </w:r>
      <w:r w:rsidRPr="00971E6F">
        <w:t xml:space="preserve">, </w:t>
      </w:r>
      <w:r w:rsidRPr="00971E6F">
        <w:rPr>
          <w:i/>
          <w:iCs/>
        </w:rPr>
        <w:t>85</w:t>
      </w:r>
      <w:r w:rsidRPr="00971E6F">
        <w:t>, 1267</w:t>
      </w:r>
      <w:r>
        <w:softHyphen/>
        <w:t>–</w:t>
      </w:r>
      <w:r w:rsidRPr="00971E6F">
        <w:t>1279.</w:t>
      </w:r>
      <w:r>
        <w:t xml:space="preserve"> doi: </w:t>
      </w:r>
      <w:r w:rsidRPr="00971E6F">
        <w:t>10.1002/jwmg.22064</w:t>
      </w:r>
    </w:p>
    <w:p w14:paraId="5CF855A3" w14:textId="77777777" w:rsidR="00947FD0" w:rsidRPr="00B541A8" w:rsidRDefault="00947FD0" w:rsidP="00947FD0">
      <w:pPr>
        <w:spacing w:line="480" w:lineRule="auto"/>
        <w:ind w:left="360" w:hanging="360"/>
      </w:pPr>
      <w:r w:rsidRPr="00B541A8">
        <w:t xml:space="preserve">West, A.G., </w:t>
      </w:r>
      <w:r w:rsidRPr="00971E6F">
        <w:t xml:space="preserve">D.W. </w:t>
      </w:r>
      <w:r w:rsidRPr="00B541A8">
        <w:t xml:space="preserve">Waite, </w:t>
      </w:r>
      <w:r w:rsidRPr="00971E6F">
        <w:t xml:space="preserve">P. </w:t>
      </w:r>
      <w:r w:rsidRPr="00B541A8">
        <w:t xml:space="preserve">Deines, </w:t>
      </w:r>
      <w:r w:rsidRPr="00971E6F">
        <w:t>D.G.</w:t>
      </w:r>
      <w:r w:rsidRPr="00B541A8">
        <w:t xml:space="preserve"> Bourne, </w:t>
      </w:r>
      <w:r w:rsidRPr="00971E6F">
        <w:t>A.</w:t>
      </w:r>
      <w:r w:rsidRPr="00B541A8">
        <w:t xml:space="preserve"> Digby, </w:t>
      </w:r>
      <w:r w:rsidRPr="00971E6F">
        <w:t>V.J.</w:t>
      </w:r>
      <w:r w:rsidRPr="00B541A8">
        <w:t xml:space="preserve"> McKenzie, </w:t>
      </w:r>
      <w:r w:rsidRPr="00971E6F">
        <w:t>M.W.</w:t>
      </w:r>
      <w:r w:rsidRPr="00B541A8">
        <w:t xml:space="preserve"> Taylor. (2019). The microbiome in threatened species conservation. </w:t>
      </w:r>
      <w:r w:rsidRPr="00B541A8">
        <w:rPr>
          <w:i/>
        </w:rPr>
        <w:t>Biological Conservation</w:t>
      </w:r>
      <w:r w:rsidRPr="00B541A8">
        <w:t xml:space="preserve">, </w:t>
      </w:r>
      <w:r w:rsidRPr="00B541A8">
        <w:rPr>
          <w:i/>
        </w:rPr>
        <w:t>229</w:t>
      </w:r>
      <w:r w:rsidRPr="00B541A8">
        <w:t>, 85–98. doi: 10.1016/j.biocon.2018.11.016</w:t>
      </w:r>
    </w:p>
    <w:p w14:paraId="3DFA3791" w14:textId="77777777" w:rsidR="00947FD0" w:rsidRPr="00C94F51" w:rsidRDefault="00947FD0" w:rsidP="00947FD0">
      <w:pPr>
        <w:spacing w:line="480" w:lineRule="auto"/>
        <w:ind w:left="360" w:hanging="360"/>
      </w:pPr>
      <w:r w:rsidRPr="00C94F51">
        <w:t>Wolf, A.</w:t>
      </w:r>
      <w:r w:rsidRPr="00B541A8">
        <w:t xml:space="preserve">J., </w:t>
      </w:r>
      <w:r w:rsidRPr="00C94F51">
        <w:t xml:space="preserve">E.C. Hellgren, V. Bogosian III, R.W. Moody. </w:t>
      </w:r>
      <w:r>
        <w:t>(</w:t>
      </w:r>
      <w:r w:rsidRPr="00C94F51">
        <w:t>2013</w:t>
      </w:r>
      <w:r>
        <w:t>)</w:t>
      </w:r>
      <w:r w:rsidRPr="00C94F51">
        <w:t xml:space="preserve">. Effects of habitat disturbance on Texas horned lizards: an urban case study. </w:t>
      </w:r>
      <w:r w:rsidRPr="00C94F51">
        <w:rPr>
          <w:i/>
        </w:rPr>
        <w:t>Herpetologica</w:t>
      </w:r>
      <w:r>
        <w:rPr>
          <w:iCs/>
        </w:rPr>
        <w:t xml:space="preserve">, </w:t>
      </w:r>
      <w:r w:rsidRPr="00C94F51">
        <w:rPr>
          <w:i/>
        </w:rPr>
        <w:t>69</w:t>
      </w:r>
      <w:r>
        <w:rPr>
          <w:iCs/>
        </w:rPr>
        <w:t xml:space="preserve">, </w:t>
      </w:r>
      <w:r w:rsidRPr="00C94F51">
        <w:t>265–281.</w:t>
      </w:r>
      <w:r>
        <w:t xml:space="preserve"> doi: </w:t>
      </w:r>
      <w:r w:rsidRPr="00C94F51">
        <w:t>10.1655/HERPETOLOGICA-D-12-00062.1</w:t>
      </w:r>
    </w:p>
    <w:p w14:paraId="433277FD" w14:textId="77777777" w:rsidR="00947FD0" w:rsidRDefault="00947FD0" w:rsidP="00947FD0">
      <w:pPr>
        <w:spacing w:line="480" w:lineRule="auto"/>
        <w:ind w:left="360" w:hanging="360"/>
      </w:pPr>
      <w:r w:rsidRPr="00C94F51">
        <w:t>Wolf, A.J., E.C., Hellgren, E.M. Schauber, V. Bogosian III, R.T. Kazmaier, D.C. Ruthven I</w:t>
      </w:r>
      <w:r>
        <w:t>II</w:t>
      </w:r>
      <w:r w:rsidRPr="00C94F51">
        <w:t xml:space="preserve">, R.W. Moody. </w:t>
      </w:r>
      <w:r>
        <w:t>(</w:t>
      </w:r>
      <w:r w:rsidRPr="00C94F51">
        <w:t>2014</w:t>
      </w:r>
      <w:r>
        <w:t>)</w:t>
      </w:r>
      <w:r w:rsidRPr="00C94F51">
        <w:t xml:space="preserve">. Variation in vital-rate sensitivity between populations of Texas horned lizards. </w:t>
      </w:r>
      <w:r w:rsidRPr="00C94F51">
        <w:rPr>
          <w:i/>
          <w:iCs/>
        </w:rPr>
        <w:t>Population Ecology</w:t>
      </w:r>
      <w:r>
        <w:t>,</w:t>
      </w:r>
      <w:r w:rsidRPr="00C94F51">
        <w:t xml:space="preserve"> </w:t>
      </w:r>
      <w:r w:rsidRPr="00C94F51">
        <w:rPr>
          <w:i/>
        </w:rPr>
        <w:t>56</w:t>
      </w:r>
      <w:r>
        <w:t xml:space="preserve">, </w:t>
      </w:r>
      <w:r w:rsidRPr="00C94F51">
        <w:t>619–631.</w:t>
      </w:r>
      <w:r>
        <w:t xml:space="preserve"> doi: </w:t>
      </w:r>
      <w:r w:rsidRPr="007C2039">
        <w:t>10.1007/s10144-014-0450-5</w:t>
      </w:r>
    </w:p>
    <w:p w14:paraId="0231F53D" w14:textId="77777777" w:rsidR="00947FD0" w:rsidRDefault="00947FD0" w:rsidP="00947FD0">
      <w:pPr>
        <w:spacing w:line="480" w:lineRule="auto"/>
        <w:ind w:left="360" w:hanging="360"/>
      </w:pPr>
      <w:r w:rsidRPr="00C94F51">
        <w:t xml:space="preserve">Wolf, A.J., J. Mook, M. Vesy, R.W. Moody, D. Nolan. </w:t>
      </w:r>
      <w:r w:rsidRPr="00B541A8">
        <w:t xml:space="preserve">(2015). </w:t>
      </w:r>
      <w:r w:rsidRPr="00C94F51">
        <w:rPr>
          <w:i/>
          <w:iCs/>
        </w:rPr>
        <w:t>Phrynosoma cornutum</w:t>
      </w:r>
      <w:r w:rsidRPr="00C94F51">
        <w:t xml:space="preserve"> (Texas Horned Lizard) Habitat. </w:t>
      </w:r>
      <w:r w:rsidRPr="00C94F51">
        <w:rPr>
          <w:i/>
        </w:rPr>
        <w:t>Herpetological Review</w:t>
      </w:r>
      <w:r>
        <w:t xml:space="preserve">, </w:t>
      </w:r>
      <w:r w:rsidRPr="00C94F51">
        <w:rPr>
          <w:i/>
        </w:rPr>
        <w:t>46</w:t>
      </w:r>
      <w:r>
        <w:t xml:space="preserve">, </w:t>
      </w:r>
      <w:r w:rsidRPr="00C94F51">
        <w:t>633–634.</w:t>
      </w:r>
    </w:p>
    <w:p w14:paraId="5199CDD8" w14:textId="77777777" w:rsidR="00947FD0" w:rsidRDefault="00947FD0" w:rsidP="00947FD0">
      <w:pPr>
        <w:spacing w:line="480" w:lineRule="auto"/>
        <w:ind w:left="360" w:hanging="360"/>
      </w:pPr>
      <w:r w:rsidRPr="00AD7474">
        <w:rPr>
          <w:lang w:val="de-DE"/>
        </w:rPr>
        <w:t xml:space="preserve">Yang, H., Leng, X., Du, H., Luo, J., Wu, J., &amp; Wei, Q. (2020). </w:t>
      </w:r>
      <w:r w:rsidRPr="001C1BD4">
        <w:t xml:space="preserve">Adjusting the prerelease gut microbial community by diet training to improve the postrelease fitness of captive-bred </w:t>
      </w:r>
      <w:r w:rsidRPr="001C1BD4">
        <w:rPr>
          <w:i/>
          <w:iCs/>
        </w:rPr>
        <w:t>Acipenser dabryanus</w:t>
      </w:r>
      <w:r w:rsidRPr="001C1BD4">
        <w:t xml:space="preserve">. </w:t>
      </w:r>
      <w:r w:rsidRPr="001C1BD4">
        <w:rPr>
          <w:i/>
          <w:iCs/>
        </w:rPr>
        <w:t>Frontiers in microbiology</w:t>
      </w:r>
      <w:r w:rsidRPr="001C1BD4">
        <w:t xml:space="preserve">, </w:t>
      </w:r>
      <w:r w:rsidRPr="001C1BD4">
        <w:rPr>
          <w:i/>
          <w:iCs/>
        </w:rPr>
        <w:t>11</w:t>
      </w:r>
      <w:r w:rsidRPr="001C1BD4">
        <w:t>, 488.</w:t>
      </w:r>
      <w:r>
        <w:t xml:space="preserve"> doi: </w:t>
      </w:r>
      <w:r w:rsidRPr="001C1BD4">
        <w:t>10.3389/fmicb.2020.00488</w:t>
      </w:r>
    </w:p>
    <w:p w14:paraId="147AC984" w14:textId="77777777" w:rsidR="00947FD0" w:rsidRDefault="00947FD0" w:rsidP="00947FD0">
      <w:pPr>
        <w:spacing w:line="480" w:lineRule="auto"/>
        <w:ind w:left="360" w:hanging="360"/>
      </w:pPr>
      <w:r w:rsidRPr="00A053F2">
        <w:t xml:space="preserve">Ye, M., Hu, X., Lü, A., Sun, J., &amp; Chen, C. (2020). Isolation and genomic characterization of a pathogenic </w:t>
      </w:r>
      <w:r w:rsidRPr="00A053F2">
        <w:rPr>
          <w:i/>
          <w:iCs/>
        </w:rPr>
        <w:t>Providencia rettgeri</w:t>
      </w:r>
      <w:r w:rsidRPr="00A053F2">
        <w:t xml:space="preserve"> strain G0519 in turtle </w:t>
      </w:r>
      <w:r w:rsidRPr="00A053F2">
        <w:rPr>
          <w:i/>
          <w:iCs/>
        </w:rPr>
        <w:t>Trachemys scripta</w:t>
      </w:r>
      <w:r w:rsidRPr="00A053F2">
        <w:t xml:space="preserve">. </w:t>
      </w:r>
      <w:r w:rsidRPr="00A053F2">
        <w:rPr>
          <w:i/>
          <w:iCs/>
        </w:rPr>
        <w:t>Antonie van Leeuwenhoek</w:t>
      </w:r>
      <w:r w:rsidRPr="00A053F2">
        <w:t xml:space="preserve">, </w:t>
      </w:r>
      <w:r w:rsidRPr="00A053F2">
        <w:rPr>
          <w:i/>
          <w:iCs/>
        </w:rPr>
        <w:t>113</w:t>
      </w:r>
      <w:r w:rsidRPr="00A053F2">
        <w:t>, 1633</w:t>
      </w:r>
      <w:r>
        <w:softHyphen/>
        <w:t>–</w:t>
      </w:r>
      <w:r w:rsidRPr="00A053F2">
        <w:t>1662.</w:t>
      </w:r>
    </w:p>
    <w:p w14:paraId="4591829A" w14:textId="77777777" w:rsidR="00947FD0" w:rsidRDefault="00947FD0" w:rsidP="00947FD0">
      <w:pPr>
        <w:spacing w:line="480" w:lineRule="auto"/>
        <w:ind w:left="360" w:hanging="360"/>
      </w:pPr>
      <w:r>
        <w:t xml:space="preserve">Yuan, M. L., Dean, S. H., Longo, A. V., Rothermel, B. B., Tuberville, T. D., &amp; Zamudio, K. R. </w:t>
      </w:r>
      <w:r w:rsidRPr="00B541A8">
        <w:t xml:space="preserve">(2015). </w:t>
      </w:r>
      <w:r>
        <w:t xml:space="preserve">Kinship, inbreeding and fine‐scale spatial structure influence gut microbiota in a hindgut‐fermenting tortoise. </w:t>
      </w:r>
      <w:r>
        <w:rPr>
          <w:i/>
          <w:iCs/>
        </w:rPr>
        <w:t>Molecular Ecology</w:t>
      </w:r>
      <w:r>
        <w:t xml:space="preserve">, </w:t>
      </w:r>
      <w:r>
        <w:rPr>
          <w:i/>
          <w:iCs/>
        </w:rPr>
        <w:t>24</w:t>
      </w:r>
      <w:r>
        <w:t>, 2521</w:t>
      </w:r>
      <w:r>
        <w:softHyphen/>
        <w:t xml:space="preserve">–2536. doi: </w:t>
      </w:r>
      <w:r w:rsidRPr="007C2039">
        <w:t>10.1111/mec.13169</w:t>
      </w:r>
    </w:p>
    <w:p w14:paraId="68470AE8" w14:textId="0ECD3172" w:rsidR="00947FD0" w:rsidRDefault="00947FD0" w:rsidP="00947FD0">
      <w:pPr>
        <w:spacing w:line="480" w:lineRule="auto"/>
        <w:ind w:left="360" w:hanging="360"/>
      </w:pPr>
      <w:r>
        <w:t xml:space="preserve">Zhu, L., Wang, J., &amp; Bahrndorff, S. (2021). The Wildlife Gut Microbiome and Its Implication for Conservation Biology. </w:t>
      </w:r>
      <w:r>
        <w:rPr>
          <w:i/>
          <w:iCs/>
        </w:rPr>
        <w:t>Frontiers in Microbiology</w:t>
      </w:r>
      <w:r>
        <w:t xml:space="preserve">, </w:t>
      </w:r>
      <w:r>
        <w:rPr>
          <w:i/>
          <w:iCs/>
        </w:rPr>
        <w:t>12</w:t>
      </w:r>
      <w:r>
        <w:t xml:space="preserve">, 1617. doi: </w:t>
      </w:r>
      <w:r w:rsidRPr="00BE4EA2">
        <w:t>10.3389/fmicb.2021.697499</w:t>
      </w:r>
    </w:p>
    <w:p w14:paraId="70EE96F0" w14:textId="77777777" w:rsidR="00947FD0" w:rsidRPr="00947FD0" w:rsidRDefault="00947FD0" w:rsidP="00947FD0">
      <w:pPr>
        <w:spacing w:line="480" w:lineRule="auto"/>
        <w:ind w:left="360" w:hanging="360"/>
      </w:pPr>
    </w:p>
    <w:p w14:paraId="087A57E0" w14:textId="77777777" w:rsidR="00947FD0" w:rsidRDefault="00947FD0" w:rsidP="00947FD0">
      <w:pPr>
        <w:pStyle w:val="NormalWeb"/>
        <w:spacing w:line="480" w:lineRule="auto"/>
        <w:contextualSpacing/>
        <w:rPr>
          <w:b/>
          <w:bCs/>
        </w:rPr>
      </w:pPr>
      <w:r w:rsidRPr="00C21098">
        <w:rPr>
          <w:b/>
          <w:bCs/>
        </w:rPr>
        <w:t>AUTHOR CONTRIBUTIONS</w:t>
      </w:r>
    </w:p>
    <w:p w14:paraId="0583BFEB" w14:textId="45D1A686" w:rsidR="00947FD0" w:rsidRPr="0040688A" w:rsidRDefault="00947FD0" w:rsidP="00947FD0">
      <w:pPr>
        <w:pStyle w:val="NormalWeb"/>
        <w:spacing w:line="480" w:lineRule="auto"/>
        <w:contextualSpacing/>
        <w:sectPr w:rsidR="00947FD0" w:rsidRPr="0040688A" w:rsidSect="0091618E">
          <w:headerReference w:type="default" r:id="rId36"/>
          <w:footerReference w:type="default" r:id="rId37"/>
          <w:pgSz w:w="12240" w:h="15840" w:code="1"/>
          <w:pgMar w:top="1440" w:right="1440" w:bottom="1440" w:left="1440" w:header="720" w:footer="720" w:gutter="0"/>
          <w:cols w:space="720"/>
          <w:docGrid w:linePitch="360"/>
        </w:sectPr>
      </w:pPr>
      <w:r>
        <w:t>S.J.E. oversaw animal husbandry and fecal sample collection at the OKC Zoo and in the field. K.M.S. and S.J.E tracked lizards on TAFB and collected fecal samples in the wild. R.W.M coordinated field activities on TAFB. B. L., L.P.B, and R.J.S., assisted in headstart program establishment and operations at the OKC Zoo. C.D.S. and J.L.W. led supply procurement, organized fieldwork operations, and headed funding acquisition. S.J.E. completed laboratory procedures, molecular analyses, and wrote the manuscript. All authors provided critical review of this manuscript.</w:t>
      </w:r>
    </w:p>
    <w:tbl>
      <w:tblPr>
        <w:tblStyle w:val="TableGrid"/>
        <w:tblpPr w:leftFromText="180" w:rightFromText="180" w:vertAnchor="page" w:horzAnchor="margin" w:tblpY="2178"/>
        <w:tblW w:w="0" w:type="auto"/>
        <w:tblLook w:val="04A0" w:firstRow="1" w:lastRow="0" w:firstColumn="1" w:lastColumn="0" w:noHBand="0" w:noVBand="1"/>
      </w:tblPr>
      <w:tblGrid>
        <w:gridCol w:w="1360"/>
        <w:gridCol w:w="1309"/>
        <w:gridCol w:w="1090"/>
        <w:gridCol w:w="4050"/>
        <w:gridCol w:w="4140"/>
      </w:tblGrid>
      <w:tr w:rsidR="00947FD0" w:rsidRPr="00652E78" w14:paraId="17D24357" w14:textId="77777777" w:rsidTr="00536402">
        <w:trPr>
          <w:trHeight w:val="350"/>
        </w:trPr>
        <w:tc>
          <w:tcPr>
            <w:tcW w:w="1360" w:type="dxa"/>
            <w:noWrap/>
            <w:hideMark/>
          </w:tcPr>
          <w:p w14:paraId="2A66417C" w14:textId="77777777" w:rsidR="00947FD0" w:rsidRPr="00652E78" w:rsidRDefault="00947FD0" w:rsidP="00536402">
            <w:pPr>
              <w:pStyle w:val="NormalWeb"/>
              <w:contextualSpacing/>
              <w:rPr>
                <w:b/>
                <w:bCs/>
              </w:rPr>
            </w:pPr>
            <w:r w:rsidRPr="00652E78">
              <w:rPr>
                <w:b/>
                <w:bCs/>
              </w:rPr>
              <w:t>THL ID</w:t>
            </w:r>
          </w:p>
        </w:tc>
        <w:tc>
          <w:tcPr>
            <w:tcW w:w="1235" w:type="dxa"/>
            <w:noWrap/>
            <w:hideMark/>
          </w:tcPr>
          <w:p w14:paraId="2FEB04D8" w14:textId="1CB556A7" w:rsidR="00947FD0" w:rsidRPr="00652E78" w:rsidRDefault="00BD7FAF" w:rsidP="00536402">
            <w:pPr>
              <w:pStyle w:val="NormalWeb"/>
              <w:contextualSpacing/>
              <w:rPr>
                <w:b/>
                <w:bCs/>
              </w:rPr>
            </w:pPr>
            <w:r>
              <w:rPr>
                <w:b/>
                <w:bCs/>
              </w:rPr>
              <w:t>Treatment</w:t>
            </w:r>
          </w:p>
        </w:tc>
        <w:tc>
          <w:tcPr>
            <w:tcW w:w="1090" w:type="dxa"/>
            <w:noWrap/>
            <w:hideMark/>
          </w:tcPr>
          <w:p w14:paraId="6625A14B" w14:textId="77777777" w:rsidR="00947FD0" w:rsidRPr="00652E78" w:rsidRDefault="00947FD0" w:rsidP="00536402">
            <w:pPr>
              <w:pStyle w:val="NormalWeb"/>
              <w:contextualSpacing/>
              <w:rPr>
                <w:b/>
                <w:bCs/>
              </w:rPr>
            </w:pPr>
            <w:r w:rsidRPr="00652E78">
              <w:rPr>
                <w:b/>
                <w:bCs/>
              </w:rPr>
              <w:t>Cohort</w:t>
            </w:r>
          </w:p>
        </w:tc>
        <w:tc>
          <w:tcPr>
            <w:tcW w:w="4050" w:type="dxa"/>
            <w:noWrap/>
            <w:hideMark/>
          </w:tcPr>
          <w:p w14:paraId="4CA99762" w14:textId="77777777" w:rsidR="00947FD0" w:rsidRPr="00652E78" w:rsidRDefault="00947FD0" w:rsidP="00536402">
            <w:pPr>
              <w:pStyle w:val="NormalWeb"/>
              <w:contextualSpacing/>
              <w:rPr>
                <w:b/>
                <w:bCs/>
              </w:rPr>
            </w:pPr>
            <w:r w:rsidRPr="00652E78">
              <w:rPr>
                <w:b/>
                <w:bCs/>
              </w:rPr>
              <w:t>Pre-release Sample Dates (total)</w:t>
            </w:r>
          </w:p>
        </w:tc>
        <w:tc>
          <w:tcPr>
            <w:tcW w:w="4140" w:type="dxa"/>
            <w:noWrap/>
            <w:hideMark/>
          </w:tcPr>
          <w:p w14:paraId="21215BFA" w14:textId="77777777" w:rsidR="00947FD0" w:rsidRPr="00652E78" w:rsidRDefault="00947FD0" w:rsidP="00536402">
            <w:pPr>
              <w:pStyle w:val="NormalWeb"/>
              <w:contextualSpacing/>
              <w:rPr>
                <w:b/>
                <w:bCs/>
              </w:rPr>
            </w:pPr>
            <w:r w:rsidRPr="00652E78">
              <w:rPr>
                <w:b/>
                <w:bCs/>
              </w:rPr>
              <w:t>Post-release Sample Dates (total)</w:t>
            </w:r>
          </w:p>
        </w:tc>
      </w:tr>
      <w:tr w:rsidR="00947FD0" w:rsidRPr="00652E78" w14:paraId="128D4592" w14:textId="77777777" w:rsidTr="00536402">
        <w:trPr>
          <w:trHeight w:val="320"/>
        </w:trPr>
        <w:tc>
          <w:tcPr>
            <w:tcW w:w="1360" w:type="dxa"/>
            <w:noWrap/>
            <w:hideMark/>
          </w:tcPr>
          <w:p w14:paraId="786E18F3" w14:textId="77777777" w:rsidR="00947FD0" w:rsidRPr="00652E78" w:rsidRDefault="00947FD0" w:rsidP="00536402">
            <w:pPr>
              <w:pStyle w:val="NormalWeb"/>
              <w:contextualSpacing/>
            </w:pPr>
            <w:r w:rsidRPr="00652E78">
              <w:t>849-1</w:t>
            </w:r>
          </w:p>
        </w:tc>
        <w:tc>
          <w:tcPr>
            <w:tcW w:w="1235" w:type="dxa"/>
            <w:noWrap/>
            <w:hideMark/>
          </w:tcPr>
          <w:p w14:paraId="32C012E5" w14:textId="77777777" w:rsidR="00947FD0" w:rsidRPr="00652E78" w:rsidRDefault="00947FD0" w:rsidP="00536402">
            <w:pPr>
              <w:pStyle w:val="NormalWeb"/>
              <w:contextualSpacing/>
            </w:pPr>
            <w:r w:rsidRPr="00652E78">
              <w:t>Headstart</w:t>
            </w:r>
          </w:p>
        </w:tc>
        <w:tc>
          <w:tcPr>
            <w:tcW w:w="1090" w:type="dxa"/>
            <w:noWrap/>
            <w:hideMark/>
          </w:tcPr>
          <w:p w14:paraId="0DA1B555" w14:textId="77777777" w:rsidR="00947FD0" w:rsidRPr="00652E78" w:rsidRDefault="00947FD0" w:rsidP="00536402">
            <w:pPr>
              <w:pStyle w:val="NormalWeb"/>
              <w:contextualSpacing/>
            </w:pPr>
            <w:r w:rsidRPr="00652E78">
              <w:t>2019</w:t>
            </w:r>
          </w:p>
        </w:tc>
        <w:tc>
          <w:tcPr>
            <w:tcW w:w="4050" w:type="dxa"/>
            <w:noWrap/>
            <w:hideMark/>
          </w:tcPr>
          <w:p w14:paraId="0FB64510" w14:textId="77777777" w:rsidR="00947FD0" w:rsidRPr="00652E78" w:rsidRDefault="00947FD0" w:rsidP="00536402">
            <w:pPr>
              <w:pStyle w:val="NormalWeb"/>
              <w:contextualSpacing/>
            </w:pPr>
            <w:r w:rsidRPr="00652E78">
              <w:t xml:space="preserve">4/16, 4/21, 5/14 </w:t>
            </w:r>
            <w:r w:rsidRPr="00652E78">
              <w:rPr>
                <w:b/>
                <w:bCs/>
              </w:rPr>
              <w:t>(3)</w:t>
            </w:r>
          </w:p>
        </w:tc>
        <w:tc>
          <w:tcPr>
            <w:tcW w:w="4140" w:type="dxa"/>
            <w:noWrap/>
            <w:hideMark/>
          </w:tcPr>
          <w:p w14:paraId="5E843FB7" w14:textId="77777777" w:rsidR="00947FD0" w:rsidRPr="00652E78" w:rsidRDefault="00947FD0" w:rsidP="00536402">
            <w:pPr>
              <w:pStyle w:val="NormalWeb"/>
              <w:contextualSpacing/>
            </w:pPr>
            <w:r w:rsidRPr="00652E78">
              <w:t xml:space="preserve">7/19, 7/21, 9/8 </w:t>
            </w:r>
            <w:r w:rsidRPr="00652E78">
              <w:rPr>
                <w:b/>
                <w:bCs/>
              </w:rPr>
              <w:t>(3)</w:t>
            </w:r>
          </w:p>
        </w:tc>
      </w:tr>
      <w:tr w:rsidR="00947FD0" w:rsidRPr="00652E78" w14:paraId="2C9E1560" w14:textId="77777777" w:rsidTr="00536402">
        <w:trPr>
          <w:trHeight w:val="320"/>
        </w:trPr>
        <w:tc>
          <w:tcPr>
            <w:tcW w:w="1360" w:type="dxa"/>
            <w:noWrap/>
            <w:hideMark/>
          </w:tcPr>
          <w:p w14:paraId="50B2AFB4" w14:textId="77777777" w:rsidR="00947FD0" w:rsidRPr="00652E78" w:rsidRDefault="00947FD0" w:rsidP="00536402">
            <w:pPr>
              <w:pStyle w:val="NormalWeb"/>
              <w:contextualSpacing/>
            </w:pPr>
            <w:r w:rsidRPr="00652E78">
              <w:t>849-11</w:t>
            </w:r>
          </w:p>
        </w:tc>
        <w:tc>
          <w:tcPr>
            <w:tcW w:w="1235" w:type="dxa"/>
            <w:noWrap/>
            <w:hideMark/>
          </w:tcPr>
          <w:p w14:paraId="720B7909" w14:textId="77777777" w:rsidR="00947FD0" w:rsidRPr="00652E78" w:rsidRDefault="00947FD0" w:rsidP="00536402">
            <w:pPr>
              <w:pStyle w:val="NormalWeb"/>
              <w:contextualSpacing/>
            </w:pPr>
            <w:r w:rsidRPr="00652E78">
              <w:t>Headstart</w:t>
            </w:r>
          </w:p>
        </w:tc>
        <w:tc>
          <w:tcPr>
            <w:tcW w:w="1090" w:type="dxa"/>
            <w:noWrap/>
            <w:hideMark/>
          </w:tcPr>
          <w:p w14:paraId="3D2F36A5" w14:textId="77777777" w:rsidR="00947FD0" w:rsidRPr="00652E78" w:rsidRDefault="00947FD0" w:rsidP="00536402">
            <w:pPr>
              <w:pStyle w:val="NormalWeb"/>
              <w:contextualSpacing/>
            </w:pPr>
            <w:r w:rsidRPr="00652E78">
              <w:t>2019</w:t>
            </w:r>
          </w:p>
        </w:tc>
        <w:tc>
          <w:tcPr>
            <w:tcW w:w="4050" w:type="dxa"/>
            <w:noWrap/>
            <w:hideMark/>
          </w:tcPr>
          <w:p w14:paraId="575032D4" w14:textId="77777777" w:rsidR="00947FD0" w:rsidRPr="00652E78" w:rsidRDefault="00947FD0" w:rsidP="00536402">
            <w:pPr>
              <w:pStyle w:val="NormalWeb"/>
              <w:contextualSpacing/>
            </w:pPr>
            <w:r w:rsidRPr="00652E78">
              <w:t xml:space="preserve">3/5, 4/7, 4/14, 4/16, 5/5, 5/14, 5/17 </w:t>
            </w:r>
            <w:r w:rsidRPr="00652E78">
              <w:rPr>
                <w:b/>
                <w:bCs/>
              </w:rPr>
              <w:t>(7)</w:t>
            </w:r>
          </w:p>
        </w:tc>
        <w:tc>
          <w:tcPr>
            <w:tcW w:w="4140" w:type="dxa"/>
            <w:noWrap/>
            <w:hideMark/>
          </w:tcPr>
          <w:p w14:paraId="3ABAD585" w14:textId="77777777" w:rsidR="00947FD0" w:rsidRPr="00652E78" w:rsidRDefault="00947FD0" w:rsidP="00536402">
            <w:pPr>
              <w:pStyle w:val="NormalWeb"/>
              <w:contextualSpacing/>
            </w:pPr>
            <w:r w:rsidRPr="00652E78">
              <w:t xml:space="preserve">8/25, 9/8, 9/21, 9/28 </w:t>
            </w:r>
            <w:r w:rsidRPr="00652E78">
              <w:rPr>
                <w:b/>
                <w:bCs/>
              </w:rPr>
              <w:t>(4)</w:t>
            </w:r>
          </w:p>
        </w:tc>
      </w:tr>
      <w:tr w:rsidR="00947FD0" w:rsidRPr="00652E78" w14:paraId="5D176460" w14:textId="77777777" w:rsidTr="00536402">
        <w:trPr>
          <w:trHeight w:val="320"/>
        </w:trPr>
        <w:tc>
          <w:tcPr>
            <w:tcW w:w="1360" w:type="dxa"/>
            <w:noWrap/>
            <w:hideMark/>
          </w:tcPr>
          <w:p w14:paraId="47A6D758" w14:textId="77777777" w:rsidR="00947FD0" w:rsidRPr="00652E78" w:rsidRDefault="00947FD0" w:rsidP="00536402">
            <w:pPr>
              <w:pStyle w:val="NormalWeb"/>
              <w:contextualSpacing/>
            </w:pPr>
            <w:r w:rsidRPr="00652E78">
              <w:t>849-2</w:t>
            </w:r>
          </w:p>
        </w:tc>
        <w:tc>
          <w:tcPr>
            <w:tcW w:w="1235" w:type="dxa"/>
            <w:noWrap/>
            <w:hideMark/>
          </w:tcPr>
          <w:p w14:paraId="66A03225" w14:textId="77777777" w:rsidR="00947FD0" w:rsidRPr="00652E78" w:rsidRDefault="00947FD0" w:rsidP="00536402">
            <w:pPr>
              <w:pStyle w:val="NormalWeb"/>
              <w:contextualSpacing/>
            </w:pPr>
            <w:r w:rsidRPr="00652E78">
              <w:t>Headstart</w:t>
            </w:r>
          </w:p>
        </w:tc>
        <w:tc>
          <w:tcPr>
            <w:tcW w:w="1090" w:type="dxa"/>
            <w:noWrap/>
            <w:hideMark/>
          </w:tcPr>
          <w:p w14:paraId="2AB093DA" w14:textId="77777777" w:rsidR="00947FD0" w:rsidRPr="00652E78" w:rsidRDefault="00947FD0" w:rsidP="00536402">
            <w:pPr>
              <w:pStyle w:val="NormalWeb"/>
              <w:contextualSpacing/>
            </w:pPr>
            <w:r w:rsidRPr="00652E78">
              <w:t>2019</w:t>
            </w:r>
          </w:p>
        </w:tc>
        <w:tc>
          <w:tcPr>
            <w:tcW w:w="4050" w:type="dxa"/>
            <w:noWrap/>
            <w:hideMark/>
          </w:tcPr>
          <w:p w14:paraId="5324E6F0" w14:textId="77777777" w:rsidR="00947FD0" w:rsidRPr="00652E78" w:rsidRDefault="00947FD0" w:rsidP="00536402">
            <w:pPr>
              <w:pStyle w:val="NormalWeb"/>
              <w:contextualSpacing/>
            </w:pPr>
            <w:r w:rsidRPr="00652E78">
              <w:t xml:space="preserve">3/5, 5/20 </w:t>
            </w:r>
            <w:r w:rsidRPr="00652E78">
              <w:rPr>
                <w:b/>
                <w:bCs/>
              </w:rPr>
              <w:t>(2)</w:t>
            </w:r>
          </w:p>
        </w:tc>
        <w:tc>
          <w:tcPr>
            <w:tcW w:w="4140" w:type="dxa"/>
            <w:noWrap/>
            <w:hideMark/>
          </w:tcPr>
          <w:p w14:paraId="49BC6FBC" w14:textId="77777777" w:rsidR="00947FD0" w:rsidRPr="00652E78" w:rsidRDefault="00947FD0" w:rsidP="00536402">
            <w:pPr>
              <w:pStyle w:val="NormalWeb"/>
              <w:contextualSpacing/>
            </w:pPr>
            <w:r w:rsidRPr="00652E78">
              <w:t xml:space="preserve">7/15 </w:t>
            </w:r>
            <w:r w:rsidRPr="00652E78">
              <w:rPr>
                <w:b/>
                <w:bCs/>
              </w:rPr>
              <w:t>(1)</w:t>
            </w:r>
          </w:p>
        </w:tc>
      </w:tr>
      <w:tr w:rsidR="00947FD0" w:rsidRPr="00652E78" w14:paraId="696E777B" w14:textId="77777777" w:rsidTr="00536402">
        <w:trPr>
          <w:trHeight w:val="320"/>
        </w:trPr>
        <w:tc>
          <w:tcPr>
            <w:tcW w:w="1360" w:type="dxa"/>
            <w:noWrap/>
            <w:hideMark/>
          </w:tcPr>
          <w:p w14:paraId="657291FC" w14:textId="77777777" w:rsidR="00947FD0" w:rsidRPr="00652E78" w:rsidRDefault="00947FD0" w:rsidP="00536402">
            <w:pPr>
              <w:pStyle w:val="NormalWeb"/>
              <w:contextualSpacing/>
            </w:pPr>
            <w:r w:rsidRPr="00652E78">
              <w:t>849-4</w:t>
            </w:r>
          </w:p>
        </w:tc>
        <w:tc>
          <w:tcPr>
            <w:tcW w:w="1235" w:type="dxa"/>
            <w:noWrap/>
            <w:hideMark/>
          </w:tcPr>
          <w:p w14:paraId="77576BF3" w14:textId="77777777" w:rsidR="00947FD0" w:rsidRPr="00652E78" w:rsidRDefault="00947FD0" w:rsidP="00536402">
            <w:pPr>
              <w:pStyle w:val="NormalWeb"/>
              <w:contextualSpacing/>
            </w:pPr>
            <w:r w:rsidRPr="00652E78">
              <w:t>Headstart</w:t>
            </w:r>
          </w:p>
        </w:tc>
        <w:tc>
          <w:tcPr>
            <w:tcW w:w="1090" w:type="dxa"/>
            <w:noWrap/>
            <w:hideMark/>
          </w:tcPr>
          <w:p w14:paraId="6FD54FB2" w14:textId="77777777" w:rsidR="00947FD0" w:rsidRPr="00652E78" w:rsidRDefault="00947FD0" w:rsidP="00536402">
            <w:pPr>
              <w:pStyle w:val="NormalWeb"/>
              <w:contextualSpacing/>
            </w:pPr>
            <w:r w:rsidRPr="00652E78">
              <w:t>2019</w:t>
            </w:r>
          </w:p>
        </w:tc>
        <w:tc>
          <w:tcPr>
            <w:tcW w:w="4050" w:type="dxa"/>
            <w:noWrap/>
            <w:hideMark/>
          </w:tcPr>
          <w:p w14:paraId="655F5AC5" w14:textId="77777777" w:rsidR="00947FD0" w:rsidRPr="00652E78" w:rsidRDefault="00947FD0" w:rsidP="00536402">
            <w:pPr>
              <w:pStyle w:val="NormalWeb"/>
              <w:contextualSpacing/>
            </w:pPr>
            <w:r w:rsidRPr="00652E78">
              <w:t xml:space="preserve">4/16, 4/19, 5/14 </w:t>
            </w:r>
            <w:r w:rsidRPr="00652E78">
              <w:rPr>
                <w:b/>
                <w:bCs/>
              </w:rPr>
              <w:t>(3)</w:t>
            </w:r>
          </w:p>
        </w:tc>
        <w:tc>
          <w:tcPr>
            <w:tcW w:w="4140" w:type="dxa"/>
            <w:noWrap/>
            <w:hideMark/>
          </w:tcPr>
          <w:p w14:paraId="162A2231" w14:textId="77777777" w:rsidR="00947FD0" w:rsidRPr="00652E78" w:rsidRDefault="00947FD0" w:rsidP="00536402">
            <w:pPr>
              <w:pStyle w:val="NormalWeb"/>
              <w:contextualSpacing/>
            </w:pPr>
            <w:r w:rsidRPr="00652E78">
              <w:t xml:space="preserve">8/31, 9/21, 9/28 </w:t>
            </w:r>
            <w:r w:rsidRPr="00652E78">
              <w:rPr>
                <w:b/>
                <w:bCs/>
              </w:rPr>
              <w:t>(3)</w:t>
            </w:r>
          </w:p>
        </w:tc>
      </w:tr>
      <w:tr w:rsidR="00947FD0" w:rsidRPr="00652E78" w14:paraId="307A01B7" w14:textId="77777777" w:rsidTr="00536402">
        <w:trPr>
          <w:trHeight w:val="320"/>
        </w:trPr>
        <w:tc>
          <w:tcPr>
            <w:tcW w:w="1360" w:type="dxa"/>
            <w:noWrap/>
            <w:hideMark/>
          </w:tcPr>
          <w:p w14:paraId="4DEAA70A" w14:textId="77777777" w:rsidR="00947FD0" w:rsidRPr="00652E78" w:rsidRDefault="00947FD0" w:rsidP="00536402">
            <w:pPr>
              <w:pStyle w:val="NormalWeb"/>
              <w:contextualSpacing/>
            </w:pPr>
            <w:r w:rsidRPr="00652E78">
              <w:t>991-1</w:t>
            </w:r>
          </w:p>
        </w:tc>
        <w:tc>
          <w:tcPr>
            <w:tcW w:w="1235" w:type="dxa"/>
            <w:noWrap/>
            <w:hideMark/>
          </w:tcPr>
          <w:p w14:paraId="3E17000D" w14:textId="77777777" w:rsidR="00947FD0" w:rsidRPr="00652E78" w:rsidRDefault="00947FD0" w:rsidP="00536402">
            <w:pPr>
              <w:pStyle w:val="NormalWeb"/>
              <w:contextualSpacing/>
            </w:pPr>
            <w:r w:rsidRPr="00652E78">
              <w:t>Headstart</w:t>
            </w:r>
          </w:p>
        </w:tc>
        <w:tc>
          <w:tcPr>
            <w:tcW w:w="1090" w:type="dxa"/>
            <w:noWrap/>
            <w:hideMark/>
          </w:tcPr>
          <w:p w14:paraId="1369CF43" w14:textId="77777777" w:rsidR="00947FD0" w:rsidRPr="00652E78" w:rsidRDefault="00947FD0" w:rsidP="00536402">
            <w:pPr>
              <w:pStyle w:val="NormalWeb"/>
              <w:contextualSpacing/>
            </w:pPr>
            <w:r w:rsidRPr="00652E78">
              <w:t>2020</w:t>
            </w:r>
          </w:p>
        </w:tc>
        <w:tc>
          <w:tcPr>
            <w:tcW w:w="4050" w:type="dxa"/>
            <w:noWrap/>
            <w:hideMark/>
          </w:tcPr>
          <w:p w14:paraId="5D40FD54" w14:textId="77777777" w:rsidR="00947FD0" w:rsidRPr="00652E78" w:rsidRDefault="00947FD0" w:rsidP="00536402">
            <w:pPr>
              <w:pStyle w:val="NormalWeb"/>
              <w:contextualSpacing/>
            </w:pPr>
            <w:r w:rsidRPr="00652E78">
              <w:rPr>
                <w:b/>
                <w:bCs/>
              </w:rPr>
              <w:t>(0)</w:t>
            </w:r>
          </w:p>
        </w:tc>
        <w:tc>
          <w:tcPr>
            <w:tcW w:w="4140" w:type="dxa"/>
            <w:noWrap/>
            <w:hideMark/>
          </w:tcPr>
          <w:p w14:paraId="21435E01" w14:textId="77777777" w:rsidR="00947FD0" w:rsidRPr="00652E78" w:rsidRDefault="00947FD0" w:rsidP="00536402">
            <w:pPr>
              <w:pStyle w:val="NormalWeb"/>
              <w:contextualSpacing/>
              <w:rPr>
                <w:b/>
                <w:bCs/>
              </w:rPr>
            </w:pPr>
            <w:r w:rsidRPr="00652E78">
              <w:t xml:space="preserve">8/10 </w:t>
            </w:r>
            <w:r w:rsidRPr="00652E78">
              <w:rPr>
                <w:b/>
                <w:bCs/>
              </w:rPr>
              <w:t>(1)</w:t>
            </w:r>
          </w:p>
        </w:tc>
      </w:tr>
      <w:tr w:rsidR="00947FD0" w:rsidRPr="00652E78" w14:paraId="4B55782D" w14:textId="77777777" w:rsidTr="00536402">
        <w:trPr>
          <w:trHeight w:val="320"/>
        </w:trPr>
        <w:tc>
          <w:tcPr>
            <w:tcW w:w="1360" w:type="dxa"/>
            <w:noWrap/>
            <w:hideMark/>
          </w:tcPr>
          <w:p w14:paraId="53A0898B" w14:textId="77777777" w:rsidR="00947FD0" w:rsidRPr="00652E78" w:rsidRDefault="00947FD0" w:rsidP="00536402">
            <w:pPr>
              <w:pStyle w:val="NormalWeb"/>
              <w:contextualSpacing/>
            </w:pPr>
            <w:r w:rsidRPr="00652E78">
              <w:t>991-14</w:t>
            </w:r>
          </w:p>
        </w:tc>
        <w:tc>
          <w:tcPr>
            <w:tcW w:w="1235" w:type="dxa"/>
            <w:noWrap/>
            <w:hideMark/>
          </w:tcPr>
          <w:p w14:paraId="50C97EF3" w14:textId="77777777" w:rsidR="00947FD0" w:rsidRPr="00652E78" w:rsidRDefault="00947FD0" w:rsidP="00536402">
            <w:pPr>
              <w:pStyle w:val="NormalWeb"/>
              <w:contextualSpacing/>
            </w:pPr>
            <w:r w:rsidRPr="00652E78">
              <w:t>Headstart</w:t>
            </w:r>
          </w:p>
        </w:tc>
        <w:tc>
          <w:tcPr>
            <w:tcW w:w="1090" w:type="dxa"/>
            <w:noWrap/>
            <w:hideMark/>
          </w:tcPr>
          <w:p w14:paraId="5D1807DE" w14:textId="77777777" w:rsidR="00947FD0" w:rsidRPr="00652E78" w:rsidRDefault="00947FD0" w:rsidP="00536402">
            <w:pPr>
              <w:pStyle w:val="NormalWeb"/>
              <w:contextualSpacing/>
            </w:pPr>
            <w:r w:rsidRPr="00652E78">
              <w:t>2020</w:t>
            </w:r>
          </w:p>
        </w:tc>
        <w:tc>
          <w:tcPr>
            <w:tcW w:w="4050" w:type="dxa"/>
            <w:noWrap/>
            <w:hideMark/>
          </w:tcPr>
          <w:p w14:paraId="7DF2B672" w14:textId="77777777" w:rsidR="00947FD0" w:rsidRPr="00652E78" w:rsidRDefault="00947FD0" w:rsidP="00536402">
            <w:pPr>
              <w:pStyle w:val="NormalWeb"/>
              <w:contextualSpacing/>
            </w:pPr>
            <w:r w:rsidRPr="00652E78">
              <w:t xml:space="preserve">4/14, 4/21 </w:t>
            </w:r>
            <w:r w:rsidRPr="00652E78">
              <w:rPr>
                <w:b/>
                <w:bCs/>
              </w:rPr>
              <w:t>(2)</w:t>
            </w:r>
          </w:p>
        </w:tc>
        <w:tc>
          <w:tcPr>
            <w:tcW w:w="4140" w:type="dxa"/>
            <w:noWrap/>
            <w:hideMark/>
          </w:tcPr>
          <w:p w14:paraId="634E3BB5" w14:textId="77777777" w:rsidR="00947FD0" w:rsidRPr="00652E78" w:rsidRDefault="00947FD0" w:rsidP="00536402">
            <w:pPr>
              <w:pStyle w:val="NormalWeb"/>
              <w:contextualSpacing/>
            </w:pPr>
            <w:r w:rsidRPr="00652E78">
              <w:t xml:space="preserve">7/21, 7/22, 8/26 </w:t>
            </w:r>
            <w:r w:rsidRPr="00652E78">
              <w:rPr>
                <w:b/>
                <w:bCs/>
              </w:rPr>
              <w:t>(3)</w:t>
            </w:r>
          </w:p>
        </w:tc>
      </w:tr>
      <w:tr w:rsidR="00947FD0" w:rsidRPr="00652E78" w14:paraId="63F9DF5D" w14:textId="77777777" w:rsidTr="00536402">
        <w:trPr>
          <w:trHeight w:val="320"/>
        </w:trPr>
        <w:tc>
          <w:tcPr>
            <w:tcW w:w="1360" w:type="dxa"/>
            <w:noWrap/>
            <w:hideMark/>
          </w:tcPr>
          <w:p w14:paraId="28F045FE" w14:textId="77777777" w:rsidR="00947FD0" w:rsidRPr="00652E78" w:rsidRDefault="00947FD0" w:rsidP="00536402">
            <w:pPr>
              <w:pStyle w:val="NormalWeb"/>
              <w:contextualSpacing/>
            </w:pPr>
            <w:r w:rsidRPr="00652E78">
              <w:t>2-3</w:t>
            </w:r>
          </w:p>
        </w:tc>
        <w:tc>
          <w:tcPr>
            <w:tcW w:w="1235" w:type="dxa"/>
            <w:noWrap/>
            <w:hideMark/>
          </w:tcPr>
          <w:p w14:paraId="24B9ED7A" w14:textId="77777777" w:rsidR="00947FD0" w:rsidRPr="00652E78" w:rsidRDefault="00947FD0" w:rsidP="00536402">
            <w:pPr>
              <w:pStyle w:val="NormalWeb"/>
              <w:contextualSpacing/>
            </w:pPr>
            <w:r w:rsidRPr="00652E78">
              <w:t>Headstart</w:t>
            </w:r>
          </w:p>
        </w:tc>
        <w:tc>
          <w:tcPr>
            <w:tcW w:w="1090" w:type="dxa"/>
            <w:noWrap/>
            <w:hideMark/>
          </w:tcPr>
          <w:p w14:paraId="0BD830BF" w14:textId="77777777" w:rsidR="00947FD0" w:rsidRPr="00652E78" w:rsidRDefault="00947FD0" w:rsidP="00536402">
            <w:pPr>
              <w:pStyle w:val="NormalWeb"/>
              <w:contextualSpacing/>
            </w:pPr>
            <w:r w:rsidRPr="00652E78">
              <w:t>2020</w:t>
            </w:r>
          </w:p>
        </w:tc>
        <w:tc>
          <w:tcPr>
            <w:tcW w:w="4050" w:type="dxa"/>
            <w:noWrap/>
            <w:hideMark/>
          </w:tcPr>
          <w:p w14:paraId="7FD2D78A" w14:textId="77777777" w:rsidR="00947FD0" w:rsidRPr="00652E78" w:rsidRDefault="00947FD0" w:rsidP="00536402">
            <w:pPr>
              <w:pStyle w:val="NormalWeb"/>
              <w:contextualSpacing/>
            </w:pPr>
            <w:r w:rsidRPr="00652E78">
              <w:t xml:space="preserve">5/14 </w:t>
            </w:r>
            <w:r w:rsidRPr="00652E78">
              <w:rPr>
                <w:b/>
                <w:bCs/>
              </w:rPr>
              <w:t>(1)</w:t>
            </w:r>
          </w:p>
        </w:tc>
        <w:tc>
          <w:tcPr>
            <w:tcW w:w="4140" w:type="dxa"/>
            <w:noWrap/>
            <w:hideMark/>
          </w:tcPr>
          <w:p w14:paraId="56A3C643" w14:textId="77777777" w:rsidR="00947FD0" w:rsidRPr="00652E78" w:rsidRDefault="00947FD0" w:rsidP="00536402">
            <w:pPr>
              <w:pStyle w:val="NormalWeb"/>
              <w:contextualSpacing/>
            </w:pPr>
            <w:r w:rsidRPr="00652E78">
              <w:t xml:space="preserve">7/15 </w:t>
            </w:r>
            <w:r w:rsidRPr="00652E78">
              <w:rPr>
                <w:b/>
                <w:bCs/>
              </w:rPr>
              <w:t>(1)</w:t>
            </w:r>
          </w:p>
        </w:tc>
      </w:tr>
      <w:tr w:rsidR="00947FD0" w:rsidRPr="00652E78" w14:paraId="62280A12" w14:textId="77777777" w:rsidTr="00536402">
        <w:trPr>
          <w:trHeight w:val="320"/>
        </w:trPr>
        <w:tc>
          <w:tcPr>
            <w:tcW w:w="1360" w:type="dxa"/>
            <w:noWrap/>
            <w:hideMark/>
          </w:tcPr>
          <w:p w14:paraId="03FAE9A0" w14:textId="77777777" w:rsidR="00947FD0" w:rsidRPr="00652E78" w:rsidRDefault="00947FD0" w:rsidP="00536402">
            <w:pPr>
              <w:pStyle w:val="NormalWeb"/>
              <w:contextualSpacing/>
            </w:pPr>
            <w:r w:rsidRPr="00652E78">
              <w:t>2-5</w:t>
            </w:r>
          </w:p>
        </w:tc>
        <w:tc>
          <w:tcPr>
            <w:tcW w:w="1235" w:type="dxa"/>
            <w:noWrap/>
            <w:hideMark/>
          </w:tcPr>
          <w:p w14:paraId="4BE155BF" w14:textId="77777777" w:rsidR="00947FD0" w:rsidRPr="00652E78" w:rsidRDefault="00947FD0" w:rsidP="00536402">
            <w:pPr>
              <w:pStyle w:val="NormalWeb"/>
              <w:contextualSpacing/>
            </w:pPr>
            <w:r w:rsidRPr="00652E78">
              <w:t>Headstart</w:t>
            </w:r>
          </w:p>
        </w:tc>
        <w:tc>
          <w:tcPr>
            <w:tcW w:w="1090" w:type="dxa"/>
            <w:noWrap/>
            <w:hideMark/>
          </w:tcPr>
          <w:p w14:paraId="1EA36A30" w14:textId="77777777" w:rsidR="00947FD0" w:rsidRPr="00652E78" w:rsidRDefault="00947FD0" w:rsidP="00536402">
            <w:pPr>
              <w:pStyle w:val="NormalWeb"/>
              <w:contextualSpacing/>
            </w:pPr>
            <w:r w:rsidRPr="00652E78">
              <w:t>2020</w:t>
            </w:r>
          </w:p>
        </w:tc>
        <w:tc>
          <w:tcPr>
            <w:tcW w:w="4050" w:type="dxa"/>
            <w:noWrap/>
            <w:hideMark/>
          </w:tcPr>
          <w:p w14:paraId="7E2D7931" w14:textId="77777777" w:rsidR="00947FD0" w:rsidRPr="00652E78" w:rsidRDefault="00947FD0" w:rsidP="00536402">
            <w:pPr>
              <w:pStyle w:val="NormalWeb"/>
              <w:contextualSpacing/>
            </w:pPr>
            <w:r w:rsidRPr="00652E78">
              <w:t xml:space="preserve">4/28 </w:t>
            </w:r>
            <w:r w:rsidRPr="00652E78">
              <w:rPr>
                <w:b/>
                <w:bCs/>
              </w:rPr>
              <w:t>(1)</w:t>
            </w:r>
          </w:p>
        </w:tc>
        <w:tc>
          <w:tcPr>
            <w:tcW w:w="4140" w:type="dxa"/>
            <w:noWrap/>
            <w:hideMark/>
          </w:tcPr>
          <w:p w14:paraId="318F5120" w14:textId="77777777" w:rsidR="00947FD0" w:rsidRPr="00652E78" w:rsidRDefault="00947FD0" w:rsidP="00536402">
            <w:pPr>
              <w:pStyle w:val="NormalWeb"/>
              <w:contextualSpacing/>
            </w:pPr>
            <w:r w:rsidRPr="00652E78">
              <w:t xml:space="preserve">7/15, 7/21, 8/10, 8/21, 8/31, 9/21 </w:t>
            </w:r>
            <w:r w:rsidRPr="00652E78">
              <w:rPr>
                <w:b/>
                <w:bCs/>
              </w:rPr>
              <w:t>(6)</w:t>
            </w:r>
          </w:p>
        </w:tc>
      </w:tr>
      <w:tr w:rsidR="00947FD0" w:rsidRPr="00652E78" w14:paraId="637C7491" w14:textId="77777777" w:rsidTr="00536402">
        <w:trPr>
          <w:trHeight w:val="320"/>
        </w:trPr>
        <w:tc>
          <w:tcPr>
            <w:tcW w:w="1360" w:type="dxa"/>
            <w:noWrap/>
            <w:hideMark/>
          </w:tcPr>
          <w:p w14:paraId="35173F63" w14:textId="77777777" w:rsidR="00947FD0" w:rsidRPr="00652E78" w:rsidRDefault="00947FD0" w:rsidP="00536402">
            <w:pPr>
              <w:pStyle w:val="NormalWeb"/>
              <w:contextualSpacing/>
            </w:pPr>
            <w:r w:rsidRPr="00652E78">
              <w:t>4-1031</w:t>
            </w:r>
          </w:p>
        </w:tc>
        <w:tc>
          <w:tcPr>
            <w:tcW w:w="1235" w:type="dxa"/>
            <w:noWrap/>
            <w:hideMark/>
          </w:tcPr>
          <w:p w14:paraId="57E7938D" w14:textId="77777777" w:rsidR="00947FD0" w:rsidRPr="00652E78" w:rsidRDefault="00947FD0" w:rsidP="00536402">
            <w:pPr>
              <w:pStyle w:val="NormalWeb"/>
              <w:contextualSpacing/>
            </w:pPr>
            <w:r w:rsidRPr="00652E78">
              <w:t>Headstart</w:t>
            </w:r>
          </w:p>
        </w:tc>
        <w:tc>
          <w:tcPr>
            <w:tcW w:w="1090" w:type="dxa"/>
            <w:noWrap/>
            <w:hideMark/>
          </w:tcPr>
          <w:p w14:paraId="6A147936" w14:textId="77777777" w:rsidR="00947FD0" w:rsidRPr="00652E78" w:rsidRDefault="00947FD0" w:rsidP="00536402">
            <w:pPr>
              <w:pStyle w:val="NormalWeb"/>
              <w:contextualSpacing/>
            </w:pPr>
            <w:r w:rsidRPr="00652E78">
              <w:t>2020</w:t>
            </w:r>
          </w:p>
        </w:tc>
        <w:tc>
          <w:tcPr>
            <w:tcW w:w="4050" w:type="dxa"/>
            <w:noWrap/>
            <w:hideMark/>
          </w:tcPr>
          <w:p w14:paraId="2E7B0986" w14:textId="77777777" w:rsidR="00947FD0" w:rsidRPr="00652E78" w:rsidRDefault="00947FD0" w:rsidP="00536402">
            <w:pPr>
              <w:pStyle w:val="NormalWeb"/>
              <w:contextualSpacing/>
            </w:pPr>
            <w:r w:rsidRPr="00652E78">
              <w:t xml:space="preserve">4/19, 4/23, 5/20 </w:t>
            </w:r>
            <w:r w:rsidRPr="00652E78">
              <w:rPr>
                <w:b/>
                <w:bCs/>
              </w:rPr>
              <w:t>(3)</w:t>
            </w:r>
          </w:p>
        </w:tc>
        <w:tc>
          <w:tcPr>
            <w:tcW w:w="4140" w:type="dxa"/>
            <w:noWrap/>
            <w:hideMark/>
          </w:tcPr>
          <w:p w14:paraId="41292BA7" w14:textId="77777777" w:rsidR="00947FD0" w:rsidRPr="00652E78" w:rsidRDefault="00947FD0" w:rsidP="00536402">
            <w:pPr>
              <w:pStyle w:val="NormalWeb"/>
              <w:contextualSpacing/>
            </w:pPr>
            <w:r w:rsidRPr="00652E78">
              <w:t xml:space="preserve">7/15 </w:t>
            </w:r>
            <w:r w:rsidRPr="00652E78">
              <w:rPr>
                <w:b/>
                <w:bCs/>
              </w:rPr>
              <w:t>(1)</w:t>
            </w:r>
          </w:p>
        </w:tc>
      </w:tr>
    </w:tbl>
    <w:tbl>
      <w:tblPr>
        <w:tblStyle w:val="TableGrid"/>
        <w:tblpPr w:leftFromText="180" w:rightFromText="180" w:vertAnchor="page" w:horzAnchor="margin" w:tblpY="5661"/>
        <w:tblW w:w="0" w:type="auto"/>
        <w:tblLook w:val="04A0" w:firstRow="1" w:lastRow="0" w:firstColumn="1" w:lastColumn="0" w:noHBand="0" w:noVBand="1"/>
      </w:tblPr>
      <w:tblGrid>
        <w:gridCol w:w="1420"/>
        <w:gridCol w:w="1309"/>
        <w:gridCol w:w="1345"/>
        <w:gridCol w:w="3060"/>
      </w:tblGrid>
      <w:tr w:rsidR="00947FD0" w:rsidRPr="00652E78" w14:paraId="474B5004" w14:textId="77777777" w:rsidTr="00536402">
        <w:trPr>
          <w:trHeight w:val="320"/>
        </w:trPr>
        <w:tc>
          <w:tcPr>
            <w:tcW w:w="1420" w:type="dxa"/>
            <w:noWrap/>
            <w:hideMark/>
          </w:tcPr>
          <w:p w14:paraId="3890C2C8" w14:textId="77777777" w:rsidR="00947FD0" w:rsidRPr="00652E78" w:rsidRDefault="00947FD0" w:rsidP="00536402">
            <w:pPr>
              <w:pStyle w:val="NormalWeb"/>
              <w:contextualSpacing/>
              <w:rPr>
                <w:b/>
                <w:bCs/>
              </w:rPr>
            </w:pPr>
            <w:r w:rsidRPr="00652E78">
              <w:rPr>
                <w:b/>
                <w:bCs/>
              </w:rPr>
              <w:t>THL ID</w:t>
            </w:r>
          </w:p>
        </w:tc>
        <w:tc>
          <w:tcPr>
            <w:tcW w:w="1100" w:type="dxa"/>
            <w:noWrap/>
            <w:hideMark/>
          </w:tcPr>
          <w:p w14:paraId="248D3FE9" w14:textId="2FD15DC5" w:rsidR="00947FD0" w:rsidRPr="00652E78" w:rsidRDefault="00BD7FAF" w:rsidP="00536402">
            <w:pPr>
              <w:pStyle w:val="NormalWeb"/>
              <w:contextualSpacing/>
              <w:rPr>
                <w:b/>
                <w:bCs/>
              </w:rPr>
            </w:pPr>
            <w:r>
              <w:rPr>
                <w:b/>
                <w:bCs/>
              </w:rPr>
              <w:t>Treatment</w:t>
            </w:r>
          </w:p>
        </w:tc>
        <w:tc>
          <w:tcPr>
            <w:tcW w:w="1345" w:type="dxa"/>
            <w:noWrap/>
            <w:hideMark/>
          </w:tcPr>
          <w:p w14:paraId="59D98B89" w14:textId="77777777" w:rsidR="00947FD0" w:rsidRPr="00652E78" w:rsidRDefault="00947FD0" w:rsidP="00536402">
            <w:pPr>
              <w:pStyle w:val="NormalWeb"/>
              <w:contextualSpacing/>
              <w:rPr>
                <w:b/>
                <w:bCs/>
              </w:rPr>
            </w:pPr>
            <w:r w:rsidRPr="00652E78">
              <w:rPr>
                <w:b/>
                <w:bCs/>
              </w:rPr>
              <w:t>Age Class</w:t>
            </w:r>
          </w:p>
        </w:tc>
        <w:tc>
          <w:tcPr>
            <w:tcW w:w="3060" w:type="dxa"/>
            <w:noWrap/>
            <w:hideMark/>
          </w:tcPr>
          <w:p w14:paraId="09CAE1F6" w14:textId="77777777" w:rsidR="00947FD0" w:rsidRPr="00652E78" w:rsidRDefault="00947FD0" w:rsidP="00536402">
            <w:pPr>
              <w:pStyle w:val="NormalWeb"/>
              <w:contextualSpacing/>
              <w:rPr>
                <w:b/>
                <w:bCs/>
              </w:rPr>
            </w:pPr>
            <w:r w:rsidRPr="00652E78">
              <w:rPr>
                <w:b/>
                <w:bCs/>
              </w:rPr>
              <w:t>Wild Sample Dates (total)</w:t>
            </w:r>
          </w:p>
        </w:tc>
      </w:tr>
      <w:tr w:rsidR="00947FD0" w:rsidRPr="00652E78" w14:paraId="1FA33A43" w14:textId="77777777" w:rsidTr="00536402">
        <w:trPr>
          <w:trHeight w:val="320"/>
        </w:trPr>
        <w:tc>
          <w:tcPr>
            <w:tcW w:w="1420" w:type="dxa"/>
            <w:noWrap/>
            <w:hideMark/>
          </w:tcPr>
          <w:p w14:paraId="2F498564" w14:textId="77777777" w:rsidR="00947FD0" w:rsidRPr="00652E78" w:rsidRDefault="00947FD0" w:rsidP="00536402">
            <w:pPr>
              <w:pStyle w:val="NormalWeb"/>
              <w:contextualSpacing/>
            </w:pPr>
            <w:r w:rsidRPr="00652E78">
              <w:t>1032</w:t>
            </w:r>
          </w:p>
        </w:tc>
        <w:tc>
          <w:tcPr>
            <w:tcW w:w="1100" w:type="dxa"/>
            <w:noWrap/>
            <w:hideMark/>
          </w:tcPr>
          <w:p w14:paraId="328F224C" w14:textId="77777777" w:rsidR="00947FD0" w:rsidRPr="00652E78" w:rsidRDefault="00947FD0" w:rsidP="00536402">
            <w:pPr>
              <w:pStyle w:val="NormalWeb"/>
              <w:contextualSpacing/>
            </w:pPr>
            <w:r w:rsidRPr="00652E78">
              <w:t>Wild</w:t>
            </w:r>
          </w:p>
        </w:tc>
        <w:tc>
          <w:tcPr>
            <w:tcW w:w="1345" w:type="dxa"/>
            <w:noWrap/>
            <w:hideMark/>
          </w:tcPr>
          <w:p w14:paraId="382396B3" w14:textId="77777777" w:rsidR="00947FD0" w:rsidRPr="00652E78" w:rsidRDefault="00947FD0" w:rsidP="00536402">
            <w:pPr>
              <w:pStyle w:val="NormalWeb"/>
              <w:contextualSpacing/>
            </w:pPr>
            <w:r w:rsidRPr="00652E78">
              <w:t>Adult</w:t>
            </w:r>
          </w:p>
        </w:tc>
        <w:tc>
          <w:tcPr>
            <w:tcW w:w="3060" w:type="dxa"/>
            <w:noWrap/>
            <w:hideMark/>
          </w:tcPr>
          <w:p w14:paraId="485929BE" w14:textId="77777777" w:rsidR="00947FD0" w:rsidRPr="00652E78" w:rsidRDefault="00947FD0" w:rsidP="00536402">
            <w:pPr>
              <w:pStyle w:val="NormalWeb"/>
              <w:contextualSpacing/>
            </w:pPr>
            <w:r w:rsidRPr="00652E78">
              <w:t xml:space="preserve">6/23, 7/26, 8/11, 9/14 </w:t>
            </w:r>
            <w:r w:rsidRPr="00652E78">
              <w:rPr>
                <w:b/>
                <w:bCs/>
              </w:rPr>
              <w:t>(4)</w:t>
            </w:r>
          </w:p>
        </w:tc>
      </w:tr>
      <w:tr w:rsidR="00947FD0" w:rsidRPr="00652E78" w14:paraId="267B559C" w14:textId="77777777" w:rsidTr="00536402">
        <w:trPr>
          <w:trHeight w:val="320"/>
        </w:trPr>
        <w:tc>
          <w:tcPr>
            <w:tcW w:w="1420" w:type="dxa"/>
            <w:noWrap/>
            <w:hideMark/>
          </w:tcPr>
          <w:p w14:paraId="53FEE6D1" w14:textId="77777777" w:rsidR="00947FD0" w:rsidRPr="00652E78" w:rsidRDefault="00947FD0" w:rsidP="00536402">
            <w:pPr>
              <w:pStyle w:val="NormalWeb"/>
              <w:contextualSpacing/>
            </w:pPr>
            <w:r w:rsidRPr="00652E78">
              <w:t>1067</w:t>
            </w:r>
          </w:p>
        </w:tc>
        <w:tc>
          <w:tcPr>
            <w:tcW w:w="1100" w:type="dxa"/>
            <w:noWrap/>
            <w:hideMark/>
          </w:tcPr>
          <w:p w14:paraId="74E9CEE4" w14:textId="77777777" w:rsidR="00947FD0" w:rsidRPr="00652E78" w:rsidRDefault="00947FD0" w:rsidP="00536402">
            <w:pPr>
              <w:pStyle w:val="NormalWeb"/>
              <w:contextualSpacing/>
            </w:pPr>
            <w:r w:rsidRPr="00652E78">
              <w:t>Wild</w:t>
            </w:r>
          </w:p>
        </w:tc>
        <w:tc>
          <w:tcPr>
            <w:tcW w:w="1345" w:type="dxa"/>
            <w:noWrap/>
            <w:hideMark/>
          </w:tcPr>
          <w:p w14:paraId="48B30168" w14:textId="77777777" w:rsidR="00947FD0" w:rsidRPr="00652E78" w:rsidRDefault="00947FD0" w:rsidP="00536402">
            <w:pPr>
              <w:pStyle w:val="NormalWeb"/>
              <w:contextualSpacing/>
            </w:pPr>
            <w:r w:rsidRPr="00652E78">
              <w:t>Adult</w:t>
            </w:r>
          </w:p>
        </w:tc>
        <w:tc>
          <w:tcPr>
            <w:tcW w:w="3060" w:type="dxa"/>
            <w:noWrap/>
            <w:hideMark/>
          </w:tcPr>
          <w:p w14:paraId="1649C0EF" w14:textId="77777777" w:rsidR="00947FD0" w:rsidRPr="00652E78" w:rsidRDefault="00947FD0" w:rsidP="00536402">
            <w:pPr>
              <w:pStyle w:val="NormalWeb"/>
              <w:contextualSpacing/>
            </w:pPr>
            <w:r w:rsidRPr="00652E78">
              <w:t xml:space="preserve">7/20 </w:t>
            </w:r>
            <w:r w:rsidRPr="00652E78">
              <w:rPr>
                <w:b/>
                <w:bCs/>
              </w:rPr>
              <w:t>(1)</w:t>
            </w:r>
          </w:p>
        </w:tc>
      </w:tr>
      <w:tr w:rsidR="00947FD0" w:rsidRPr="00652E78" w14:paraId="513F1BAD" w14:textId="77777777" w:rsidTr="00536402">
        <w:trPr>
          <w:trHeight w:val="320"/>
        </w:trPr>
        <w:tc>
          <w:tcPr>
            <w:tcW w:w="1420" w:type="dxa"/>
            <w:noWrap/>
            <w:hideMark/>
          </w:tcPr>
          <w:p w14:paraId="649011C5" w14:textId="77777777" w:rsidR="00947FD0" w:rsidRPr="00652E78" w:rsidRDefault="00947FD0" w:rsidP="00536402">
            <w:pPr>
              <w:pStyle w:val="NormalWeb"/>
              <w:contextualSpacing/>
            </w:pPr>
            <w:r w:rsidRPr="00652E78">
              <w:t>1072</w:t>
            </w:r>
          </w:p>
        </w:tc>
        <w:tc>
          <w:tcPr>
            <w:tcW w:w="1100" w:type="dxa"/>
            <w:noWrap/>
            <w:hideMark/>
          </w:tcPr>
          <w:p w14:paraId="06069314" w14:textId="77777777" w:rsidR="00947FD0" w:rsidRPr="00652E78" w:rsidRDefault="00947FD0" w:rsidP="00536402">
            <w:pPr>
              <w:pStyle w:val="NormalWeb"/>
              <w:contextualSpacing/>
            </w:pPr>
            <w:r w:rsidRPr="00652E78">
              <w:t>Wild</w:t>
            </w:r>
          </w:p>
        </w:tc>
        <w:tc>
          <w:tcPr>
            <w:tcW w:w="1345" w:type="dxa"/>
            <w:noWrap/>
            <w:hideMark/>
          </w:tcPr>
          <w:p w14:paraId="454517F1" w14:textId="77777777" w:rsidR="00947FD0" w:rsidRPr="00652E78" w:rsidRDefault="00947FD0" w:rsidP="00536402">
            <w:pPr>
              <w:pStyle w:val="NormalWeb"/>
              <w:contextualSpacing/>
            </w:pPr>
            <w:r w:rsidRPr="00652E78">
              <w:t>Adult</w:t>
            </w:r>
          </w:p>
        </w:tc>
        <w:tc>
          <w:tcPr>
            <w:tcW w:w="3060" w:type="dxa"/>
            <w:noWrap/>
            <w:hideMark/>
          </w:tcPr>
          <w:p w14:paraId="06B462CE" w14:textId="77777777" w:rsidR="00947FD0" w:rsidRPr="00652E78" w:rsidRDefault="00947FD0" w:rsidP="00536402">
            <w:pPr>
              <w:pStyle w:val="NormalWeb"/>
              <w:contextualSpacing/>
            </w:pPr>
            <w:r w:rsidRPr="00652E78">
              <w:t xml:space="preserve">7/13, 7/20, 7/27 </w:t>
            </w:r>
            <w:r w:rsidRPr="00652E78">
              <w:rPr>
                <w:b/>
                <w:bCs/>
              </w:rPr>
              <w:t>(3)</w:t>
            </w:r>
          </w:p>
        </w:tc>
      </w:tr>
      <w:tr w:rsidR="00947FD0" w:rsidRPr="00652E78" w14:paraId="0D5B1FBB" w14:textId="77777777" w:rsidTr="00536402">
        <w:trPr>
          <w:trHeight w:val="320"/>
        </w:trPr>
        <w:tc>
          <w:tcPr>
            <w:tcW w:w="1420" w:type="dxa"/>
            <w:noWrap/>
            <w:hideMark/>
          </w:tcPr>
          <w:p w14:paraId="7D15A771" w14:textId="77777777" w:rsidR="00947FD0" w:rsidRPr="00652E78" w:rsidRDefault="00947FD0" w:rsidP="00536402">
            <w:pPr>
              <w:pStyle w:val="NormalWeb"/>
              <w:contextualSpacing/>
            </w:pPr>
            <w:r w:rsidRPr="00652E78">
              <w:t>1079</w:t>
            </w:r>
          </w:p>
        </w:tc>
        <w:tc>
          <w:tcPr>
            <w:tcW w:w="1100" w:type="dxa"/>
            <w:noWrap/>
            <w:hideMark/>
          </w:tcPr>
          <w:p w14:paraId="42C593F6" w14:textId="77777777" w:rsidR="00947FD0" w:rsidRPr="00652E78" w:rsidRDefault="00947FD0" w:rsidP="00536402">
            <w:pPr>
              <w:pStyle w:val="NormalWeb"/>
              <w:contextualSpacing/>
            </w:pPr>
            <w:r w:rsidRPr="00652E78">
              <w:t>Wild</w:t>
            </w:r>
          </w:p>
        </w:tc>
        <w:tc>
          <w:tcPr>
            <w:tcW w:w="1345" w:type="dxa"/>
            <w:noWrap/>
            <w:hideMark/>
          </w:tcPr>
          <w:p w14:paraId="30CA0C3A" w14:textId="77777777" w:rsidR="00947FD0" w:rsidRPr="00652E78" w:rsidRDefault="00947FD0" w:rsidP="00536402">
            <w:pPr>
              <w:pStyle w:val="NormalWeb"/>
              <w:contextualSpacing/>
            </w:pPr>
            <w:r w:rsidRPr="00652E78">
              <w:t>Adult</w:t>
            </w:r>
          </w:p>
        </w:tc>
        <w:tc>
          <w:tcPr>
            <w:tcW w:w="3060" w:type="dxa"/>
            <w:noWrap/>
            <w:hideMark/>
          </w:tcPr>
          <w:p w14:paraId="5243C7F7" w14:textId="77777777" w:rsidR="00947FD0" w:rsidRPr="00652E78" w:rsidRDefault="00947FD0" w:rsidP="00536402">
            <w:pPr>
              <w:pStyle w:val="NormalWeb"/>
              <w:contextualSpacing/>
            </w:pPr>
            <w:r w:rsidRPr="00652E78">
              <w:t xml:space="preserve">7/21 </w:t>
            </w:r>
            <w:r w:rsidRPr="00652E78">
              <w:rPr>
                <w:b/>
                <w:bCs/>
              </w:rPr>
              <w:t>(1)</w:t>
            </w:r>
          </w:p>
        </w:tc>
      </w:tr>
      <w:tr w:rsidR="00947FD0" w:rsidRPr="00652E78" w14:paraId="60EB4F19" w14:textId="77777777" w:rsidTr="00536402">
        <w:trPr>
          <w:trHeight w:val="320"/>
        </w:trPr>
        <w:tc>
          <w:tcPr>
            <w:tcW w:w="1420" w:type="dxa"/>
            <w:noWrap/>
            <w:hideMark/>
          </w:tcPr>
          <w:p w14:paraId="7BDD09F8" w14:textId="77777777" w:rsidR="00947FD0" w:rsidRPr="00652E78" w:rsidRDefault="00947FD0" w:rsidP="00536402">
            <w:pPr>
              <w:pStyle w:val="NormalWeb"/>
              <w:contextualSpacing/>
            </w:pPr>
            <w:r w:rsidRPr="00652E78">
              <w:t>1038</w:t>
            </w:r>
          </w:p>
        </w:tc>
        <w:tc>
          <w:tcPr>
            <w:tcW w:w="1100" w:type="dxa"/>
            <w:noWrap/>
            <w:hideMark/>
          </w:tcPr>
          <w:p w14:paraId="69D46268" w14:textId="77777777" w:rsidR="00947FD0" w:rsidRPr="00652E78" w:rsidRDefault="00947FD0" w:rsidP="00536402">
            <w:pPr>
              <w:pStyle w:val="NormalWeb"/>
              <w:contextualSpacing/>
            </w:pPr>
            <w:r w:rsidRPr="00652E78">
              <w:t>Wild</w:t>
            </w:r>
          </w:p>
        </w:tc>
        <w:tc>
          <w:tcPr>
            <w:tcW w:w="1345" w:type="dxa"/>
            <w:noWrap/>
            <w:hideMark/>
          </w:tcPr>
          <w:p w14:paraId="13D01E9A" w14:textId="77777777" w:rsidR="00947FD0" w:rsidRPr="00652E78" w:rsidRDefault="00947FD0" w:rsidP="00536402">
            <w:pPr>
              <w:pStyle w:val="NormalWeb"/>
              <w:contextualSpacing/>
            </w:pPr>
            <w:r w:rsidRPr="00652E78">
              <w:t>Subadult</w:t>
            </w:r>
          </w:p>
        </w:tc>
        <w:tc>
          <w:tcPr>
            <w:tcW w:w="3060" w:type="dxa"/>
            <w:noWrap/>
            <w:hideMark/>
          </w:tcPr>
          <w:p w14:paraId="3232C639" w14:textId="77777777" w:rsidR="00947FD0" w:rsidRPr="00652E78" w:rsidRDefault="00947FD0" w:rsidP="00536402">
            <w:pPr>
              <w:pStyle w:val="NormalWeb"/>
              <w:contextualSpacing/>
            </w:pPr>
            <w:r w:rsidRPr="00652E78">
              <w:t xml:space="preserve">8/10, 8/11 </w:t>
            </w:r>
            <w:r w:rsidRPr="00652E78">
              <w:rPr>
                <w:b/>
                <w:bCs/>
              </w:rPr>
              <w:t>(2)</w:t>
            </w:r>
          </w:p>
        </w:tc>
      </w:tr>
      <w:tr w:rsidR="00947FD0" w:rsidRPr="00652E78" w14:paraId="0C9E2AEC" w14:textId="77777777" w:rsidTr="00536402">
        <w:trPr>
          <w:trHeight w:val="320"/>
        </w:trPr>
        <w:tc>
          <w:tcPr>
            <w:tcW w:w="1420" w:type="dxa"/>
            <w:noWrap/>
            <w:hideMark/>
          </w:tcPr>
          <w:p w14:paraId="3E465C7B" w14:textId="77777777" w:rsidR="00947FD0" w:rsidRPr="00652E78" w:rsidRDefault="00947FD0" w:rsidP="00536402">
            <w:pPr>
              <w:pStyle w:val="NormalWeb"/>
              <w:tabs>
                <w:tab w:val="left" w:pos="513"/>
              </w:tabs>
              <w:contextualSpacing/>
            </w:pPr>
            <w:r w:rsidRPr="00652E78">
              <w:t>1052</w:t>
            </w:r>
          </w:p>
        </w:tc>
        <w:tc>
          <w:tcPr>
            <w:tcW w:w="1100" w:type="dxa"/>
            <w:noWrap/>
            <w:hideMark/>
          </w:tcPr>
          <w:p w14:paraId="2C56B1D4" w14:textId="77777777" w:rsidR="00947FD0" w:rsidRPr="00652E78" w:rsidRDefault="00947FD0" w:rsidP="00536402">
            <w:pPr>
              <w:pStyle w:val="NormalWeb"/>
              <w:contextualSpacing/>
            </w:pPr>
            <w:r w:rsidRPr="00652E78">
              <w:t>Wild</w:t>
            </w:r>
          </w:p>
        </w:tc>
        <w:tc>
          <w:tcPr>
            <w:tcW w:w="1345" w:type="dxa"/>
            <w:noWrap/>
            <w:hideMark/>
          </w:tcPr>
          <w:p w14:paraId="14F0CF03" w14:textId="77777777" w:rsidR="00947FD0" w:rsidRPr="00652E78" w:rsidRDefault="00947FD0" w:rsidP="00536402">
            <w:pPr>
              <w:pStyle w:val="NormalWeb"/>
              <w:contextualSpacing/>
            </w:pPr>
            <w:r w:rsidRPr="00652E78">
              <w:t>Subadult</w:t>
            </w:r>
          </w:p>
        </w:tc>
        <w:tc>
          <w:tcPr>
            <w:tcW w:w="3060" w:type="dxa"/>
            <w:noWrap/>
            <w:hideMark/>
          </w:tcPr>
          <w:p w14:paraId="75425405" w14:textId="77777777" w:rsidR="00947FD0" w:rsidRPr="00652E78" w:rsidRDefault="00947FD0" w:rsidP="00536402">
            <w:pPr>
              <w:pStyle w:val="NormalWeb"/>
              <w:contextualSpacing/>
            </w:pPr>
            <w:r w:rsidRPr="00652E78">
              <w:t>8/18</w:t>
            </w:r>
            <w:r w:rsidRPr="00652E78">
              <w:rPr>
                <w:b/>
                <w:bCs/>
              </w:rPr>
              <w:t xml:space="preserve"> (1)</w:t>
            </w:r>
          </w:p>
        </w:tc>
      </w:tr>
      <w:tr w:rsidR="00947FD0" w:rsidRPr="00652E78" w14:paraId="08690BFB" w14:textId="77777777" w:rsidTr="00536402">
        <w:trPr>
          <w:trHeight w:val="320"/>
        </w:trPr>
        <w:tc>
          <w:tcPr>
            <w:tcW w:w="1420" w:type="dxa"/>
            <w:noWrap/>
            <w:hideMark/>
          </w:tcPr>
          <w:p w14:paraId="2AE150D0" w14:textId="77777777" w:rsidR="00947FD0" w:rsidRPr="00652E78" w:rsidRDefault="00947FD0" w:rsidP="00536402">
            <w:pPr>
              <w:pStyle w:val="NormalWeb"/>
              <w:contextualSpacing/>
            </w:pPr>
            <w:r w:rsidRPr="00652E78">
              <w:t>1053</w:t>
            </w:r>
          </w:p>
        </w:tc>
        <w:tc>
          <w:tcPr>
            <w:tcW w:w="1100" w:type="dxa"/>
            <w:noWrap/>
            <w:hideMark/>
          </w:tcPr>
          <w:p w14:paraId="20E6146E" w14:textId="77777777" w:rsidR="00947FD0" w:rsidRPr="00652E78" w:rsidRDefault="00947FD0" w:rsidP="00536402">
            <w:pPr>
              <w:pStyle w:val="NormalWeb"/>
              <w:contextualSpacing/>
            </w:pPr>
            <w:r w:rsidRPr="00652E78">
              <w:t>Wild</w:t>
            </w:r>
          </w:p>
        </w:tc>
        <w:tc>
          <w:tcPr>
            <w:tcW w:w="1345" w:type="dxa"/>
            <w:noWrap/>
            <w:hideMark/>
          </w:tcPr>
          <w:p w14:paraId="35AA83C6" w14:textId="77777777" w:rsidR="00947FD0" w:rsidRPr="00652E78" w:rsidRDefault="00947FD0" w:rsidP="00536402">
            <w:pPr>
              <w:pStyle w:val="NormalWeb"/>
              <w:contextualSpacing/>
            </w:pPr>
            <w:r w:rsidRPr="00652E78">
              <w:t>Subadult</w:t>
            </w:r>
          </w:p>
        </w:tc>
        <w:tc>
          <w:tcPr>
            <w:tcW w:w="3060" w:type="dxa"/>
            <w:noWrap/>
            <w:hideMark/>
          </w:tcPr>
          <w:p w14:paraId="698E052A" w14:textId="77777777" w:rsidR="00947FD0" w:rsidRPr="00652E78" w:rsidRDefault="00947FD0" w:rsidP="00536402">
            <w:pPr>
              <w:pStyle w:val="NormalWeb"/>
              <w:contextualSpacing/>
            </w:pPr>
            <w:r w:rsidRPr="00652E78">
              <w:t xml:space="preserve">8/11 </w:t>
            </w:r>
            <w:r w:rsidRPr="00652E78">
              <w:rPr>
                <w:b/>
                <w:bCs/>
              </w:rPr>
              <w:t>(1)</w:t>
            </w:r>
          </w:p>
        </w:tc>
      </w:tr>
      <w:tr w:rsidR="00947FD0" w:rsidRPr="00652E78" w14:paraId="6DE476D4" w14:textId="77777777" w:rsidTr="00536402">
        <w:trPr>
          <w:trHeight w:val="320"/>
        </w:trPr>
        <w:tc>
          <w:tcPr>
            <w:tcW w:w="1420" w:type="dxa"/>
            <w:noWrap/>
            <w:hideMark/>
          </w:tcPr>
          <w:p w14:paraId="40FD48FE" w14:textId="77777777" w:rsidR="00947FD0" w:rsidRPr="00652E78" w:rsidRDefault="00947FD0" w:rsidP="00536402">
            <w:pPr>
              <w:pStyle w:val="NormalWeb"/>
              <w:contextualSpacing/>
            </w:pPr>
            <w:r w:rsidRPr="00652E78">
              <w:t>1064</w:t>
            </w:r>
          </w:p>
        </w:tc>
        <w:tc>
          <w:tcPr>
            <w:tcW w:w="1100" w:type="dxa"/>
            <w:noWrap/>
            <w:hideMark/>
          </w:tcPr>
          <w:p w14:paraId="4FE60393" w14:textId="77777777" w:rsidR="00947FD0" w:rsidRPr="00652E78" w:rsidRDefault="00947FD0" w:rsidP="00536402">
            <w:pPr>
              <w:pStyle w:val="NormalWeb"/>
              <w:contextualSpacing/>
            </w:pPr>
            <w:r w:rsidRPr="00652E78">
              <w:t>Wild</w:t>
            </w:r>
          </w:p>
        </w:tc>
        <w:tc>
          <w:tcPr>
            <w:tcW w:w="1345" w:type="dxa"/>
            <w:noWrap/>
            <w:hideMark/>
          </w:tcPr>
          <w:p w14:paraId="46240D4C" w14:textId="77777777" w:rsidR="00947FD0" w:rsidRPr="00652E78" w:rsidRDefault="00947FD0" w:rsidP="00536402">
            <w:pPr>
              <w:pStyle w:val="NormalWeb"/>
              <w:contextualSpacing/>
            </w:pPr>
            <w:r w:rsidRPr="00652E78">
              <w:t>Subadult</w:t>
            </w:r>
          </w:p>
        </w:tc>
        <w:tc>
          <w:tcPr>
            <w:tcW w:w="3060" w:type="dxa"/>
            <w:noWrap/>
            <w:hideMark/>
          </w:tcPr>
          <w:p w14:paraId="701EEFDA" w14:textId="77777777" w:rsidR="00947FD0" w:rsidRPr="00652E78" w:rsidRDefault="00947FD0" w:rsidP="00536402">
            <w:pPr>
              <w:pStyle w:val="NormalWeb"/>
              <w:contextualSpacing/>
            </w:pPr>
            <w:r w:rsidRPr="00652E78">
              <w:t>8/11</w:t>
            </w:r>
            <w:r w:rsidRPr="00652E78">
              <w:rPr>
                <w:b/>
                <w:bCs/>
              </w:rPr>
              <w:t xml:space="preserve"> (1)</w:t>
            </w:r>
          </w:p>
        </w:tc>
      </w:tr>
      <w:tr w:rsidR="00947FD0" w:rsidRPr="00652E78" w14:paraId="2487E4B8" w14:textId="77777777" w:rsidTr="00536402">
        <w:trPr>
          <w:trHeight w:val="320"/>
        </w:trPr>
        <w:tc>
          <w:tcPr>
            <w:tcW w:w="1420" w:type="dxa"/>
            <w:noWrap/>
            <w:hideMark/>
          </w:tcPr>
          <w:p w14:paraId="70AF8DF0" w14:textId="77777777" w:rsidR="00947FD0" w:rsidRPr="00652E78" w:rsidRDefault="00947FD0" w:rsidP="00536402">
            <w:pPr>
              <w:pStyle w:val="NormalWeb"/>
              <w:contextualSpacing/>
            </w:pPr>
            <w:r w:rsidRPr="00652E78">
              <w:t>1081</w:t>
            </w:r>
          </w:p>
        </w:tc>
        <w:tc>
          <w:tcPr>
            <w:tcW w:w="1100" w:type="dxa"/>
            <w:noWrap/>
            <w:hideMark/>
          </w:tcPr>
          <w:p w14:paraId="19E511D2" w14:textId="77777777" w:rsidR="00947FD0" w:rsidRPr="00652E78" w:rsidRDefault="00947FD0" w:rsidP="00536402">
            <w:pPr>
              <w:pStyle w:val="NormalWeb"/>
              <w:contextualSpacing/>
            </w:pPr>
            <w:r w:rsidRPr="00652E78">
              <w:t>Wild</w:t>
            </w:r>
          </w:p>
        </w:tc>
        <w:tc>
          <w:tcPr>
            <w:tcW w:w="1345" w:type="dxa"/>
            <w:noWrap/>
            <w:hideMark/>
          </w:tcPr>
          <w:p w14:paraId="03E972D8" w14:textId="77777777" w:rsidR="00947FD0" w:rsidRPr="00652E78" w:rsidRDefault="00947FD0" w:rsidP="00536402">
            <w:pPr>
              <w:pStyle w:val="NormalWeb"/>
              <w:contextualSpacing/>
            </w:pPr>
            <w:r w:rsidRPr="00652E78">
              <w:t>Subadult</w:t>
            </w:r>
          </w:p>
        </w:tc>
        <w:tc>
          <w:tcPr>
            <w:tcW w:w="3060" w:type="dxa"/>
            <w:noWrap/>
            <w:hideMark/>
          </w:tcPr>
          <w:p w14:paraId="2DE77BDF" w14:textId="77777777" w:rsidR="00947FD0" w:rsidRPr="00652E78" w:rsidRDefault="00947FD0" w:rsidP="00536402">
            <w:pPr>
              <w:pStyle w:val="NormalWeb"/>
              <w:contextualSpacing/>
            </w:pPr>
            <w:r w:rsidRPr="00652E78">
              <w:t xml:space="preserve">8/11, 9/9, 9/14 </w:t>
            </w:r>
            <w:r w:rsidRPr="00652E78">
              <w:rPr>
                <w:b/>
                <w:bCs/>
              </w:rPr>
              <w:t>(3)</w:t>
            </w:r>
          </w:p>
        </w:tc>
      </w:tr>
      <w:tr w:rsidR="00947FD0" w:rsidRPr="00652E78" w14:paraId="7DC802B8" w14:textId="77777777" w:rsidTr="00536402">
        <w:trPr>
          <w:trHeight w:val="320"/>
        </w:trPr>
        <w:tc>
          <w:tcPr>
            <w:tcW w:w="1420" w:type="dxa"/>
            <w:noWrap/>
            <w:hideMark/>
          </w:tcPr>
          <w:p w14:paraId="0C5E1DFF" w14:textId="77777777" w:rsidR="00947FD0" w:rsidRPr="00652E78" w:rsidRDefault="00947FD0" w:rsidP="00536402">
            <w:pPr>
              <w:pStyle w:val="NormalWeb"/>
              <w:contextualSpacing/>
            </w:pPr>
            <w:r w:rsidRPr="00652E78">
              <w:t>1043</w:t>
            </w:r>
          </w:p>
        </w:tc>
        <w:tc>
          <w:tcPr>
            <w:tcW w:w="1100" w:type="dxa"/>
            <w:noWrap/>
            <w:hideMark/>
          </w:tcPr>
          <w:p w14:paraId="11B16721" w14:textId="77777777" w:rsidR="00947FD0" w:rsidRPr="00652E78" w:rsidRDefault="00947FD0" w:rsidP="00536402">
            <w:pPr>
              <w:pStyle w:val="NormalWeb"/>
              <w:contextualSpacing/>
            </w:pPr>
            <w:r w:rsidRPr="00652E78">
              <w:t>Wild</w:t>
            </w:r>
          </w:p>
        </w:tc>
        <w:tc>
          <w:tcPr>
            <w:tcW w:w="1345" w:type="dxa"/>
            <w:noWrap/>
            <w:hideMark/>
          </w:tcPr>
          <w:p w14:paraId="5DCE05E6" w14:textId="77777777" w:rsidR="00947FD0" w:rsidRPr="00652E78" w:rsidRDefault="00947FD0" w:rsidP="00536402">
            <w:pPr>
              <w:pStyle w:val="NormalWeb"/>
              <w:contextualSpacing/>
            </w:pPr>
            <w:r w:rsidRPr="00652E78">
              <w:t>Juvenile</w:t>
            </w:r>
          </w:p>
        </w:tc>
        <w:tc>
          <w:tcPr>
            <w:tcW w:w="3060" w:type="dxa"/>
            <w:noWrap/>
            <w:hideMark/>
          </w:tcPr>
          <w:p w14:paraId="43C52923" w14:textId="77777777" w:rsidR="00947FD0" w:rsidRPr="00652E78" w:rsidRDefault="00947FD0" w:rsidP="00536402">
            <w:pPr>
              <w:pStyle w:val="NormalWeb"/>
              <w:contextualSpacing/>
            </w:pPr>
            <w:r w:rsidRPr="00652E78">
              <w:t>6/25</w:t>
            </w:r>
            <w:r w:rsidRPr="00652E78">
              <w:rPr>
                <w:b/>
                <w:bCs/>
              </w:rPr>
              <w:t xml:space="preserve"> (1)</w:t>
            </w:r>
          </w:p>
        </w:tc>
      </w:tr>
      <w:tr w:rsidR="00947FD0" w:rsidRPr="00652E78" w14:paraId="075CBC1B" w14:textId="77777777" w:rsidTr="00536402">
        <w:trPr>
          <w:trHeight w:val="320"/>
        </w:trPr>
        <w:tc>
          <w:tcPr>
            <w:tcW w:w="1420" w:type="dxa"/>
            <w:noWrap/>
            <w:hideMark/>
          </w:tcPr>
          <w:p w14:paraId="7D1D5955" w14:textId="77777777" w:rsidR="00947FD0" w:rsidRPr="00652E78" w:rsidRDefault="00947FD0" w:rsidP="00536402">
            <w:pPr>
              <w:pStyle w:val="NormalWeb"/>
              <w:contextualSpacing/>
            </w:pPr>
            <w:r w:rsidRPr="00652E78">
              <w:t>1054</w:t>
            </w:r>
          </w:p>
        </w:tc>
        <w:tc>
          <w:tcPr>
            <w:tcW w:w="1100" w:type="dxa"/>
            <w:noWrap/>
            <w:hideMark/>
          </w:tcPr>
          <w:p w14:paraId="69F901E5" w14:textId="77777777" w:rsidR="00947FD0" w:rsidRPr="00652E78" w:rsidRDefault="00947FD0" w:rsidP="00536402">
            <w:pPr>
              <w:pStyle w:val="NormalWeb"/>
              <w:contextualSpacing/>
            </w:pPr>
            <w:r w:rsidRPr="00652E78">
              <w:t>Wild</w:t>
            </w:r>
          </w:p>
        </w:tc>
        <w:tc>
          <w:tcPr>
            <w:tcW w:w="1345" w:type="dxa"/>
            <w:noWrap/>
            <w:hideMark/>
          </w:tcPr>
          <w:p w14:paraId="10CA9D50" w14:textId="77777777" w:rsidR="00947FD0" w:rsidRPr="00652E78" w:rsidRDefault="00947FD0" w:rsidP="00536402">
            <w:pPr>
              <w:pStyle w:val="NormalWeb"/>
              <w:contextualSpacing/>
            </w:pPr>
            <w:r w:rsidRPr="00652E78">
              <w:t>Juvenile</w:t>
            </w:r>
          </w:p>
        </w:tc>
        <w:tc>
          <w:tcPr>
            <w:tcW w:w="3060" w:type="dxa"/>
            <w:noWrap/>
            <w:hideMark/>
          </w:tcPr>
          <w:p w14:paraId="4801C7D9" w14:textId="77777777" w:rsidR="00947FD0" w:rsidRPr="00652E78" w:rsidRDefault="00947FD0" w:rsidP="00536402">
            <w:pPr>
              <w:pStyle w:val="NormalWeb"/>
              <w:contextualSpacing/>
            </w:pPr>
            <w:r w:rsidRPr="00652E78">
              <w:t xml:space="preserve">7/13, 7/14 </w:t>
            </w:r>
            <w:r w:rsidRPr="00652E78">
              <w:rPr>
                <w:b/>
                <w:bCs/>
              </w:rPr>
              <w:t>(2)</w:t>
            </w:r>
          </w:p>
        </w:tc>
      </w:tr>
      <w:tr w:rsidR="00947FD0" w:rsidRPr="00652E78" w14:paraId="4BF1640A" w14:textId="77777777" w:rsidTr="00536402">
        <w:trPr>
          <w:trHeight w:val="320"/>
        </w:trPr>
        <w:tc>
          <w:tcPr>
            <w:tcW w:w="1420" w:type="dxa"/>
            <w:noWrap/>
            <w:hideMark/>
          </w:tcPr>
          <w:p w14:paraId="0BA91D58" w14:textId="77777777" w:rsidR="00947FD0" w:rsidRPr="00652E78" w:rsidRDefault="00947FD0" w:rsidP="00536402">
            <w:pPr>
              <w:pStyle w:val="NormalWeb"/>
              <w:contextualSpacing/>
            </w:pPr>
            <w:r w:rsidRPr="00652E78">
              <w:t>1087</w:t>
            </w:r>
          </w:p>
        </w:tc>
        <w:tc>
          <w:tcPr>
            <w:tcW w:w="1100" w:type="dxa"/>
            <w:noWrap/>
            <w:hideMark/>
          </w:tcPr>
          <w:p w14:paraId="71D78205" w14:textId="77777777" w:rsidR="00947FD0" w:rsidRPr="00652E78" w:rsidRDefault="00947FD0" w:rsidP="00536402">
            <w:pPr>
              <w:pStyle w:val="NormalWeb"/>
              <w:contextualSpacing/>
            </w:pPr>
            <w:r w:rsidRPr="00652E78">
              <w:t>Wild</w:t>
            </w:r>
          </w:p>
        </w:tc>
        <w:tc>
          <w:tcPr>
            <w:tcW w:w="1345" w:type="dxa"/>
            <w:noWrap/>
            <w:hideMark/>
          </w:tcPr>
          <w:p w14:paraId="73A3FDD6" w14:textId="77777777" w:rsidR="00947FD0" w:rsidRPr="00652E78" w:rsidRDefault="00947FD0" w:rsidP="00536402">
            <w:pPr>
              <w:pStyle w:val="NormalWeb"/>
              <w:contextualSpacing/>
            </w:pPr>
            <w:r w:rsidRPr="00652E78">
              <w:t>Hatchling</w:t>
            </w:r>
          </w:p>
        </w:tc>
        <w:tc>
          <w:tcPr>
            <w:tcW w:w="3060" w:type="dxa"/>
            <w:noWrap/>
            <w:hideMark/>
          </w:tcPr>
          <w:p w14:paraId="754DFD0A" w14:textId="77777777" w:rsidR="00947FD0" w:rsidRPr="00652E78" w:rsidRDefault="00947FD0" w:rsidP="00536402">
            <w:pPr>
              <w:pStyle w:val="NormalWeb"/>
              <w:contextualSpacing/>
            </w:pPr>
            <w:r w:rsidRPr="00652E78">
              <w:t xml:space="preserve">8/18 </w:t>
            </w:r>
            <w:r w:rsidRPr="00652E78">
              <w:rPr>
                <w:b/>
                <w:bCs/>
              </w:rPr>
              <w:t>(1)</w:t>
            </w:r>
          </w:p>
        </w:tc>
      </w:tr>
      <w:tr w:rsidR="00947FD0" w:rsidRPr="00652E78" w14:paraId="795B487A" w14:textId="77777777" w:rsidTr="00536402">
        <w:trPr>
          <w:trHeight w:val="320"/>
        </w:trPr>
        <w:tc>
          <w:tcPr>
            <w:tcW w:w="1420" w:type="dxa"/>
            <w:noWrap/>
            <w:hideMark/>
          </w:tcPr>
          <w:p w14:paraId="0697B3C5" w14:textId="77777777" w:rsidR="00947FD0" w:rsidRPr="00652E78" w:rsidRDefault="00947FD0" w:rsidP="00536402">
            <w:pPr>
              <w:pStyle w:val="NormalWeb"/>
              <w:contextualSpacing/>
            </w:pPr>
            <w:r w:rsidRPr="00652E78">
              <w:t>1109</w:t>
            </w:r>
          </w:p>
        </w:tc>
        <w:tc>
          <w:tcPr>
            <w:tcW w:w="1100" w:type="dxa"/>
            <w:noWrap/>
            <w:hideMark/>
          </w:tcPr>
          <w:p w14:paraId="04D841C5" w14:textId="77777777" w:rsidR="00947FD0" w:rsidRPr="00652E78" w:rsidRDefault="00947FD0" w:rsidP="00536402">
            <w:pPr>
              <w:pStyle w:val="NormalWeb"/>
              <w:contextualSpacing/>
            </w:pPr>
            <w:r w:rsidRPr="00652E78">
              <w:t>Wild</w:t>
            </w:r>
          </w:p>
        </w:tc>
        <w:tc>
          <w:tcPr>
            <w:tcW w:w="1345" w:type="dxa"/>
            <w:noWrap/>
            <w:hideMark/>
          </w:tcPr>
          <w:p w14:paraId="775FD4B1" w14:textId="77777777" w:rsidR="00947FD0" w:rsidRPr="00652E78" w:rsidRDefault="00947FD0" w:rsidP="00536402">
            <w:pPr>
              <w:pStyle w:val="NormalWeb"/>
              <w:contextualSpacing/>
            </w:pPr>
            <w:r w:rsidRPr="00652E78">
              <w:t>Hatchling</w:t>
            </w:r>
          </w:p>
        </w:tc>
        <w:tc>
          <w:tcPr>
            <w:tcW w:w="3060" w:type="dxa"/>
            <w:noWrap/>
            <w:hideMark/>
          </w:tcPr>
          <w:p w14:paraId="326F77FF" w14:textId="77777777" w:rsidR="00947FD0" w:rsidRPr="00652E78" w:rsidRDefault="00947FD0" w:rsidP="00536402">
            <w:pPr>
              <w:pStyle w:val="NormalWeb"/>
              <w:contextualSpacing/>
            </w:pPr>
            <w:r w:rsidRPr="00652E78">
              <w:t>9/15</w:t>
            </w:r>
            <w:r w:rsidRPr="00652E78">
              <w:rPr>
                <w:b/>
                <w:bCs/>
              </w:rPr>
              <w:t xml:space="preserve"> (1)</w:t>
            </w:r>
          </w:p>
        </w:tc>
      </w:tr>
      <w:tr w:rsidR="00947FD0" w:rsidRPr="00652E78" w14:paraId="3FDE58EA" w14:textId="77777777" w:rsidTr="00536402">
        <w:trPr>
          <w:trHeight w:val="320"/>
        </w:trPr>
        <w:tc>
          <w:tcPr>
            <w:tcW w:w="1420" w:type="dxa"/>
            <w:noWrap/>
            <w:hideMark/>
          </w:tcPr>
          <w:p w14:paraId="3DF85E2A" w14:textId="77777777" w:rsidR="00947FD0" w:rsidRPr="00652E78" w:rsidRDefault="00947FD0" w:rsidP="00536402">
            <w:pPr>
              <w:pStyle w:val="NormalWeb"/>
              <w:contextualSpacing/>
            </w:pPr>
            <w:r w:rsidRPr="00652E78">
              <w:t>1071</w:t>
            </w:r>
          </w:p>
        </w:tc>
        <w:tc>
          <w:tcPr>
            <w:tcW w:w="1100" w:type="dxa"/>
            <w:noWrap/>
            <w:hideMark/>
          </w:tcPr>
          <w:p w14:paraId="7C41562F" w14:textId="77777777" w:rsidR="00947FD0" w:rsidRPr="00652E78" w:rsidRDefault="00947FD0" w:rsidP="00536402">
            <w:pPr>
              <w:pStyle w:val="NormalWeb"/>
              <w:contextualSpacing/>
            </w:pPr>
            <w:r w:rsidRPr="00652E78">
              <w:t>Wild</w:t>
            </w:r>
          </w:p>
        </w:tc>
        <w:tc>
          <w:tcPr>
            <w:tcW w:w="1345" w:type="dxa"/>
            <w:noWrap/>
            <w:hideMark/>
          </w:tcPr>
          <w:p w14:paraId="71943C9C" w14:textId="77777777" w:rsidR="00947FD0" w:rsidRPr="00652E78" w:rsidRDefault="00947FD0" w:rsidP="00536402">
            <w:pPr>
              <w:pStyle w:val="NormalWeb"/>
              <w:contextualSpacing/>
            </w:pPr>
            <w:r w:rsidRPr="00652E78">
              <w:t>Unknown</w:t>
            </w:r>
          </w:p>
        </w:tc>
        <w:tc>
          <w:tcPr>
            <w:tcW w:w="3060" w:type="dxa"/>
            <w:noWrap/>
            <w:hideMark/>
          </w:tcPr>
          <w:p w14:paraId="5EE63078" w14:textId="77777777" w:rsidR="00947FD0" w:rsidRPr="00652E78" w:rsidRDefault="00947FD0" w:rsidP="00536402">
            <w:pPr>
              <w:pStyle w:val="NormalWeb"/>
              <w:contextualSpacing/>
            </w:pPr>
            <w:r w:rsidRPr="00652E78">
              <w:t xml:space="preserve">6/23 </w:t>
            </w:r>
            <w:r w:rsidRPr="00652E78">
              <w:rPr>
                <w:b/>
                <w:bCs/>
              </w:rPr>
              <w:t>(1)</w:t>
            </w:r>
          </w:p>
        </w:tc>
      </w:tr>
    </w:tbl>
    <w:p w14:paraId="5005E35F" w14:textId="77777777" w:rsidR="00947FD0" w:rsidRPr="00DE1305" w:rsidRDefault="00947FD0" w:rsidP="00947FD0">
      <w:pPr>
        <w:pStyle w:val="NormalWeb"/>
        <w:contextualSpacing/>
      </w:pPr>
      <w:r w:rsidRPr="00DE1305">
        <w:t xml:space="preserve">Table 1. </w:t>
      </w:r>
      <w:r>
        <w:t>Background data of 68 Texas horned lizard fecal samples included in this study. Treatment conditions included samples pooled as pre-release, post-release, and wild.</w:t>
      </w:r>
    </w:p>
    <w:p w14:paraId="0CF08F9A" w14:textId="77777777" w:rsidR="00947FD0" w:rsidRPr="00220F7A" w:rsidRDefault="00947FD0" w:rsidP="00947FD0">
      <w:pPr>
        <w:pStyle w:val="NormalWeb"/>
        <w:contextualSpacing/>
        <w:rPr>
          <w:highlight w:val="yellow"/>
        </w:rPr>
      </w:pPr>
    </w:p>
    <w:p w14:paraId="35E2C064" w14:textId="77777777" w:rsidR="00947FD0" w:rsidRDefault="00947FD0" w:rsidP="00947FD0">
      <w:pPr>
        <w:pStyle w:val="NormalWeb"/>
        <w:spacing w:line="480" w:lineRule="auto"/>
        <w:contextualSpacing/>
        <w:rPr>
          <w:b/>
          <w:bCs/>
        </w:rPr>
        <w:sectPr w:rsidR="00947FD0" w:rsidSect="00947FD0">
          <w:pgSz w:w="15840" w:h="12240" w:orient="landscape"/>
          <w:pgMar w:top="1440" w:right="1440" w:bottom="1440" w:left="1440" w:header="720" w:footer="720" w:gutter="0"/>
          <w:cols w:space="720"/>
          <w:docGrid w:linePitch="360"/>
        </w:sectPr>
      </w:pPr>
    </w:p>
    <w:p w14:paraId="6F619491" w14:textId="33E35BFB" w:rsidR="00947FD0" w:rsidRPr="00C21098" w:rsidRDefault="005A6BCD" w:rsidP="00947FD0">
      <w:pPr>
        <w:pStyle w:val="NormalWeb"/>
        <w:spacing w:line="480" w:lineRule="auto"/>
        <w:contextualSpacing/>
        <w:rPr>
          <w:b/>
          <w:bCs/>
        </w:rPr>
      </w:pPr>
      <w:r>
        <w:rPr>
          <w:noProof/>
        </w:rPr>
        <w:drawing>
          <wp:anchor distT="0" distB="0" distL="114300" distR="114300" simplePos="0" relativeHeight="251677696" behindDoc="0" locked="0" layoutInCell="1" allowOverlap="1" wp14:anchorId="040EDF29" wp14:editId="2D1F0924">
            <wp:simplePos x="0" y="0"/>
            <wp:positionH relativeFrom="column">
              <wp:posOffset>404495</wp:posOffset>
            </wp:positionH>
            <wp:positionV relativeFrom="paragraph">
              <wp:posOffset>231140</wp:posOffset>
            </wp:positionV>
            <wp:extent cx="4907280" cy="6687820"/>
            <wp:effectExtent l="0" t="0" r="0" b="508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907280" cy="6687820"/>
                    </a:xfrm>
                    <a:prstGeom prst="rect">
                      <a:avLst/>
                    </a:prstGeom>
                  </pic:spPr>
                </pic:pic>
              </a:graphicData>
            </a:graphic>
            <wp14:sizeRelH relativeFrom="page">
              <wp14:pctWidth>0</wp14:pctWidth>
            </wp14:sizeRelH>
            <wp14:sizeRelV relativeFrom="page">
              <wp14:pctHeight>0</wp14:pctHeight>
            </wp14:sizeRelV>
          </wp:anchor>
        </w:drawing>
      </w:r>
      <w:r w:rsidR="00947FD0" w:rsidRPr="00C21098">
        <w:rPr>
          <w:b/>
          <w:bCs/>
        </w:rPr>
        <w:t>FIGURE</w:t>
      </w:r>
      <w:r w:rsidR="00947FD0">
        <w:rPr>
          <w:b/>
          <w:bCs/>
        </w:rPr>
        <w:t>S AND FIGURE LEGENDS</w:t>
      </w:r>
    </w:p>
    <w:p w14:paraId="0D8D64F5" w14:textId="59C69F8A" w:rsidR="00947FD0" w:rsidRDefault="00947FD0" w:rsidP="00947FD0">
      <w:pPr>
        <w:pStyle w:val="NormalWeb"/>
        <w:spacing w:line="480" w:lineRule="auto"/>
        <w:contextualSpacing/>
      </w:pPr>
      <w:r>
        <w:t>Fig. 1. A) Headstart Texas horned lizard at the OKC Zoo placed in 6 qt plastic tub and offered food for fecal sample collection. B) Translocated lizard caught on TAFB and placed in plastic tub with fecal sample visible. C) One of four reintroduction pens used on TAFB to house and acclimate translocated Texas horned lizards from the OKC Zoo.</w:t>
      </w:r>
    </w:p>
    <w:p w14:paraId="36E869B1" w14:textId="6026C0E7" w:rsidR="005A6BCD" w:rsidRDefault="005A6BCD" w:rsidP="00947FD0">
      <w:pPr>
        <w:pStyle w:val="NormalWeb"/>
        <w:spacing w:line="480" w:lineRule="auto"/>
        <w:contextualSpacing/>
      </w:pPr>
      <w:r>
        <w:rPr>
          <w:noProof/>
        </w:rPr>
        <w:drawing>
          <wp:anchor distT="0" distB="0" distL="114300" distR="114300" simplePos="0" relativeHeight="251678720" behindDoc="0" locked="0" layoutInCell="1" allowOverlap="1" wp14:anchorId="10BE50FE" wp14:editId="60ACAF11">
            <wp:simplePos x="0" y="0"/>
            <wp:positionH relativeFrom="column">
              <wp:posOffset>-81537</wp:posOffset>
            </wp:positionH>
            <wp:positionV relativeFrom="paragraph">
              <wp:posOffset>346710</wp:posOffset>
            </wp:positionV>
            <wp:extent cx="6649720" cy="3970020"/>
            <wp:effectExtent l="0" t="0" r="5080" b="508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649720" cy="3970020"/>
                    </a:xfrm>
                    <a:prstGeom prst="rect">
                      <a:avLst/>
                    </a:prstGeom>
                  </pic:spPr>
                </pic:pic>
              </a:graphicData>
            </a:graphic>
            <wp14:sizeRelH relativeFrom="page">
              <wp14:pctWidth>0</wp14:pctWidth>
            </wp14:sizeRelH>
            <wp14:sizeRelV relativeFrom="page">
              <wp14:pctHeight>0</wp14:pctHeight>
            </wp14:sizeRelV>
          </wp:anchor>
        </w:drawing>
      </w:r>
    </w:p>
    <w:p w14:paraId="0466BC3C" w14:textId="65F0C0F1" w:rsidR="00947FD0" w:rsidRPr="00476661" w:rsidRDefault="00947FD0" w:rsidP="00947FD0">
      <w:pPr>
        <w:pStyle w:val="NormalWeb"/>
        <w:spacing w:line="480" w:lineRule="auto"/>
        <w:contextualSpacing/>
      </w:pPr>
      <w:r w:rsidRPr="00476661">
        <w:t xml:space="preserve">Fig. </w:t>
      </w:r>
      <w:r>
        <w:t>2</w:t>
      </w:r>
      <w:r w:rsidRPr="00476661">
        <w:t>. Stacked barplots of average microbial composition in Texas horned lizard treatment conditions at the phylum level.</w:t>
      </w:r>
      <w:r>
        <w:t xml:space="preserve"> Among all conditions, </w:t>
      </w:r>
      <w:r>
        <w:rPr>
          <w:bCs/>
        </w:rPr>
        <w:t>Bacteroidetes and Firmicutes are the most dominant phyla observed.</w:t>
      </w:r>
    </w:p>
    <w:p w14:paraId="74500A3B" w14:textId="77777777" w:rsidR="00947FD0" w:rsidRPr="00AA0B86" w:rsidRDefault="00947FD0" w:rsidP="00947FD0">
      <w:pPr>
        <w:pStyle w:val="NormalWeb"/>
        <w:spacing w:line="480" w:lineRule="auto"/>
        <w:contextualSpacing/>
        <w:rPr>
          <w:highlight w:val="yellow"/>
        </w:rPr>
      </w:pPr>
    </w:p>
    <w:p w14:paraId="3DA581BB" w14:textId="02A25728" w:rsidR="00947FD0" w:rsidRPr="00476661" w:rsidRDefault="005A6BCD" w:rsidP="00947FD0">
      <w:pPr>
        <w:pStyle w:val="NormalWeb"/>
        <w:spacing w:line="480" w:lineRule="auto"/>
        <w:contextualSpacing/>
      </w:pPr>
      <w:r>
        <w:rPr>
          <w:noProof/>
        </w:rPr>
        <w:drawing>
          <wp:anchor distT="0" distB="0" distL="114300" distR="114300" simplePos="0" relativeHeight="251679744" behindDoc="0" locked="0" layoutInCell="1" allowOverlap="1" wp14:anchorId="28F64059" wp14:editId="279B37C2">
            <wp:simplePos x="0" y="0"/>
            <wp:positionH relativeFrom="column">
              <wp:posOffset>0</wp:posOffset>
            </wp:positionH>
            <wp:positionV relativeFrom="paragraph">
              <wp:posOffset>0</wp:posOffset>
            </wp:positionV>
            <wp:extent cx="4409440" cy="6942455"/>
            <wp:effectExtent l="0" t="0" r="0" b="4445"/>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409440" cy="6942455"/>
                    </a:xfrm>
                    <a:prstGeom prst="rect">
                      <a:avLst/>
                    </a:prstGeom>
                  </pic:spPr>
                </pic:pic>
              </a:graphicData>
            </a:graphic>
            <wp14:sizeRelH relativeFrom="page">
              <wp14:pctWidth>0</wp14:pctWidth>
            </wp14:sizeRelH>
            <wp14:sizeRelV relativeFrom="page">
              <wp14:pctHeight>0</wp14:pctHeight>
            </wp14:sizeRelV>
          </wp:anchor>
        </w:drawing>
      </w:r>
      <w:r w:rsidR="00947FD0" w:rsidRPr="00476661">
        <w:t xml:space="preserve">Fig. </w:t>
      </w:r>
      <w:r w:rsidR="00947FD0">
        <w:t>3</w:t>
      </w:r>
      <w:r w:rsidR="00947FD0" w:rsidRPr="00476661">
        <w:t xml:space="preserve">. </w:t>
      </w:r>
      <w:r w:rsidR="00947FD0">
        <w:t xml:space="preserve">A) Alpha diversity metrics of observed OTUs, Shannon index, and Faith’s PD from </w:t>
      </w:r>
      <w:r w:rsidR="00947FD0" w:rsidRPr="0040688A">
        <w:t xml:space="preserve">fecal samples </w:t>
      </w:r>
      <w:r w:rsidR="00947FD0" w:rsidRPr="00476661">
        <w:t>across three Texas horned lizard groups: pre-release, post-release, and wild</w:t>
      </w:r>
      <w:r w:rsidR="00947FD0">
        <w:t>. B) P</w:t>
      </w:r>
      <w:r w:rsidR="00947FD0" w:rsidRPr="00476661">
        <w:t>rincipal coordinates analysis (PCoA) plots of fecal sample</w:t>
      </w:r>
      <w:r w:rsidR="00947FD0">
        <w:t xml:space="preserve"> b</w:t>
      </w:r>
      <w:r w:rsidR="00947FD0" w:rsidRPr="00476661">
        <w:t>eta diversity metrics includ</w:t>
      </w:r>
      <w:r w:rsidR="00947FD0">
        <w:t>ing</w:t>
      </w:r>
      <w:r w:rsidR="00947FD0" w:rsidRPr="00476661">
        <w:t xml:space="preserve"> weighted UniFrac</w:t>
      </w:r>
      <w:r w:rsidR="00947FD0">
        <w:t>,</w:t>
      </w:r>
      <w:r w:rsidR="00947FD0" w:rsidRPr="00476661">
        <w:t xml:space="preserve"> unweighted UniFrac, and</w:t>
      </w:r>
      <w:r w:rsidR="00947FD0">
        <w:t xml:space="preserve"> </w:t>
      </w:r>
      <w:r w:rsidR="00947FD0" w:rsidRPr="00476661">
        <w:t>Jaccard distances</w:t>
      </w:r>
      <w:r w:rsidR="00947FD0">
        <w:t xml:space="preserve"> between all three treatment groups.</w:t>
      </w:r>
    </w:p>
    <w:p w14:paraId="5CE2F0EA" w14:textId="66365AD2" w:rsidR="00947FD0" w:rsidRPr="00AA0B86" w:rsidRDefault="006B4925" w:rsidP="00947FD0">
      <w:pPr>
        <w:pStyle w:val="NormalWeb"/>
        <w:spacing w:line="480" w:lineRule="auto"/>
        <w:contextualSpacing/>
        <w:rPr>
          <w:highlight w:val="yellow"/>
        </w:rPr>
      </w:pPr>
      <w:r>
        <w:rPr>
          <w:noProof/>
        </w:rPr>
        <w:drawing>
          <wp:anchor distT="0" distB="0" distL="114300" distR="114300" simplePos="0" relativeHeight="251680768" behindDoc="0" locked="0" layoutInCell="1" allowOverlap="1" wp14:anchorId="115422C5" wp14:editId="3B9BE1E8">
            <wp:simplePos x="0" y="0"/>
            <wp:positionH relativeFrom="column">
              <wp:posOffset>-173620</wp:posOffset>
            </wp:positionH>
            <wp:positionV relativeFrom="paragraph">
              <wp:posOffset>0</wp:posOffset>
            </wp:positionV>
            <wp:extent cx="6160135" cy="6481445"/>
            <wp:effectExtent l="0" t="0" r="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160135" cy="6481445"/>
                    </a:xfrm>
                    <a:prstGeom prst="rect">
                      <a:avLst/>
                    </a:prstGeom>
                  </pic:spPr>
                </pic:pic>
              </a:graphicData>
            </a:graphic>
            <wp14:sizeRelH relativeFrom="page">
              <wp14:pctWidth>0</wp14:pctWidth>
            </wp14:sizeRelH>
            <wp14:sizeRelV relativeFrom="page">
              <wp14:pctHeight>0</wp14:pctHeight>
            </wp14:sizeRelV>
          </wp:anchor>
        </w:drawing>
      </w:r>
      <w:r w:rsidR="00947FD0" w:rsidRPr="00A53703">
        <w:t xml:space="preserve">Fig. </w:t>
      </w:r>
      <w:r w:rsidR="00947FD0">
        <w:t>4</w:t>
      </w:r>
      <w:r w:rsidR="00947FD0" w:rsidRPr="00A53703">
        <w:t xml:space="preserve">. </w:t>
      </w:r>
      <w:r w:rsidR="00947FD0" w:rsidRPr="00476661">
        <w:t xml:space="preserve">Principal coordinates analysis (PCoA) plots of </w:t>
      </w:r>
      <w:r w:rsidR="00947FD0">
        <w:t>Texas horned lizard fecal samples comparing A) captive and wild, B) pre- and post-release, and C) post-release and wild conditions directly in pair-wise comparisons.</w:t>
      </w:r>
    </w:p>
    <w:p w14:paraId="09413394" w14:textId="77777777" w:rsidR="00947FD0" w:rsidRPr="00AA0B86" w:rsidRDefault="00947FD0" w:rsidP="00947FD0">
      <w:pPr>
        <w:pStyle w:val="NormalWeb"/>
        <w:spacing w:line="480" w:lineRule="auto"/>
        <w:contextualSpacing/>
        <w:rPr>
          <w:highlight w:val="yellow"/>
        </w:rPr>
      </w:pPr>
    </w:p>
    <w:p w14:paraId="25645DD4" w14:textId="323ACE88" w:rsidR="00947FD0" w:rsidRPr="00B74969" w:rsidRDefault="006B4925" w:rsidP="00947FD0">
      <w:pPr>
        <w:pStyle w:val="NormalWeb"/>
        <w:spacing w:line="480" w:lineRule="auto"/>
        <w:contextualSpacing/>
      </w:pPr>
      <w:r>
        <w:rPr>
          <w:noProof/>
        </w:rPr>
        <w:drawing>
          <wp:anchor distT="0" distB="0" distL="114300" distR="114300" simplePos="0" relativeHeight="251681792" behindDoc="0" locked="0" layoutInCell="1" allowOverlap="1" wp14:anchorId="15120915" wp14:editId="689447D3">
            <wp:simplePos x="0" y="0"/>
            <wp:positionH relativeFrom="column">
              <wp:posOffset>0</wp:posOffset>
            </wp:positionH>
            <wp:positionV relativeFrom="paragraph">
              <wp:posOffset>0</wp:posOffset>
            </wp:positionV>
            <wp:extent cx="5003800" cy="6743700"/>
            <wp:effectExtent l="0" t="0" r="0" b="0"/>
            <wp:wrapTopAndBottom/>
            <wp:docPr id="30" name="Picture 30"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 engineering drawing&#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003800" cy="6743700"/>
                    </a:xfrm>
                    <a:prstGeom prst="rect">
                      <a:avLst/>
                    </a:prstGeom>
                  </pic:spPr>
                </pic:pic>
              </a:graphicData>
            </a:graphic>
            <wp14:sizeRelH relativeFrom="page">
              <wp14:pctWidth>0</wp14:pctWidth>
            </wp14:sizeRelH>
            <wp14:sizeRelV relativeFrom="page">
              <wp14:pctHeight>0</wp14:pctHeight>
            </wp14:sizeRelV>
          </wp:anchor>
        </w:drawing>
      </w:r>
      <w:r w:rsidR="00947FD0" w:rsidRPr="00B74969">
        <w:t xml:space="preserve">Fig. </w:t>
      </w:r>
      <w:r w:rsidR="00947FD0">
        <w:t>5</w:t>
      </w:r>
      <w:r w:rsidR="00947FD0" w:rsidRPr="00B74969">
        <w:t>. Observed OTUs in eight (8) Texas horned lizard hosts sampled before and after reintroduction to TAFB compared to wild averages.</w:t>
      </w:r>
      <w:r w:rsidR="00947FD0">
        <w:t xml:space="preserve"> Of hosts sampled, five of the eight show increased OTU diversity following translocation.</w:t>
      </w:r>
    </w:p>
    <w:p w14:paraId="1670562D" w14:textId="77777777" w:rsidR="00947FD0" w:rsidRPr="00AA0B86" w:rsidRDefault="00947FD0" w:rsidP="00947FD0">
      <w:pPr>
        <w:pStyle w:val="NormalWeb"/>
        <w:spacing w:line="480" w:lineRule="auto"/>
        <w:contextualSpacing/>
        <w:rPr>
          <w:highlight w:val="yellow"/>
        </w:rPr>
      </w:pPr>
    </w:p>
    <w:p w14:paraId="3C8904A4" w14:textId="4D73ECE5" w:rsidR="006B4925" w:rsidRDefault="006B4925" w:rsidP="00947FD0">
      <w:pPr>
        <w:pStyle w:val="NormalWeb"/>
        <w:spacing w:line="480" w:lineRule="auto"/>
        <w:contextualSpacing/>
      </w:pPr>
      <w:r>
        <w:rPr>
          <w:noProof/>
        </w:rPr>
        <w:drawing>
          <wp:anchor distT="0" distB="0" distL="114300" distR="114300" simplePos="0" relativeHeight="251682816" behindDoc="0" locked="0" layoutInCell="1" allowOverlap="1" wp14:anchorId="05A1D682" wp14:editId="3E9B8D8B">
            <wp:simplePos x="0" y="0"/>
            <wp:positionH relativeFrom="column">
              <wp:posOffset>0</wp:posOffset>
            </wp:positionH>
            <wp:positionV relativeFrom="paragraph">
              <wp:posOffset>200049</wp:posOffset>
            </wp:positionV>
            <wp:extent cx="5943600" cy="2322830"/>
            <wp:effectExtent l="0" t="0" r="0" b="127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2322830"/>
                    </a:xfrm>
                    <a:prstGeom prst="rect">
                      <a:avLst/>
                    </a:prstGeom>
                  </pic:spPr>
                </pic:pic>
              </a:graphicData>
            </a:graphic>
            <wp14:sizeRelH relativeFrom="page">
              <wp14:pctWidth>0</wp14:pctWidth>
            </wp14:sizeRelH>
            <wp14:sizeRelV relativeFrom="page">
              <wp14:pctHeight>0</wp14:pctHeight>
            </wp14:sizeRelV>
          </wp:anchor>
        </w:drawing>
      </w:r>
    </w:p>
    <w:p w14:paraId="770C15F8" w14:textId="77777777" w:rsidR="006B4925" w:rsidRDefault="006B4925" w:rsidP="00947FD0">
      <w:pPr>
        <w:pStyle w:val="NormalWeb"/>
        <w:spacing w:line="480" w:lineRule="auto"/>
        <w:contextualSpacing/>
      </w:pPr>
    </w:p>
    <w:p w14:paraId="67888771" w14:textId="7353F5DD" w:rsidR="00471F56" w:rsidRPr="004B2732" w:rsidRDefault="00947FD0" w:rsidP="00947FD0">
      <w:pPr>
        <w:pStyle w:val="NormalWeb"/>
        <w:spacing w:line="480" w:lineRule="auto"/>
        <w:contextualSpacing/>
      </w:pPr>
      <w:r w:rsidRPr="000371C1">
        <w:t xml:space="preserve">Fig. </w:t>
      </w:r>
      <w:r>
        <w:t>6</w:t>
      </w:r>
      <w:r w:rsidRPr="000371C1">
        <w:t xml:space="preserve">. </w:t>
      </w:r>
      <w:r w:rsidRPr="00476661">
        <w:t xml:space="preserve">Principal coordinates analysis (PCoA) plots of fecal samples </w:t>
      </w:r>
      <w:r>
        <w:t>from headstart</w:t>
      </w:r>
      <w:r w:rsidRPr="00476661">
        <w:t xml:space="preserve"> Texas horned lizard </w:t>
      </w:r>
      <w:r>
        <w:t>ID 849-11.</w:t>
      </w:r>
    </w:p>
    <w:sectPr w:rsidR="00471F56" w:rsidRPr="004B2732" w:rsidSect="004C08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D70C6" w14:textId="77777777" w:rsidR="00A712F9" w:rsidRDefault="00A712F9" w:rsidP="00B51012">
      <w:r>
        <w:separator/>
      </w:r>
    </w:p>
  </w:endnote>
  <w:endnote w:type="continuationSeparator" w:id="0">
    <w:p w14:paraId="148F4980" w14:textId="77777777" w:rsidR="00A712F9" w:rsidRDefault="00A712F9" w:rsidP="00B51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Body CS)">
    <w:panose1 w:val="020B0604020202020204"/>
    <w:charset w:val="00"/>
    <w:family w:val="roman"/>
    <w:pitch w:val="default"/>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2428325"/>
      <w:docPartObj>
        <w:docPartGallery w:val="Page Numbers (Bottom of Page)"/>
        <w:docPartUnique/>
      </w:docPartObj>
    </w:sdtPr>
    <w:sdtContent>
      <w:p w14:paraId="16A034B7" w14:textId="45A2479F" w:rsidR="00B67C60" w:rsidRDefault="00B67C60" w:rsidP="00947FD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88A005" w14:textId="77777777" w:rsidR="00B51012" w:rsidRDefault="00B51012" w:rsidP="00B67C6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59947010"/>
      <w:docPartObj>
        <w:docPartGallery w:val="Page Numbers (Bottom of Page)"/>
        <w:docPartUnique/>
      </w:docPartObj>
    </w:sdtPr>
    <w:sdtContent>
      <w:p w14:paraId="3988727E" w14:textId="50F09615" w:rsidR="00B67C60" w:rsidRDefault="00B67C60" w:rsidP="004666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154</w:t>
        </w:r>
        <w:r>
          <w:rPr>
            <w:rStyle w:val="PageNumber"/>
          </w:rPr>
          <w:fldChar w:fldCharType="end"/>
        </w:r>
      </w:p>
    </w:sdtContent>
  </w:sdt>
  <w:p w14:paraId="7FE6467E" w14:textId="77777777" w:rsidR="00B51012" w:rsidRDefault="00B51012" w:rsidP="00B67C60">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91075" w14:textId="77777777" w:rsidR="00B51012" w:rsidRDefault="00B510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89731028"/>
      <w:docPartObj>
        <w:docPartGallery w:val="Page Numbers (Bottom of Page)"/>
        <w:docPartUnique/>
      </w:docPartObj>
    </w:sdtPr>
    <w:sdtContent>
      <w:p w14:paraId="25E74258" w14:textId="77777777" w:rsidR="0060061C" w:rsidRDefault="0060061C" w:rsidP="004666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154</w:t>
        </w:r>
        <w:r>
          <w:rPr>
            <w:rStyle w:val="PageNumber"/>
          </w:rPr>
          <w:fldChar w:fldCharType="end"/>
        </w:r>
      </w:p>
    </w:sdtContent>
  </w:sdt>
  <w:p w14:paraId="33E8F3C6" w14:textId="77777777" w:rsidR="0060061C" w:rsidRDefault="0060061C" w:rsidP="00B67C60">
    <w:pPr>
      <w:pStyle w:val="Footer"/>
      <w:ind w:right="360"/>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55137853"/>
      <w:docPartObj>
        <w:docPartGallery w:val="Page Numbers (Bottom of Page)"/>
        <w:docPartUnique/>
      </w:docPartObj>
    </w:sdtPr>
    <w:sdtContent>
      <w:p w14:paraId="59D63069" w14:textId="316EDA4A" w:rsidR="00947FD0" w:rsidRDefault="00947FD0" w:rsidP="00630FB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105</w:t>
        </w:r>
        <w:r>
          <w:rPr>
            <w:rStyle w:val="PageNumber"/>
          </w:rPr>
          <w:fldChar w:fldCharType="end"/>
        </w:r>
      </w:p>
    </w:sdtContent>
  </w:sdt>
  <w:p w14:paraId="216DB471" w14:textId="77777777" w:rsidR="00947FD0" w:rsidRDefault="00947FD0" w:rsidP="00947FD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46B17" w14:textId="77777777" w:rsidR="00A712F9" w:rsidRDefault="00A712F9" w:rsidP="00B51012">
      <w:r>
        <w:separator/>
      </w:r>
    </w:p>
  </w:footnote>
  <w:footnote w:type="continuationSeparator" w:id="0">
    <w:p w14:paraId="1BA364F4" w14:textId="77777777" w:rsidR="00A712F9" w:rsidRDefault="00A712F9" w:rsidP="00B51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4B3CF" w14:textId="77777777" w:rsidR="00B51012" w:rsidRDefault="00B510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AE0E7" w14:textId="77777777" w:rsidR="007310AC" w:rsidRPr="00322A99"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62515" w14:textId="77777777" w:rsidR="00B51012" w:rsidRDefault="00B510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E7EC2" w14:textId="7A5139D0" w:rsidR="00283550" w:rsidRPr="0091618E" w:rsidRDefault="00283550" w:rsidP="009161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71FFE" w14:textId="77777777" w:rsidR="000514DB"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86901"/>
    <w:multiLevelType w:val="hybridMultilevel"/>
    <w:tmpl w:val="72686282"/>
    <w:lvl w:ilvl="0" w:tplc="B2D8BB5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FC7676"/>
    <w:multiLevelType w:val="hybridMultilevel"/>
    <w:tmpl w:val="C4A819AC"/>
    <w:lvl w:ilvl="0" w:tplc="F30E11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036CF6"/>
    <w:multiLevelType w:val="multilevel"/>
    <w:tmpl w:val="BF965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7541BC"/>
    <w:multiLevelType w:val="hybridMultilevel"/>
    <w:tmpl w:val="A71436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2511EA"/>
    <w:multiLevelType w:val="hybridMultilevel"/>
    <w:tmpl w:val="7438F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8F3C88"/>
    <w:multiLevelType w:val="hybridMultilevel"/>
    <w:tmpl w:val="D172AAE6"/>
    <w:lvl w:ilvl="0" w:tplc="3A6A50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7D2A76"/>
    <w:multiLevelType w:val="hybridMultilevel"/>
    <w:tmpl w:val="882EC3B8"/>
    <w:lvl w:ilvl="0" w:tplc="909A11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6A066F"/>
    <w:multiLevelType w:val="multilevel"/>
    <w:tmpl w:val="24CC0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C75955"/>
    <w:multiLevelType w:val="hybridMultilevel"/>
    <w:tmpl w:val="3BAA5F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CA0D84"/>
    <w:multiLevelType w:val="hybridMultilevel"/>
    <w:tmpl w:val="7C681230"/>
    <w:lvl w:ilvl="0" w:tplc="E62007E6">
      <w:start w:val="1"/>
      <w:numFmt w:val="decimal"/>
      <w:lvlText w:val="%1)"/>
      <w:lvlJc w:val="left"/>
      <w:pPr>
        <w:ind w:left="540" w:hanging="360"/>
      </w:pPr>
      <w:rPr>
        <w:rFonts w:hint="default"/>
        <w:sz w:val="18"/>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558050946">
    <w:abstractNumId w:val="3"/>
  </w:num>
  <w:num w:numId="2" w16cid:durableId="1770656993">
    <w:abstractNumId w:val="7"/>
  </w:num>
  <w:num w:numId="3" w16cid:durableId="983777340">
    <w:abstractNumId w:val="2"/>
  </w:num>
  <w:num w:numId="4" w16cid:durableId="224992411">
    <w:abstractNumId w:val="8"/>
  </w:num>
  <w:num w:numId="5" w16cid:durableId="2023389691">
    <w:abstractNumId w:val="9"/>
  </w:num>
  <w:num w:numId="6" w16cid:durableId="1377662878">
    <w:abstractNumId w:val="4"/>
  </w:num>
  <w:num w:numId="7" w16cid:durableId="1242300553">
    <w:abstractNumId w:val="5"/>
  </w:num>
  <w:num w:numId="8" w16cid:durableId="1184629236">
    <w:abstractNumId w:val="1"/>
  </w:num>
  <w:num w:numId="9" w16cid:durableId="645665668">
    <w:abstractNumId w:val="6"/>
  </w:num>
  <w:num w:numId="10" w16cid:durableId="1580947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FC9"/>
    <w:rsid w:val="00001ADB"/>
    <w:rsid w:val="0001136E"/>
    <w:rsid w:val="00025287"/>
    <w:rsid w:val="000514DB"/>
    <w:rsid w:val="00051EE3"/>
    <w:rsid w:val="00064D39"/>
    <w:rsid w:val="00080E74"/>
    <w:rsid w:val="000856CF"/>
    <w:rsid w:val="00093EEB"/>
    <w:rsid w:val="000A7B38"/>
    <w:rsid w:val="000C6AEF"/>
    <w:rsid w:val="000D79C9"/>
    <w:rsid w:val="000E0FAA"/>
    <w:rsid w:val="000E7A9D"/>
    <w:rsid w:val="0014365A"/>
    <w:rsid w:val="00143B24"/>
    <w:rsid w:val="001521DA"/>
    <w:rsid w:val="00180375"/>
    <w:rsid w:val="00182D89"/>
    <w:rsid w:val="00197284"/>
    <w:rsid w:val="001C093B"/>
    <w:rsid w:val="001E24A7"/>
    <w:rsid w:val="00202C8D"/>
    <w:rsid w:val="00207F60"/>
    <w:rsid w:val="00242BE0"/>
    <w:rsid w:val="0025490E"/>
    <w:rsid w:val="00254EFA"/>
    <w:rsid w:val="0027484A"/>
    <w:rsid w:val="00280650"/>
    <w:rsid w:val="00283550"/>
    <w:rsid w:val="002D1338"/>
    <w:rsid w:val="002E09FF"/>
    <w:rsid w:val="002E2D6D"/>
    <w:rsid w:val="003111E8"/>
    <w:rsid w:val="00321779"/>
    <w:rsid w:val="00322FDC"/>
    <w:rsid w:val="00332032"/>
    <w:rsid w:val="0033711F"/>
    <w:rsid w:val="003404D2"/>
    <w:rsid w:val="00366301"/>
    <w:rsid w:val="0037472C"/>
    <w:rsid w:val="00381631"/>
    <w:rsid w:val="00383D58"/>
    <w:rsid w:val="003A0506"/>
    <w:rsid w:val="003C1878"/>
    <w:rsid w:val="003C54C3"/>
    <w:rsid w:val="003E36F4"/>
    <w:rsid w:val="003E4841"/>
    <w:rsid w:val="004003E6"/>
    <w:rsid w:val="0041361C"/>
    <w:rsid w:val="004219D6"/>
    <w:rsid w:val="00437D39"/>
    <w:rsid w:val="00447EF8"/>
    <w:rsid w:val="00451CAB"/>
    <w:rsid w:val="00454833"/>
    <w:rsid w:val="00455DBD"/>
    <w:rsid w:val="004638E8"/>
    <w:rsid w:val="00471F56"/>
    <w:rsid w:val="004A3287"/>
    <w:rsid w:val="004B2732"/>
    <w:rsid w:val="004B6BFE"/>
    <w:rsid w:val="004C02B6"/>
    <w:rsid w:val="004C084B"/>
    <w:rsid w:val="004C6931"/>
    <w:rsid w:val="005011F1"/>
    <w:rsid w:val="00502BF4"/>
    <w:rsid w:val="005221FF"/>
    <w:rsid w:val="005472FF"/>
    <w:rsid w:val="00556252"/>
    <w:rsid w:val="005608B5"/>
    <w:rsid w:val="005761D8"/>
    <w:rsid w:val="005770BE"/>
    <w:rsid w:val="0059159B"/>
    <w:rsid w:val="005A69E4"/>
    <w:rsid w:val="005A6BCD"/>
    <w:rsid w:val="005C7880"/>
    <w:rsid w:val="005D35AB"/>
    <w:rsid w:val="005D4756"/>
    <w:rsid w:val="005E77D9"/>
    <w:rsid w:val="0060061C"/>
    <w:rsid w:val="00605228"/>
    <w:rsid w:val="0061131E"/>
    <w:rsid w:val="00615626"/>
    <w:rsid w:val="00615A68"/>
    <w:rsid w:val="00626755"/>
    <w:rsid w:val="00631664"/>
    <w:rsid w:val="006674FB"/>
    <w:rsid w:val="00695D46"/>
    <w:rsid w:val="006A76DC"/>
    <w:rsid w:val="006B4925"/>
    <w:rsid w:val="006E1A06"/>
    <w:rsid w:val="006E5AE0"/>
    <w:rsid w:val="006F0380"/>
    <w:rsid w:val="00703EFD"/>
    <w:rsid w:val="00722990"/>
    <w:rsid w:val="00756699"/>
    <w:rsid w:val="007811DA"/>
    <w:rsid w:val="00794F4F"/>
    <w:rsid w:val="007A098E"/>
    <w:rsid w:val="007B1C37"/>
    <w:rsid w:val="007B3324"/>
    <w:rsid w:val="007B77C5"/>
    <w:rsid w:val="007D5CC6"/>
    <w:rsid w:val="007F4ABE"/>
    <w:rsid w:val="00824DB3"/>
    <w:rsid w:val="00833CC4"/>
    <w:rsid w:val="0083677F"/>
    <w:rsid w:val="00841107"/>
    <w:rsid w:val="00862C79"/>
    <w:rsid w:val="008648D0"/>
    <w:rsid w:val="008707C2"/>
    <w:rsid w:val="0088097C"/>
    <w:rsid w:val="00880D3A"/>
    <w:rsid w:val="00884949"/>
    <w:rsid w:val="00897108"/>
    <w:rsid w:val="008B631D"/>
    <w:rsid w:val="008C241B"/>
    <w:rsid w:val="008E6950"/>
    <w:rsid w:val="008E7855"/>
    <w:rsid w:val="00906B04"/>
    <w:rsid w:val="0091618E"/>
    <w:rsid w:val="009161DF"/>
    <w:rsid w:val="00941476"/>
    <w:rsid w:val="00947FD0"/>
    <w:rsid w:val="009678CC"/>
    <w:rsid w:val="00993417"/>
    <w:rsid w:val="009A13AA"/>
    <w:rsid w:val="009C23DA"/>
    <w:rsid w:val="009C770C"/>
    <w:rsid w:val="009E5B19"/>
    <w:rsid w:val="00A0431E"/>
    <w:rsid w:val="00A23374"/>
    <w:rsid w:val="00A329FF"/>
    <w:rsid w:val="00A56B85"/>
    <w:rsid w:val="00A65986"/>
    <w:rsid w:val="00A712F9"/>
    <w:rsid w:val="00AD5516"/>
    <w:rsid w:val="00B02711"/>
    <w:rsid w:val="00B16735"/>
    <w:rsid w:val="00B267A7"/>
    <w:rsid w:val="00B364F6"/>
    <w:rsid w:val="00B51012"/>
    <w:rsid w:val="00B67C60"/>
    <w:rsid w:val="00BC3334"/>
    <w:rsid w:val="00BC4F91"/>
    <w:rsid w:val="00BD0FEB"/>
    <w:rsid w:val="00BD7FAF"/>
    <w:rsid w:val="00BF5487"/>
    <w:rsid w:val="00BF6FC9"/>
    <w:rsid w:val="00C0683D"/>
    <w:rsid w:val="00C23142"/>
    <w:rsid w:val="00C41CC1"/>
    <w:rsid w:val="00C54D48"/>
    <w:rsid w:val="00C734AA"/>
    <w:rsid w:val="00CA38A0"/>
    <w:rsid w:val="00CB6935"/>
    <w:rsid w:val="00CD4FAE"/>
    <w:rsid w:val="00CE2FD2"/>
    <w:rsid w:val="00CF5A38"/>
    <w:rsid w:val="00D0585C"/>
    <w:rsid w:val="00D31AAF"/>
    <w:rsid w:val="00D4187E"/>
    <w:rsid w:val="00D4199D"/>
    <w:rsid w:val="00D70844"/>
    <w:rsid w:val="00D838D4"/>
    <w:rsid w:val="00D90172"/>
    <w:rsid w:val="00D94143"/>
    <w:rsid w:val="00D95B71"/>
    <w:rsid w:val="00DD4E6B"/>
    <w:rsid w:val="00DD54C3"/>
    <w:rsid w:val="00DE3E53"/>
    <w:rsid w:val="00DE474E"/>
    <w:rsid w:val="00DF46E3"/>
    <w:rsid w:val="00E53152"/>
    <w:rsid w:val="00E53DC1"/>
    <w:rsid w:val="00E54A7A"/>
    <w:rsid w:val="00E649E5"/>
    <w:rsid w:val="00E66459"/>
    <w:rsid w:val="00E811FE"/>
    <w:rsid w:val="00EA19C1"/>
    <w:rsid w:val="00EE4D24"/>
    <w:rsid w:val="00F14FDD"/>
    <w:rsid w:val="00F2624D"/>
    <w:rsid w:val="00F3443A"/>
    <w:rsid w:val="00F34E48"/>
    <w:rsid w:val="00F36A93"/>
    <w:rsid w:val="00F6339D"/>
    <w:rsid w:val="00F64937"/>
    <w:rsid w:val="00F6729C"/>
    <w:rsid w:val="00F71492"/>
    <w:rsid w:val="00F7681B"/>
    <w:rsid w:val="00F818F4"/>
    <w:rsid w:val="00FB3DC5"/>
    <w:rsid w:val="00FC5682"/>
    <w:rsid w:val="00FE0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37A09"/>
  <w15:chartTrackingRefBased/>
  <w15:docId w15:val="{FA522480-0980-4E4A-85E4-045698D3D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F56"/>
    <w:rPr>
      <w:rFonts w:ascii="Times New Roman" w:eastAsiaTheme="minorEastAsia" w:hAnsi="Times New Roman"/>
    </w:rPr>
  </w:style>
  <w:style w:type="paragraph" w:styleId="Heading1">
    <w:name w:val="heading 1"/>
    <w:basedOn w:val="Normal"/>
    <w:next w:val="Normal"/>
    <w:link w:val="Heading1Char"/>
    <w:uiPriority w:val="9"/>
    <w:qFormat/>
    <w:rsid w:val="00471F5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F56"/>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471F56"/>
    <w:pPr>
      <w:tabs>
        <w:tab w:val="center" w:pos="4680"/>
        <w:tab w:val="right" w:pos="9360"/>
      </w:tabs>
    </w:pPr>
  </w:style>
  <w:style w:type="character" w:customStyle="1" w:styleId="HeaderChar">
    <w:name w:val="Header Char"/>
    <w:basedOn w:val="DefaultParagraphFont"/>
    <w:link w:val="Header"/>
    <w:uiPriority w:val="99"/>
    <w:rsid w:val="00471F56"/>
    <w:rPr>
      <w:rFonts w:ascii="Times New Roman" w:eastAsiaTheme="minorEastAsia" w:hAnsi="Times New Roman"/>
    </w:rPr>
  </w:style>
  <w:style w:type="paragraph" w:styleId="Footer">
    <w:name w:val="footer"/>
    <w:basedOn w:val="Normal"/>
    <w:link w:val="FooterChar"/>
    <w:uiPriority w:val="99"/>
    <w:unhideWhenUsed/>
    <w:rsid w:val="00471F56"/>
    <w:pPr>
      <w:tabs>
        <w:tab w:val="center" w:pos="4680"/>
        <w:tab w:val="right" w:pos="9360"/>
      </w:tabs>
    </w:pPr>
  </w:style>
  <w:style w:type="character" w:customStyle="1" w:styleId="FooterChar">
    <w:name w:val="Footer Char"/>
    <w:basedOn w:val="DefaultParagraphFont"/>
    <w:link w:val="Footer"/>
    <w:uiPriority w:val="99"/>
    <w:rsid w:val="00471F56"/>
    <w:rPr>
      <w:rFonts w:ascii="Times New Roman" w:eastAsiaTheme="minorEastAsia" w:hAnsi="Times New Roman"/>
    </w:rPr>
  </w:style>
  <w:style w:type="character" w:styleId="CommentReference">
    <w:name w:val="annotation reference"/>
    <w:basedOn w:val="DefaultParagraphFont"/>
    <w:uiPriority w:val="99"/>
    <w:semiHidden/>
    <w:unhideWhenUsed/>
    <w:rsid w:val="00471F56"/>
    <w:rPr>
      <w:sz w:val="16"/>
      <w:szCs w:val="16"/>
    </w:rPr>
  </w:style>
  <w:style w:type="paragraph" w:styleId="CommentText">
    <w:name w:val="annotation text"/>
    <w:basedOn w:val="Normal"/>
    <w:link w:val="CommentTextChar"/>
    <w:uiPriority w:val="99"/>
    <w:unhideWhenUsed/>
    <w:rsid w:val="00471F56"/>
    <w:rPr>
      <w:sz w:val="20"/>
      <w:szCs w:val="20"/>
    </w:rPr>
  </w:style>
  <w:style w:type="character" w:customStyle="1" w:styleId="CommentTextChar">
    <w:name w:val="Comment Text Char"/>
    <w:basedOn w:val="DefaultParagraphFont"/>
    <w:link w:val="CommentText"/>
    <w:uiPriority w:val="99"/>
    <w:rsid w:val="00471F56"/>
    <w:rPr>
      <w:rFonts w:ascii="Times New Roman" w:eastAsiaTheme="minorEastAsia" w:hAnsi="Times New Roman"/>
      <w:sz w:val="20"/>
      <w:szCs w:val="20"/>
    </w:rPr>
  </w:style>
  <w:style w:type="paragraph" w:styleId="CommentSubject">
    <w:name w:val="annotation subject"/>
    <w:basedOn w:val="CommentText"/>
    <w:next w:val="CommentText"/>
    <w:link w:val="CommentSubjectChar"/>
    <w:uiPriority w:val="99"/>
    <w:semiHidden/>
    <w:unhideWhenUsed/>
    <w:rsid w:val="00471F56"/>
    <w:rPr>
      <w:b/>
      <w:bCs/>
    </w:rPr>
  </w:style>
  <w:style w:type="character" w:customStyle="1" w:styleId="CommentSubjectChar">
    <w:name w:val="Comment Subject Char"/>
    <w:basedOn w:val="CommentTextChar"/>
    <w:link w:val="CommentSubject"/>
    <w:uiPriority w:val="99"/>
    <w:semiHidden/>
    <w:rsid w:val="00471F56"/>
    <w:rPr>
      <w:rFonts w:ascii="Times New Roman" w:eastAsiaTheme="minorEastAsia" w:hAnsi="Times New Roman"/>
      <w:b/>
      <w:bCs/>
      <w:sz w:val="20"/>
      <w:szCs w:val="20"/>
    </w:rPr>
  </w:style>
  <w:style w:type="paragraph" w:styleId="BalloonText">
    <w:name w:val="Balloon Text"/>
    <w:basedOn w:val="Normal"/>
    <w:link w:val="BalloonTextChar"/>
    <w:uiPriority w:val="99"/>
    <w:semiHidden/>
    <w:unhideWhenUsed/>
    <w:rsid w:val="00471F56"/>
    <w:rPr>
      <w:rFonts w:cs="Times New Roman"/>
      <w:sz w:val="18"/>
      <w:szCs w:val="18"/>
    </w:rPr>
  </w:style>
  <w:style w:type="character" w:customStyle="1" w:styleId="BalloonTextChar">
    <w:name w:val="Balloon Text Char"/>
    <w:basedOn w:val="DefaultParagraphFont"/>
    <w:link w:val="BalloonText"/>
    <w:uiPriority w:val="99"/>
    <w:semiHidden/>
    <w:rsid w:val="00471F56"/>
    <w:rPr>
      <w:rFonts w:ascii="Times New Roman" w:eastAsiaTheme="minorEastAsia" w:hAnsi="Times New Roman" w:cs="Times New Roman"/>
      <w:sz w:val="18"/>
      <w:szCs w:val="18"/>
    </w:rPr>
  </w:style>
  <w:style w:type="character" w:styleId="LineNumber">
    <w:name w:val="line number"/>
    <w:basedOn w:val="DefaultParagraphFont"/>
    <w:uiPriority w:val="99"/>
    <w:unhideWhenUsed/>
    <w:rsid w:val="00471F56"/>
  </w:style>
  <w:style w:type="paragraph" w:styleId="NormalWeb">
    <w:name w:val="Normal (Web)"/>
    <w:basedOn w:val="Normal"/>
    <w:uiPriority w:val="99"/>
    <w:unhideWhenUsed/>
    <w:rsid w:val="00471F56"/>
    <w:pPr>
      <w:spacing w:before="100" w:beforeAutospacing="1" w:after="100" w:afterAutospacing="1"/>
    </w:pPr>
    <w:rPr>
      <w:rFonts w:eastAsia="Times New Roman" w:cs="Times New Roman"/>
    </w:rPr>
  </w:style>
  <w:style w:type="character" w:styleId="Hyperlink">
    <w:name w:val="Hyperlink"/>
    <w:uiPriority w:val="99"/>
    <w:rsid w:val="00471F56"/>
    <w:rPr>
      <w:color w:val="0000FF"/>
      <w:u w:val="single"/>
    </w:rPr>
  </w:style>
  <w:style w:type="character" w:customStyle="1" w:styleId="A0">
    <w:name w:val="A0"/>
    <w:rsid w:val="00471F56"/>
    <w:rPr>
      <w:rFonts w:cs="Wingdings"/>
      <w:color w:val="211D1E"/>
      <w:sz w:val="20"/>
      <w:szCs w:val="20"/>
    </w:rPr>
  </w:style>
  <w:style w:type="character" w:customStyle="1" w:styleId="UnresolvedMention1">
    <w:name w:val="Unresolved Mention1"/>
    <w:basedOn w:val="DefaultParagraphFont"/>
    <w:uiPriority w:val="99"/>
    <w:semiHidden/>
    <w:unhideWhenUsed/>
    <w:rsid w:val="00471F56"/>
    <w:rPr>
      <w:color w:val="605E5C"/>
      <w:shd w:val="clear" w:color="auto" w:fill="E1DFDD"/>
    </w:rPr>
  </w:style>
  <w:style w:type="paragraph" w:styleId="Revision">
    <w:name w:val="Revision"/>
    <w:hidden/>
    <w:uiPriority w:val="99"/>
    <w:semiHidden/>
    <w:rsid w:val="00471F56"/>
    <w:rPr>
      <w:rFonts w:ascii="Times New Roman" w:eastAsiaTheme="minorEastAsia" w:hAnsi="Times New Roman"/>
    </w:rPr>
  </w:style>
  <w:style w:type="character" w:customStyle="1" w:styleId="UnresolvedMention2">
    <w:name w:val="Unresolved Mention2"/>
    <w:basedOn w:val="DefaultParagraphFont"/>
    <w:uiPriority w:val="99"/>
    <w:semiHidden/>
    <w:unhideWhenUsed/>
    <w:rsid w:val="00471F56"/>
    <w:rPr>
      <w:color w:val="605E5C"/>
      <w:shd w:val="clear" w:color="auto" w:fill="E1DFDD"/>
    </w:rPr>
  </w:style>
  <w:style w:type="character" w:styleId="PageNumber">
    <w:name w:val="page number"/>
    <w:basedOn w:val="DefaultParagraphFont"/>
    <w:uiPriority w:val="99"/>
    <w:semiHidden/>
    <w:unhideWhenUsed/>
    <w:rsid w:val="00471F56"/>
  </w:style>
  <w:style w:type="character" w:styleId="UnresolvedMention">
    <w:name w:val="Unresolved Mention"/>
    <w:basedOn w:val="DefaultParagraphFont"/>
    <w:uiPriority w:val="99"/>
    <w:semiHidden/>
    <w:unhideWhenUsed/>
    <w:rsid w:val="00471F56"/>
    <w:rPr>
      <w:color w:val="605E5C"/>
      <w:shd w:val="clear" w:color="auto" w:fill="E1DFDD"/>
    </w:rPr>
  </w:style>
  <w:style w:type="character" w:styleId="FollowedHyperlink">
    <w:name w:val="FollowedHyperlink"/>
    <w:basedOn w:val="DefaultParagraphFont"/>
    <w:uiPriority w:val="99"/>
    <w:semiHidden/>
    <w:unhideWhenUsed/>
    <w:rsid w:val="00471F56"/>
    <w:rPr>
      <w:color w:val="954F72" w:themeColor="followedHyperlink"/>
      <w:u w:val="single"/>
    </w:rPr>
  </w:style>
  <w:style w:type="character" w:customStyle="1" w:styleId="apple-converted-space">
    <w:name w:val="apple-converted-space"/>
    <w:basedOn w:val="DefaultParagraphFont"/>
    <w:rsid w:val="00471F56"/>
  </w:style>
  <w:style w:type="table" w:styleId="TableGrid">
    <w:name w:val="Table Grid"/>
    <w:basedOn w:val="TableNormal"/>
    <w:uiPriority w:val="39"/>
    <w:rsid w:val="00471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1F56"/>
    <w:pPr>
      <w:ind w:left="720"/>
      <w:contextualSpacing/>
    </w:pPr>
    <w:rPr>
      <w:rFonts w:asciiTheme="minorHAnsi" w:eastAsiaTheme="minorHAnsi" w:hAnsiTheme="minorHAnsi"/>
    </w:rPr>
  </w:style>
  <w:style w:type="paragraph" w:styleId="HTMLPreformatted">
    <w:name w:val="HTML Preformatted"/>
    <w:basedOn w:val="Normal"/>
    <w:link w:val="HTMLPreformattedChar"/>
    <w:uiPriority w:val="99"/>
    <w:semiHidden/>
    <w:unhideWhenUsed/>
    <w:rsid w:val="00471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71F56"/>
    <w:rPr>
      <w:rFonts w:ascii="Courier New" w:eastAsia="Times New Roman" w:hAnsi="Courier New" w:cs="Courier New"/>
      <w:sz w:val="20"/>
      <w:szCs w:val="20"/>
    </w:rPr>
  </w:style>
  <w:style w:type="character" w:styleId="HTMLCode">
    <w:name w:val="HTML Code"/>
    <w:basedOn w:val="DefaultParagraphFont"/>
    <w:uiPriority w:val="99"/>
    <w:semiHidden/>
    <w:unhideWhenUsed/>
    <w:rsid w:val="00471F56"/>
    <w:rPr>
      <w:rFonts w:ascii="Courier New" w:eastAsia="Times New Roman" w:hAnsi="Courier New" w:cs="Courier New"/>
      <w:sz w:val="20"/>
      <w:szCs w:val="20"/>
    </w:rPr>
  </w:style>
  <w:style w:type="character" w:customStyle="1" w:styleId="ref-title">
    <w:name w:val="ref-title"/>
    <w:basedOn w:val="DefaultParagraphFont"/>
    <w:rsid w:val="00471F56"/>
  </w:style>
  <w:style w:type="character" w:styleId="Emphasis">
    <w:name w:val="Emphasis"/>
    <w:basedOn w:val="DefaultParagraphFont"/>
    <w:uiPriority w:val="20"/>
    <w:qFormat/>
    <w:rsid w:val="00471F56"/>
    <w:rPr>
      <w:i/>
      <w:iCs/>
    </w:rPr>
  </w:style>
  <w:style w:type="character" w:customStyle="1" w:styleId="ref-vol">
    <w:name w:val="ref-vol"/>
    <w:basedOn w:val="DefaultParagraphFont"/>
    <w:rsid w:val="00471F56"/>
  </w:style>
  <w:style w:type="character" w:customStyle="1" w:styleId="ref-iss">
    <w:name w:val="ref-iss"/>
    <w:basedOn w:val="DefaultParagraphFont"/>
    <w:rsid w:val="00471F56"/>
  </w:style>
  <w:style w:type="character" w:styleId="PlaceholderText">
    <w:name w:val="Placeholder Text"/>
    <w:basedOn w:val="DefaultParagraphFont"/>
    <w:uiPriority w:val="99"/>
    <w:semiHidden/>
    <w:rsid w:val="00471F56"/>
    <w:rPr>
      <w:color w:val="808080"/>
    </w:rPr>
  </w:style>
  <w:style w:type="paragraph" w:styleId="Caption">
    <w:name w:val="caption"/>
    <w:basedOn w:val="Normal"/>
    <w:next w:val="Normal"/>
    <w:uiPriority w:val="35"/>
    <w:unhideWhenUsed/>
    <w:qFormat/>
    <w:rsid w:val="008707C2"/>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56648">
      <w:bodyDiv w:val="1"/>
      <w:marLeft w:val="0"/>
      <w:marRight w:val="0"/>
      <w:marTop w:val="0"/>
      <w:marBottom w:val="0"/>
      <w:divBdr>
        <w:top w:val="none" w:sz="0" w:space="0" w:color="auto"/>
        <w:left w:val="none" w:sz="0" w:space="0" w:color="auto"/>
        <w:bottom w:val="none" w:sz="0" w:space="0" w:color="auto"/>
        <w:right w:val="none" w:sz="0" w:space="0" w:color="auto"/>
      </w:divBdr>
      <w:divsChild>
        <w:div w:id="1120799001">
          <w:marLeft w:val="0"/>
          <w:marRight w:val="0"/>
          <w:marTop w:val="0"/>
          <w:marBottom w:val="0"/>
          <w:divBdr>
            <w:top w:val="none" w:sz="0" w:space="0" w:color="auto"/>
            <w:left w:val="none" w:sz="0" w:space="0" w:color="auto"/>
            <w:bottom w:val="none" w:sz="0" w:space="0" w:color="auto"/>
            <w:right w:val="none" w:sz="0" w:space="0" w:color="auto"/>
          </w:divBdr>
          <w:divsChild>
            <w:div w:id="214316261">
              <w:marLeft w:val="0"/>
              <w:marRight w:val="0"/>
              <w:marTop w:val="0"/>
              <w:marBottom w:val="0"/>
              <w:divBdr>
                <w:top w:val="none" w:sz="0" w:space="0" w:color="auto"/>
                <w:left w:val="none" w:sz="0" w:space="0" w:color="auto"/>
                <w:bottom w:val="none" w:sz="0" w:space="0" w:color="auto"/>
                <w:right w:val="none" w:sz="0" w:space="0" w:color="auto"/>
              </w:divBdr>
              <w:divsChild>
                <w:div w:id="147070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848213">
      <w:bodyDiv w:val="1"/>
      <w:marLeft w:val="0"/>
      <w:marRight w:val="0"/>
      <w:marTop w:val="0"/>
      <w:marBottom w:val="0"/>
      <w:divBdr>
        <w:top w:val="none" w:sz="0" w:space="0" w:color="auto"/>
        <w:left w:val="none" w:sz="0" w:space="0" w:color="auto"/>
        <w:bottom w:val="none" w:sz="0" w:space="0" w:color="auto"/>
        <w:right w:val="none" w:sz="0" w:space="0" w:color="auto"/>
      </w:divBdr>
      <w:divsChild>
        <w:div w:id="783425548">
          <w:marLeft w:val="0"/>
          <w:marRight w:val="0"/>
          <w:marTop w:val="0"/>
          <w:marBottom w:val="0"/>
          <w:divBdr>
            <w:top w:val="none" w:sz="0" w:space="0" w:color="auto"/>
            <w:left w:val="none" w:sz="0" w:space="0" w:color="auto"/>
            <w:bottom w:val="none" w:sz="0" w:space="0" w:color="auto"/>
            <w:right w:val="none" w:sz="0" w:space="0" w:color="auto"/>
          </w:divBdr>
          <w:divsChild>
            <w:div w:id="637993351">
              <w:marLeft w:val="0"/>
              <w:marRight w:val="0"/>
              <w:marTop w:val="0"/>
              <w:marBottom w:val="0"/>
              <w:divBdr>
                <w:top w:val="none" w:sz="0" w:space="0" w:color="auto"/>
                <w:left w:val="none" w:sz="0" w:space="0" w:color="auto"/>
                <w:bottom w:val="none" w:sz="0" w:space="0" w:color="auto"/>
                <w:right w:val="none" w:sz="0" w:space="0" w:color="auto"/>
              </w:divBdr>
              <w:divsChild>
                <w:div w:id="45776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641146">
      <w:bodyDiv w:val="1"/>
      <w:marLeft w:val="0"/>
      <w:marRight w:val="0"/>
      <w:marTop w:val="0"/>
      <w:marBottom w:val="0"/>
      <w:divBdr>
        <w:top w:val="none" w:sz="0" w:space="0" w:color="auto"/>
        <w:left w:val="none" w:sz="0" w:space="0" w:color="auto"/>
        <w:bottom w:val="none" w:sz="0" w:space="0" w:color="auto"/>
        <w:right w:val="none" w:sz="0" w:space="0" w:color="auto"/>
      </w:divBdr>
      <w:divsChild>
        <w:div w:id="254871513">
          <w:marLeft w:val="0"/>
          <w:marRight w:val="0"/>
          <w:marTop w:val="0"/>
          <w:marBottom w:val="0"/>
          <w:divBdr>
            <w:top w:val="none" w:sz="0" w:space="0" w:color="auto"/>
            <w:left w:val="none" w:sz="0" w:space="0" w:color="auto"/>
            <w:bottom w:val="none" w:sz="0" w:space="0" w:color="auto"/>
            <w:right w:val="none" w:sz="0" w:space="0" w:color="auto"/>
          </w:divBdr>
          <w:divsChild>
            <w:div w:id="933438820">
              <w:marLeft w:val="0"/>
              <w:marRight w:val="0"/>
              <w:marTop w:val="0"/>
              <w:marBottom w:val="0"/>
              <w:divBdr>
                <w:top w:val="none" w:sz="0" w:space="0" w:color="auto"/>
                <w:left w:val="none" w:sz="0" w:space="0" w:color="auto"/>
                <w:bottom w:val="none" w:sz="0" w:space="0" w:color="auto"/>
                <w:right w:val="none" w:sz="0" w:space="0" w:color="auto"/>
              </w:divBdr>
              <w:divsChild>
                <w:div w:id="87766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981529">
      <w:bodyDiv w:val="1"/>
      <w:marLeft w:val="0"/>
      <w:marRight w:val="0"/>
      <w:marTop w:val="0"/>
      <w:marBottom w:val="0"/>
      <w:divBdr>
        <w:top w:val="none" w:sz="0" w:space="0" w:color="auto"/>
        <w:left w:val="none" w:sz="0" w:space="0" w:color="auto"/>
        <w:bottom w:val="none" w:sz="0" w:space="0" w:color="auto"/>
        <w:right w:val="none" w:sz="0" w:space="0" w:color="auto"/>
      </w:divBdr>
      <w:divsChild>
        <w:div w:id="181089104">
          <w:marLeft w:val="0"/>
          <w:marRight w:val="0"/>
          <w:marTop w:val="0"/>
          <w:marBottom w:val="0"/>
          <w:divBdr>
            <w:top w:val="none" w:sz="0" w:space="0" w:color="auto"/>
            <w:left w:val="none" w:sz="0" w:space="0" w:color="auto"/>
            <w:bottom w:val="none" w:sz="0" w:space="0" w:color="auto"/>
            <w:right w:val="none" w:sz="0" w:space="0" w:color="auto"/>
          </w:divBdr>
          <w:divsChild>
            <w:div w:id="1350909990">
              <w:marLeft w:val="0"/>
              <w:marRight w:val="0"/>
              <w:marTop w:val="0"/>
              <w:marBottom w:val="0"/>
              <w:divBdr>
                <w:top w:val="none" w:sz="0" w:space="0" w:color="auto"/>
                <w:left w:val="none" w:sz="0" w:space="0" w:color="auto"/>
                <w:bottom w:val="none" w:sz="0" w:space="0" w:color="auto"/>
                <w:right w:val="none" w:sz="0" w:space="0" w:color="auto"/>
              </w:divBdr>
              <w:divsChild>
                <w:div w:id="20980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414722">
      <w:bodyDiv w:val="1"/>
      <w:marLeft w:val="0"/>
      <w:marRight w:val="0"/>
      <w:marTop w:val="0"/>
      <w:marBottom w:val="0"/>
      <w:divBdr>
        <w:top w:val="none" w:sz="0" w:space="0" w:color="auto"/>
        <w:left w:val="none" w:sz="0" w:space="0" w:color="auto"/>
        <w:bottom w:val="none" w:sz="0" w:space="0" w:color="auto"/>
        <w:right w:val="none" w:sz="0" w:space="0" w:color="auto"/>
      </w:divBdr>
    </w:div>
    <w:div w:id="1135487646">
      <w:bodyDiv w:val="1"/>
      <w:marLeft w:val="0"/>
      <w:marRight w:val="0"/>
      <w:marTop w:val="0"/>
      <w:marBottom w:val="0"/>
      <w:divBdr>
        <w:top w:val="none" w:sz="0" w:space="0" w:color="auto"/>
        <w:left w:val="none" w:sz="0" w:space="0" w:color="auto"/>
        <w:bottom w:val="none" w:sz="0" w:space="0" w:color="auto"/>
        <w:right w:val="none" w:sz="0" w:space="0" w:color="auto"/>
      </w:divBdr>
    </w:div>
    <w:div w:id="1262445352">
      <w:bodyDiv w:val="1"/>
      <w:marLeft w:val="0"/>
      <w:marRight w:val="0"/>
      <w:marTop w:val="0"/>
      <w:marBottom w:val="0"/>
      <w:divBdr>
        <w:top w:val="none" w:sz="0" w:space="0" w:color="auto"/>
        <w:left w:val="none" w:sz="0" w:space="0" w:color="auto"/>
        <w:bottom w:val="none" w:sz="0" w:space="0" w:color="auto"/>
        <w:right w:val="none" w:sz="0" w:space="0" w:color="auto"/>
      </w:divBdr>
    </w:div>
    <w:div w:id="1308586601">
      <w:bodyDiv w:val="1"/>
      <w:marLeft w:val="0"/>
      <w:marRight w:val="0"/>
      <w:marTop w:val="0"/>
      <w:marBottom w:val="0"/>
      <w:divBdr>
        <w:top w:val="none" w:sz="0" w:space="0" w:color="auto"/>
        <w:left w:val="none" w:sz="0" w:space="0" w:color="auto"/>
        <w:bottom w:val="none" w:sz="0" w:space="0" w:color="auto"/>
        <w:right w:val="none" w:sz="0" w:space="0" w:color="auto"/>
      </w:divBdr>
      <w:divsChild>
        <w:div w:id="979185319">
          <w:marLeft w:val="0"/>
          <w:marRight w:val="0"/>
          <w:marTop w:val="0"/>
          <w:marBottom w:val="0"/>
          <w:divBdr>
            <w:top w:val="none" w:sz="0" w:space="0" w:color="auto"/>
            <w:left w:val="none" w:sz="0" w:space="0" w:color="auto"/>
            <w:bottom w:val="none" w:sz="0" w:space="0" w:color="auto"/>
            <w:right w:val="none" w:sz="0" w:space="0" w:color="auto"/>
          </w:divBdr>
          <w:divsChild>
            <w:div w:id="952904795">
              <w:marLeft w:val="0"/>
              <w:marRight w:val="0"/>
              <w:marTop w:val="0"/>
              <w:marBottom w:val="0"/>
              <w:divBdr>
                <w:top w:val="none" w:sz="0" w:space="0" w:color="auto"/>
                <w:left w:val="none" w:sz="0" w:space="0" w:color="auto"/>
                <w:bottom w:val="none" w:sz="0" w:space="0" w:color="auto"/>
                <w:right w:val="none" w:sz="0" w:space="0" w:color="auto"/>
              </w:divBdr>
              <w:divsChild>
                <w:div w:id="197266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127303">
      <w:bodyDiv w:val="1"/>
      <w:marLeft w:val="0"/>
      <w:marRight w:val="0"/>
      <w:marTop w:val="0"/>
      <w:marBottom w:val="0"/>
      <w:divBdr>
        <w:top w:val="none" w:sz="0" w:space="0" w:color="auto"/>
        <w:left w:val="none" w:sz="0" w:space="0" w:color="auto"/>
        <w:bottom w:val="none" w:sz="0" w:space="0" w:color="auto"/>
        <w:right w:val="none" w:sz="0" w:space="0" w:color="auto"/>
      </w:divBdr>
    </w:div>
    <w:div w:id="1397360598">
      <w:bodyDiv w:val="1"/>
      <w:marLeft w:val="0"/>
      <w:marRight w:val="0"/>
      <w:marTop w:val="0"/>
      <w:marBottom w:val="0"/>
      <w:divBdr>
        <w:top w:val="none" w:sz="0" w:space="0" w:color="auto"/>
        <w:left w:val="none" w:sz="0" w:space="0" w:color="auto"/>
        <w:bottom w:val="none" w:sz="0" w:space="0" w:color="auto"/>
        <w:right w:val="none" w:sz="0" w:space="0" w:color="auto"/>
      </w:divBdr>
      <w:divsChild>
        <w:div w:id="1838230990">
          <w:marLeft w:val="0"/>
          <w:marRight w:val="0"/>
          <w:marTop w:val="0"/>
          <w:marBottom w:val="0"/>
          <w:divBdr>
            <w:top w:val="none" w:sz="0" w:space="0" w:color="auto"/>
            <w:left w:val="none" w:sz="0" w:space="0" w:color="auto"/>
            <w:bottom w:val="none" w:sz="0" w:space="0" w:color="auto"/>
            <w:right w:val="none" w:sz="0" w:space="0" w:color="auto"/>
          </w:divBdr>
          <w:divsChild>
            <w:div w:id="515463234">
              <w:marLeft w:val="0"/>
              <w:marRight w:val="0"/>
              <w:marTop w:val="0"/>
              <w:marBottom w:val="0"/>
              <w:divBdr>
                <w:top w:val="none" w:sz="0" w:space="0" w:color="auto"/>
                <w:left w:val="none" w:sz="0" w:space="0" w:color="auto"/>
                <w:bottom w:val="none" w:sz="0" w:space="0" w:color="auto"/>
                <w:right w:val="none" w:sz="0" w:space="0" w:color="auto"/>
              </w:divBdr>
              <w:divsChild>
                <w:div w:id="40600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784513">
      <w:bodyDiv w:val="1"/>
      <w:marLeft w:val="0"/>
      <w:marRight w:val="0"/>
      <w:marTop w:val="0"/>
      <w:marBottom w:val="0"/>
      <w:divBdr>
        <w:top w:val="none" w:sz="0" w:space="0" w:color="auto"/>
        <w:left w:val="none" w:sz="0" w:space="0" w:color="auto"/>
        <w:bottom w:val="none" w:sz="0" w:space="0" w:color="auto"/>
        <w:right w:val="none" w:sz="0" w:space="0" w:color="auto"/>
      </w:divBdr>
      <w:divsChild>
        <w:div w:id="274211441">
          <w:marLeft w:val="0"/>
          <w:marRight w:val="0"/>
          <w:marTop w:val="0"/>
          <w:marBottom w:val="0"/>
          <w:divBdr>
            <w:top w:val="none" w:sz="0" w:space="0" w:color="auto"/>
            <w:left w:val="none" w:sz="0" w:space="0" w:color="auto"/>
            <w:bottom w:val="none" w:sz="0" w:space="0" w:color="auto"/>
            <w:right w:val="none" w:sz="0" w:space="0" w:color="auto"/>
          </w:divBdr>
          <w:divsChild>
            <w:div w:id="212011119">
              <w:marLeft w:val="0"/>
              <w:marRight w:val="0"/>
              <w:marTop w:val="0"/>
              <w:marBottom w:val="0"/>
              <w:divBdr>
                <w:top w:val="none" w:sz="0" w:space="0" w:color="auto"/>
                <w:left w:val="none" w:sz="0" w:space="0" w:color="auto"/>
                <w:bottom w:val="none" w:sz="0" w:space="0" w:color="auto"/>
                <w:right w:val="none" w:sz="0" w:space="0" w:color="auto"/>
              </w:divBdr>
              <w:divsChild>
                <w:div w:id="71677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497411">
      <w:bodyDiv w:val="1"/>
      <w:marLeft w:val="0"/>
      <w:marRight w:val="0"/>
      <w:marTop w:val="0"/>
      <w:marBottom w:val="0"/>
      <w:divBdr>
        <w:top w:val="none" w:sz="0" w:space="0" w:color="auto"/>
        <w:left w:val="none" w:sz="0" w:space="0" w:color="auto"/>
        <w:bottom w:val="none" w:sz="0" w:space="0" w:color="auto"/>
        <w:right w:val="none" w:sz="0" w:space="0" w:color="auto"/>
      </w:divBdr>
    </w:div>
    <w:div w:id="1933002092">
      <w:bodyDiv w:val="1"/>
      <w:marLeft w:val="0"/>
      <w:marRight w:val="0"/>
      <w:marTop w:val="0"/>
      <w:marBottom w:val="0"/>
      <w:divBdr>
        <w:top w:val="none" w:sz="0" w:space="0" w:color="auto"/>
        <w:left w:val="none" w:sz="0" w:space="0" w:color="auto"/>
        <w:bottom w:val="none" w:sz="0" w:space="0" w:color="auto"/>
        <w:right w:val="none" w:sz="0" w:space="0" w:color="auto"/>
      </w:divBdr>
      <w:divsChild>
        <w:div w:id="274137755">
          <w:marLeft w:val="0"/>
          <w:marRight w:val="0"/>
          <w:marTop w:val="0"/>
          <w:marBottom w:val="0"/>
          <w:divBdr>
            <w:top w:val="none" w:sz="0" w:space="0" w:color="auto"/>
            <w:left w:val="none" w:sz="0" w:space="0" w:color="auto"/>
            <w:bottom w:val="none" w:sz="0" w:space="0" w:color="auto"/>
            <w:right w:val="none" w:sz="0" w:space="0" w:color="auto"/>
          </w:divBdr>
          <w:divsChild>
            <w:div w:id="906956748">
              <w:marLeft w:val="0"/>
              <w:marRight w:val="0"/>
              <w:marTop w:val="0"/>
              <w:marBottom w:val="0"/>
              <w:divBdr>
                <w:top w:val="none" w:sz="0" w:space="0" w:color="auto"/>
                <w:left w:val="none" w:sz="0" w:space="0" w:color="auto"/>
                <w:bottom w:val="none" w:sz="0" w:space="0" w:color="auto"/>
                <w:right w:val="none" w:sz="0" w:space="0" w:color="auto"/>
              </w:divBdr>
              <w:divsChild>
                <w:div w:id="127764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631906">
      <w:bodyDiv w:val="1"/>
      <w:marLeft w:val="0"/>
      <w:marRight w:val="0"/>
      <w:marTop w:val="0"/>
      <w:marBottom w:val="0"/>
      <w:divBdr>
        <w:top w:val="none" w:sz="0" w:space="0" w:color="auto"/>
        <w:left w:val="none" w:sz="0" w:space="0" w:color="auto"/>
        <w:bottom w:val="none" w:sz="0" w:space="0" w:color="auto"/>
        <w:right w:val="none" w:sz="0" w:space="0" w:color="auto"/>
      </w:divBdr>
      <w:divsChild>
        <w:div w:id="234706806">
          <w:marLeft w:val="0"/>
          <w:marRight w:val="0"/>
          <w:marTop w:val="0"/>
          <w:marBottom w:val="0"/>
          <w:divBdr>
            <w:top w:val="none" w:sz="0" w:space="0" w:color="auto"/>
            <w:left w:val="none" w:sz="0" w:space="0" w:color="auto"/>
            <w:bottom w:val="none" w:sz="0" w:space="0" w:color="auto"/>
            <w:right w:val="none" w:sz="0" w:space="0" w:color="auto"/>
          </w:divBdr>
          <w:divsChild>
            <w:div w:id="306328757">
              <w:marLeft w:val="0"/>
              <w:marRight w:val="0"/>
              <w:marTop w:val="0"/>
              <w:marBottom w:val="0"/>
              <w:divBdr>
                <w:top w:val="none" w:sz="0" w:space="0" w:color="auto"/>
                <w:left w:val="none" w:sz="0" w:space="0" w:color="auto"/>
                <w:bottom w:val="none" w:sz="0" w:space="0" w:color="auto"/>
                <w:right w:val="none" w:sz="0" w:space="0" w:color="auto"/>
              </w:divBdr>
              <w:divsChild>
                <w:div w:id="7228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28994">
      <w:bodyDiv w:val="1"/>
      <w:marLeft w:val="0"/>
      <w:marRight w:val="0"/>
      <w:marTop w:val="0"/>
      <w:marBottom w:val="0"/>
      <w:divBdr>
        <w:top w:val="none" w:sz="0" w:space="0" w:color="auto"/>
        <w:left w:val="none" w:sz="0" w:space="0" w:color="auto"/>
        <w:bottom w:val="none" w:sz="0" w:space="0" w:color="auto"/>
        <w:right w:val="none" w:sz="0" w:space="0" w:color="auto"/>
      </w:divBdr>
    </w:div>
    <w:div w:id="1992706318">
      <w:bodyDiv w:val="1"/>
      <w:marLeft w:val="0"/>
      <w:marRight w:val="0"/>
      <w:marTop w:val="0"/>
      <w:marBottom w:val="0"/>
      <w:divBdr>
        <w:top w:val="none" w:sz="0" w:space="0" w:color="auto"/>
        <w:left w:val="none" w:sz="0" w:space="0" w:color="auto"/>
        <w:bottom w:val="none" w:sz="0" w:space="0" w:color="auto"/>
        <w:right w:val="none" w:sz="0" w:space="0" w:color="auto"/>
      </w:divBdr>
      <w:divsChild>
        <w:div w:id="1205487123">
          <w:marLeft w:val="0"/>
          <w:marRight w:val="0"/>
          <w:marTop w:val="0"/>
          <w:marBottom w:val="0"/>
          <w:divBdr>
            <w:top w:val="none" w:sz="0" w:space="0" w:color="auto"/>
            <w:left w:val="none" w:sz="0" w:space="0" w:color="auto"/>
            <w:bottom w:val="none" w:sz="0" w:space="0" w:color="auto"/>
            <w:right w:val="none" w:sz="0" w:space="0" w:color="auto"/>
          </w:divBdr>
          <w:divsChild>
            <w:div w:id="1951741601">
              <w:marLeft w:val="0"/>
              <w:marRight w:val="0"/>
              <w:marTop w:val="0"/>
              <w:marBottom w:val="0"/>
              <w:divBdr>
                <w:top w:val="none" w:sz="0" w:space="0" w:color="auto"/>
                <w:left w:val="none" w:sz="0" w:space="0" w:color="auto"/>
                <w:bottom w:val="none" w:sz="0" w:space="0" w:color="auto"/>
                <w:right w:val="none" w:sz="0" w:space="0" w:color="auto"/>
              </w:divBdr>
              <w:divsChild>
                <w:div w:id="45275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tiff"/><Relationship Id="rId26" Type="http://schemas.openxmlformats.org/officeDocument/2006/relationships/image" Target="media/image11.tif"/><Relationship Id="rId39" Type="http://schemas.openxmlformats.org/officeDocument/2006/relationships/image" Target="media/image21.tif"/><Relationship Id="rId21" Type="http://schemas.openxmlformats.org/officeDocument/2006/relationships/image" Target="media/image7.tiff"/><Relationship Id="rId34" Type="http://schemas.openxmlformats.org/officeDocument/2006/relationships/image" Target="media/image19.emf"/><Relationship Id="rId42" Type="http://schemas.openxmlformats.org/officeDocument/2006/relationships/image" Target="media/image24.ti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tif"/><Relationship Id="rId29" Type="http://schemas.openxmlformats.org/officeDocument/2006/relationships/image" Target="media/image14.t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tif"/><Relationship Id="rId32" Type="http://schemas.openxmlformats.org/officeDocument/2006/relationships/image" Target="media/image17.emf"/><Relationship Id="rId37" Type="http://schemas.openxmlformats.org/officeDocument/2006/relationships/footer" Target="footer5.xml"/><Relationship Id="rId40" Type="http://schemas.openxmlformats.org/officeDocument/2006/relationships/image" Target="media/image22.ti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tif"/><Relationship Id="rId23" Type="http://schemas.openxmlformats.org/officeDocument/2006/relationships/footer" Target="footer4.xml"/><Relationship Id="rId28" Type="http://schemas.openxmlformats.org/officeDocument/2006/relationships/image" Target="media/image13.tif"/><Relationship Id="rId36" Type="http://schemas.openxmlformats.org/officeDocument/2006/relationships/header" Target="header5.xml"/><Relationship Id="rId10" Type="http://schemas.openxmlformats.org/officeDocument/2006/relationships/footer" Target="footer1.xml"/><Relationship Id="rId19" Type="http://schemas.openxmlformats.org/officeDocument/2006/relationships/image" Target="media/image5.tiff"/><Relationship Id="rId31" Type="http://schemas.openxmlformats.org/officeDocument/2006/relationships/image" Target="media/image16.e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8.tif"/><Relationship Id="rId27" Type="http://schemas.openxmlformats.org/officeDocument/2006/relationships/image" Target="media/image12.tif"/><Relationship Id="rId30" Type="http://schemas.openxmlformats.org/officeDocument/2006/relationships/image" Target="media/image15.jpeg"/><Relationship Id="rId35" Type="http://schemas.openxmlformats.org/officeDocument/2006/relationships/hyperlink" Target="https://CRAN.R-project.org/package=vegan" TargetMode="External"/><Relationship Id="rId43" Type="http://schemas.openxmlformats.org/officeDocument/2006/relationships/image" Target="media/image25.tif"/><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jpeg"/><Relationship Id="rId25" Type="http://schemas.openxmlformats.org/officeDocument/2006/relationships/image" Target="media/image10.tif"/><Relationship Id="rId33" Type="http://schemas.openxmlformats.org/officeDocument/2006/relationships/image" Target="media/image18.emf"/><Relationship Id="rId38" Type="http://schemas.openxmlformats.org/officeDocument/2006/relationships/image" Target="media/image20.jpeg"/><Relationship Id="rId20" Type="http://schemas.openxmlformats.org/officeDocument/2006/relationships/image" Target="media/image6.tiff"/><Relationship Id="rId41" Type="http://schemas.openxmlformats.org/officeDocument/2006/relationships/image" Target="media/image23.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245A1-3DD3-124C-9B05-12B277502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45149</Words>
  <Characters>257352</Characters>
  <Application>Microsoft Office Word</Application>
  <DocSecurity>0</DocSecurity>
  <Lines>2144</Lines>
  <Paragraphs>603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Eliades, Samuel J.</dc:creator>
  <cp:keywords/>
  <dc:description/>
  <cp:lastModifiedBy>Eliades, Samuel J.</cp:lastModifiedBy>
  <cp:revision>2</cp:revision>
  <dcterms:created xsi:type="dcterms:W3CDTF">2022-07-19T01:56:00Z</dcterms:created>
  <dcterms:modified xsi:type="dcterms:W3CDTF">2022-07-19T01:56:00Z</dcterms:modified>
</cp:coreProperties>
</file>