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4D4" w:rsidRPr="00836DDB" w:rsidRDefault="009944D4" w:rsidP="009944D4">
      <w:pPr>
        <w:spacing w:line="480" w:lineRule="auto"/>
        <w:jc w:val="center"/>
      </w:pPr>
      <w:r w:rsidRPr="00836DDB">
        <w:t>UNIVERSITY OF OKLAHOMA</w:t>
      </w:r>
    </w:p>
    <w:p w:rsidR="009944D4" w:rsidRPr="00836DDB" w:rsidRDefault="009944D4" w:rsidP="009944D4">
      <w:pPr>
        <w:spacing w:line="480" w:lineRule="auto"/>
        <w:jc w:val="center"/>
      </w:pPr>
      <w:r w:rsidRPr="00836DDB">
        <w:t>GRADUATE COLLEGE</w:t>
      </w:r>
    </w:p>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Pr>
        <w:spacing w:line="480" w:lineRule="auto"/>
        <w:jc w:val="center"/>
      </w:pPr>
      <w:r w:rsidRPr="00836DDB">
        <w:t xml:space="preserve">LOCATION, LOCATION, LOCATION: WHAT FACTORS DRIVE WHERE </w:t>
      </w:r>
      <w:r>
        <w:t>U.S.-BASED</w:t>
      </w:r>
      <w:r w:rsidRPr="00836DDB">
        <w:t xml:space="preserve"> NGOS GO?</w:t>
      </w:r>
    </w:p>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Pr>
        <w:spacing w:line="480" w:lineRule="auto"/>
        <w:jc w:val="center"/>
      </w:pPr>
      <w:r w:rsidRPr="00836DDB">
        <w:t>A DISSERTATION</w:t>
      </w:r>
    </w:p>
    <w:p w:rsidR="009944D4" w:rsidRPr="00836DDB" w:rsidRDefault="009944D4" w:rsidP="009944D4">
      <w:pPr>
        <w:spacing w:line="480" w:lineRule="auto"/>
        <w:jc w:val="center"/>
      </w:pPr>
      <w:r w:rsidRPr="00836DDB">
        <w:t>SUBMITTED TO THE GRADUATE FACULTY</w:t>
      </w:r>
    </w:p>
    <w:p w:rsidR="009944D4" w:rsidRPr="00836DDB" w:rsidRDefault="009944D4" w:rsidP="009944D4">
      <w:pPr>
        <w:spacing w:line="480" w:lineRule="auto"/>
        <w:jc w:val="center"/>
      </w:pPr>
      <w:r w:rsidRPr="00836DDB">
        <w:t>in partial fulfillment of the requirements for the</w:t>
      </w:r>
    </w:p>
    <w:p w:rsidR="009944D4" w:rsidRPr="00836DDB" w:rsidRDefault="009944D4" w:rsidP="009944D4">
      <w:pPr>
        <w:spacing w:line="480" w:lineRule="auto"/>
        <w:jc w:val="center"/>
      </w:pPr>
      <w:r w:rsidRPr="00836DDB">
        <w:t>Degree of</w:t>
      </w:r>
    </w:p>
    <w:p w:rsidR="009944D4" w:rsidRPr="00836DDB" w:rsidRDefault="009944D4" w:rsidP="009944D4">
      <w:pPr>
        <w:spacing w:line="480" w:lineRule="auto"/>
        <w:jc w:val="center"/>
      </w:pPr>
      <w:r w:rsidRPr="00836DDB">
        <w:t>DOCTOR OF PHILOSOPHY</w:t>
      </w:r>
    </w:p>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 w:rsidR="009944D4" w:rsidRPr="00836DDB" w:rsidRDefault="009944D4" w:rsidP="009944D4">
      <w:pPr>
        <w:spacing w:line="480" w:lineRule="auto"/>
        <w:jc w:val="center"/>
      </w:pPr>
      <w:r w:rsidRPr="00836DDB">
        <w:t>By</w:t>
      </w:r>
    </w:p>
    <w:p w:rsidR="009944D4" w:rsidRPr="00836DDB" w:rsidRDefault="009944D4" w:rsidP="009944D4">
      <w:pPr>
        <w:jc w:val="center"/>
      </w:pPr>
      <w:r w:rsidRPr="00836DDB">
        <w:t>MEGHANN ROTHER DRAGSETH</w:t>
      </w:r>
    </w:p>
    <w:p w:rsidR="009944D4" w:rsidRPr="00836DDB" w:rsidRDefault="009944D4" w:rsidP="009944D4">
      <w:pPr>
        <w:jc w:val="center"/>
      </w:pPr>
      <w:r w:rsidRPr="00836DDB">
        <w:t>Norman, Oklahoma</w:t>
      </w:r>
    </w:p>
    <w:p w:rsidR="009944D4" w:rsidRDefault="009944D4" w:rsidP="009944D4">
      <w:pPr>
        <w:jc w:val="center"/>
        <w:rPr>
          <w:b/>
        </w:rPr>
        <w:sectPr w:rsidR="009944D4">
          <w:footerReference w:type="default" r:id="rId7"/>
          <w:pgSz w:w="12240" w:h="15840"/>
          <w:pgMar w:top="1440" w:right="1440" w:bottom="1440" w:left="2304" w:header="720" w:footer="720" w:gutter="0"/>
          <w:pgNumType w:fmt="lowerRoman" w:start="3"/>
          <w:cols w:space="720"/>
        </w:sectPr>
      </w:pPr>
      <w:r w:rsidRPr="00836DDB">
        <w:t>2016</w:t>
      </w:r>
    </w:p>
    <w:p w:rsidR="009944D4" w:rsidRDefault="009944D4" w:rsidP="009944D4">
      <w:pPr>
        <w:jc w:val="center"/>
      </w:pPr>
    </w:p>
    <w:p w:rsidR="009944D4" w:rsidRDefault="009944D4" w:rsidP="009944D4">
      <w:pPr>
        <w:jc w:val="center"/>
      </w:pPr>
    </w:p>
    <w:p w:rsidR="009944D4" w:rsidRDefault="009944D4" w:rsidP="009944D4">
      <w:pPr>
        <w:jc w:val="center"/>
      </w:pPr>
    </w:p>
    <w:p w:rsidR="009944D4" w:rsidRDefault="009944D4" w:rsidP="009944D4">
      <w:pPr>
        <w:jc w:val="center"/>
      </w:pPr>
    </w:p>
    <w:p w:rsidR="009944D4" w:rsidRDefault="009944D4" w:rsidP="009944D4">
      <w:pPr>
        <w:jc w:val="center"/>
      </w:pPr>
    </w:p>
    <w:p w:rsidR="009944D4" w:rsidRDefault="009944D4" w:rsidP="009944D4">
      <w:pPr>
        <w:jc w:val="center"/>
      </w:pPr>
      <w:r w:rsidRPr="00780568">
        <w:t xml:space="preserve">LOCATION, LOCATION, LOCATION: WHAT FACTORS DRIVE WHERE </w:t>
      </w:r>
      <w:r>
        <w:t>U.S.-BASED</w:t>
      </w:r>
      <w:r w:rsidRPr="00780568">
        <w:t xml:space="preserve"> NGOS GO?</w:t>
      </w:r>
    </w:p>
    <w:p w:rsidR="009944D4" w:rsidRDefault="009944D4" w:rsidP="009944D4"/>
    <w:p w:rsidR="009944D4" w:rsidRPr="00B177F5" w:rsidRDefault="009944D4" w:rsidP="009944D4"/>
    <w:p w:rsidR="009944D4" w:rsidRPr="003F1236" w:rsidRDefault="009944D4" w:rsidP="009944D4">
      <w:pPr>
        <w:jc w:val="center"/>
      </w:pPr>
      <w:r w:rsidRPr="003F1236">
        <w:t xml:space="preserve">A DISSERTATION APPROVED </w:t>
      </w:r>
      <w:r w:rsidRPr="00836DDB">
        <w:t>F</w:t>
      </w:r>
      <w:r w:rsidRPr="003F1236">
        <w:t>OR THE</w:t>
      </w:r>
    </w:p>
    <w:p w:rsidR="009944D4" w:rsidRPr="003F1236" w:rsidRDefault="009944D4" w:rsidP="009944D4">
      <w:pPr>
        <w:jc w:val="center"/>
      </w:pPr>
      <w:r w:rsidRPr="003F1236">
        <w:t>DEPARTMENT OF POLITICAL SCIENCE</w:t>
      </w:r>
    </w:p>
    <w:p w:rsidR="009944D4" w:rsidRDefault="009944D4" w:rsidP="009944D4">
      <w:pPr>
        <w:rPr>
          <w:b/>
        </w:rPr>
      </w:pPr>
    </w:p>
    <w:p w:rsidR="009944D4" w:rsidRPr="00EC299F"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Pr="00836DDB" w:rsidRDefault="009944D4" w:rsidP="009944D4">
      <w:pPr>
        <w:jc w:val="center"/>
      </w:pPr>
      <w:r w:rsidRPr="00836DDB">
        <w:t>BY</w:t>
      </w:r>
    </w:p>
    <w:p w:rsidR="009944D4" w:rsidRDefault="009944D4" w:rsidP="009944D4"/>
    <w:p w:rsidR="009944D4" w:rsidRPr="00B177F5" w:rsidRDefault="009944D4" w:rsidP="009944D4"/>
    <w:p w:rsidR="009944D4" w:rsidRPr="00B177F5" w:rsidRDefault="009944D4" w:rsidP="009944D4"/>
    <w:p w:rsidR="009944D4" w:rsidRDefault="009944D4" w:rsidP="009944D4"/>
    <w:p w:rsidR="009944D4" w:rsidRPr="00EC299F" w:rsidRDefault="009944D4" w:rsidP="009944D4"/>
    <w:p w:rsidR="009944D4" w:rsidRDefault="009944D4" w:rsidP="009944D4">
      <w:pPr>
        <w:jc w:val="right"/>
        <w:rPr>
          <w:b/>
        </w:rPr>
      </w:pPr>
      <w:r>
        <w:rPr>
          <w:b/>
        </w:rPr>
        <w:t>_________________________</w:t>
      </w:r>
    </w:p>
    <w:p w:rsidR="009944D4" w:rsidRPr="00836DDB" w:rsidRDefault="009944D4" w:rsidP="009944D4">
      <w:pPr>
        <w:jc w:val="right"/>
      </w:pPr>
      <w:r w:rsidRPr="00836DDB">
        <w:t>Dr. Alisa Hicklin Fryar, Chair</w:t>
      </w:r>
    </w:p>
    <w:p w:rsidR="009944D4" w:rsidRDefault="009944D4" w:rsidP="009944D4">
      <w:pPr>
        <w:jc w:val="right"/>
        <w:rPr>
          <w:b/>
        </w:rPr>
      </w:pPr>
    </w:p>
    <w:p w:rsidR="009944D4" w:rsidRPr="00B177F5" w:rsidRDefault="009944D4" w:rsidP="009944D4"/>
    <w:p w:rsidR="009944D4" w:rsidRDefault="009944D4" w:rsidP="009944D4">
      <w:pPr>
        <w:jc w:val="right"/>
        <w:rPr>
          <w:b/>
        </w:rPr>
      </w:pPr>
      <w:r>
        <w:rPr>
          <w:b/>
        </w:rPr>
        <w:t>_________________________</w:t>
      </w:r>
    </w:p>
    <w:p w:rsidR="009944D4" w:rsidRPr="00836DDB" w:rsidRDefault="009944D4" w:rsidP="009944D4">
      <w:pPr>
        <w:jc w:val="right"/>
      </w:pPr>
      <w:r w:rsidRPr="00836DDB">
        <w:t>Dr. Deven E. Carlson</w:t>
      </w:r>
    </w:p>
    <w:p w:rsidR="009944D4" w:rsidRPr="00B177F5" w:rsidRDefault="009944D4" w:rsidP="009944D4"/>
    <w:p w:rsidR="009944D4" w:rsidRPr="00B177F5" w:rsidRDefault="009944D4" w:rsidP="009944D4"/>
    <w:p w:rsidR="009944D4" w:rsidRPr="00557761" w:rsidRDefault="009944D4" w:rsidP="009944D4">
      <w:pPr>
        <w:jc w:val="right"/>
        <w:rPr>
          <w:b/>
        </w:rPr>
      </w:pPr>
      <w:r>
        <w:rPr>
          <w:b/>
        </w:rPr>
        <w:t>_________________________</w:t>
      </w:r>
    </w:p>
    <w:p w:rsidR="009944D4" w:rsidRPr="00836DDB" w:rsidRDefault="009944D4" w:rsidP="009944D4">
      <w:pPr>
        <w:jc w:val="right"/>
      </w:pPr>
      <w:r w:rsidRPr="00836DDB">
        <w:t>Dr. Scott E. Robinson</w:t>
      </w:r>
    </w:p>
    <w:p w:rsidR="009944D4" w:rsidRDefault="009944D4" w:rsidP="009944D4">
      <w:pPr>
        <w:jc w:val="right"/>
        <w:rPr>
          <w:b/>
        </w:rPr>
      </w:pPr>
    </w:p>
    <w:p w:rsidR="009944D4" w:rsidRPr="00B177F5" w:rsidRDefault="009944D4" w:rsidP="009944D4"/>
    <w:p w:rsidR="009944D4" w:rsidRDefault="009944D4" w:rsidP="009944D4">
      <w:pPr>
        <w:jc w:val="right"/>
        <w:rPr>
          <w:b/>
        </w:rPr>
      </w:pPr>
      <w:r>
        <w:rPr>
          <w:b/>
        </w:rPr>
        <w:t>_________________________</w:t>
      </w:r>
    </w:p>
    <w:p w:rsidR="009944D4" w:rsidRDefault="009944D4" w:rsidP="009944D4">
      <w:pPr>
        <w:jc w:val="right"/>
      </w:pPr>
      <w:r w:rsidRPr="00836DDB">
        <w:t>Dr. Allen D. Hertzke</w:t>
      </w:r>
    </w:p>
    <w:p w:rsidR="009944D4" w:rsidRPr="00B177F5" w:rsidRDefault="009944D4" w:rsidP="009944D4"/>
    <w:p w:rsidR="009944D4" w:rsidRPr="00B177F5" w:rsidRDefault="009944D4" w:rsidP="009944D4"/>
    <w:p w:rsidR="009944D4" w:rsidRDefault="009944D4" w:rsidP="009944D4">
      <w:pPr>
        <w:jc w:val="right"/>
        <w:rPr>
          <w:b/>
        </w:rPr>
      </w:pPr>
      <w:r>
        <w:rPr>
          <w:b/>
        </w:rPr>
        <w:t>_________________________</w:t>
      </w:r>
    </w:p>
    <w:p w:rsidR="009944D4" w:rsidRPr="00836DDB" w:rsidRDefault="009944D4" w:rsidP="009944D4">
      <w:pPr>
        <w:tabs>
          <w:tab w:val="left" w:pos="6315"/>
          <w:tab w:val="right" w:pos="8496"/>
        </w:tabs>
        <w:jc w:val="right"/>
      </w:pPr>
      <w:r w:rsidRPr="00836DDB">
        <w:t>Dr. Loretta E. Bass</w:t>
      </w:r>
    </w:p>
    <w:p w:rsidR="009944D4" w:rsidRPr="00B177F5" w:rsidRDefault="009944D4" w:rsidP="009944D4">
      <w:pPr>
        <w:jc w:val="both"/>
        <w:sectPr w:rsidR="009944D4" w:rsidRPr="00B177F5">
          <w:pgSz w:w="12240" w:h="15840"/>
          <w:pgMar w:top="1440" w:right="1440" w:bottom="1440" w:left="2304" w:header="720" w:footer="720" w:gutter="0"/>
          <w:pgNumType w:fmt="lowerRoman" w:start="3"/>
          <w:cols w:space="720"/>
        </w:sectPr>
      </w:pPr>
    </w:p>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Default="009944D4" w:rsidP="009944D4"/>
    <w:p w:rsidR="009944D4" w:rsidRPr="00836DDB" w:rsidRDefault="009944D4" w:rsidP="009944D4">
      <w:pPr>
        <w:jc w:val="center"/>
      </w:pPr>
      <w:r w:rsidRPr="00836DDB">
        <w:t xml:space="preserve">© Copyright </w:t>
      </w:r>
      <w:r>
        <w:t xml:space="preserve">by </w:t>
      </w:r>
      <w:r w:rsidRPr="00836DDB">
        <w:t>MEGHANN ROTHER DRAGSETH 2016</w:t>
      </w:r>
    </w:p>
    <w:p w:rsidR="009944D4" w:rsidRPr="00836DDB" w:rsidRDefault="009944D4" w:rsidP="009944D4">
      <w:pPr>
        <w:jc w:val="center"/>
        <w:sectPr w:rsidR="009944D4" w:rsidRPr="00836DDB">
          <w:pgSz w:w="12240" w:h="15840"/>
          <w:pgMar w:top="1440" w:right="1440" w:bottom="1440" w:left="2304" w:header="720" w:footer="720" w:gutter="0"/>
          <w:pgNumType w:fmt="lowerRoman" w:start="3"/>
          <w:cols w:space="720"/>
        </w:sectPr>
      </w:pPr>
      <w:r w:rsidRPr="00836DDB">
        <w:t>All Rights Reserved.</w:t>
      </w:r>
    </w:p>
    <w:p w:rsidR="009944D4" w:rsidRPr="00102D6A" w:rsidRDefault="009944D4" w:rsidP="009944D4">
      <w:pPr>
        <w:spacing w:line="480" w:lineRule="auto"/>
        <w:sectPr w:rsidR="009944D4" w:rsidRPr="00102D6A">
          <w:pgSz w:w="12240" w:h="15840"/>
          <w:pgMar w:top="1440" w:right="1440" w:bottom="1440" w:left="2304" w:header="720" w:footer="720" w:gutter="0"/>
          <w:pgNumType w:fmt="lowerRoman" w:start="3"/>
          <w:cols w:space="720"/>
        </w:sectPr>
      </w:pPr>
      <w:r>
        <w:lastRenderedPageBreak/>
        <w:t xml:space="preserve">For JTD, who followed me across oceans and the plains. Here’s to new adventures.    </w:t>
      </w:r>
    </w:p>
    <w:p w:rsidR="00C03A9D" w:rsidRPr="00C03A9D" w:rsidRDefault="00C03A9D" w:rsidP="009944D4">
      <w:pPr>
        <w:spacing w:line="480" w:lineRule="auto"/>
        <w:ind w:firstLine="720"/>
        <w:rPr>
          <w:b/>
        </w:rPr>
      </w:pPr>
      <w:r>
        <w:rPr>
          <w:b/>
        </w:rPr>
        <w:t>Acknowledgments</w:t>
      </w:r>
    </w:p>
    <w:p w:rsidR="009944D4" w:rsidRDefault="009944D4" w:rsidP="009944D4">
      <w:pPr>
        <w:spacing w:line="480" w:lineRule="auto"/>
        <w:ind w:firstLine="720"/>
      </w:pPr>
      <w:r>
        <w:t xml:space="preserve">This dissertation would not be possible without the support I received throughout my time at the University of Oklahoma. I am eternally grateful to Dr. Alisa Fryar, who saw in my strengths and a kernel of an idea that she encouraged me to develop. She gave me support for an unconventional topic and encouraged me to stick with it. Through her tireless patience and attention, I have become a better scholar, teacher, and colleague. </w:t>
      </w:r>
    </w:p>
    <w:p w:rsidR="009944D4" w:rsidRDefault="009944D4" w:rsidP="009944D4">
      <w:pPr>
        <w:spacing w:line="480" w:lineRule="auto"/>
      </w:pPr>
      <w:r>
        <w:tab/>
        <w:t xml:space="preserve">Alisa, Dr. Tyler Johnson, Dr. Deven Carlson, and Dr. Scott Robinson have my eternal thanks for their professional mentoring and moral support while I was on the job market. Alisa, Tyler, and Deven read an endless number of job packet drafts. Before sending me into the world, Alisa, Scott, and Deven helped me refine my job talk and briefed me on the dynamics of each visit. I have no doubt that you are the reason I have been so successful. Dr. Sam Workman, Deven, and Scott also provided guidance at the outset of this project. Their patience and assistance with research methods, particularly constructing a dataset, and learning STATA is greatly appreciated.  </w:t>
      </w:r>
      <w:r w:rsidR="00F57AC5">
        <w:t>Dr. Dr. Paul Goode and Dr. Charles Kenney, thank you for getting me started and for your patience.</w:t>
      </w:r>
    </w:p>
    <w:p w:rsidR="009944D4" w:rsidRDefault="009944D4" w:rsidP="009944D4">
      <w:pPr>
        <w:spacing w:line="480" w:lineRule="auto"/>
        <w:ind w:firstLine="720"/>
      </w:pPr>
      <w:r>
        <w:t>Dr. Loretta Bass connected me with friends and professional contacts in Togo and Ghana.  Thank you for being for inviting a stranger into your home.</w:t>
      </w:r>
      <w:r w:rsidRPr="00A156DE">
        <w:t xml:space="preserve"> </w:t>
      </w:r>
      <w:r>
        <w:t>Dr. Abhi Ghosh Moulick attended practice job talks, helped me find direction where I struggled, and asked hard questions. You have both been my cheerleaders.</w:t>
      </w:r>
    </w:p>
    <w:p w:rsidR="009944D4" w:rsidRDefault="009944D4" w:rsidP="009944D4">
      <w:pPr>
        <w:spacing w:line="480" w:lineRule="auto"/>
      </w:pPr>
      <w:r>
        <w:tab/>
        <w:t xml:space="preserve">The staff of the Political Science Department has been the foundation of my success at OU. Jeffrey Alexander anticipated my needs before I did and kept me on track. Cathy Brister always had an answer no matter the question and made sure I had money for Uganda. Jamie Vaughn helped me find solutions for students. Katelyn Burks made my last year at OU smoother. I can only hope that there are such friendly faces in my future. </w:t>
      </w:r>
    </w:p>
    <w:p w:rsidR="009944D4" w:rsidRDefault="009944D4" w:rsidP="009944D4">
      <w:pPr>
        <w:spacing w:line="480" w:lineRule="auto"/>
      </w:pPr>
      <w:r>
        <w:tab/>
        <w:t>To the country directors and deputy country directors who agreed to speak with me in Kampala, I am forever indebted to you. You took a chance on an unknown. Each of these individuals endured many emails and phone calls, was patient with me as I learned my way around Kampala, and gave incredibly honest answers to my numerous questions. These interviews were key to completing this dissertation and set this research apart. They are</w:t>
      </w:r>
      <w:r w:rsidR="00D96D01">
        <w:t xml:space="preserve"> assets to their organizations</w:t>
      </w:r>
      <w:r>
        <w:t xml:space="preserve"> and to the international development community, and I greatly appreciate their contribution to my research. I hope that I can give back to them even a fraction of what they have given to me. </w:t>
      </w:r>
    </w:p>
    <w:p w:rsidR="009944D4" w:rsidRDefault="009944D4" w:rsidP="009944D4">
      <w:pPr>
        <w:spacing w:line="480" w:lineRule="auto"/>
      </w:pPr>
      <w:r>
        <w:t>In Kampala I had the best housemates possible. Thank you also to Adi Anderson and Andrew White for your camaraderie and humor, even in the most challenging of circumstances.</w:t>
      </w:r>
    </w:p>
    <w:p w:rsidR="009944D4" w:rsidRDefault="009944D4" w:rsidP="009944D4">
      <w:pPr>
        <w:spacing w:line="480" w:lineRule="auto"/>
      </w:pPr>
      <w:r>
        <w:tab/>
        <w:t xml:space="preserve">Graduate school was made more endurable my fellow students. I could not have done it without you, especially Haley, Jamie, Jason, Derek, Dan, David, Kuhika, Joe, and Say. Your humor, advice, and companionship kept me moving forward despite setbacks. </w:t>
      </w:r>
    </w:p>
    <w:p w:rsidR="009944D4" w:rsidRDefault="009944D4" w:rsidP="009944D4">
      <w:pPr>
        <w:spacing w:line="480" w:lineRule="auto"/>
      </w:pPr>
      <w:r>
        <w:tab/>
        <w:t xml:space="preserve">I would also like to thank Dr. Claudia Avellaneda and Dr. Jill Nicholson-Crotty, who are my co-authors on a related project. Claudia and Jill have been mentors as well as co-authors. They have provided feedback, written letters on my behalf, and been my wingmen at conferences. Both have been an invaluable source of inspiration and information about TNGOs, research methods, and nonprofits. I look forward a productive and ongoing collaboration. </w:t>
      </w:r>
    </w:p>
    <w:p w:rsidR="009944D4" w:rsidRDefault="009944D4" w:rsidP="009944D4">
      <w:pPr>
        <w:spacing w:line="480" w:lineRule="auto"/>
      </w:pPr>
      <w:r>
        <w:tab/>
        <w:t xml:space="preserve">Last, but not least, I am incredibly grateful to my family. My husband encouraged me to move across the country to do a PhD, telling me that after I year I could quit if I wanted. One year turned into six and John followed me across the U.S, across the Atlantic, and now to Louisiana. He endured late nights, absences, and more than </w:t>
      </w:r>
      <w:r w:rsidR="00A053FB">
        <w:t>500,000</w:t>
      </w:r>
      <w:r>
        <w:t xml:space="preserve"> frequent flier miles. Thank you to my parents for encouraging me through the entire process. They helped me move, tackle a fixer-upper. My sisters gave me reality checks and made sure I was not lost in academia. My in-laws, Jack and Arlene, kept me in their prayers and had only words of encouragement for me as I pursued this project, I am extremely grateful for this and for how proud they are of me. </w:t>
      </w:r>
    </w:p>
    <w:p w:rsidR="001630DC" w:rsidRDefault="009944D4" w:rsidP="009944D4">
      <w:pPr>
        <w:rPr>
          <w:b/>
        </w:rPr>
      </w:pPr>
      <w:r>
        <w:rPr>
          <w:b/>
        </w:rPr>
        <w:br w:type="page"/>
      </w:r>
      <w:r w:rsidR="001630DC" w:rsidRPr="00F45C65">
        <w:rPr>
          <w:b/>
        </w:rPr>
        <w:t>Table of Contents</w:t>
      </w:r>
    </w:p>
    <w:p w:rsidR="001630DC" w:rsidRPr="00F45C65" w:rsidRDefault="001630DC" w:rsidP="001630DC">
      <w:pPr>
        <w:rPr>
          <w:b/>
        </w:rPr>
      </w:pPr>
    </w:p>
    <w:p w:rsidR="00C03A9D" w:rsidRPr="005747D9" w:rsidRDefault="00C03A9D" w:rsidP="008D289A">
      <w:pPr>
        <w:pStyle w:val="TOC2"/>
        <w:rPr>
          <w:rFonts w:ascii="Arial" w:eastAsia="MS PGothic" w:hAnsi="Arial"/>
          <w:szCs w:val="24"/>
        </w:rPr>
      </w:pPr>
      <w:r w:rsidRPr="00453D8D">
        <w:t>Acknowledgments</w:t>
      </w:r>
      <w:r w:rsidRPr="005747D9">
        <w:tab/>
      </w:r>
      <w:r w:rsidR="003173AC">
        <w:t>i</w:t>
      </w:r>
      <w:r>
        <w:t>v</w:t>
      </w:r>
    </w:p>
    <w:p w:rsidR="008D289A" w:rsidRDefault="001630DC" w:rsidP="008D289A">
      <w:pPr>
        <w:pStyle w:val="TOC2"/>
        <w:rPr>
          <w:rFonts w:asciiTheme="minorHAnsi" w:eastAsiaTheme="minorEastAsia" w:hAnsiTheme="minorHAnsi" w:cstheme="minorBidi"/>
          <w:sz w:val="22"/>
        </w:rPr>
      </w:pPr>
      <w:r w:rsidRPr="005747D9">
        <w:fldChar w:fldCharType="begin"/>
      </w:r>
      <w:r w:rsidRPr="005747D9">
        <w:instrText xml:space="preserve"> TOC \o "1-3" \h \z \u </w:instrText>
      </w:r>
      <w:r w:rsidRPr="005747D9">
        <w:fldChar w:fldCharType="separate"/>
      </w:r>
      <w:hyperlink w:anchor="_Toc450079075" w:history="1">
        <w:r w:rsidR="008D289A" w:rsidRPr="00EE7C4A">
          <w:rPr>
            <w:rStyle w:val="Hyperlink"/>
          </w:rPr>
          <w:t>List of Tables</w:t>
        </w:r>
        <w:r w:rsidR="008D289A">
          <w:rPr>
            <w:webHidden/>
          </w:rPr>
          <w:tab/>
        </w:r>
        <w:r w:rsidR="008D289A">
          <w:rPr>
            <w:webHidden/>
          </w:rPr>
          <w:fldChar w:fldCharType="begin"/>
        </w:r>
        <w:r w:rsidR="008D289A">
          <w:rPr>
            <w:webHidden/>
          </w:rPr>
          <w:instrText xml:space="preserve"> PAGEREF _Toc450079075 \h </w:instrText>
        </w:r>
        <w:r w:rsidR="008D289A">
          <w:rPr>
            <w:webHidden/>
          </w:rPr>
        </w:r>
        <w:r w:rsidR="008D289A">
          <w:rPr>
            <w:webHidden/>
          </w:rPr>
          <w:fldChar w:fldCharType="separate"/>
        </w:r>
        <w:r w:rsidR="001517D5">
          <w:rPr>
            <w:webHidden/>
          </w:rPr>
          <w:t>ix</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076" w:history="1">
        <w:r w:rsidR="008D289A" w:rsidRPr="00EE7C4A">
          <w:rPr>
            <w:rStyle w:val="Hyperlink"/>
          </w:rPr>
          <w:t>List of Figures</w:t>
        </w:r>
        <w:r w:rsidR="008D289A">
          <w:rPr>
            <w:webHidden/>
          </w:rPr>
          <w:tab/>
        </w:r>
        <w:r w:rsidR="008D289A">
          <w:rPr>
            <w:webHidden/>
          </w:rPr>
          <w:fldChar w:fldCharType="begin"/>
        </w:r>
        <w:r w:rsidR="008D289A">
          <w:rPr>
            <w:webHidden/>
          </w:rPr>
          <w:instrText xml:space="preserve"> PAGEREF _Toc450079076 \h </w:instrText>
        </w:r>
        <w:r w:rsidR="008D289A">
          <w:rPr>
            <w:webHidden/>
          </w:rPr>
        </w:r>
        <w:r w:rsidR="008D289A">
          <w:rPr>
            <w:webHidden/>
          </w:rPr>
          <w:fldChar w:fldCharType="separate"/>
        </w:r>
        <w:r w:rsidR="001517D5">
          <w:rPr>
            <w:webHidden/>
          </w:rPr>
          <w:t>x</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077" w:history="1">
        <w:r w:rsidR="008D289A" w:rsidRPr="008D289A">
          <w:rPr>
            <w:rStyle w:val="Hyperlink"/>
          </w:rPr>
          <w:t>Abstract</w:t>
        </w:r>
        <w:r w:rsidR="008D289A">
          <w:rPr>
            <w:webHidden/>
          </w:rPr>
          <w:tab/>
        </w:r>
        <w:r w:rsidR="008D289A">
          <w:rPr>
            <w:webHidden/>
          </w:rPr>
          <w:fldChar w:fldCharType="begin"/>
        </w:r>
        <w:r w:rsidR="008D289A">
          <w:rPr>
            <w:webHidden/>
          </w:rPr>
          <w:instrText xml:space="preserve"> PAGEREF _Toc450079077 \h </w:instrText>
        </w:r>
        <w:r w:rsidR="008D289A">
          <w:rPr>
            <w:webHidden/>
          </w:rPr>
        </w:r>
        <w:r w:rsidR="008D289A">
          <w:rPr>
            <w:webHidden/>
          </w:rPr>
          <w:fldChar w:fldCharType="separate"/>
        </w:r>
        <w:r w:rsidR="001517D5">
          <w:rPr>
            <w:webHidden/>
          </w:rPr>
          <w:t>xi</w:t>
        </w:r>
        <w:r w:rsidR="008D289A">
          <w:rPr>
            <w:webHidden/>
          </w:rPr>
          <w:fldChar w:fldCharType="end"/>
        </w:r>
      </w:hyperlink>
    </w:p>
    <w:p w:rsidR="008D289A" w:rsidRDefault="008D289A">
      <w:pPr>
        <w:pStyle w:val="TOC1"/>
        <w:rPr>
          <w:rStyle w:val="Hyperlink"/>
        </w:rPr>
      </w:pPr>
    </w:p>
    <w:p w:rsidR="008D289A" w:rsidRDefault="00F43496">
      <w:pPr>
        <w:pStyle w:val="TOC1"/>
        <w:rPr>
          <w:rFonts w:asciiTheme="minorHAnsi" w:eastAsiaTheme="minorEastAsia" w:hAnsiTheme="minorHAnsi" w:cstheme="minorBidi"/>
          <w:b w:val="0"/>
          <w:sz w:val="22"/>
        </w:rPr>
      </w:pPr>
      <w:hyperlink w:anchor="_Toc450079078" w:history="1">
        <w:r w:rsidR="008D289A" w:rsidRPr="00EE7C4A">
          <w:rPr>
            <w:rStyle w:val="Hyperlink"/>
            <w14:scene3d>
              <w14:camera w14:prst="orthographicFront"/>
              <w14:lightRig w14:rig="threePt" w14:dir="t">
                <w14:rot w14:lat="0" w14:lon="0" w14:rev="0"/>
              </w14:lightRig>
            </w14:scene3d>
          </w:rPr>
          <w:t>Chapter 1</w:t>
        </w:r>
        <w:r w:rsidR="008D289A" w:rsidRPr="00EE7C4A">
          <w:rPr>
            <w:rStyle w:val="Hyperlink"/>
          </w:rPr>
          <w:t xml:space="preserve"> : Introduction</w:t>
        </w:r>
        <w:r w:rsidR="008D289A">
          <w:rPr>
            <w:webHidden/>
          </w:rPr>
          <w:tab/>
        </w:r>
        <w:r w:rsidR="008D289A">
          <w:rPr>
            <w:webHidden/>
          </w:rPr>
          <w:fldChar w:fldCharType="begin"/>
        </w:r>
        <w:r w:rsidR="008D289A">
          <w:rPr>
            <w:webHidden/>
          </w:rPr>
          <w:instrText xml:space="preserve"> PAGEREF _Toc450079078 \h </w:instrText>
        </w:r>
        <w:r w:rsidR="008D289A">
          <w:rPr>
            <w:webHidden/>
          </w:rPr>
        </w:r>
        <w:r w:rsidR="008D289A">
          <w:rPr>
            <w:webHidden/>
          </w:rPr>
          <w:fldChar w:fldCharType="separate"/>
        </w:r>
        <w:r w:rsidR="001517D5">
          <w:rPr>
            <w:webHidden/>
          </w:rPr>
          <w:t>1</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079" w:history="1">
        <w:r w:rsidR="008D289A" w:rsidRPr="008D289A">
          <w:rPr>
            <w:rStyle w:val="Hyperlink"/>
          </w:rPr>
          <w:t>1.1: Research Problem</w:t>
        </w:r>
        <w:r w:rsidR="008D289A" w:rsidRPr="008D289A">
          <w:rPr>
            <w:webHidden/>
          </w:rPr>
          <w:tab/>
        </w:r>
        <w:r w:rsidR="008D289A" w:rsidRPr="008D289A">
          <w:rPr>
            <w:webHidden/>
          </w:rPr>
          <w:fldChar w:fldCharType="begin"/>
        </w:r>
        <w:r w:rsidR="008D289A" w:rsidRPr="008D289A">
          <w:rPr>
            <w:webHidden/>
          </w:rPr>
          <w:instrText xml:space="preserve"> PAGEREF _Toc450079079 \h </w:instrText>
        </w:r>
        <w:r w:rsidR="008D289A" w:rsidRPr="008D289A">
          <w:rPr>
            <w:webHidden/>
          </w:rPr>
        </w:r>
        <w:r w:rsidR="008D289A" w:rsidRPr="008D289A">
          <w:rPr>
            <w:webHidden/>
          </w:rPr>
          <w:fldChar w:fldCharType="separate"/>
        </w:r>
        <w:r w:rsidR="001517D5">
          <w:rPr>
            <w:webHidden/>
          </w:rPr>
          <w:t>1</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080" w:history="1">
        <w:r w:rsidR="008D289A" w:rsidRPr="008D289A">
          <w:rPr>
            <w:rStyle w:val="Hyperlink"/>
          </w:rPr>
          <w:t>1.2: Previous Research</w:t>
        </w:r>
        <w:r w:rsidR="008D289A" w:rsidRPr="008D289A">
          <w:rPr>
            <w:webHidden/>
          </w:rPr>
          <w:tab/>
        </w:r>
        <w:r w:rsidR="008D289A" w:rsidRPr="008D289A">
          <w:rPr>
            <w:webHidden/>
          </w:rPr>
          <w:fldChar w:fldCharType="begin"/>
        </w:r>
        <w:r w:rsidR="008D289A" w:rsidRPr="008D289A">
          <w:rPr>
            <w:webHidden/>
          </w:rPr>
          <w:instrText xml:space="preserve"> PAGEREF _Toc450079080 \h </w:instrText>
        </w:r>
        <w:r w:rsidR="008D289A" w:rsidRPr="008D289A">
          <w:rPr>
            <w:webHidden/>
          </w:rPr>
        </w:r>
        <w:r w:rsidR="008D289A" w:rsidRPr="008D289A">
          <w:rPr>
            <w:webHidden/>
          </w:rPr>
          <w:fldChar w:fldCharType="separate"/>
        </w:r>
        <w:r w:rsidR="001517D5">
          <w:rPr>
            <w:webHidden/>
          </w:rPr>
          <w:t>5</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081" w:history="1">
        <w:r w:rsidR="008D289A" w:rsidRPr="008D289A">
          <w:rPr>
            <w:rStyle w:val="Hyperlink"/>
          </w:rPr>
          <w:t>1.3: Perspectives on TNGOs and Soft Spots</w:t>
        </w:r>
        <w:r w:rsidR="008D289A" w:rsidRPr="008D289A">
          <w:rPr>
            <w:webHidden/>
          </w:rPr>
          <w:tab/>
        </w:r>
        <w:r w:rsidR="008D289A" w:rsidRPr="008D289A">
          <w:rPr>
            <w:webHidden/>
          </w:rPr>
          <w:fldChar w:fldCharType="begin"/>
        </w:r>
        <w:r w:rsidR="008D289A" w:rsidRPr="008D289A">
          <w:rPr>
            <w:webHidden/>
          </w:rPr>
          <w:instrText xml:space="preserve"> PAGEREF _Toc450079081 \h </w:instrText>
        </w:r>
        <w:r w:rsidR="008D289A" w:rsidRPr="008D289A">
          <w:rPr>
            <w:webHidden/>
          </w:rPr>
        </w:r>
        <w:r w:rsidR="008D289A" w:rsidRPr="008D289A">
          <w:rPr>
            <w:webHidden/>
          </w:rPr>
          <w:fldChar w:fldCharType="separate"/>
        </w:r>
        <w:r w:rsidR="001517D5">
          <w:rPr>
            <w:webHidden/>
          </w:rPr>
          <w:t>32</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082" w:history="1">
        <w:r w:rsidR="008D289A" w:rsidRPr="008D289A">
          <w:rPr>
            <w:rStyle w:val="Hyperlink"/>
          </w:rPr>
          <w:t>1.4: Overview of the dissertation</w:t>
        </w:r>
        <w:r w:rsidR="008D289A" w:rsidRPr="008D289A">
          <w:rPr>
            <w:webHidden/>
          </w:rPr>
          <w:tab/>
        </w:r>
        <w:r w:rsidR="008D289A" w:rsidRPr="008D289A">
          <w:rPr>
            <w:webHidden/>
          </w:rPr>
          <w:fldChar w:fldCharType="begin"/>
        </w:r>
        <w:r w:rsidR="008D289A" w:rsidRPr="008D289A">
          <w:rPr>
            <w:webHidden/>
          </w:rPr>
          <w:instrText xml:space="preserve"> PAGEREF _Toc450079082 \h </w:instrText>
        </w:r>
        <w:r w:rsidR="008D289A" w:rsidRPr="008D289A">
          <w:rPr>
            <w:webHidden/>
          </w:rPr>
        </w:r>
        <w:r w:rsidR="008D289A" w:rsidRPr="008D289A">
          <w:rPr>
            <w:webHidden/>
          </w:rPr>
          <w:fldChar w:fldCharType="separate"/>
        </w:r>
        <w:r w:rsidR="001517D5">
          <w:rPr>
            <w:webHidden/>
          </w:rPr>
          <w:t>36</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083" w:history="1">
        <w:r w:rsidR="008D289A" w:rsidRPr="008D289A">
          <w:rPr>
            <w:rStyle w:val="Hyperlink"/>
          </w:rPr>
          <w:t>1.5: Works Cited</w:t>
        </w:r>
        <w:r w:rsidR="008D289A" w:rsidRPr="008D289A">
          <w:rPr>
            <w:webHidden/>
          </w:rPr>
          <w:tab/>
        </w:r>
        <w:r w:rsidR="008D289A" w:rsidRPr="008D289A">
          <w:rPr>
            <w:webHidden/>
          </w:rPr>
          <w:fldChar w:fldCharType="begin"/>
        </w:r>
        <w:r w:rsidR="008D289A" w:rsidRPr="008D289A">
          <w:rPr>
            <w:webHidden/>
          </w:rPr>
          <w:instrText xml:space="preserve"> PAGEREF _Toc450079083 \h </w:instrText>
        </w:r>
        <w:r w:rsidR="008D289A" w:rsidRPr="008D289A">
          <w:rPr>
            <w:webHidden/>
          </w:rPr>
        </w:r>
        <w:r w:rsidR="008D289A" w:rsidRPr="008D289A">
          <w:rPr>
            <w:webHidden/>
          </w:rPr>
          <w:fldChar w:fldCharType="separate"/>
        </w:r>
        <w:r w:rsidR="001517D5">
          <w:rPr>
            <w:webHidden/>
          </w:rPr>
          <w:t>38</w:t>
        </w:r>
        <w:r w:rsidR="008D289A" w:rsidRPr="008D289A">
          <w:rPr>
            <w:webHidden/>
          </w:rPr>
          <w:fldChar w:fldCharType="end"/>
        </w:r>
      </w:hyperlink>
    </w:p>
    <w:p w:rsidR="008D289A" w:rsidRDefault="008D289A">
      <w:pPr>
        <w:pStyle w:val="TOC1"/>
        <w:rPr>
          <w:rStyle w:val="Hyperlink"/>
        </w:rPr>
      </w:pPr>
    </w:p>
    <w:p w:rsidR="008D289A" w:rsidRDefault="00F43496">
      <w:pPr>
        <w:pStyle w:val="TOC1"/>
        <w:rPr>
          <w:rFonts w:asciiTheme="minorHAnsi" w:eastAsiaTheme="minorEastAsia" w:hAnsiTheme="minorHAnsi" w:cstheme="minorBidi"/>
          <w:b w:val="0"/>
          <w:sz w:val="22"/>
        </w:rPr>
      </w:pPr>
      <w:hyperlink w:anchor="_Toc450079211" w:history="1">
        <w:r w:rsidR="008D289A" w:rsidRPr="00EE7C4A">
          <w:rPr>
            <w:rStyle w:val="Hyperlink"/>
            <w14:scene3d>
              <w14:camera w14:prst="orthographicFront"/>
              <w14:lightRig w14:rig="threePt" w14:dir="t">
                <w14:rot w14:lat="0" w14:lon="0" w14:rev="0"/>
              </w14:lightRig>
            </w14:scene3d>
          </w:rPr>
          <w:t>Chapter 2</w:t>
        </w:r>
        <w:r w:rsidR="008D289A" w:rsidRPr="00EE7C4A">
          <w:rPr>
            <w:rStyle w:val="Hyperlink"/>
          </w:rPr>
          <w:t xml:space="preserve"> : Country-level Characteristics and Operating Environment: What Attributes Attract Transnational TNGOs?</w:t>
        </w:r>
        <w:r w:rsidR="008D289A">
          <w:rPr>
            <w:webHidden/>
          </w:rPr>
          <w:tab/>
        </w:r>
        <w:r w:rsidR="008D289A">
          <w:rPr>
            <w:webHidden/>
          </w:rPr>
          <w:fldChar w:fldCharType="begin"/>
        </w:r>
        <w:r w:rsidR="008D289A">
          <w:rPr>
            <w:webHidden/>
          </w:rPr>
          <w:instrText xml:space="preserve"> PAGEREF _Toc450079211 \h </w:instrText>
        </w:r>
        <w:r w:rsidR="008D289A">
          <w:rPr>
            <w:webHidden/>
          </w:rPr>
        </w:r>
        <w:r w:rsidR="008D289A">
          <w:rPr>
            <w:webHidden/>
          </w:rPr>
          <w:fldChar w:fldCharType="separate"/>
        </w:r>
        <w:r w:rsidR="001517D5">
          <w:rPr>
            <w:webHidden/>
          </w:rPr>
          <w:t>48</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2" w:history="1">
        <w:r w:rsidR="008D289A" w:rsidRPr="00EE7C4A">
          <w:rPr>
            <w:rStyle w:val="Hyperlink"/>
          </w:rPr>
          <w:t>2.1: Introduction</w:t>
        </w:r>
        <w:r w:rsidR="008D289A">
          <w:rPr>
            <w:webHidden/>
          </w:rPr>
          <w:tab/>
        </w:r>
        <w:r w:rsidR="008D289A">
          <w:rPr>
            <w:webHidden/>
          </w:rPr>
          <w:fldChar w:fldCharType="begin"/>
        </w:r>
        <w:r w:rsidR="008D289A">
          <w:rPr>
            <w:webHidden/>
          </w:rPr>
          <w:instrText xml:space="preserve"> PAGEREF _Toc450079212 \h </w:instrText>
        </w:r>
        <w:r w:rsidR="008D289A">
          <w:rPr>
            <w:webHidden/>
          </w:rPr>
        </w:r>
        <w:r w:rsidR="008D289A">
          <w:rPr>
            <w:webHidden/>
          </w:rPr>
          <w:fldChar w:fldCharType="separate"/>
        </w:r>
        <w:r w:rsidR="001517D5">
          <w:rPr>
            <w:webHidden/>
          </w:rPr>
          <w:t>48</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3" w:history="1">
        <w:r w:rsidR="008D289A" w:rsidRPr="00EE7C4A">
          <w:rPr>
            <w:rStyle w:val="Hyperlink"/>
          </w:rPr>
          <w:t>2.2: TNGOs and Location: Perspectives in the Academic Literature</w:t>
        </w:r>
        <w:r w:rsidR="008D289A">
          <w:rPr>
            <w:webHidden/>
          </w:rPr>
          <w:tab/>
        </w:r>
        <w:r w:rsidR="008D289A">
          <w:rPr>
            <w:webHidden/>
          </w:rPr>
          <w:fldChar w:fldCharType="begin"/>
        </w:r>
        <w:r w:rsidR="008D289A">
          <w:rPr>
            <w:webHidden/>
          </w:rPr>
          <w:instrText xml:space="preserve"> PAGEREF _Toc450079213 \h </w:instrText>
        </w:r>
        <w:r w:rsidR="008D289A">
          <w:rPr>
            <w:webHidden/>
          </w:rPr>
        </w:r>
        <w:r w:rsidR="008D289A">
          <w:rPr>
            <w:webHidden/>
          </w:rPr>
          <w:fldChar w:fldCharType="separate"/>
        </w:r>
        <w:r w:rsidR="001517D5">
          <w:rPr>
            <w:webHidden/>
          </w:rPr>
          <w:t>51</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4" w:history="1">
        <w:r w:rsidR="008D289A" w:rsidRPr="00EE7C4A">
          <w:rPr>
            <w:rStyle w:val="Hyperlink"/>
          </w:rPr>
          <w:t>2.3: Country Characteristics and TNGO Decision-making</w:t>
        </w:r>
        <w:r w:rsidR="008D289A">
          <w:rPr>
            <w:webHidden/>
          </w:rPr>
          <w:tab/>
        </w:r>
        <w:r w:rsidR="008D289A">
          <w:rPr>
            <w:webHidden/>
          </w:rPr>
          <w:fldChar w:fldCharType="begin"/>
        </w:r>
        <w:r w:rsidR="008D289A">
          <w:rPr>
            <w:webHidden/>
          </w:rPr>
          <w:instrText xml:space="preserve"> PAGEREF _Toc450079214 \h </w:instrText>
        </w:r>
        <w:r w:rsidR="008D289A">
          <w:rPr>
            <w:webHidden/>
          </w:rPr>
        </w:r>
        <w:r w:rsidR="008D289A">
          <w:rPr>
            <w:webHidden/>
          </w:rPr>
          <w:fldChar w:fldCharType="separate"/>
        </w:r>
        <w:r w:rsidR="001517D5">
          <w:rPr>
            <w:webHidden/>
          </w:rPr>
          <w:t>55</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5" w:history="1">
        <w:r w:rsidR="008D289A" w:rsidRPr="00EE7C4A">
          <w:rPr>
            <w:rStyle w:val="Hyperlink"/>
          </w:rPr>
          <w:t>2.4: Data and Method</w:t>
        </w:r>
        <w:r w:rsidR="008D289A">
          <w:rPr>
            <w:webHidden/>
          </w:rPr>
          <w:tab/>
        </w:r>
        <w:r w:rsidR="008D289A">
          <w:rPr>
            <w:webHidden/>
          </w:rPr>
          <w:fldChar w:fldCharType="begin"/>
        </w:r>
        <w:r w:rsidR="008D289A">
          <w:rPr>
            <w:webHidden/>
          </w:rPr>
          <w:instrText xml:space="preserve"> PAGEREF _Toc450079215 \h </w:instrText>
        </w:r>
        <w:r w:rsidR="008D289A">
          <w:rPr>
            <w:webHidden/>
          </w:rPr>
        </w:r>
        <w:r w:rsidR="008D289A">
          <w:rPr>
            <w:webHidden/>
          </w:rPr>
          <w:fldChar w:fldCharType="separate"/>
        </w:r>
        <w:r w:rsidR="001517D5">
          <w:rPr>
            <w:webHidden/>
          </w:rPr>
          <w:t>63</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6" w:history="1">
        <w:r w:rsidR="008D289A" w:rsidRPr="00EE7C4A">
          <w:rPr>
            <w:rStyle w:val="Hyperlink"/>
          </w:rPr>
          <w:t>2.5: Results</w:t>
        </w:r>
        <w:r w:rsidR="008D289A">
          <w:rPr>
            <w:webHidden/>
          </w:rPr>
          <w:tab/>
        </w:r>
        <w:r w:rsidR="008D289A">
          <w:rPr>
            <w:webHidden/>
          </w:rPr>
          <w:fldChar w:fldCharType="begin"/>
        </w:r>
        <w:r w:rsidR="008D289A">
          <w:rPr>
            <w:webHidden/>
          </w:rPr>
          <w:instrText xml:space="preserve"> PAGEREF _Toc450079216 \h </w:instrText>
        </w:r>
        <w:r w:rsidR="008D289A">
          <w:rPr>
            <w:webHidden/>
          </w:rPr>
        </w:r>
        <w:r w:rsidR="008D289A">
          <w:rPr>
            <w:webHidden/>
          </w:rPr>
          <w:fldChar w:fldCharType="separate"/>
        </w:r>
        <w:r w:rsidR="001517D5">
          <w:rPr>
            <w:webHidden/>
          </w:rPr>
          <w:t>68</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7" w:history="1">
        <w:r w:rsidR="008D289A" w:rsidRPr="00EE7C4A">
          <w:rPr>
            <w:rStyle w:val="Hyperlink"/>
          </w:rPr>
          <w:t>2.6: Discussion</w:t>
        </w:r>
        <w:r w:rsidR="008D289A">
          <w:rPr>
            <w:webHidden/>
          </w:rPr>
          <w:tab/>
        </w:r>
        <w:r w:rsidR="008D289A">
          <w:rPr>
            <w:webHidden/>
          </w:rPr>
          <w:fldChar w:fldCharType="begin"/>
        </w:r>
        <w:r w:rsidR="008D289A">
          <w:rPr>
            <w:webHidden/>
          </w:rPr>
          <w:instrText xml:space="preserve"> PAGEREF _Toc450079217 \h </w:instrText>
        </w:r>
        <w:r w:rsidR="008D289A">
          <w:rPr>
            <w:webHidden/>
          </w:rPr>
        </w:r>
        <w:r w:rsidR="008D289A">
          <w:rPr>
            <w:webHidden/>
          </w:rPr>
          <w:fldChar w:fldCharType="separate"/>
        </w:r>
        <w:r w:rsidR="001517D5">
          <w:rPr>
            <w:webHidden/>
          </w:rPr>
          <w:t>77</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8" w:history="1">
        <w:r w:rsidR="008D289A" w:rsidRPr="00EE7C4A">
          <w:rPr>
            <w:rStyle w:val="Hyperlink"/>
          </w:rPr>
          <w:t>2.7: Conclusion</w:t>
        </w:r>
        <w:r w:rsidR="008D289A">
          <w:rPr>
            <w:webHidden/>
          </w:rPr>
          <w:tab/>
        </w:r>
        <w:r w:rsidR="008D289A">
          <w:rPr>
            <w:webHidden/>
          </w:rPr>
          <w:fldChar w:fldCharType="begin"/>
        </w:r>
        <w:r w:rsidR="008D289A">
          <w:rPr>
            <w:webHidden/>
          </w:rPr>
          <w:instrText xml:space="preserve"> PAGEREF _Toc450079218 \h </w:instrText>
        </w:r>
        <w:r w:rsidR="008D289A">
          <w:rPr>
            <w:webHidden/>
          </w:rPr>
        </w:r>
        <w:r w:rsidR="008D289A">
          <w:rPr>
            <w:webHidden/>
          </w:rPr>
          <w:fldChar w:fldCharType="separate"/>
        </w:r>
        <w:r w:rsidR="001517D5">
          <w:rPr>
            <w:webHidden/>
          </w:rPr>
          <w:t>81</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19" w:history="1">
        <w:r w:rsidR="008D289A" w:rsidRPr="00EE7C4A">
          <w:rPr>
            <w:rStyle w:val="Hyperlink"/>
          </w:rPr>
          <w:t>2.8: Future Research</w:t>
        </w:r>
        <w:r w:rsidR="008D289A">
          <w:rPr>
            <w:webHidden/>
          </w:rPr>
          <w:tab/>
        </w:r>
        <w:r w:rsidR="008D289A">
          <w:rPr>
            <w:webHidden/>
          </w:rPr>
          <w:fldChar w:fldCharType="begin"/>
        </w:r>
        <w:r w:rsidR="008D289A">
          <w:rPr>
            <w:webHidden/>
          </w:rPr>
          <w:instrText xml:space="preserve"> PAGEREF _Toc450079219 \h </w:instrText>
        </w:r>
        <w:r w:rsidR="008D289A">
          <w:rPr>
            <w:webHidden/>
          </w:rPr>
        </w:r>
        <w:r w:rsidR="008D289A">
          <w:rPr>
            <w:webHidden/>
          </w:rPr>
          <w:fldChar w:fldCharType="separate"/>
        </w:r>
        <w:r w:rsidR="001517D5">
          <w:rPr>
            <w:webHidden/>
          </w:rPr>
          <w:t>83</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20" w:history="1">
        <w:r w:rsidR="008D289A" w:rsidRPr="008D289A">
          <w:rPr>
            <w:rStyle w:val="Hyperlink"/>
          </w:rPr>
          <w:t>2.9: Works Cited</w:t>
        </w:r>
        <w:r w:rsidR="008D289A" w:rsidRPr="008D289A">
          <w:rPr>
            <w:webHidden/>
          </w:rPr>
          <w:tab/>
        </w:r>
        <w:r w:rsidR="008D289A" w:rsidRPr="008D289A">
          <w:rPr>
            <w:webHidden/>
          </w:rPr>
          <w:fldChar w:fldCharType="begin"/>
        </w:r>
        <w:r w:rsidR="008D289A" w:rsidRPr="008D289A">
          <w:rPr>
            <w:webHidden/>
          </w:rPr>
          <w:instrText xml:space="preserve"> PAGEREF _Toc450079220 \h </w:instrText>
        </w:r>
        <w:r w:rsidR="008D289A" w:rsidRPr="008D289A">
          <w:rPr>
            <w:webHidden/>
          </w:rPr>
        </w:r>
        <w:r w:rsidR="008D289A" w:rsidRPr="008D289A">
          <w:rPr>
            <w:webHidden/>
          </w:rPr>
          <w:fldChar w:fldCharType="separate"/>
        </w:r>
        <w:r w:rsidR="001517D5">
          <w:rPr>
            <w:webHidden/>
          </w:rPr>
          <w:t>85</w:t>
        </w:r>
        <w:r w:rsidR="008D289A" w:rsidRPr="008D289A">
          <w:rPr>
            <w:webHidden/>
          </w:rPr>
          <w:fldChar w:fldCharType="end"/>
        </w:r>
      </w:hyperlink>
    </w:p>
    <w:p w:rsidR="008D289A" w:rsidRDefault="008D289A">
      <w:pPr>
        <w:pStyle w:val="TOC1"/>
        <w:rPr>
          <w:rStyle w:val="Hyperlink"/>
        </w:rPr>
      </w:pPr>
    </w:p>
    <w:p w:rsidR="008D289A" w:rsidRDefault="00F43496">
      <w:pPr>
        <w:pStyle w:val="TOC1"/>
        <w:rPr>
          <w:rFonts w:asciiTheme="minorHAnsi" w:eastAsiaTheme="minorEastAsia" w:hAnsiTheme="minorHAnsi" w:cstheme="minorBidi"/>
          <w:b w:val="0"/>
          <w:sz w:val="22"/>
        </w:rPr>
      </w:pPr>
      <w:hyperlink w:anchor="_Toc450079221" w:history="1">
        <w:r w:rsidR="008D289A" w:rsidRPr="00EE7C4A">
          <w:rPr>
            <w:rStyle w:val="Hyperlink"/>
            <w14:scene3d>
              <w14:camera w14:prst="orthographicFront"/>
              <w14:lightRig w14:rig="threePt" w14:dir="t">
                <w14:rot w14:lat="0" w14:lon="0" w14:rev="0"/>
              </w14:lightRig>
            </w14:scene3d>
          </w:rPr>
          <w:t>Chapter 3</w:t>
        </w:r>
        <w:r w:rsidR="008D289A" w:rsidRPr="00EE7C4A">
          <w:rPr>
            <w:rStyle w:val="Hyperlink"/>
          </w:rPr>
          <w:t xml:space="preserve"> : Government Attention and U.S.-based TNGO Location</w:t>
        </w:r>
        <w:r w:rsidR="008D289A">
          <w:rPr>
            <w:webHidden/>
          </w:rPr>
          <w:tab/>
        </w:r>
        <w:r w:rsidR="008D289A">
          <w:rPr>
            <w:webHidden/>
          </w:rPr>
          <w:fldChar w:fldCharType="begin"/>
        </w:r>
        <w:r w:rsidR="008D289A">
          <w:rPr>
            <w:webHidden/>
          </w:rPr>
          <w:instrText xml:space="preserve"> PAGEREF _Toc450079221 \h </w:instrText>
        </w:r>
        <w:r w:rsidR="008D289A">
          <w:rPr>
            <w:webHidden/>
          </w:rPr>
        </w:r>
        <w:r w:rsidR="008D289A">
          <w:rPr>
            <w:webHidden/>
          </w:rPr>
          <w:fldChar w:fldCharType="separate"/>
        </w:r>
        <w:r w:rsidR="001517D5">
          <w:rPr>
            <w:webHidden/>
          </w:rPr>
          <w:t>101</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22" w:history="1">
        <w:r w:rsidR="008D289A" w:rsidRPr="00EE7C4A">
          <w:rPr>
            <w:rStyle w:val="Hyperlink"/>
          </w:rPr>
          <w:t>3.1: Introduction</w:t>
        </w:r>
        <w:r w:rsidR="008D289A">
          <w:rPr>
            <w:webHidden/>
          </w:rPr>
          <w:tab/>
        </w:r>
        <w:r w:rsidR="008D289A">
          <w:rPr>
            <w:webHidden/>
          </w:rPr>
          <w:fldChar w:fldCharType="begin"/>
        </w:r>
        <w:r w:rsidR="008D289A">
          <w:rPr>
            <w:webHidden/>
          </w:rPr>
          <w:instrText xml:space="preserve"> PAGEREF _Toc450079222 \h </w:instrText>
        </w:r>
        <w:r w:rsidR="008D289A">
          <w:rPr>
            <w:webHidden/>
          </w:rPr>
        </w:r>
        <w:r w:rsidR="008D289A">
          <w:rPr>
            <w:webHidden/>
          </w:rPr>
          <w:fldChar w:fldCharType="separate"/>
        </w:r>
        <w:r w:rsidR="001517D5">
          <w:rPr>
            <w:webHidden/>
          </w:rPr>
          <w:t>101</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23" w:history="1">
        <w:r w:rsidR="008D289A" w:rsidRPr="008D289A">
          <w:rPr>
            <w:rStyle w:val="Hyperlink"/>
          </w:rPr>
          <w:t>3.3: U.S. Government Attention and TNGO Location</w:t>
        </w:r>
        <w:r w:rsidR="008D289A" w:rsidRPr="008D289A">
          <w:rPr>
            <w:webHidden/>
          </w:rPr>
          <w:tab/>
        </w:r>
        <w:r w:rsidR="008D289A" w:rsidRPr="008D289A">
          <w:rPr>
            <w:webHidden/>
          </w:rPr>
          <w:fldChar w:fldCharType="begin"/>
        </w:r>
        <w:r w:rsidR="008D289A" w:rsidRPr="008D289A">
          <w:rPr>
            <w:webHidden/>
          </w:rPr>
          <w:instrText xml:space="preserve"> PAGEREF _Toc450079223 \h </w:instrText>
        </w:r>
        <w:r w:rsidR="008D289A" w:rsidRPr="008D289A">
          <w:rPr>
            <w:webHidden/>
          </w:rPr>
        </w:r>
        <w:r w:rsidR="008D289A" w:rsidRPr="008D289A">
          <w:rPr>
            <w:webHidden/>
          </w:rPr>
          <w:fldChar w:fldCharType="separate"/>
        </w:r>
        <w:r w:rsidR="001517D5">
          <w:rPr>
            <w:webHidden/>
          </w:rPr>
          <w:t>106</w:t>
        </w:r>
        <w:r w:rsidR="008D289A" w:rsidRP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24" w:history="1">
        <w:r w:rsidR="008D289A" w:rsidRPr="00EE7C4A">
          <w:rPr>
            <w:rStyle w:val="Hyperlink"/>
          </w:rPr>
          <w:t>3.4: Data and Method</w:t>
        </w:r>
        <w:r w:rsidR="008D289A">
          <w:rPr>
            <w:webHidden/>
          </w:rPr>
          <w:tab/>
        </w:r>
        <w:r w:rsidR="008D289A">
          <w:rPr>
            <w:webHidden/>
          </w:rPr>
          <w:fldChar w:fldCharType="begin"/>
        </w:r>
        <w:r w:rsidR="008D289A">
          <w:rPr>
            <w:webHidden/>
          </w:rPr>
          <w:instrText xml:space="preserve"> PAGEREF _Toc450079224 \h </w:instrText>
        </w:r>
        <w:r w:rsidR="008D289A">
          <w:rPr>
            <w:webHidden/>
          </w:rPr>
        </w:r>
        <w:r w:rsidR="008D289A">
          <w:rPr>
            <w:webHidden/>
          </w:rPr>
          <w:fldChar w:fldCharType="separate"/>
        </w:r>
        <w:r w:rsidR="001517D5">
          <w:rPr>
            <w:webHidden/>
          </w:rPr>
          <w:t>111</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25" w:history="1">
        <w:r w:rsidR="008D289A" w:rsidRPr="00EE7C4A">
          <w:rPr>
            <w:rStyle w:val="Hyperlink"/>
          </w:rPr>
          <w:t>3.5: Results</w:t>
        </w:r>
        <w:r w:rsidR="008D289A">
          <w:rPr>
            <w:webHidden/>
          </w:rPr>
          <w:tab/>
        </w:r>
        <w:r w:rsidR="008D289A">
          <w:rPr>
            <w:webHidden/>
          </w:rPr>
          <w:fldChar w:fldCharType="begin"/>
        </w:r>
        <w:r w:rsidR="008D289A">
          <w:rPr>
            <w:webHidden/>
          </w:rPr>
          <w:instrText xml:space="preserve"> PAGEREF _Toc450079225 \h </w:instrText>
        </w:r>
        <w:r w:rsidR="008D289A">
          <w:rPr>
            <w:webHidden/>
          </w:rPr>
        </w:r>
        <w:r w:rsidR="008D289A">
          <w:rPr>
            <w:webHidden/>
          </w:rPr>
          <w:fldChar w:fldCharType="separate"/>
        </w:r>
        <w:r w:rsidR="001517D5">
          <w:rPr>
            <w:webHidden/>
          </w:rPr>
          <w:t>119</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26" w:history="1">
        <w:r w:rsidR="008D289A" w:rsidRPr="00EE7C4A">
          <w:rPr>
            <w:rStyle w:val="Hyperlink"/>
          </w:rPr>
          <w:t>3.6: Discussion</w:t>
        </w:r>
        <w:r w:rsidR="008D289A">
          <w:rPr>
            <w:webHidden/>
          </w:rPr>
          <w:tab/>
        </w:r>
        <w:r w:rsidR="008D289A">
          <w:rPr>
            <w:webHidden/>
          </w:rPr>
          <w:fldChar w:fldCharType="begin"/>
        </w:r>
        <w:r w:rsidR="008D289A">
          <w:rPr>
            <w:webHidden/>
          </w:rPr>
          <w:instrText xml:space="preserve"> PAGEREF _Toc450079226 \h </w:instrText>
        </w:r>
        <w:r w:rsidR="008D289A">
          <w:rPr>
            <w:webHidden/>
          </w:rPr>
        </w:r>
        <w:r w:rsidR="008D289A">
          <w:rPr>
            <w:webHidden/>
          </w:rPr>
          <w:fldChar w:fldCharType="separate"/>
        </w:r>
        <w:r w:rsidR="001517D5">
          <w:rPr>
            <w:webHidden/>
          </w:rPr>
          <w:t>126</w:t>
        </w:r>
        <w:r w:rsidR="008D289A">
          <w:rPr>
            <w:webHidden/>
          </w:rPr>
          <w:fldChar w:fldCharType="end"/>
        </w:r>
      </w:hyperlink>
    </w:p>
    <w:p w:rsidR="008D289A" w:rsidRDefault="00F43496" w:rsidP="008D289A">
      <w:pPr>
        <w:pStyle w:val="TOC2"/>
        <w:rPr>
          <w:rFonts w:asciiTheme="minorHAnsi" w:eastAsiaTheme="minorEastAsia" w:hAnsiTheme="minorHAnsi" w:cstheme="minorBidi"/>
          <w:sz w:val="22"/>
        </w:rPr>
      </w:pPr>
      <w:hyperlink w:anchor="_Toc450079227" w:history="1">
        <w:r w:rsidR="008D289A" w:rsidRPr="00EE7C4A">
          <w:rPr>
            <w:rStyle w:val="Hyperlink"/>
          </w:rPr>
          <w:t>3.7: Conclusion</w:t>
        </w:r>
        <w:r w:rsidR="008D289A">
          <w:rPr>
            <w:webHidden/>
          </w:rPr>
          <w:tab/>
        </w:r>
        <w:r w:rsidR="008D289A">
          <w:rPr>
            <w:webHidden/>
          </w:rPr>
          <w:fldChar w:fldCharType="begin"/>
        </w:r>
        <w:r w:rsidR="008D289A">
          <w:rPr>
            <w:webHidden/>
          </w:rPr>
          <w:instrText xml:space="preserve"> PAGEREF _Toc450079227 \h </w:instrText>
        </w:r>
        <w:r w:rsidR="008D289A">
          <w:rPr>
            <w:webHidden/>
          </w:rPr>
        </w:r>
        <w:r w:rsidR="008D289A">
          <w:rPr>
            <w:webHidden/>
          </w:rPr>
          <w:fldChar w:fldCharType="separate"/>
        </w:r>
        <w:r w:rsidR="001517D5">
          <w:rPr>
            <w:webHidden/>
          </w:rPr>
          <w:t>130</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28" w:history="1">
        <w:r w:rsidR="008D289A" w:rsidRPr="008D289A">
          <w:rPr>
            <w:rStyle w:val="Hyperlink"/>
          </w:rPr>
          <w:t>3.8: Future Research</w:t>
        </w:r>
        <w:r w:rsidR="008D289A" w:rsidRPr="008D289A">
          <w:rPr>
            <w:webHidden/>
          </w:rPr>
          <w:tab/>
        </w:r>
        <w:r w:rsidR="008D289A" w:rsidRPr="008D289A">
          <w:rPr>
            <w:webHidden/>
          </w:rPr>
          <w:fldChar w:fldCharType="begin"/>
        </w:r>
        <w:r w:rsidR="008D289A" w:rsidRPr="008D289A">
          <w:rPr>
            <w:webHidden/>
          </w:rPr>
          <w:instrText xml:space="preserve"> PAGEREF _Toc450079228 \h </w:instrText>
        </w:r>
        <w:r w:rsidR="008D289A" w:rsidRPr="008D289A">
          <w:rPr>
            <w:webHidden/>
          </w:rPr>
        </w:r>
        <w:r w:rsidR="008D289A" w:rsidRPr="008D289A">
          <w:rPr>
            <w:webHidden/>
          </w:rPr>
          <w:fldChar w:fldCharType="separate"/>
        </w:r>
        <w:r w:rsidR="001517D5">
          <w:rPr>
            <w:webHidden/>
          </w:rPr>
          <w:t>132</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29" w:history="1">
        <w:r w:rsidR="008D289A" w:rsidRPr="008D289A">
          <w:rPr>
            <w:rStyle w:val="Hyperlink"/>
          </w:rPr>
          <w:t>3.7: Works Cited</w:t>
        </w:r>
        <w:r w:rsidR="008D289A" w:rsidRPr="008D289A">
          <w:rPr>
            <w:webHidden/>
          </w:rPr>
          <w:tab/>
        </w:r>
        <w:r w:rsidR="008D289A" w:rsidRPr="008D289A">
          <w:rPr>
            <w:webHidden/>
          </w:rPr>
          <w:fldChar w:fldCharType="begin"/>
        </w:r>
        <w:r w:rsidR="008D289A" w:rsidRPr="008D289A">
          <w:rPr>
            <w:webHidden/>
          </w:rPr>
          <w:instrText xml:space="preserve"> PAGEREF _Toc450079229 \h </w:instrText>
        </w:r>
        <w:r w:rsidR="008D289A" w:rsidRPr="008D289A">
          <w:rPr>
            <w:webHidden/>
          </w:rPr>
        </w:r>
        <w:r w:rsidR="008D289A" w:rsidRPr="008D289A">
          <w:rPr>
            <w:webHidden/>
          </w:rPr>
          <w:fldChar w:fldCharType="separate"/>
        </w:r>
        <w:r w:rsidR="001517D5">
          <w:rPr>
            <w:webHidden/>
          </w:rPr>
          <w:t>134</w:t>
        </w:r>
        <w:r w:rsidR="008D289A" w:rsidRPr="008D289A">
          <w:rPr>
            <w:webHidden/>
          </w:rPr>
          <w:fldChar w:fldCharType="end"/>
        </w:r>
      </w:hyperlink>
    </w:p>
    <w:p w:rsidR="008D289A" w:rsidRDefault="00F43496">
      <w:pPr>
        <w:pStyle w:val="TOC1"/>
        <w:rPr>
          <w:rFonts w:asciiTheme="minorHAnsi" w:eastAsiaTheme="minorEastAsia" w:hAnsiTheme="minorHAnsi" w:cstheme="minorBidi"/>
          <w:b w:val="0"/>
          <w:sz w:val="22"/>
        </w:rPr>
      </w:pPr>
      <w:hyperlink w:anchor="_Toc450079230" w:history="1">
        <w:r w:rsidR="008D289A" w:rsidRPr="00EE7C4A">
          <w:rPr>
            <w:rStyle w:val="Hyperlink"/>
            <w14:scene3d>
              <w14:camera w14:prst="orthographicFront"/>
              <w14:lightRig w14:rig="threePt" w14:dir="t">
                <w14:rot w14:lat="0" w14:lon="0" w14:rev="0"/>
              </w14:lightRig>
            </w14:scene3d>
          </w:rPr>
          <w:t>Chapter 4</w:t>
        </w:r>
        <w:r w:rsidR="008D289A" w:rsidRPr="00EE7C4A">
          <w:rPr>
            <w:rStyle w:val="Hyperlink"/>
          </w:rPr>
          <w:t xml:space="preserve"> : Internal Dynamics of International Development TNGOs</w:t>
        </w:r>
        <w:r w:rsidR="008D289A">
          <w:rPr>
            <w:webHidden/>
          </w:rPr>
          <w:tab/>
        </w:r>
        <w:r w:rsidR="008D289A">
          <w:rPr>
            <w:webHidden/>
          </w:rPr>
          <w:fldChar w:fldCharType="begin"/>
        </w:r>
        <w:r w:rsidR="008D289A">
          <w:rPr>
            <w:webHidden/>
          </w:rPr>
          <w:instrText xml:space="preserve"> PAGEREF _Toc450079230 \h </w:instrText>
        </w:r>
        <w:r w:rsidR="008D289A">
          <w:rPr>
            <w:webHidden/>
          </w:rPr>
        </w:r>
        <w:r w:rsidR="008D289A">
          <w:rPr>
            <w:webHidden/>
          </w:rPr>
          <w:fldChar w:fldCharType="separate"/>
        </w:r>
        <w:r w:rsidR="001517D5">
          <w:rPr>
            <w:webHidden/>
          </w:rPr>
          <w:t>150</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1" w:history="1">
        <w:r w:rsidR="008D289A" w:rsidRPr="008D289A">
          <w:rPr>
            <w:rStyle w:val="Hyperlink"/>
          </w:rPr>
          <w:t>4.1: Introduction</w:t>
        </w:r>
        <w:r w:rsidR="008D289A" w:rsidRPr="008D289A">
          <w:rPr>
            <w:webHidden/>
          </w:rPr>
          <w:tab/>
        </w:r>
        <w:r w:rsidR="008D289A" w:rsidRPr="008D289A">
          <w:rPr>
            <w:webHidden/>
          </w:rPr>
          <w:fldChar w:fldCharType="begin"/>
        </w:r>
        <w:r w:rsidR="008D289A" w:rsidRPr="008D289A">
          <w:rPr>
            <w:webHidden/>
          </w:rPr>
          <w:instrText xml:space="preserve"> PAGEREF _Toc450079231 \h </w:instrText>
        </w:r>
        <w:r w:rsidR="008D289A" w:rsidRPr="008D289A">
          <w:rPr>
            <w:webHidden/>
          </w:rPr>
        </w:r>
        <w:r w:rsidR="008D289A" w:rsidRPr="008D289A">
          <w:rPr>
            <w:webHidden/>
          </w:rPr>
          <w:fldChar w:fldCharType="separate"/>
        </w:r>
        <w:r w:rsidR="001517D5">
          <w:rPr>
            <w:webHidden/>
          </w:rPr>
          <w:t>150</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2" w:history="1">
        <w:r w:rsidR="008D289A" w:rsidRPr="008D289A">
          <w:rPr>
            <w:rStyle w:val="Hyperlink"/>
          </w:rPr>
          <w:t>4.2: Previous Research</w:t>
        </w:r>
        <w:r w:rsidR="008D289A" w:rsidRPr="008D289A">
          <w:rPr>
            <w:webHidden/>
          </w:rPr>
          <w:tab/>
        </w:r>
        <w:r w:rsidR="008D289A" w:rsidRPr="008D289A">
          <w:rPr>
            <w:webHidden/>
          </w:rPr>
          <w:fldChar w:fldCharType="begin"/>
        </w:r>
        <w:r w:rsidR="008D289A" w:rsidRPr="008D289A">
          <w:rPr>
            <w:webHidden/>
          </w:rPr>
          <w:instrText xml:space="preserve"> PAGEREF _Toc450079232 \h </w:instrText>
        </w:r>
        <w:r w:rsidR="008D289A" w:rsidRPr="008D289A">
          <w:rPr>
            <w:webHidden/>
          </w:rPr>
        </w:r>
        <w:r w:rsidR="008D289A" w:rsidRPr="008D289A">
          <w:rPr>
            <w:webHidden/>
          </w:rPr>
          <w:fldChar w:fldCharType="separate"/>
        </w:r>
        <w:r w:rsidR="001517D5">
          <w:rPr>
            <w:webHidden/>
          </w:rPr>
          <w:t>153</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3" w:history="1">
        <w:r w:rsidR="008D289A" w:rsidRPr="008D289A">
          <w:rPr>
            <w:rStyle w:val="Hyperlink"/>
          </w:rPr>
          <w:t>4.3: Conceptual Framework</w:t>
        </w:r>
        <w:r w:rsidR="008D289A" w:rsidRPr="008D289A">
          <w:rPr>
            <w:webHidden/>
          </w:rPr>
          <w:tab/>
        </w:r>
        <w:r w:rsidR="008D289A" w:rsidRPr="008D289A">
          <w:rPr>
            <w:webHidden/>
          </w:rPr>
          <w:fldChar w:fldCharType="begin"/>
        </w:r>
        <w:r w:rsidR="008D289A" w:rsidRPr="008D289A">
          <w:rPr>
            <w:webHidden/>
          </w:rPr>
          <w:instrText xml:space="preserve"> PAGEREF _Toc450079233 \h </w:instrText>
        </w:r>
        <w:r w:rsidR="008D289A" w:rsidRPr="008D289A">
          <w:rPr>
            <w:webHidden/>
          </w:rPr>
        </w:r>
        <w:r w:rsidR="008D289A" w:rsidRPr="008D289A">
          <w:rPr>
            <w:webHidden/>
          </w:rPr>
          <w:fldChar w:fldCharType="separate"/>
        </w:r>
        <w:r w:rsidR="001517D5">
          <w:rPr>
            <w:webHidden/>
          </w:rPr>
          <w:t>158</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4" w:history="1">
        <w:r w:rsidR="008D289A" w:rsidRPr="008D289A">
          <w:rPr>
            <w:rStyle w:val="Hyperlink"/>
          </w:rPr>
          <w:t>4.3: Data and Methods</w:t>
        </w:r>
        <w:r w:rsidR="008D289A" w:rsidRPr="008D289A">
          <w:rPr>
            <w:webHidden/>
          </w:rPr>
          <w:tab/>
        </w:r>
        <w:r w:rsidR="008D289A" w:rsidRPr="008D289A">
          <w:rPr>
            <w:webHidden/>
          </w:rPr>
          <w:fldChar w:fldCharType="begin"/>
        </w:r>
        <w:r w:rsidR="008D289A" w:rsidRPr="008D289A">
          <w:rPr>
            <w:webHidden/>
          </w:rPr>
          <w:instrText xml:space="preserve"> PAGEREF _Toc450079234 \h </w:instrText>
        </w:r>
        <w:r w:rsidR="008D289A" w:rsidRPr="008D289A">
          <w:rPr>
            <w:webHidden/>
          </w:rPr>
        </w:r>
        <w:r w:rsidR="008D289A" w:rsidRPr="008D289A">
          <w:rPr>
            <w:webHidden/>
          </w:rPr>
          <w:fldChar w:fldCharType="separate"/>
        </w:r>
        <w:r w:rsidR="001517D5">
          <w:rPr>
            <w:webHidden/>
          </w:rPr>
          <w:t>163</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5" w:history="1">
        <w:r w:rsidR="008D289A" w:rsidRPr="008D289A">
          <w:rPr>
            <w:rStyle w:val="Hyperlink"/>
          </w:rPr>
          <w:t>4.5: Setting and Communicating Priorities: Models of Organizational Structure</w:t>
        </w:r>
        <w:r w:rsidR="008D289A" w:rsidRPr="008D289A">
          <w:rPr>
            <w:webHidden/>
          </w:rPr>
          <w:tab/>
        </w:r>
        <w:r w:rsidR="008D289A" w:rsidRPr="008D289A">
          <w:rPr>
            <w:webHidden/>
          </w:rPr>
          <w:fldChar w:fldCharType="begin"/>
        </w:r>
        <w:r w:rsidR="008D289A" w:rsidRPr="008D289A">
          <w:rPr>
            <w:webHidden/>
          </w:rPr>
          <w:instrText xml:space="preserve"> PAGEREF _Toc450079235 \h </w:instrText>
        </w:r>
        <w:r w:rsidR="008D289A" w:rsidRPr="008D289A">
          <w:rPr>
            <w:webHidden/>
          </w:rPr>
        </w:r>
        <w:r w:rsidR="008D289A" w:rsidRPr="008D289A">
          <w:rPr>
            <w:webHidden/>
          </w:rPr>
          <w:fldChar w:fldCharType="separate"/>
        </w:r>
        <w:r w:rsidR="001517D5">
          <w:rPr>
            <w:webHidden/>
          </w:rPr>
          <w:t>174</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6" w:history="1">
        <w:r w:rsidR="008D289A" w:rsidRPr="008D289A">
          <w:rPr>
            <w:rStyle w:val="Hyperlink"/>
          </w:rPr>
          <w:t>4.6: Discussion</w:t>
        </w:r>
        <w:r w:rsidR="008D289A" w:rsidRPr="008D289A">
          <w:rPr>
            <w:webHidden/>
          </w:rPr>
          <w:tab/>
        </w:r>
        <w:r w:rsidR="008D289A" w:rsidRPr="008D289A">
          <w:rPr>
            <w:webHidden/>
          </w:rPr>
          <w:fldChar w:fldCharType="begin"/>
        </w:r>
        <w:r w:rsidR="008D289A" w:rsidRPr="008D289A">
          <w:rPr>
            <w:webHidden/>
          </w:rPr>
          <w:instrText xml:space="preserve"> PAGEREF _Toc450079236 \h </w:instrText>
        </w:r>
        <w:r w:rsidR="008D289A" w:rsidRPr="008D289A">
          <w:rPr>
            <w:webHidden/>
          </w:rPr>
        </w:r>
        <w:r w:rsidR="008D289A" w:rsidRPr="008D289A">
          <w:rPr>
            <w:webHidden/>
          </w:rPr>
          <w:fldChar w:fldCharType="separate"/>
        </w:r>
        <w:r w:rsidR="001517D5">
          <w:rPr>
            <w:webHidden/>
          </w:rPr>
          <w:t>191</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7" w:history="1">
        <w:r w:rsidR="008D289A" w:rsidRPr="008D289A">
          <w:rPr>
            <w:rStyle w:val="Hyperlink"/>
          </w:rPr>
          <w:t>4.7: Future Research</w:t>
        </w:r>
        <w:r w:rsidR="008D289A" w:rsidRPr="008D289A">
          <w:rPr>
            <w:webHidden/>
          </w:rPr>
          <w:tab/>
        </w:r>
        <w:r w:rsidR="008D289A" w:rsidRPr="008D289A">
          <w:rPr>
            <w:webHidden/>
          </w:rPr>
          <w:fldChar w:fldCharType="begin"/>
        </w:r>
        <w:r w:rsidR="008D289A" w:rsidRPr="008D289A">
          <w:rPr>
            <w:webHidden/>
          </w:rPr>
          <w:instrText xml:space="preserve"> PAGEREF _Toc450079237 \h </w:instrText>
        </w:r>
        <w:r w:rsidR="008D289A" w:rsidRPr="008D289A">
          <w:rPr>
            <w:webHidden/>
          </w:rPr>
        </w:r>
        <w:r w:rsidR="008D289A" w:rsidRPr="008D289A">
          <w:rPr>
            <w:webHidden/>
          </w:rPr>
          <w:fldChar w:fldCharType="separate"/>
        </w:r>
        <w:r w:rsidR="001517D5">
          <w:rPr>
            <w:webHidden/>
          </w:rPr>
          <w:t>197</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38" w:history="1">
        <w:r w:rsidR="008D289A" w:rsidRPr="008D289A">
          <w:rPr>
            <w:rStyle w:val="Hyperlink"/>
          </w:rPr>
          <w:t>4.8: Works Cited</w:t>
        </w:r>
        <w:r w:rsidR="008D289A" w:rsidRPr="008D289A">
          <w:rPr>
            <w:webHidden/>
          </w:rPr>
          <w:tab/>
        </w:r>
        <w:r w:rsidR="008D289A" w:rsidRPr="008D289A">
          <w:rPr>
            <w:webHidden/>
          </w:rPr>
          <w:fldChar w:fldCharType="begin"/>
        </w:r>
        <w:r w:rsidR="008D289A" w:rsidRPr="008D289A">
          <w:rPr>
            <w:webHidden/>
          </w:rPr>
          <w:instrText xml:space="preserve"> PAGEREF _Toc450079238 \h </w:instrText>
        </w:r>
        <w:r w:rsidR="008D289A" w:rsidRPr="008D289A">
          <w:rPr>
            <w:webHidden/>
          </w:rPr>
        </w:r>
        <w:r w:rsidR="008D289A" w:rsidRPr="008D289A">
          <w:rPr>
            <w:webHidden/>
          </w:rPr>
          <w:fldChar w:fldCharType="separate"/>
        </w:r>
        <w:r w:rsidR="001517D5">
          <w:rPr>
            <w:webHidden/>
          </w:rPr>
          <w:t>199</w:t>
        </w:r>
        <w:r w:rsidR="008D289A" w:rsidRPr="008D289A">
          <w:rPr>
            <w:webHidden/>
          </w:rPr>
          <w:fldChar w:fldCharType="end"/>
        </w:r>
      </w:hyperlink>
    </w:p>
    <w:p w:rsidR="008D289A" w:rsidRDefault="008D289A">
      <w:pPr>
        <w:pStyle w:val="TOC1"/>
        <w:rPr>
          <w:rStyle w:val="Hyperlink"/>
        </w:rPr>
      </w:pPr>
    </w:p>
    <w:p w:rsidR="008D289A" w:rsidRDefault="00F43496">
      <w:pPr>
        <w:pStyle w:val="TOC1"/>
        <w:rPr>
          <w:rFonts w:asciiTheme="minorHAnsi" w:eastAsiaTheme="minorEastAsia" w:hAnsiTheme="minorHAnsi" w:cstheme="minorBidi"/>
          <w:b w:val="0"/>
          <w:sz w:val="22"/>
        </w:rPr>
      </w:pPr>
      <w:hyperlink w:anchor="_Toc450079239" w:history="1">
        <w:r w:rsidR="008D289A" w:rsidRPr="00EE7C4A">
          <w:rPr>
            <w:rStyle w:val="Hyperlink"/>
            <w14:scene3d>
              <w14:camera w14:prst="orthographicFront"/>
              <w14:lightRig w14:rig="threePt" w14:dir="t">
                <w14:rot w14:lat="0" w14:lon="0" w14:rev="0"/>
              </w14:lightRig>
            </w14:scene3d>
          </w:rPr>
          <w:t>Chapter 5</w:t>
        </w:r>
        <w:r w:rsidR="008D289A" w:rsidRPr="00EE7C4A">
          <w:rPr>
            <w:rStyle w:val="Hyperlink"/>
          </w:rPr>
          <w:t xml:space="preserve"> : Conclusions, Implications, and Directions for Future Research</w:t>
        </w:r>
        <w:r w:rsidR="008D289A">
          <w:rPr>
            <w:webHidden/>
          </w:rPr>
          <w:tab/>
        </w:r>
        <w:r w:rsidR="008D289A">
          <w:rPr>
            <w:webHidden/>
          </w:rPr>
          <w:fldChar w:fldCharType="begin"/>
        </w:r>
        <w:r w:rsidR="008D289A">
          <w:rPr>
            <w:webHidden/>
          </w:rPr>
          <w:instrText xml:space="preserve"> PAGEREF _Toc450079239 \h </w:instrText>
        </w:r>
        <w:r w:rsidR="008D289A">
          <w:rPr>
            <w:webHidden/>
          </w:rPr>
        </w:r>
        <w:r w:rsidR="008D289A">
          <w:rPr>
            <w:webHidden/>
          </w:rPr>
          <w:fldChar w:fldCharType="separate"/>
        </w:r>
        <w:r w:rsidR="001517D5">
          <w:rPr>
            <w:webHidden/>
          </w:rPr>
          <w:t>215</w:t>
        </w:r>
        <w:r w:rsid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40" w:history="1">
        <w:r w:rsidR="008D289A" w:rsidRPr="008D289A">
          <w:rPr>
            <w:rStyle w:val="Hyperlink"/>
          </w:rPr>
          <w:t>5.1: Conclusions</w:t>
        </w:r>
        <w:r w:rsidR="008D289A" w:rsidRPr="008D289A">
          <w:rPr>
            <w:webHidden/>
          </w:rPr>
          <w:tab/>
        </w:r>
        <w:r w:rsidR="008D289A" w:rsidRPr="008D289A">
          <w:rPr>
            <w:webHidden/>
          </w:rPr>
          <w:fldChar w:fldCharType="begin"/>
        </w:r>
        <w:r w:rsidR="008D289A" w:rsidRPr="008D289A">
          <w:rPr>
            <w:webHidden/>
          </w:rPr>
          <w:instrText xml:space="preserve"> PAGEREF _Toc450079240 \h </w:instrText>
        </w:r>
        <w:r w:rsidR="008D289A" w:rsidRPr="008D289A">
          <w:rPr>
            <w:webHidden/>
          </w:rPr>
        </w:r>
        <w:r w:rsidR="008D289A" w:rsidRPr="008D289A">
          <w:rPr>
            <w:webHidden/>
          </w:rPr>
          <w:fldChar w:fldCharType="separate"/>
        </w:r>
        <w:r w:rsidR="001517D5">
          <w:rPr>
            <w:webHidden/>
          </w:rPr>
          <w:t>215</w:t>
        </w:r>
        <w:r w:rsidR="008D289A" w:rsidRPr="008D289A">
          <w:rPr>
            <w:webHidden/>
          </w:rPr>
          <w:fldChar w:fldCharType="end"/>
        </w:r>
      </w:hyperlink>
    </w:p>
    <w:p w:rsidR="008D289A" w:rsidRPr="008D289A" w:rsidRDefault="00F43496" w:rsidP="008D289A">
      <w:pPr>
        <w:pStyle w:val="TOC2"/>
        <w:rPr>
          <w:rFonts w:asciiTheme="minorHAnsi" w:eastAsiaTheme="minorEastAsia" w:hAnsiTheme="minorHAnsi" w:cstheme="minorBidi"/>
          <w:sz w:val="22"/>
        </w:rPr>
      </w:pPr>
      <w:hyperlink w:anchor="_Toc450079241" w:history="1">
        <w:r w:rsidR="008D289A" w:rsidRPr="008D289A">
          <w:rPr>
            <w:rStyle w:val="Hyperlink"/>
          </w:rPr>
          <w:t>5.3: Future Research</w:t>
        </w:r>
        <w:r w:rsidR="008D289A" w:rsidRPr="008D289A">
          <w:rPr>
            <w:webHidden/>
          </w:rPr>
          <w:tab/>
        </w:r>
        <w:r w:rsidR="008D289A" w:rsidRPr="008D289A">
          <w:rPr>
            <w:webHidden/>
          </w:rPr>
          <w:fldChar w:fldCharType="begin"/>
        </w:r>
        <w:r w:rsidR="008D289A" w:rsidRPr="008D289A">
          <w:rPr>
            <w:webHidden/>
          </w:rPr>
          <w:instrText xml:space="preserve"> PAGEREF _Toc450079241 \h </w:instrText>
        </w:r>
        <w:r w:rsidR="008D289A" w:rsidRPr="008D289A">
          <w:rPr>
            <w:webHidden/>
          </w:rPr>
        </w:r>
        <w:r w:rsidR="008D289A" w:rsidRPr="008D289A">
          <w:rPr>
            <w:webHidden/>
          </w:rPr>
          <w:fldChar w:fldCharType="separate"/>
        </w:r>
        <w:r w:rsidR="001517D5">
          <w:rPr>
            <w:webHidden/>
          </w:rPr>
          <w:t>223</w:t>
        </w:r>
        <w:r w:rsidR="008D289A" w:rsidRPr="008D289A">
          <w:rPr>
            <w:webHidden/>
          </w:rPr>
          <w:fldChar w:fldCharType="end"/>
        </w:r>
      </w:hyperlink>
    </w:p>
    <w:p w:rsidR="001630DC" w:rsidRPr="008D289A" w:rsidRDefault="001630DC" w:rsidP="008D289A">
      <w:pPr>
        <w:pStyle w:val="Subheading1"/>
        <w:jc w:val="left"/>
        <w:rPr>
          <w:sz w:val="24"/>
          <w:szCs w:val="24"/>
        </w:rPr>
      </w:pPr>
      <w:r w:rsidRPr="005747D9">
        <w:fldChar w:fldCharType="end"/>
      </w:r>
      <w:r w:rsidRPr="00F97B3A">
        <w:br w:type="page"/>
      </w:r>
      <w:bookmarkStart w:id="0" w:name="_Toc450079075"/>
      <w:r w:rsidRPr="008D289A">
        <w:rPr>
          <w:sz w:val="24"/>
          <w:szCs w:val="24"/>
        </w:rPr>
        <w:t>List of Tables</w:t>
      </w:r>
      <w:bookmarkEnd w:id="0"/>
    </w:p>
    <w:p w:rsidR="001630DC" w:rsidRDefault="001630DC" w:rsidP="001630DC"/>
    <w:p w:rsidR="009B1493" w:rsidRDefault="001630DC">
      <w:pPr>
        <w:pStyle w:val="TableofFigures"/>
        <w:tabs>
          <w:tab w:val="right" w:leader="dot" w:pos="8486"/>
        </w:tabs>
        <w:rPr>
          <w:rFonts w:asciiTheme="minorHAnsi" w:eastAsiaTheme="minorEastAsia" w:hAnsiTheme="minorHAnsi" w:cstheme="minorBidi"/>
          <w:noProof/>
          <w:sz w:val="22"/>
          <w:szCs w:val="22"/>
        </w:rPr>
      </w:pPr>
      <w:r w:rsidRPr="00711CD0">
        <w:fldChar w:fldCharType="begin"/>
      </w:r>
      <w:r w:rsidRPr="00711CD0">
        <w:instrText xml:space="preserve"> TOC \h \z \c "Table" </w:instrText>
      </w:r>
      <w:r w:rsidRPr="00711CD0">
        <w:fldChar w:fldCharType="separate"/>
      </w:r>
      <w:hyperlink w:anchor="_Toc450069819" w:history="1">
        <w:r w:rsidR="009B1493" w:rsidRPr="002449E6">
          <w:rPr>
            <w:rStyle w:val="Hyperlink"/>
            <w:rFonts w:eastAsia="MS PMincho"/>
            <w:b/>
            <w:noProof/>
          </w:rPr>
          <w:t xml:space="preserve">Table 2.1: </w:t>
        </w:r>
        <w:r w:rsidR="009B1493" w:rsidRPr="009B1493">
          <w:rPr>
            <w:rStyle w:val="Hyperlink"/>
            <w:rFonts w:eastAsia="MS PMincho"/>
            <w:noProof/>
          </w:rPr>
          <w:t>Regression Analysis of Country Characteristics, Robustness Check, 2008—2012</w:t>
        </w:r>
        <w:r w:rsidR="009B1493">
          <w:rPr>
            <w:noProof/>
            <w:webHidden/>
          </w:rPr>
          <w:tab/>
        </w:r>
        <w:r w:rsidR="009B1493">
          <w:rPr>
            <w:noProof/>
            <w:webHidden/>
          </w:rPr>
          <w:fldChar w:fldCharType="begin"/>
        </w:r>
        <w:r w:rsidR="009B1493">
          <w:rPr>
            <w:noProof/>
            <w:webHidden/>
          </w:rPr>
          <w:instrText xml:space="preserve"> PAGEREF _Toc450069819 \h </w:instrText>
        </w:r>
        <w:r w:rsidR="009B1493">
          <w:rPr>
            <w:noProof/>
            <w:webHidden/>
          </w:rPr>
        </w:r>
        <w:r w:rsidR="009B1493">
          <w:rPr>
            <w:noProof/>
            <w:webHidden/>
          </w:rPr>
          <w:fldChar w:fldCharType="separate"/>
        </w:r>
        <w:r w:rsidR="001517D5">
          <w:rPr>
            <w:noProof/>
            <w:webHidden/>
          </w:rPr>
          <w:t>69</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0" w:history="1">
        <w:r w:rsidR="009B1493" w:rsidRPr="002449E6">
          <w:rPr>
            <w:rStyle w:val="Hyperlink"/>
            <w:rFonts w:eastAsia="MS PMincho"/>
            <w:b/>
            <w:noProof/>
          </w:rPr>
          <w:t xml:space="preserve">Table 3.1: </w:t>
        </w:r>
        <w:r w:rsidR="009B1493" w:rsidRPr="009B1493">
          <w:rPr>
            <w:rStyle w:val="Hyperlink"/>
            <w:rFonts w:eastAsia="MS PMincho"/>
            <w:noProof/>
          </w:rPr>
          <w:t>TNGOs in Data by Primary Sector</w:t>
        </w:r>
        <w:r w:rsidR="009B1493">
          <w:rPr>
            <w:noProof/>
            <w:webHidden/>
          </w:rPr>
          <w:tab/>
        </w:r>
        <w:r w:rsidR="009B1493">
          <w:rPr>
            <w:noProof/>
            <w:webHidden/>
          </w:rPr>
          <w:fldChar w:fldCharType="begin"/>
        </w:r>
        <w:r w:rsidR="009B1493">
          <w:rPr>
            <w:noProof/>
            <w:webHidden/>
          </w:rPr>
          <w:instrText xml:space="preserve"> PAGEREF _Toc450069820 \h </w:instrText>
        </w:r>
        <w:r w:rsidR="009B1493">
          <w:rPr>
            <w:noProof/>
            <w:webHidden/>
          </w:rPr>
        </w:r>
        <w:r w:rsidR="009B1493">
          <w:rPr>
            <w:noProof/>
            <w:webHidden/>
          </w:rPr>
          <w:fldChar w:fldCharType="separate"/>
        </w:r>
        <w:r w:rsidR="001517D5">
          <w:rPr>
            <w:noProof/>
            <w:webHidden/>
          </w:rPr>
          <w:t>114</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1" w:history="1">
        <w:r w:rsidR="009B1493" w:rsidRPr="002449E6">
          <w:rPr>
            <w:rStyle w:val="Hyperlink"/>
            <w:rFonts w:eastAsia="MS PMincho"/>
            <w:b/>
            <w:noProof/>
          </w:rPr>
          <w:t xml:space="preserve">Table 3.2: </w:t>
        </w:r>
        <w:r w:rsidR="009B1493" w:rsidRPr="009B1493">
          <w:rPr>
            <w:rStyle w:val="Hyperlink"/>
            <w:rFonts w:eastAsia="MS PMincho"/>
            <w:noProof/>
          </w:rPr>
          <w:t>TNGO Location and Support 2008 – 2012</w:t>
        </w:r>
        <w:r w:rsidR="009B1493">
          <w:rPr>
            <w:noProof/>
            <w:webHidden/>
          </w:rPr>
          <w:tab/>
        </w:r>
        <w:r w:rsidR="009B1493">
          <w:rPr>
            <w:noProof/>
            <w:webHidden/>
          </w:rPr>
          <w:fldChar w:fldCharType="begin"/>
        </w:r>
        <w:r w:rsidR="009B1493">
          <w:rPr>
            <w:noProof/>
            <w:webHidden/>
          </w:rPr>
          <w:instrText xml:space="preserve"> PAGEREF _Toc450069821 \h </w:instrText>
        </w:r>
        <w:r w:rsidR="009B1493">
          <w:rPr>
            <w:noProof/>
            <w:webHidden/>
          </w:rPr>
        </w:r>
        <w:r w:rsidR="009B1493">
          <w:rPr>
            <w:noProof/>
            <w:webHidden/>
          </w:rPr>
          <w:fldChar w:fldCharType="separate"/>
        </w:r>
        <w:r w:rsidR="001517D5">
          <w:rPr>
            <w:noProof/>
            <w:webHidden/>
          </w:rPr>
          <w:t>119</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2" w:history="1">
        <w:r w:rsidR="009B1493" w:rsidRPr="002449E6">
          <w:rPr>
            <w:rStyle w:val="Hyperlink"/>
            <w:rFonts w:eastAsia="MS PMincho"/>
            <w:b/>
            <w:noProof/>
          </w:rPr>
          <w:t xml:space="preserve">Table 3.3: </w:t>
        </w:r>
        <w:r w:rsidR="009B1493" w:rsidRPr="009B1493">
          <w:rPr>
            <w:rStyle w:val="Hyperlink"/>
            <w:rFonts w:eastAsia="MS PMincho"/>
            <w:noProof/>
          </w:rPr>
          <w:t>Regression Analysis of Strategic Country Presence 2008—2012, Fixed Effects</w:t>
        </w:r>
        <w:r w:rsidR="009B1493">
          <w:rPr>
            <w:noProof/>
            <w:webHidden/>
          </w:rPr>
          <w:tab/>
        </w:r>
        <w:r w:rsidR="009B1493">
          <w:rPr>
            <w:noProof/>
            <w:webHidden/>
          </w:rPr>
          <w:fldChar w:fldCharType="begin"/>
        </w:r>
        <w:r w:rsidR="009B1493">
          <w:rPr>
            <w:noProof/>
            <w:webHidden/>
          </w:rPr>
          <w:instrText xml:space="preserve"> PAGEREF _Toc450069822 \h </w:instrText>
        </w:r>
        <w:r w:rsidR="009B1493">
          <w:rPr>
            <w:noProof/>
            <w:webHidden/>
          </w:rPr>
        </w:r>
        <w:r w:rsidR="009B1493">
          <w:rPr>
            <w:noProof/>
            <w:webHidden/>
          </w:rPr>
          <w:fldChar w:fldCharType="separate"/>
        </w:r>
        <w:r w:rsidR="001517D5">
          <w:rPr>
            <w:noProof/>
            <w:webHidden/>
          </w:rPr>
          <w:t>121</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3" w:history="1">
        <w:r w:rsidR="009B1493" w:rsidRPr="002449E6">
          <w:rPr>
            <w:rStyle w:val="Hyperlink"/>
            <w:rFonts w:eastAsia="MS PMincho"/>
            <w:b/>
            <w:noProof/>
          </w:rPr>
          <w:t xml:space="preserve">Table 3.4: </w:t>
        </w:r>
        <w:r w:rsidR="009B1493" w:rsidRPr="009B1493">
          <w:rPr>
            <w:rStyle w:val="Hyperlink"/>
            <w:rFonts w:eastAsia="MS PMincho"/>
            <w:noProof/>
          </w:rPr>
          <w:t>Regression Analysis of Strategic Mentions 2008--2012, Robustness Check</w:t>
        </w:r>
        <w:r w:rsidR="009B1493">
          <w:rPr>
            <w:noProof/>
            <w:webHidden/>
          </w:rPr>
          <w:tab/>
        </w:r>
        <w:r w:rsidR="009B1493">
          <w:rPr>
            <w:noProof/>
            <w:webHidden/>
          </w:rPr>
          <w:fldChar w:fldCharType="begin"/>
        </w:r>
        <w:r w:rsidR="009B1493">
          <w:rPr>
            <w:noProof/>
            <w:webHidden/>
          </w:rPr>
          <w:instrText xml:space="preserve"> PAGEREF _Toc450069823 \h </w:instrText>
        </w:r>
        <w:r w:rsidR="009B1493">
          <w:rPr>
            <w:noProof/>
            <w:webHidden/>
          </w:rPr>
        </w:r>
        <w:r w:rsidR="009B1493">
          <w:rPr>
            <w:noProof/>
            <w:webHidden/>
          </w:rPr>
          <w:fldChar w:fldCharType="separate"/>
        </w:r>
        <w:r w:rsidR="001517D5">
          <w:rPr>
            <w:noProof/>
            <w:webHidden/>
          </w:rPr>
          <w:t>125</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4" w:history="1">
        <w:r w:rsidR="009B1493" w:rsidRPr="002449E6">
          <w:rPr>
            <w:rStyle w:val="Hyperlink"/>
            <w:rFonts w:eastAsia="MS PMincho"/>
            <w:b/>
            <w:noProof/>
          </w:rPr>
          <w:t xml:space="preserve">Table 4.1: </w:t>
        </w:r>
        <w:r w:rsidR="009B1493" w:rsidRPr="009B1493">
          <w:rPr>
            <w:rStyle w:val="Hyperlink"/>
            <w:rFonts w:eastAsia="MS PMincho"/>
            <w:noProof/>
          </w:rPr>
          <w:t>Contingency Framework and Authority Levels</w:t>
        </w:r>
        <w:r w:rsidR="009B1493">
          <w:rPr>
            <w:noProof/>
            <w:webHidden/>
          </w:rPr>
          <w:tab/>
        </w:r>
        <w:r w:rsidR="009B1493">
          <w:rPr>
            <w:noProof/>
            <w:webHidden/>
          </w:rPr>
          <w:fldChar w:fldCharType="begin"/>
        </w:r>
        <w:r w:rsidR="009B1493">
          <w:rPr>
            <w:noProof/>
            <w:webHidden/>
          </w:rPr>
          <w:instrText xml:space="preserve"> PAGEREF _Toc450069824 \h </w:instrText>
        </w:r>
        <w:r w:rsidR="009B1493">
          <w:rPr>
            <w:noProof/>
            <w:webHidden/>
          </w:rPr>
        </w:r>
        <w:r w:rsidR="009B1493">
          <w:rPr>
            <w:noProof/>
            <w:webHidden/>
          </w:rPr>
          <w:fldChar w:fldCharType="separate"/>
        </w:r>
        <w:r w:rsidR="001517D5">
          <w:rPr>
            <w:noProof/>
            <w:webHidden/>
          </w:rPr>
          <w:t>160</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5" w:history="1">
        <w:r w:rsidR="009B1493" w:rsidRPr="002449E6">
          <w:rPr>
            <w:rStyle w:val="Hyperlink"/>
            <w:rFonts w:eastAsia="MS PMincho"/>
            <w:b/>
            <w:noProof/>
          </w:rPr>
          <w:t xml:space="preserve">Table 4.2: </w:t>
        </w:r>
        <w:r w:rsidR="009B1493" w:rsidRPr="009B1493">
          <w:rPr>
            <w:rStyle w:val="Hyperlink"/>
            <w:rFonts w:eastAsia="MS PMincho"/>
            <w:noProof/>
          </w:rPr>
          <w:t>Ghoshal and Nohria Predicted Organization Structure by Fit (1989, 328)</w:t>
        </w:r>
        <w:r w:rsidR="009B1493">
          <w:rPr>
            <w:noProof/>
            <w:webHidden/>
          </w:rPr>
          <w:tab/>
        </w:r>
        <w:r w:rsidR="009B1493">
          <w:rPr>
            <w:noProof/>
            <w:webHidden/>
          </w:rPr>
          <w:fldChar w:fldCharType="begin"/>
        </w:r>
        <w:r w:rsidR="009B1493">
          <w:rPr>
            <w:noProof/>
            <w:webHidden/>
          </w:rPr>
          <w:instrText xml:space="preserve"> PAGEREF _Toc450069825 \h </w:instrText>
        </w:r>
        <w:r w:rsidR="009B1493">
          <w:rPr>
            <w:noProof/>
            <w:webHidden/>
          </w:rPr>
        </w:r>
        <w:r w:rsidR="009B1493">
          <w:rPr>
            <w:noProof/>
            <w:webHidden/>
          </w:rPr>
          <w:fldChar w:fldCharType="separate"/>
        </w:r>
        <w:r w:rsidR="001517D5">
          <w:rPr>
            <w:noProof/>
            <w:webHidden/>
          </w:rPr>
          <w:t>161</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6" w:history="1">
        <w:r w:rsidR="009B1493" w:rsidRPr="002449E6">
          <w:rPr>
            <w:rStyle w:val="Hyperlink"/>
            <w:rFonts w:eastAsia="MS PMincho"/>
            <w:b/>
            <w:noProof/>
          </w:rPr>
          <w:t xml:space="preserve">Table 4.3: </w:t>
        </w:r>
        <w:r w:rsidR="009B1493" w:rsidRPr="009B1493">
          <w:rPr>
            <w:rStyle w:val="Hyperlink"/>
            <w:rFonts w:eastAsia="MS PMincho"/>
            <w:noProof/>
          </w:rPr>
          <w:t>Map: of Uganda and Surrounding Countries (CIA 2005)</w:t>
        </w:r>
        <w:r w:rsidR="009B1493">
          <w:rPr>
            <w:noProof/>
            <w:webHidden/>
          </w:rPr>
          <w:tab/>
        </w:r>
        <w:r w:rsidR="009B1493">
          <w:rPr>
            <w:noProof/>
            <w:webHidden/>
          </w:rPr>
          <w:fldChar w:fldCharType="begin"/>
        </w:r>
        <w:r w:rsidR="009B1493">
          <w:rPr>
            <w:noProof/>
            <w:webHidden/>
          </w:rPr>
          <w:instrText xml:space="preserve"> PAGEREF _Toc450069826 \h </w:instrText>
        </w:r>
        <w:r w:rsidR="009B1493">
          <w:rPr>
            <w:noProof/>
            <w:webHidden/>
          </w:rPr>
        </w:r>
        <w:r w:rsidR="009B1493">
          <w:rPr>
            <w:noProof/>
            <w:webHidden/>
          </w:rPr>
          <w:fldChar w:fldCharType="separate"/>
        </w:r>
        <w:r w:rsidR="001517D5">
          <w:rPr>
            <w:noProof/>
            <w:webHidden/>
          </w:rPr>
          <w:t>166</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7" w:history="1">
        <w:r w:rsidR="009B1493" w:rsidRPr="002449E6">
          <w:rPr>
            <w:rStyle w:val="Hyperlink"/>
            <w:rFonts w:eastAsia="MS PMincho"/>
            <w:b/>
            <w:noProof/>
          </w:rPr>
          <w:t xml:space="preserve">Table 4.4: </w:t>
        </w:r>
        <w:r w:rsidR="009B1493" w:rsidRPr="009B1493">
          <w:rPr>
            <w:rStyle w:val="Hyperlink"/>
            <w:rFonts w:eastAsia="MS PMincho"/>
            <w:noProof/>
          </w:rPr>
          <w:t>Representativeness of Ugandan Case Study</w:t>
        </w:r>
        <w:r w:rsidR="009B1493">
          <w:rPr>
            <w:noProof/>
            <w:webHidden/>
          </w:rPr>
          <w:tab/>
        </w:r>
        <w:r w:rsidR="009B1493">
          <w:rPr>
            <w:noProof/>
            <w:webHidden/>
          </w:rPr>
          <w:fldChar w:fldCharType="begin"/>
        </w:r>
        <w:r w:rsidR="009B1493">
          <w:rPr>
            <w:noProof/>
            <w:webHidden/>
          </w:rPr>
          <w:instrText xml:space="preserve"> PAGEREF _Toc450069827 \h </w:instrText>
        </w:r>
        <w:r w:rsidR="009B1493">
          <w:rPr>
            <w:noProof/>
            <w:webHidden/>
          </w:rPr>
        </w:r>
        <w:r w:rsidR="009B1493">
          <w:rPr>
            <w:noProof/>
            <w:webHidden/>
          </w:rPr>
          <w:fldChar w:fldCharType="separate"/>
        </w:r>
        <w:r w:rsidR="001517D5">
          <w:rPr>
            <w:noProof/>
            <w:webHidden/>
          </w:rPr>
          <w:t>168</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8" w:history="1">
        <w:r w:rsidR="009B1493" w:rsidRPr="002449E6">
          <w:rPr>
            <w:rStyle w:val="Hyperlink"/>
            <w:rFonts w:eastAsia="MS PMincho"/>
            <w:b/>
            <w:noProof/>
          </w:rPr>
          <w:t xml:space="preserve">Table 4.5: </w:t>
        </w:r>
        <w:r w:rsidR="009B1493" w:rsidRPr="009B1493">
          <w:rPr>
            <w:rStyle w:val="Hyperlink"/>
            <w:rFonts w:eastAsia="MS PMincho"/>
            <w:noProof/>
          </w:rPr>
          <w:t>Sample Prompts for Country Director Interviews</w:t>
        </w:r>
        <w:r w:rsidR="009B1493">
          <w:rPr>
            <w:noProof/>
            <w:webHidden/>
          </w:rPr>
          <w:tab/>
        </w:r>
        <w:r w:rsidR="009B1493">
          <w:rPr>
            <w:noProof/>
            <w:webHidden/>
          </w:rPr>
          <w:fldChar w:fldCharType="begin"/>
        </w:r>
        <w:r w:rsidR="009B1493">
          <w:rPr>
            <w:noProof/>
            <w:webHidden/>
          </w:rPr>
          <w:instrText xml:space="preserve"> PAGEREF _Toc450069828 \h </w:instrText>
        </w:r>
        <w:r w:rsidR="009B1493">
          <w:rPr>
            <w:noProof/>
            <w:webHidden/>
          </w:rPr>
        </w:r>
        <w:r w:rsidR="009B1493">
          <w:rPr>
            <w:noProof/>
            <w:webHidden/>
          </w:rPr>
          <w:fldChar w:fldCharType="separate"/>
        </w:r>
        <w:r w:rsidR="001517D5">
          <w:rPr>
            <w:noProof/>
            <w:webHidden/>
          </w:rPr>
          <w:t>172</w:t>
        </w:r>
        <w:r w:rsidR="009B1493">
          <w:rPr>
            <w:noProof/>
            <w:webHidden/>
          </w:rPr>
          <w:fldChar w:fldCharType="end"/>
        </w:r>
      </w:hyperlink>
    </w:p>
    <w:p w:rsidR="009B1493" w:rsidRDefault="009B1493">
      <w:pPr>
        <w:pStyle w:val="TableofFigures"/>
        <w:tabs>
          <w:tab w:val="right" w:leader="dot" w:pos="8486"/>
        </w:tabs>
        <w:rPr>
          <w:rStyle w:val="Hyperlink"/>
          <w:rFonts w:eastAsia="MS PMincho"/>
          <w:noProof/>
        </w:rPr>
      </w:pPr>
    </w:p>
    <w:p w:rsidR="009B1493" w:rsidRDefault="00F43496">
      <w:pPr>
        <w:pStyle w:val="TableofFigures"/>
        <w:tabs>
          <w:tab w:val="right" w:leader="dot" w:pos="8486"/>
        </w:tabs>
        <w:rPr>
          <w:rFonts w:asciiTheme="minorHAnsi" w:eastAsiaTheme="minorEastAsia" w:hAnsiTheme="minorHAnsi" w:cstheme="minorBidi"/>
          <w:noProof/>
          <w:sz w:val="22"/>
          <w:szCs w:val="22"/>
        </w:rPr>
      </w:pPr>
      <w:hyperlink w:anchor="_Toc450069829" w:history="1">
        <w:r w:rsidR="009B1493" w:rsidRPr="002449E6">
          <w:rPr>
            <w:rStyle w:val="Hyperlink"/>
            <w:rFonts w:eastAsia="MS PMincho"/>
            <w:b/>
            <w:noProof/>
          </w:rPr>
          <w:t xml:space="preserve">Table 4.6: </w:t>
        </w:r>
        <w:r w:rsidR="009B1493" w:rsidRPr="009B1493">
          <w:rPr>
            <w:rStyle w:val="Hyperlink"/>
            <w:rFonts w:eastAsia="MS PMincho"/>
            <w:noProof/>
          </w:rPr>
          <w:t>Organization Linkage Characteristics</w:t>
        </w:r>
        <w:r w:rsidR="009B1493">
          <w:rPr>
            <w:noProof/>
            <w:webHidden/>
          </w:rPr>
          <w:tab/>
        </w:r>
        <w:r w:rsidR="009B1493">
          <w:rPr>
            <w:noProof/>
            <w:webHidden/>
          </w:rPr>
          <w:fldChar w:fldCharType="begin"/>
        </w:r>
        <w:r w:rsidR="009B1493">
          <w:rPr>
            <w:noProof/>
            <w:webHidden/>
          </w:rPr>
          <w:instrText xml:space="preserve"> PAGEREF _Toc450069829 \h </w:instrText>
        </w:r>
        <w:r w:rsidR="009B1493">
          <w:rPr>
            <w:noProof/>
            <w:webHidden/>
          </w:rPr>
        </w:r>
        <w:r w:rsidR="009B1493">
          <w:rPr>
            <w:noProof/>
            <w:webHidden/>
          </w:rPr>
          <w:fldChar w:fldCharType="separate"/>
        </w:r>
        <w:r w:rsidR="001517D5">
          <w:rPr>
            <w:noProof/>
            <w:webHidden/>
          </w:rPr>
          <w:t>175</w:t>
        </w:r>
        <w:r w:rsidR="009B1493">
          <w:rPr>
            <w:noProof/>
            <w:webHidden/>
          </w:rPr>
          <w:fldChar w:fldCharType="end"/>
        </w:r>
      </w:hyperlink>
    </w:p>
    <w:p w:rsidR="001630DC" w:rsidRPr="008D289A" w:rsidRDefault="001630DC" w:rsidP="008D289A">
      <w:pPr>
        <w:pStyle w:val="Subheading1"/>
        <w:jc w:val="left"/>
        <w:rPr>
          <w:sz w:val="24"/>
          <w:szCs w:val="24"/>
        </w:rPr>
      </w:pPr>
      <w:r w:rsidRPr="00711CD0">
        <w:fldChar w:fldCharType="end"/>
      </w:r>
      <w:r w:rsidRPr="006D4A11">
        <w:br w:type="page"/>
      </w:r>
      <w:bookmarkStart w:id="1" w:name="_Toc450079076"/>
      <w:r w:rsidRPr="008D289A">
        <w:rPr>
          <w:sz w:val="24"/>
          <w:szCs w:val="24"/>
        </w:rPr>
        <w:t>List of Figures</w:t>
      </w:r>
      <w:bookmarkEnd w:id="1"/>
    </w:p>
    <w:p w:rsidR="001630DC" w:rsidRDefault="001630DC" w:rsidP="001630DC"/>
    <w:p w:rsidR="001630DC" w:rsidRPr="00A43DB2" w:rsidRDefault="001630DC">
      <w:pPr>
        <w:pStyle w:val="TableofFigures"/>
        <w:tabs>
          <w:tab w:val="right" w:leader="dot" w:pos="8486"/>
        </w:tabs>
        <w:rPr>
          <w:rFonts w:ascii="Arial" w:eastAsia="MS PGothic" w:hAnsi="Arial"/>
          <w:noProof/>
        </w:rPr>
      </w:pPr>
      <w:r w:rsidRPr="00A43DB2">
        <w:fldChar w:fldCharType="begin"/>
      </w:r>
      <w:r w:rsidRPr="00A43DB2">
        <w:instrText xml:space="preserve"> TOC \h \z \c "Figure" </w:instrText>
      </w:r>
      <w:r w:rsidRPr="00A43DB2">
        <w:fldChar w:fldCharType="separate"/>
      </w:r>
      <w:r w:rsidRPr="009944D4">
        <w:rPr>
          <w:b/>
          <w:noProof/>
        </w:rPr>
        <w:t>Figure 2.1</w:t>
      </w:r>
      <w:r w:rsidRPr="00A43DB2">
        <w:rPr>
          <w:noProof/>
        </w:rPr>
        <w:t>: Map of Country Characteristics</w:t>
      </w:r>
      <w:r w:rsidRPr="00A43DB2">
        <w:rPr>
          <w:noProof/>
        </w:rPr>
        <w:tab/>
      </w:r>
      <w:r w:rsidRPr="00A43DB2">
        <w:rPr>
          <w:noProof/>
        </w:rPr>
        <w:fldChar w:fldCharType="begin"/>
      </w:r>
      <w:r w:rsidRPr="00A43DB2">
        <w:rPr>
          <w:noProof/>
        </w:rPr>
        <w:instrText xml:space="preserve"> PAGEREF _Toc318115835 \h </w:instrText>
      </w:r>
      <w:r w:rsidRPr="00A43DB2">
        <w:rPr>
          <w:noProof/>
        </w:rPr>
      </w:r>
      <w:r w:rsidRPr="00A43DB2">
        <w:rPr>
          <w:noProof/>
        </w:rPr>
        <w:fldChar w:fldCharType="separate"/>
      </w:r>
      <w:r w:rsidR="001517D5">
        <w:rPr>
          <w:noProof/>
        </w:rPr>
        <w:t>56</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4.1</w:t>
      </w:r>
      <w:r w:rsidRPr="00A43DB2">
        <w:rPr>
          <w:noProof/>
        </w:rPr>
        <w:t>: Centralized Priority and Communication Flows</w:t>
      </w:r>
      <w:r w:rsidRPr="00A43DB2">
        <w:rPr>
          <w:noProof/>
        </w:rPr>
        <w:tab/>
      </w:r>
      <w:r w:rsidRPr="00A43DB2">
        <w:rPr>
          <w:noProof/>
        </w:rPr>
        <w:fldChar w:fldCharType="begin"/>
      </w:r>
      <w:r w:rsidRPr="00A43DB2">
        <w:rPr>
          <w:noProof/>
        </w:rPr>
        <w:instrText xml:space="preserve"> PAGEREF _Toc318115837 \h </w:instrText>
      </w:r>
      <w:r w:rsidRPr="00A43DB2">
        <w:rPr>
          <w:noProof/>
        </w:rPr>
      </w:r>
      <w:r w:rsidRPr="00A43DB2">
        <w:rPr>
          <w:noProof/>
        </w:rPr>
        <w:fldChar w:fldCharType="separate"/>
      </w:r>
      <w:r w:rsidR="001517D5">
        <w:rPr>
          <w:noProof/>
        </w:rPr>
        <w:t>176</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4.2</w:t>
      </w:r>
      <w:r w:rsidRPr="00A43DB2">
        <w:rPr>
          <w:noProof/>
        </w:rPr>
        <w:t>: Federative Priority and Communication Flows</w:t>
      </w:r>
      <w:r w:rsidRPr="00A43DB2">
        <w:rPr>
          <w:noProof/>
        </w:rPr>
        <w:tab/>
      </w:r>
      <w:r w:rsidRPr="00A43DB2">
        <w:rPr>
          <w:noProof/>
        </w:rPr>
        <w:fldChar w:fldCharType="begin"/>
      </w:r>
      <w:r w:rsidRPr="00A43DB2">
        <w:rPr>
          <w:noProof/>
        </w:rPr>
        <w:instrText xml:space="preserve"> PAGEREF _Toc318115838 \h </w:instrText>
      </w:r>
      <w:r w:rsidRPr="00A43DB2">
        <w:rPr>
          <w:noProof/>
        </w:rPr>
      </w:r>
      <w:r w:rsidRPr="00A43DB2">
        <w:rPr>
          <w:noProof/>
        </w:rPr>
        <w:fldChar w:fldCharType="separate"/>
      </w:r>
      <w:r w:rsidR="001517D5">
        <w:rPr>
          <w:noProof/>
        </w:rPr>
        <w:t>180</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4.3</w:t>
      </w:r>
      <w:r w:rsidRPr="00A43DB2">
        <w:rPr>
          <w:noProof/>
        </w:rPr>
        <w:t>: Hybrid Priority and Communication Flows</w:t>
      </w:r>
      <w:r w:rsidRPr="00A43DB2">
        <w:rPr>
          <w:noProof/>
        </w:rPr>
        <w:tab/>
      </w:r>
      <w:r w:rsidRPr="00A43DB2">
        <w:rPr>
          <w:noProof/>
        </w:rPr>
        <w:fldChar w:fldCharType="begin"/>
      </w:r>
      <w:r w:rsidRPr="00A43DB2">
        <w:rPr>
          <w:noProof/>
        </w:rPr>
        <w:instrText xml:space="preserve"> PAGEREF _Toc318115839 \h </w:instrText>
      </w:r>
      <w:r w:rsidRPr="00A43DB2">
        <w:rPr>
          <w:noProof/>
        </w:rPr>
      </w:r>
      <w:r w:rsidRPr="00A43DB2">
        <w:rPr>
          <w:noProof/>
        </w:rPr>
        <w:fldChar w:fldCharType="separate"/>
      </w:r>
      <w:r w:rsidR="001517D5">
        <w:rPr>
          <w:noProof/>
        </w:rPr>
        <w:t>185</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4.4</w:t>
      </w:r>
      <w:r w:rsidRPr="00A43DB2">
        <w:rPr>
          <w:noProof/>
        </w:rPr>
        <w:t xml:space="preserve">: Predicted Organization Structure by Fit Adapted to </w:t>
      </w:r>
      <w:r>
        <w:rPr>
          <w:noProof/>
        </w:rPr>
        <w:t>TNGO</w:t>
      </w:r>
      <w:r w:rsidRPr="00A43DB2">
        <w:rPr>
          <w:noProof/>
        </w:rPr>
        <w:t>s</w:t>
      </w:r>
      <w:r w:rsidRPr="00A43DB2">
        <w:rPr>
          <w:noProof/>
        </w:rPr>
        <w:tab/>
      </w:r>
      <w:r w:rsidRPr="00A43DB2">
        <w:rPr>
          <w:noProof/>
        </w:rPr>
        <w:fldChar w:fldCharType="begin"/>
      </w:r>
      <w:r w:rsidRPr="00A43DB2">
        <w:rPr>
          <w:noProof/>
        </w:rPr>
        <w:instrText xml:space="preserve"> PAGEREF _Toc318115840 \h </w:instrText>
      </w:r>
      <w:r w:rsidRPr="00A43DB2">
        <w:rPr>
          <w:noProof/>
        </w:rPr>
      </w:r>
      <w:r w:rsidRPr="00A43DB2">
        <w:rPr>
          <w:noProof/>
        </w:rPr>
        <w:fldChar w:fldCharType="separate"/>
      </w:r>
      <w:r w:rsidR="001517D5">
        <w:rPr>
          <w:noProof/>
        </w:rPr>
        <w:t>193</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4.5</w:t>
      </w:r>
      <w:r w:rsidRPr="00A43DB2">
        <w:rPr>
          <w:noProof/>
        </w:rPr>
        <w:t>: MSF Advertisement in Washington DC (February 5, 2016)</w:t>
      </w:r>
      <w:r w:rsidRPr="00A43DB2">
        <w:rPr>
          <w:noProof/>
        </w:rPr>
        <w:tab/>
      </w:r>
      <w:r w:rsidRPr="00A43DB2">
        <w:rPr>
          <w:noProof/>
        </w:rPr>
        <w:fldChar w:fldCharType="begin"/>
      </w:r>
      <w:r w:rsidRPr="00A43DB2">
        <w:rPr>
          <w:noProof/>
        </w:rPr>
        <w:instrText xml:space="preserve"> PAGEREF _Toc318115841 \h </w:instrText>
      </w:r>
      <w:r w:rsidRPr="00A43DB2">
        <w:rPr>
          <w:noProof/>
        </w:rPr>
      </w:r>
      <w:r w:rsidRPr="00A43DB2">
        <w:rPr>
          <w:noProof/>
        </w:rPr>
        <w:fldChar w:fldCharType="separate"/>
      </w:r>
      <w:r w:rsidR="001517D5">
        <w:rPr>
          <w:noProof/>
        </w:rPr>
        <w:t>194</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4.6</w:t>
      </w:r>
      <w:r w:rsidRPr="00A43DB2">
        <w:rPr>
          <w:noProof/>
        </w:rPr>
        <w:t xml:space="preserve">: Structural Models for </w:t>
      </w:r>
      <w:r>
        <w:rPr>
          <w:noProof/>
        </w:rPr>
        <w:t>TNGO</w:t>
      </w:r>
      <w:r w:rsidRPr="00A43DB2">
        <w:rPr>
          <w:noProof/>
        </w:rPr>
        <w:t>s</w:t>
      </w:r>
      <w:r w:rsidRPr="00A43DB2">
        <w:rPr>
          <w:noProof/>
        </w:rPr>
        <w:tab/>
      </w:r>
      <w:r w:rsidRPr="00A43DB2">
        <w:rPr>
          <w:noProof/>
        </w:rPr>
        <w:fldChar w:fldCharType="begin"/>
      </w:r>
      <w:r w:rsidRPr="00A43DB2">
        <w:rPr>
          <w:noProof/>
        </w:rPr>
        <w:instrText xml:space="preserve"> PAGEREF _Toc318115842 \h </w:instrText>
      </w:r>
      <w:r w:rsidRPr="00A43DB2">
        <w:rPr>
          <w:noProof/>
        </w:rPr>
      </w:r>
      <w:r w:rsidRPr="00A43DB2">
        <w:rPr>
          <w:noProof/>
        </w:rPr>
        <w:fldChar w:fldCharType="separate"/>
      </w:r>
      <w:r w:rsidR="001517D5">
        <w:rPr>
          <w:noProof/>
        </w:rPr>
        <w:t>195</w:t>
      </w:r>
      <w:r w:rsidRPr="00A43DB2">
        <w:rPr>
          <w:noProof/>
        </w:rPr>
        <w:fldChar w:fldCharType="end"/>
      </w:r>
    </w:p>
    <w:p w:rsidR="009944D4" w:rsidRDefault="009944D4">
      <w:pPr>
        <w:pStyle w:val="TableofFigures"/>
        <w:tabs>
          <w:tab w:val="right" w:leader="dot" w:pos="8486"/>
        </w:tabs>
        <w:rPr>
          <w:noProof/>
        </w:rPr>
      </w:pPr>
    </w:p>
    <w:p w:rsidR="001630DC" w:rsidRPr="00A43DB2" w:rsidRDefault="001630DC">
      <w:pPr>
        <w:pStyle w:val="TableofFigures"/>
        <w:tabs>
          <w:tab w:val="right" w:leader="dot" w:pos="8486"/>
        </w:tabs>
        <w:rPr>
          <w:rFonts w:ascii="Arial" w:eastAsia="MS PGothic" w:hAnsi="Arial"/>
          <w:noProof/>
        </w:rPr>
      </w:pPr>
      <w:r w:rsidRPr="009944D4">
        <w:rPr>
          <w:b/>
          <w:noProof/>
        </w:rPr>
        <w:t>Figure 4.4</w:t>
      </w:r>
      <w:r>
        <w:rPr>
          <w:noProof/>
        </w:rPr>
        <w:t xml:space="preserve"> </w:t>
      </w:r>
      <w:r w:rsidRPr="00A43DB2">
        <w:rPr>
          <w:noProof/>
        </w:rPr>
        <w:t xml:space="preserve">: Predicted Organization Structure by Fit Adapted to </w:t>
      </w:r>
      <w:r>
        <w:rPr>
          <w:noProof/>
        </w:rPr>
        <w:t>TNGO</w:t>
      </w:r>
      <w:r w:rsidRPr="00A43DB2">
        <w:rPr>
          <w:noProof/>
        </w:rPr>
        <w:t>s</w:t>
      </w:r>
      <w:r w:rsidRPr="00A43DB2">
        <w:rPr>
          <w:noProof/>
        </w:rPr>
        <w:tab/>
      </w:r>
      <w:r w:rsidRPr="00A43DB2">
        <w:rPr>
          <w:noProof/>
        </w:rPr>
        <w:fldChar w:fldCharType="begin"/>
      </w:r>
      <w:r w:rsidRPr="00A43DB2">
        <w:rPr>
          <w:noProof/>
        </w:rPr>
        <w:instrText xml:space="preserve"> PAGEREF _Toc318115843 \h </w:instrText>
      </w:r>
      <w:r w:rsidRPr="00A43DB2">
        <w:rPr>
          <w:noProof/>
        </w:rPr>
      </w:r>
      <w:r w:rsidRPr="00A43DB2">
        <w:rPr>
          <w:noProof/>
        </w:rPr>
        <w:fldChar w:fldCharType="separate"/>
      </w:r>
      <w:r w:rsidR="001517D5">
        <w:rPr>
          <w:noProof/>
        </w:rPr>
        <w:t>220</w:t>
      </w:r>
      <w:r w:rsidRPr="00A43DB2">
        <w:rPr>
          <w:noProof/>
        </w:rPr>
        <w:fldChar w:fldCharType="end"/>
      </w:r>
    </w:p>
    <w:p w:rsidR="001630DC" w:rsidRPr="00A43DB2" w:rsidRDefault="001630DC" w:rsidP="001630DC">
      <w:r w:rsidRPr="00A43DB2">
        <w:rPr>
          <w:szCs w:val="24"/>
        </w:rPr>
        <w:fldChar w:fldCharType="end"/>
      </w:r>
    </w:p>
    <w:p w:rsidR="001630DC" w:rsidRPr="005747D9" w:rsidRDefault="001630DC" w:rsidP="001630DC">
      <w:pPr>
        <w:pStyle w:val="Heading2"/>
        <w:rPr>
          <w:b/>
          <w:color w:val="auto"/>
        </w:rPr>
      </w:pPr>
      <w:r w:rsidRPr="005747D9">
        <w:rPr>
          <w:b/>
          <w:color w:val="auto"/>
        </w:rPr>
        <w:br w:type="page"/>
      </w:r>
      <w:bookmarkStart w:id="2" w:name="_Toc450079077"/>
      <w:r w:rsidRPr="005747D9">
        <w:rPr>
          <w:b/>
          <w:color w:val="auto"/>
        </w:rPr>
        <w:t>Abstract</w:t>
      </w:r>
      <w:bookmarkEnd w:id="2"/>
    </w:p>
    <w:p w:rsidR="001630DC" w:rsidRDefault="001630DC" w:rsidP="001630DC"/>
    <w:p w:rsidR="001630DC" w:rsidRPr="00C07AC8" w:rsidRDefault="001630DC" w:rsidP="001630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rFonts w:cs="Shruti"/>
        </w:rPr>
      </w:pPr>
      <w:r w:rsidRPr="00C07AC8">
        <w:rPr>
          <w:rFonts w:cs="Shruti"/>
        </w:rPr>
        <w:tab/>
        <w:t>This dissertation advances our understanding of how U.S.-based transnational no</w:t>
      </w:r>
      <w:r w:rsidR="009944D4">
        <w:rPr>
          <w:rFonts w:cs="Shruti"/>
        </w:rPr>
        <w:t>ngo</w:t>
      </w:r>
      <w:r w:rsidRPr="00C07AC8">
        <w:rPr>
          <w:rFonts w:cs="Shruti"/>
        </w:rPr>
        <w:t>vernmental organizations (</w:t>
      </w:r>
      <w:r>
        <w:rPr>
          <w:rFonts w:cs="Shruti"/>
        </w:rPr>
        <w:t>TNGO</w:t>
      </w:r>
      <w:r w:rsidRPr="00C07AC8">
        <w:rPr>
          <w:rFonts w:cs="Shruti"/>
        </w:rPr>
        <w:t xml:space="preserve">s) with international scopes of work navigate decision-making related to country-level location choices. It accomplishes this by conducting a comparative cross-sector and multinational examination of 554 organizations across 194 countries between 2008 and 2012. It proposes that location selection is a more complex process than existing theories allow and hypothesizes that organizations are influenced by both internal and external factors beyond resources. By examining the political, economic, and organizational factors that influence location decisions, it systematically tests existing theoretical explanations for nonprofit location while also expanding the scope cases in public administration and nonprofit studies. It finds evidence that 1) country characteristics make a location more or less attractive, particularly the political and operating environments; 2) U.S. government attention to a country differentially impacts the presence of U.S. based </w:t>
      </w:r>
      <w:r>
        <w:rPr>
          <w:rFonts w:cs="Shruti"/>
        </w:rPr>
        <w:t>TNGO</w:t>
      </w:r>
      <w:r w:rsidRPr="00C07AC8">
        <w:rPr>
          <w:rFonts w:cs="Shruti"/>
        </w:rPr>
        <w:t xml:space="preserve">s in that country if they already receive government support; 3) the type of work in which an </w:t>
      </w:r>
      <w:r>
        <w:rPr>
          <w:rFonts w:cs="Shruti"/>
        </w:rPr>
        <w:t>TNGO</w:t>
      </w:r>
      <w:r w:rsidRPr="00C07AC8">
        <w:rPr>
          <w:rFonts w:cs="Shruti"/>
        </w:rPr>
        <w:t xml:space="preserve"> engages influences how it sets and communicates location priorities.</w:t>
      </w:r>
    </w:p>
    <w:p w:rsidR="001630DC" w:rsidRDefault="001630DC" w:rsidP="001630DC"/>
    <w:p w:rsidR="001630DC" w:rsidRDefault="001630DC" w:rsidP="001630DC"/>
    <w:p w:rsidR="001630DC" w:rsidRPr="00836DDB" w:rsidRDefault="001630DC" w:rsidP="001630DC">
      <w:pPr>
        <w:pStyle w:val="Heading1"/>
        <w:sectPr w:rsidR="001630DC" w:rsidRPr="00836DDB" w:rsidSect="00B97971">
          <w:footerReference w:type="default" r:id="rId8"/>
          <w:pgSz w:w="12240" w:h="15840"/>
          <w:pgMar w:top="1440" w:right="1440" w:bottom="1440" w:left="2304" w:header="720" w:footer="720" w:gutter="0"/>
          <w:pgNumType w:fmt="lowerRoman" w:start="4"/>
          <w:cols w:space="720"/>
        </w:sectPr>
      </w:pPr>
    </w:p>
    <w:p w:rsidR="001630DC" w:rsidRPr="006816F9" w:rsidRDefault="001630DC" w:rsidP="006816F9">
      <w:pPr>
        <w:pStyle w:val="Heading1"/>
        <w:numPr>
          <w:ilvl w:val="0"/>
          <w:numId w:val="35"/>
        </w:numPr>
        <w:rPr>
          <w:b/>
          <w:color w:val="000000" w:themeColor="text1"/>
          <w:sz w:val="28"/>
          <w:szCs w:val="28"/>
        </w:rPr>
      </w:pPr>
      <w:bookmarkStart w:id="3" w:name="_Toc450079078"/>
      <w:r w:rsidRPr="006816F9">
        <w:rPr>
          <w:b/>
          <w:color w:val="000000" w:themeColor="text1"/>
          <w:sz w:val="28"/>
          <w:szCs w:val="28"/>
        </w:rPr>
        <w:t>: Introduction</w:t>
      </w:r>
      <w:bookmarkEnd w:id="3"/>
    </w:p>
    <w:p w:rsidR="00E203F8" w:rsidRDefault="00E203F8" w:rsidP="00E203F8">
      <w:pPr>
        <w:spacing w:line="480" w:lineRule="auto"/>
        <w:rPr>
          <w:szCs w:val="24"/>
        </w:rPr>
      </w:pPr>
    </w:p>
    <w:p w:rsidR="001630DC" w:rsidRDefault="001630DC" w:rsidP="00E203F8">
      <w:pPr>
        <w:pStyle w:val="Heading2"/>
        <w:numPr>
          <w:ilvl w:val="0"/>
          <w:numId w:val="0"/>
        </w:numPr>
        <w:jc w:val="center"/>
        <w:rPr>
          <w:b/>
          <w:color w:val="auto"/>
          <w:sz w:val="24"/>
          <w:szCs w:val="24"/>
        </w:rPr>
      </w:pPr>
      <w:bookmarkStart w:id="4" w:name="_Toc450079079"/>
      <w:r w:rsidRPr="00A279DA">
        <w:rPr>
          <w:b/>
          <w:color w:val="auto"/>
          <w:sz w:val="24"/>
          <w:szCs w:val="24"/>
        </w:rPr>
        <w:t>1.1</w:t>
      </w:r>
      <w:r>
        <w:rPr>
          <w:b/>
          <w:color w:val="auto"/>
          <w:sz w:val="24"/>
          <w:szCs w:val="24"/>
        </w:rPr>
        <w:t>:</w:t>
      </w:r>
      <w:r w:rsidRPr="00A279DA">
        <w:rPr>
          <w:b/>
          <w:color w:val="auto"/>
          <w:sz w:val="24"/>
          <w:szCs w:val="24"/>
        </w:rPr>
        <w:t xml:space="preserve"> Research Problem</w:t>
      </w:r>
      <w:bookmarkEnd w:id="4"/>
    </w:p>
    <w:p w:rsidR="00E203F8" w:rsidRPr="00E203F8" w:rsidRDefault="00E203F8" w:rsidP="00E203F8"/>
    <w:p w:rsidR="001630DC" w:rsidRPr="007D264A" w:rsidRDefault="001630DC" w:rsidP="001630DC"/>
    <w:p w:rsidR="009944D4" w:rsidRPr="00836DDB" w:rsidRDefault="009944D4" w:rsidP="009944D4">
      <w:pPr>
        <w:spacing w:line="480" w:lineRule="auto"/>
        <w:ind w:firstLine="720"/>
        <w:rPr>
          <w:szCs w:val="24"/>
        </w:rPr>
      </w:pPr>
      <w:bookmarkStart w:id="5" w:name="_Toc318117634"/>
      <w:r w:rsidRPr="00836DDB">
        <w:rPr>
          <w:szCs w:val="24"/>
        </w:rPr>
        <w:t xml:space="preserve">This dissertation examines the impact of political, economic, and organizational factors on the location of </w:t>
      </w:r>
      <w:r>
        <w:rPr>
          <w:szCs w:val="24"/>
        </w:rPr>
        <w:t>U.S.-based</w:t>
      </w:r>
      <w:r w:rsidRPr="00836DDB">
        <w:rPr>
          <w:szCs w:val="24"/>
        </w:rPr>
        <w:t xml:space="preserve"> international nonprofits, or transnational nongovernmental organizations (TNGOs), from 2008 to 2012. Over the past three decades, the nonprofit sector has proliferated both in the number of organizations and the number of dollars flowing into it. </w:t>
      </w:r>
      <w:r w:rsidR="006A6BB0">
        <w:rPr>
          <w:szCs w:val="24"/>
        </w:rPr>
        <w:t>From</w:t>
      </w:r>
      <w:r w:rsidRPr="00836DDB">
        <w:rPr>
          <w:szCs w:val="24"/>
        </w:rPr>
        <w:t xml:space="preserve"> 2002 </w:t>
      </w:r>
      <w:r w:rsidR="006A6BB0">
        <w:rPr>
          <w:szCs w:val="24"/>
        </w:rPr>
        <w:t>to</w:t>
      </w:r>
      <w:r w:rsidRPr="00836DDB">
        <w:rPr>
          <w:szCs w:val="24"/>
        </w:rPr>
        <w:t xml:space="preserve"> 2012, the number of nonprofits in the U.S. grew from 1.32 million to 1.44 million, a growth rate of 8.6 percent that accounted for 5.6 percent of the U.S. economy in 2014 </w:t>
      </w:r>
      <w:r>
        <w:rPr>
          <w:szCs w:val="24"/>
        </w:rPr>
        <w:fldChar w:fldCharType="begin"/>
      </w:r>
      <w:r>
        <w:rPr>
          <w:szCs w:val="24"/>
        </w:rPr>
        <w:instrText xml:space="preserve"> ADDIN ZOTERO_ITEM CSL_CITATION {"citationID":"1xWWcYow","properties":{"formattedCitation":"(McKeever and Pettijohn 2014)","plainCitation":"(McKeever and Pettijohn 2014)"},"citationItems":[{"id":3549,"uris":["http://zotero.org/users/381007/items/FMU5MIQ3"],"uri":["http://zotero.org/users/381007/items/FMU5MIQ3"],"itemData":{"id":3549,"type":"article-journal","title":"The Nonprofit Sector in Brief 2014","container-title":"Washington, DC: Urban Institute","source":"Google Scholar","URL":"http://www.urban.org/sites/default/files/alfresco/publication-pdfs/413277-The-Nonprofit-Sector-in-Brief--.PDF?RSSFeed=UI_CenteronNonprofitsandPhilanthropy.xml","author":[{"family":"McKeever","given":"Brice S."},{"family":"Pettijohn","given":"Sarah L."}],"issued":{"date-parts":[["2014"]]},"accessed":{"date-parts":[["2015",9,16]]}}}],"schema":"https://github.com/citation-style-language/schema/raw/master/csl-citation.json"} </w:instrText>
      </w:r>
      <w:r>
        <w:rPr>
          <w:szCs w:val="24"/>
        </w:rPr>
        <w:fldChar w:fldCharType="separate"/>
      </w:r>
      <w:r w:rsidRPr="00836DDB">
        <w:rPr>
          <w:noProof/>
          <w:szCs w:val="24"/>
        </w:rPr>
        <w:t>(McKeever and Pettijohn 2014)</w:t>
      </w:r>
      <w:r>
        <w:rPr>
          <w:szCs w:val="24"/>
        </w:rPr>
        <w:fldChar w:fldCharType="end"/>
      </w:r>
      <w:r w:rsidRPr="00836DDB">
        <w:rPr>
          <w:szCs w:val="24"/>
        </w:rPr>
        <w:t>. Explanations for such rapid growth of the nonprofit sector has centered on the hollow state and the subsequent devolution of authority</w:t>
      </w:r>
      <w:r w:rsidR="006F55C2">
        <w:rPr>
          <w:szCs w:val="24"/>
        </w:rPr>
        <w:t xml:space="preserve"> (Salamon 1994; Milward and Provan 2000; Moulton and Eckerd 2012). </w:t>
      </w:r>
      <w:r w:rsidRPr="00836DDB">
        <w:rPr>
          <w:szCs w:val="24"/>
        </w:rPr>
        <w:t xml:space="preserve">Such a downward movement of authority in some instances is motivated by a greater desire for efficiency or expertise in the provision of public benefit services, resulting in increased opportunities for nonprofits in the form of grants and contracts. In other instances, opportunities for the sector have stemmed from budget cuts or shortfalls as elected officials still seek to fulfill the wants of the majority. At the same time, nonprofit growth is also driven by the needs of minority populations excluded from the mainstream by the majority in democracy, for which nonprofits may receive private or government support. Lastly, economic booms not only create higher levels of private revenue available to nonprofit organizations as grants, but also drive greater activity among individual philanthropists through their own 501(c)(3) foundations. </w:t>
      </w:r>
    </w:p>
    <w:p w:rsidR="009944D4" w:rsidRPr="00836DDB" w:rsidRDefault="009944D4" w:rsidP="009944D4">
      <w:pPr>
        <w:spacing w:line="480" w:lineRule="auto"/>
        <w:ind w:firstLine="720"/>
        <w:rPr>
          <w:szCs w:val="24"/>
        </w:rPr>
      </w:pPr>
      <w:r w:rsidRPr="00836DDB">
        <w:rPr>
          <w:szCs w:val="24"/>
        </w:rPr>
        <w:t>This upward trend has been consiste</w:t>
      </w:r>
      <w:r w:rsidR="00877EED">
        <w:rPr>
          <w:szCs w:val="24"/>
        </w:rPr>
        <w:t xml:space="preserve">nt over the past three decades </w:t>
      </w:r>
      <w:r w:rsidRPr="00836DDB">
        <w:rPr>
          <w:szCs w:val="24"/>
        </w:rPr>
        <w:t xml:space="preserve">and is not confined to only those organizations conducting work domestically. International nonprofits have undergone the same phenomenon. For those operating transnationally, the causes of growth are attributed to weak states, shifts in political and donor agendas, and an atmosphere that favors non-state providers for reasons of credibility and accountability over aid delivered directly through government </w:t>
      </w:r>
      <w:r>
        <w:rPr>
          <w:szCs w:val="24"/>
        </w:rPr>
        <w:fldChar w:fldCharType="begin"/>
      </w:r>
      <w:r>
        <w:rPr>
          <w:szCs w:val="24"/>
        </w:rPr>
        <w:instrText xml:space="preserve"> ADDIN ZOTERO_ITEM CSL_CITATION {"citationID":"SOogIdIg","properties":{"formattedCitation":"(Edwards and Hulme 1996a; Fisher, Julie 1998; Lindenberg and Dobel 1999)","plainCitation":"(Edwards and Hulme 1996a; Fisher, Julie 1998; Lindenberg and Dobel 1999)"},"citationItems":[{"id":3159,"uris":["http://zotero.org/users/381007/items/E8SBU3U8"],"uri":["http://zotero.org/users/381007/items/E8SBU3U8"],"itemData":{"id":3159,"type":"chapter","title":"Beyond the Magic Bullet?  Lessons and Conclusions","container-title":"Beyond the Magic Bullet: NGO Performance and Accountability in the Post-Cold War World","publisher":"Kumarian Press","page":"254-266","abstract":"NGOs will always remain accountable to donors and supporters, as well as to partenrs, and to some extent their beneficiaries.  Official aid agencies may move twoard less linear approaches to development, but will have to satisfy demand for results from politicians.  Many NGOs choose to work across national boudnaries, sectors of work,s ervice delivery, and other approaches to development, they don't see those choices as mutually exclusive.  These are management issues rather than issues of principle.. poss to remain operationally accountable to govs in terms of use of funds yet remain accountable to low income communities in which the NGO works as well.","author":[{"family":"Edwards","given":"Michael"},{"family":"Hulme","given":"David"}],"editor":[{"family":"Edwards","given":"Michael"},{"family":"Hulme","given":"David"}],"issued":{"date-parts":[["1996"]]}}},{"id":430,"uris":["http://zotero.org/users/381007/items/2WWNHG74"],"uri":["http://zotero.org/users/381007/items/2WWNHG74"],"itemData":{"id":430,"type":"book","title":"Nongovernments: NGOs and the Political Development of the Third World","publisher":"Kumarian press","publisher-place":"West Hartford","event-place":"West Hartford","author":[{"family":"Fisher, Julie","given":""}],"issued":{"date-parts":[["1998"]]}}},{"id":835,"uris":["http://zotero.org/users/381007/items/E89UBN9D"],"uri":["http://zotero.org/users/381007/items/E89UBN9D"],"itemData":{"id":835,"type":"article-journal","title":"The Challenges of Globalization for Northern International Relief and Development NGOs","container-title":"Nonprofit and Voluntary Sector Quarterly","page":"4-24","volume":"28","issue":"4","abstract":"The decline of state capacity, changes in the global economy, and the end of the Cold War has changed the NGO environment, forcing them to face the challenges of globalization.","author":[{"family":"Lindenberg","given":"Marc"},{"family":"Dobel","given":"J. Patrick"}],"issued":{"date-parts":[["1999"]]}}}],"schema":"https://github.com/citation-style-language/schema/raw/master/csl-citation.json"} </w:instrText>
      </w:r>
      <w:r>
        <w:rPr>
          <w:szCs w:val="24"/>
        </w:rPr>
        <w:fldChar w:fldCharType="separate"/>
      </w:r>
      <w:r w:rsidRPr="004671BA">
        <w:t>(Ed</w:t>
      </w:r>
      <w:r>
        <w:t xml:space="preserve">wards and Hulme 1996a; Fisher </w:t>
      </w:r>
      <w:r w:rsidRPr="004671BA">
        <w:t>1998; Lindenberg and Dobel 1999)</w:t>
      </w:r>
      <w:r>
        <w:rPr>
          <w:szCs w:val="24"/>
        </w:rPr>
        <w:fldChar w:fldCharType="end"/>
      </w:r>
      <w:r w:rsidRPr="00836DDB">
        <w:rPr>
          <w:szCs w:val="24"/>
        </w:rPr>
        <w:t xml:space="preserve">. These explanations may be applied to the domestic and international spheres with certain caveats, yet the logistical, operational, and political environments that international nonprofits face make them worthy of study in their own right. Still, the literature on nonprofits channels much of its energy toward domestic case studies while the literature on </w:t>
      </w:r>
      <w:r>
        <w:rPr>
          <w:szCs w:val="24"/>
        </w:rPr>
        <w:t>T</w:t>
      </w:r>
      <w:r w:rsidRPr="00836DDB">
        <w:rPr>
          <w:szCs w:val="24"/>
        </w:rPr>
        <w:t xml:space="preserve">NGOs lacks attention to organizational dynamics and operations. This is a missed opportunity on two levels. First, the lack of international cases limits the generalizability of existing research in the field of nonprofit studies. </w:t>
      </w:r>
      <w:r w:rsidRPr="00A279DA">
        <w:rPr>
          <w:szCs w:val="24"/>
        </w:rPr>
        <w:t xml:space="preserve">Second, the internal dynamics of an organization should also be considered in examinations of the roles of </w:t>
      </w:r>
      <w:r>
        <w:rPr>
          <w:szCs w:val="24"/>
        </w:rPr>
        <w:t>T</w:t>
      </w:r>
      <w:r w:rsidRPr="00A279DA">
        <w:rPr>
          <w:szCs w:val="24"/>
        </w:rPr>
        <w:t>NGOs and the environments in which they operate.</w:t>
      </w:r>
      <w:r w:rsidRPr="00836DDB">
        <w:rPr>
          <w:szCs w:val="24"/>
        </w:rPr>
        <w:t xml:space="preserve"> </w:t>
      </w:r>
    </w:p>
    <w:p w:rsidR="009944D4" w:rsidRPr="00836DDB" w:rsidRDefault="009944D4" w:rsidP="009944D4">
      <w:pPr>
        <w:spacing w:line="480" w:lineRule="auto"/>
        <w:ind w:firstLine="720"/>
        <w:rPr>
          <w:szCs w:val="24"/>
        </w:rPr>
      </w:pPr>
      <w:r w:rsidRPr="00836DDB">
        <w:rPr>
          <w:szCs w:val="24"/>
        </w:rPr>
        <w:t xml:space="preserve">In both categories of organization, nonprofits are widely viewed as more efficient, more accountable, and more adaptable and effective than government. Consequently, a great deal of attention has been paid to the scope of their work, what they do, rather than where they do it. This is a second missed opportunity in the study of nonprofits, and in this case international nonprofits specifically. As the number of international nonprofits continues to rise, what explains where they target their efforts geographically? Why and how do they make these decisions? Where nonprofits work is as important if not as controversial as what they do. This dissertation answers the question of location, investigating how conditions in the U.S. and host countries impact decision-making and location patterns among </w:t>
      </w:r>
      <w:r>
        <w:rPr>
          <w:szCs w:val="24"/>
        </w:rPr>
        <w:t>U.S.-based</w:t>
      </w:r>
      <w:r w:rsidRPr="00836DDB">
        <w:rPr>
          <w:szCs w:val="24"/>
        </w:rPr>
        <w:t xml:space="preserve"> </w:t>
      </w:r>
      <w:r>
        <w:rPr>
          <w:szCs w:val="24"/>
        </w:rPr>
        <w:t>TNGO</w:t>
      </w:r>
      <w:r w:rsidRPr="00836DDB">
        <w:rPr>
          <w:szCs w:val="24"/>
        </w:rPr>
        <w:t xml:space="preserve">s. By doing so, it addresses the theoretical debate about </w:t>
      </w:r>
      <w:r w:rsidRPr="00E43BCF">
        <w:rPr>
          <w:szCs w:val="24"/>
        </w:rPr>
        <w:t>the publicness</w:t>
      </w:r>
      <w:r w:rsidRPr="00836DDB">
        <w:rPr>
          <w:szCs w:val="24"/>
        </w:rPr>
        <w:t xml:space="preserve"> of </w:t>
      </w:r>
      <w:r>
        <w:rPr>
          <w:szCs w:val="24"/>
        </w:rPr>
        <w:t>TNGO</w:t>
      </w:r>
      <w:r w:rsidRPr="00836DDB">
        <w:rPr>
          <w:szCs w:val="24"/>
        </w:rPr>
        <w:t xml:space="preserve">s and the demands placed on them, and practitioner oriented discussions about </w:t>
      </w:r>
      <w:r w:rsidR="006F55C2">
        <w:rPr>
          <w:szCs w:val="24"/>
        </w:rPr>
        <w:t>upholding both financial and mission-related obligations</w:t>
      </w:r>
      <w:r w:rsidRPr="00836DDB">
        <w:rPr>
          <w:szCs w:val="24"/>
        </w:rPr>
        <w:t>, networks, and competition versus collaboration. Finally, this dissertation contributes to the field of public administration and nonprofit studies by systematically testing existing explanations of location, including need, convenience, and resources.</w:t>
      </w:r>
    </w:p>
    <w:p w:rsidR="009944D4" w:rsidRPr="00836DDB" w:rsidRDefault="009944D4" w:rsidP="009944D4">
      <w:pPr>
        <w:spacing w:line="480" w:lineRule="auto"/>
        <w:ind w:firstLine="720"/>
        <w:rPr>
          <w:szCs w:val="24"/>
        </w:rPr>
      </w:pPr>
      <w:r w:rsidRPr="00836DDB">
        <w:rPr>
          <w:szCs w:val="24"/>
        </w:rPr>
        <w:t xml:space="preserve">Understanding </w:t>
      </w:r>
      <w:r>
        <w:rPr>
          <w:szCs w:val="24"/>
        </w:rPr>
        <w:t>TNGO</w:t>
      </w:r>
      <w:r w:rsidRPr="00836DDB">
        <w:rPr>
          <w:szCs w:val="24"/>
        </w:rPr>
        <w:t xml:space="preserve"> location is important for a number of reasons. Knowing where </w:t>
      </w:r>
      <w:r>
        <w:rPr>
          <w:szCs w:val="24"/>
        </w:rPr>
        <w:t>TNGO</w:t>
      </w:r>
      <w:r w:rsidRPr="00836DDB">
        <w:rPr>
          <w:szCs w:val="24"/>
        </w:rPr>
        <w:t xml:space="preserve">s go helps policymakers and donors comprehend the goals and operations of </w:t>
      </w:r>
      <w:r>
        <w:rPr>
          <w:szCs w:val="24"/>
        </w:rPr>
        <w:t>TNGO</w:t>
      </w:r>
      <w:r w:rsidRPr="00836DDB">
        <w:rPr>
          <w:szCs w:val="24"/>
        </w:rPr>
        <w:t>s, who they target, and what they prioritize. It may also help scholars to account for the competing forces that influence the geographic distribution of such organizations beyond the most common donor-centered explanations. Despite this, the existing literature leaves location largely unexplored and that which does focus on it does so by examining single large organizations or sectors as case studies</w:t>
      </w:r>
      <w:r w:rsidRPr="00836DDB">
        <w:rPr>
          <w:rStyle w:val="FootnoteReference"/>
          <w:szCs w:val="24"/>
        </w:rPr>
        <w:footnoteReference w:id="1"/>
      </w:r>
      <w:r w:rsidRPr="00836DDB">
        <w:rPr>
          <w:szCs w:val="24"/>
        </w:rPr>
        <w:t xml:space="preserve">, ultimately endangering generalizability. Few have approached </w:t>
      </w:r>
      <w:r>
        <w:rPr>
          <w:szCs w:val="24"/>
        </w:rPr>
        <w:t>TNGO</w:t>
      </w:r>
      <w:r w:rsidRPr="00836DDB">
        <w:rPr>
          <w:szCs w:val="24"/>
        </w:rPr>
        <w:t>s from a comparative perspective, which is a missed opportunity because it frames location through a cro</w:t>
      </w:r>
      <w:r w:rsidR="001A1CBE">
        <w:rPr>
          <w:szCs w:val="24"/>
        </w:rPr>
        <w:t xml:space="preserve">ss-sector multi-country lens. Another </w:t>
      </w:r>
      <w:r w:rsidRPr="00836DDB">
        <w:rPr>
          <w:szCs w:val="24"/>
        </w:rPr>
        <w:t xml:space="preserve">missed opportunity is the lack of attention to </w:t>
      </w:r>
      <w:r>
        <w:rPr>
          <w:szCs w:val="24"/>
        </w:rPr>
        <w:t>TNGO</w:t>
      </w:r>
      <w:r w:rsidRPr="00836DDB">
        <w:rPr>
          <w:szCs w:val="24"/>
        </w:rPr>
        <w:t xml:space="preserve">s in the field of Public Administration and nonprofit studies more broadly, both of which are dominated by domestic cases. </w:t>
      </w:r>
    </w:p>
    <w:p w:rsidR="009944D4" w:rsidRDefault="009944D4" w:rsidP="009944D4">
      <w:pPr>
        <w:spacing w:line="480" w:lineRule="auto"/>
        <w:ind w:firstLine="720"/>
        <w:rPr>
          <w:szCs w:val="24"/>
        </w:rPr>
      </w:pPr>
      <w:r w:rsidRPr="00836DDB">
        <w:rPr>
          <w:szCs w:val="24"/>
        </w:rPr>
        <w:t xml:space="preserve">In order to address these gaps in the literature, this dissertation aims to synthesize </w:t>
      </w:r>
      <w:r>
        <w:rPr>
          <w:szCs w:val="24"/>
        </w:rPr>
        <w:t>TNGO</w:t>
      </w:r>
      <w:r w:rsidRPr="00836DDB">
        <w:rPr>
          <w:szCs w:val="24"/>
        </w:rPr>
        <w:t xml:space="preserve"> scholarship from other fields and to undertake a cross-sector multi-country study of </w:t>
      </w:r>
      <w:r>
        <w:rPr>
          <w:szCs w:val="24"/>
        </w:rPr>
        <w:t>U.S.-based</w:t>
      </w:r>
      <w:r w:rsidRPr="00836DDB">
        <w:rPr>
          <w:szCs w:val="24"/>
        </w:rPr>
        <w:t xml:space="preserve"> </w:t>
      </w:r>
      <w:r>
        <w:rPr>
          <w:szCs w:val="24"/>
        </w:rPr>
        <w:t>TNGO</w:t>
      </w:r>
      <w:r w:rsidRPr="00836DDB">
        <w:rPr>
          <w:szCs w:val="24"/>
        </w:rPr>
        <w:t xml:space="preserve">s that maintain a presence abroad through staff or infrastructure. </w:t>
      </w:r>
      <w:r>
        <w:rPr>
          <w:szCs w:val="24"/>
        </w:rPr>
        <w:t>TNGO</w:t>
      </w:r>
      <w:r w:rsidRPr="00836DDB">
        <w:rPr>
          <w:szCs w:val="24"/>
        </w:rPr>
        <w:t xml:space="preserve">s are understood using the legal definition of 501(c)(3) status and identified through the National Center for Charitable Statistics (NCCS). Such organizations are an ideal opportunity to investigate location because of the size, impact, and significance of </w:t>
      </w:r>
      <w:r>
        <w:rPr>
          <w:szCs w:val="24"/>
        </w:rPr>
        <w:t>U.S.-based</w:t>
      </w:r>
      <w:r w:rsidRPr="00836DDB">
        <w:rPr>
          <w:szCs w:val="24"/>
        </w:rPr>
        <w:t xml:space="preserve"> entities in the international sector </w:t>
      </w:r>
      <w:r>
        <w:rPr>
          <w:szCs w:val="24"/>
        </w:rPr>
        <w:fldChar w:fldCharType="begin"/>
      </w:r>
      <w:r>
        <w:rPr>
          <w:szCs w:val="24"/>
        </w:rPr>
        <w:instrText xml:space="preserve"> ADDIN ZOTERO_ITEM CSL_CITATION {"citationID":"DHy2PxKM","properties":{"formattedCitation":"(Mitchell 2012b)","plainCitation":"(Mitchell 2012b)"},"citationItems":[{"id":514,"uris":["http://zotero.org/users/381007/items/57VNBUZ6"],"uri":["http://zotero.org/users/381007/items/57VNBUZ6"],"itemData":{"id":514,"type":"article-journal","title":"The Construct of Organizational Effectiveness: Perspectives From Leaders of International Nonprofits in the United States","container-title":"Nonprofit and Voluntary Sector Quarterly","page":"324-345","volume":"42","issue":"2","abstract":"RQ: How do we best define organizational effectiveness in the nonprofit sector?\n\nFinds two main types of organizational effectiveness using latent class analysis: outcome accountability (promise-keeping, goal attainment) and overhead minimization (financial themes). Although larger orgaiations tend to identify overhead minimization as the definition of effectiveness, perhaps due to external evaluation pressure, most iNGOs (86%) in the US define organizational effectiveness in terms of outcome accountability. This is important because demonstrating effectiveness is increasingly a piece of maintaining accountability. Challenges of effectiveness must be overcome to achieve a more effective nonprofit sector, including reconciliation of multi-dimensional models of effectiveness.","author":[{"family":"Mitchell","given":"George E."}],"issued":{"date-parts":[["2012"]]}}}],"schema":"https://github.com/citation-style-language/schema/raw/master/csl-citation.json"} </w:instrText>
      </w:r>
      <w:r>
        <w:rPr>
          <w:szCs w:val="24"/>
        </w:rPr>
        <w:fldChar w:fldCharType="separate"/>
      </w:r>
      <w:r w:rsidRPr="004671BA">
        <w:t>(Mitchell 2012b)</w:t>
      </w:r>
      <w:r>
        <w:rPr>
          <w:szCs w:val="24"/>
        </w:rPr>
        <w:fldChar w:fldCharType="end"/>
      </w:r>
      <w:r w:rsidRPr="00836DDB">
        <w:rPr>
          <w:szCs w:val="24"/>
        </w:rPr>
        <w:t xml:space="preserve">, the diversity of activity, and of course the level of documentation available for analysis. In a broad sense, this dissertation attempts to explain why </w:t>
      </w:r>
      <w:r>
        <w:rPr>
          <w:szCs w:val="24"/>
        </w:rPr>
        <w:t>TNGO</w:t>
      </w:r>
      <w:r w:rsidRPr="00836DDB">
        <w:rPr>
          <w:szCs w:val="24"/>
        </w:rPr>
        <w:t xml:space="preserve">s make the decisions they do when confronted by need, operational barriers, or instability. Why do some </w:t>
      </w:r>
      <w:r>
        <w:rPr>
          <w:szCs w:val="24"/>
        </w:rPr>
        <w:t>TNGO</w:t>
      </w:r>
      <w:r w:rsidRPr="00836DDB">
        <w:rPr>
          <w:szCs w:val="24"/>
        </w:rPr>
        <w:t>s choose to implement nutrition programs in South Sudan over Yemen, Myanmar, Guatemala, or another part of the world?</w:t>
      </w:r>
      <w:r w:rsidRPr="00836DDB">
        <w:rPr>
          <w:rStyle w:val="FootnoteReference"/>
          <w:szCs w:val="24"/>
        </w:rPr>
        <w:footnoteReference w:id="2"/>
      </w:r>
      <w:r w:rsidRPr="00836DDB">
        <w:rPr>
          <w:szCs w:val="24"/>
        </w:rPr>
        <w:t xml:space="preserve"> In times of crisis, how much uncertainty is too much? How much do politics matter to mission-driven organizations? </w:t>
      </w:r>
    </w:p>
    <w:p w:rsidR="009944D4" w:rsidRDefault="009944D4" w:rsidP="009944D4">
      <w:pPr>
        <w:jc w:val="center"/>
        <w:rPr>
          <w:szCs w:val="24"/>
        </w:rPr>
      </w:pPr>
    </w:p>
    <w:p w:rsidR="009944D4" w:rsidRDefault="009944D4" w:rsidP="009944D4">
      <w:pPr>
        <w:jc w:val="center"/>
        <w:rPr>
          <w:b/>
        </w:rPr>
      </w:pPr>
    </w:p>
    <w:p w:rsidR="009944D4" w:rsidRPr="00A279DA" w:rsidRDefault="009944D4" w:rsidP="009944D4">
      <w:pPr>
        <w:pStyle w:val="Heading2"/>
        <w:jc w:val="center"/>
        <w:rPr>
          <w:b/>
          <w:color w:val="auto"/>
          <w:sz w:val="24"/>
          <w:szCs w:val="24"/>
        </w:rPr>
      </w:pPr>
      <w:bookmarkStart w:id="6" w:name="_Toc450079080"/>
      <w:r w:rsidRPr="00A279DA">
        <w:rPr>
          <w:b/>
          <w:color w:val="auto"/>
          <w:sz w:val="24"/>
          <w:szCs w:val="24"/>
        </w:rPr>
        <w:t>1.2</w:t>
      </w:r>
      <w:r>
        <w:rPr>
          <w:b/>
          <w:color w:val="auto"/>
          <w:sz w:val="24"/>
          <w:szCs w:val="24"/>
        </w:rPr>
        <w:t>:</w:t>
      </w:r>
      <w:r w:rsidRPr="00A279DA">
        <w:rPr>
          <w:b/>
          <w:color w:val="auto"/>
          <w:sz w:val="24"/>
          <w:szCs w:val="24"/>
        </w:rPr>
        <w:t xml:space="preserve"> Previous Research</w:t>
      </w:r>
      <w:bookmarkEnd w:id="6"/>
    </w:p>
    <w:p w:rsidR="009944D4" w:rsidRDefault="009944D4" w:rsidP="009944D4">
      <w:pPr>
        <w:jc w:val="center"/>
        <w:rPr>
          <w:b/>
        </w:rPr>
      </w:pPr>
    </w:p>
    <w:p w:rsidR="007A1CF5" w:rsidRDefault="009944D4" w:rsidP="007A1CF5">
      <w:pPr>
        <w:spacing w:after="200" w:line="480" w:lineRule="auto"/>
        <w:rPr>
          <w:i/>
        </w:rPr>
      </w:pPr>
      <w:r>
        <w:tab/>
      </w:r>
      <w:r>
        <w:rPr>
          <w:szCs w:val="24"/>
        </w:rPr>
        <w:t xml:space="preserve">Scholars in a number of fields address nonprofits, TNGOs, and issues related to decision-making. Related scholarship includes </w:t>
      </w:r>
      <w:r w:rsidRPr="00836DDB">
        <w:rPr>
          <w:szCs w:val="24"/>
        </w:rPr>
        <w:t>public administration debates about publicness and public management, sociological studies of social movements and civil society, business management and organizational structure, international relations’ queries about delegated authority and international institutions, economics and law, and the field of nonprofit studies within public administration. While each of these themes invest</w:t>
      </w:r>
      <w:r>
        <w:rPr>
          <w:szCs w:val="24"/>
        </w:rPr>
        <w:t>igates elements of TNGO roles</w:t>
      </w:r>
      <w:r w:rsidRPr="00836DDB">
        <w:rPr>
          <w:szCs w:val="24"/>
        </w:rPr>
        <w:t xml:space="preserve">, </w:t>
      </w:r>
      <w:r>
        <w:rPr>
          <w:szCs w:val="24"/>
        </w:rPr>
        <w:t>they do so in isolation. This places constraints</w:t>
      </w:r>
      <w:r w:rsidRPr="00836DDB">
        <w:rPr>
          <w:szCs w:val="24"/>
        </w:rPr>
        <w:t xml:space="preserve"> </w:t>
      </w:r>
      <w:r>
        <w:rPr>
          <w:szCs w:val="24"/>
        </w:rPr>
        <w:t>on</w:t>
      </w:r>
      <w:r w:rsidRPr="00836DDB">
        <w:rPr>
          <w:szCs w:val="24"/>
        </w:rPr>
        <w:t xml:space="preserve"> the accumulation of knowledge </w:t>
      </w:r>
      <w:r>
        <w:rPr>
          <w:szCs w:val="24"/>
        </w:rPr>
        <w:t>concerning</w:t>
      </w:r>
      <w:r w:rsidRPr="00836DDB">
        <w:rPr>
          <w:szCs w:val="24"/>
        </w:rPr>
        <w:t xml:space="preserve"> </w:t>
      </w:r>
      <w:r>
        <w:rPr>
          <w:szCs w:val="24"/>
        </w:rPr>
        <w:t>TNGO</w:t>
      </w:r>
      <w:r w:rsidRPr="00836DDB">
        <w:rPr>
          <w:szCs w:val="24"/>
        </w:rPr>
        <w:t xml:space="preserve">s. An examination of previous research addressing </w:t>
      </w:r>
      <w:r>
        <w:rPr>
          <w:szCs w:val="24"/>
        </w:rPr>
        <w:t>TNGO</w:t>
      </w:r>
      <w:r w:rsidRPr="00836DDB">
        <w:rPr>
          <w:szCs w:val="24"/>
        </w:rPr>
        <w:t xml:space="preserve">s and questions related to decision-making may be organized thematically into broad categories: institutions and the state, development, globalization and transnational </w:t>
      </w:r>
      <w:r>
        <w:rPr>
          <w:szCs w:val="24"/>
        </w:rPr>
        <w:t>TNGO</w:t>
      </w:r>
      <w:r w:rsidRPr="00836DDB">
        <w:rPr>
          <w:szCs w:val="24"/>
        </w:rPr>
        <w:t xml:space="preserve">s, and decision-making. Each of themes addressed cuts a broad swath across disciplines, synthesizing scholarship on </w:t>
      </w:r>
      <w:r>
        <w:rPr>
          <w:szCs w:val="24"/>
        </w:rPr>
        <w:t xml:space="preserve">TNGO decision-making and location. </w:t>
      </w:r>
    </w:p>
    <w:p w:rsidR="00E67B1D" w:rsidRDefault="00E67B1D" w:rsidP="00E67B1D">
      <w:pPr>
        <w:spacing w:line="480" w:lineRule="auto"/>
        <w:rPr>
          <w:szCs w:val="24"/>
        </w:rPr>
      </w:pPr>
    </w:p>
    <w:p w:rsidR="009944D4" w:rsidRPr="00CE355B" w:rsidRDefault="009944D4" w:rsidP="009944D4">
      <w:pPr>
        <w:spacing w:line="480" w:lineRule="auto"/>
        <w:jc w:val="center"/>
        <w:rPr>
          <w:szCs w:val="24"/>
        </w:rPr>
      </w:pPr>
      <w:r w:rsidRPr="00CE355B">
        <w:rPr>
          <w:i/>
          <w:szCs w:val="24"/>
        </w:rPr>
        <w:t>TNGOs, Institutions, and the State</w:t>
      </w:r>
    </w:p>
    <w:p w:rsidR="007A1CF5" w:rsidRDefault="009944D4" w:rsidP="007A1CF5">
      <w:pPr>
        <w:spacing w:after="200" w:line="480" w:lineRule="auto"/>
        <w:rPr>
          <w:i/>
        </w:rPr>
      </w:pPr>
      <w:r w:rsidRPr="00836DDB">
        <w:rPr>
          <w:szCs w:val="24"/>
        </w:rPr>
        <w:t xml:space="preserve">In a domestic institutional context, nonprofit organizations have been approached as extensions of the state as governments rely on them more than ever to deliver services </w:t>
      </w:r>
      <w:r>
        <w:rPr>
          <w:szCs w:val="24"/>
        </w:rPr>
        <w:fldChar w:fldCharType="begin"/>
      </w:r>
      <w:r>
        <w:rPr>
          <w:szCs w:val="24"/>
        </w:rPr>
        <w:instrText xml:space="preserve"> ADDIN ZOTERO_ITEM CSL_CITATION {"citationID":"EDjHn5Rq","properties":{"formattedCitation":"(Kristen A. Gronbjerg 2003)","plainCitation":"(Kristen A. Gronbjerg 2003)","dontUpdate":true},"citationItems":[{"id":672,"uris":["http://zotero.org/users/381007/items/97QAM3XD"],"uri":["http://zotero.org/users/381007/items/97QAM3XD"],"itemData":{"id":672,"type":"article-journal","title":"Nonprofit Management Education: Taking Advantage of the Public Administration Setting","container-title":"Journal of Public Affairs","page":"165-168","volume":"9","issue":"3","abstract":"Major transformations in public service delivery systems mean that government now relies extensively on a variety of complex tools that require policymkaers to interact with a broad array of institutions.  Public sector agencies have increasingly relied on non-governmental entities, especially non-profits, since the 1960s.  Indirect government now accounts for 21% of all federal activities and 44% if tax expenditures and loan guarantees in areas of interst to nonprofits are included.As a result, govenrment has fueled the growth of nonprofit organizations in the US. These developments help explain the demand for nonprofit management courses and concentrations among MPA programs. Nonprofits have played a major role in several service fields, including health, education, and human services, so that the relationship between nonprofits and govenrments has evovled considerably over time and taken on more market-like characteristics.","author":[{"family":"Gronbjerg","given":"Kristen A."}],"issued":{"date-parts":[["2003"]]}}}],"schema":"https://github.com/citation-style-language/schema/raw/master/csl-citation.json"} </w:instrText>
      </w:r>
      <w:r>
        <w:rPr>
          <w:szCs w:val="24"/>
        </w:rPr>
        <w:fldChar w:fldCharType="separate"/>
      </w:r>
      <w:r w:rsidRPr="004671BA">
        <w:t>(Gronbjerg 2003)</w:t>
      </w:r>
      <w:r>
        <w:rPr>
          <w:szCs w:val="24"/>
        </w:rPr>
        <w:fldChar w:fldCharType="end"/>
      </w:r>
      <w:r w:rsidRPr="00836DDB">
        <w:rPr>
          <w:szCs w:val="24"/>
        </w:rPr>
        <w:t xml:space="preserve">. The field of public administration is replete with case studies examining various sectors and elements of nonprofit-government collaboration in service provision, ranging from health to education </w:t>
      </w:r>
      <w:r>
        <w:rPr>
          <w:szCs w:val="24"/>
        </w:rPr>
        <w:fldChar w:fldCharType="begin"/>
      </w:r>
      <w:r>
        <w:rPr>
          <w:szCs w:val="24"/>
        </w:rPr>
        <w:instrText xml:space="preserve"> ADDIN ZOTERO_ITEM CSL_CITATION {"citationID":"g6JOUuz4","properties":{"formattedCitation":"(Frederickson and Frederickson 2006; Van Slyke 2006; Garrow 2010)","plainCitation":"(Frederickson and Frederickson 2006; Van Slyke 2006; Garrow 2010)"},"citationItems":[{"id":867,"uris":["http://zotero.org/users/381007/items/F36GHIP9"],"uri":["http://zotero.org/users/381007/items/F36GHIP9"],"itemData":{"id":867,"type":"book","title":"Measuring the Performance of the Hollow State","publisher":"Georgetown University Press","publisher-place":"Washington","event-place":"Washington","abstract":"Approaches to performance measurement follow two distinct types: idealized conceptions of performance measurement  used by advocates and the less idealized application used by empirical researchers. Several themes emerge from the study of the GPRA.  1) in the context of contradictory and/or ambiguous program goals, the measurement of program performance is more difficult and less effective.  2) Where there is goal agreement, it is often difficult to find measures adequate to the determination of social outcomes. 3) Performance measurement represents attempts to superimpose managerial logic and managerial processes on inherently political processes embedded in the separation of powers. 4) performance measurement regimes rarely consider the cost side of performance measurement in their calculations. 5) Federalism is a key feature of the political context in which agencies attempt to measure performance - particularly state grant based third party systems. 6) The factor with the greatest impact on the ability of the five agencies studied to measure performance is the modern practice of using third parties to implement federal health plicy programs - the strength of agency performance in pursuit of program goals is in reverse ratio to the distances actual implementation travels and the layers of third parties through which implementation travels and to the characteristics of third party grantees and contractors.","author":[{"family":"Frederickson","given":"David G."},{"family":"Frederickson","given":"H. George"}],"issued":{"date-parts":[["2006"]]}}},{"id":1287,"uris":["http://zotero.org/users/381007/items/S8KXDA3V"],"uri":["http://zotero.org/users/381007/items/S8KXDA3V"],"itemData":{"id":1287,"type":"article-journal","title":"Agents or Stewards: Using Theory to Understand the Government-Nonprofit Social Service Contracting Relationship","container-title":"Journal of Public Administration Research and Theory","page":"157-187","volume":"17","abstract":"The manner in which nonprofits are managed evolves over time from a principal-agent to a principal-steward relationship, but with less variance than theories suggest. This is the product of contextual conditions including teh type of service, lack of market competitiveness, and management capacity constraints.  Examines trust and reputation using theories of agency and stewardship in contractual arrangements between government and non-profits for provision of social services, finds that there needs to be some theoretical middle ground as neither fully explains.\n\nAgency theory = central approach to a theory of managerial behavior (see Ross 1987).  Assumes goal divergence on part of the contracted agent\n\nStewardship theory = framed as the organizational behavior counterweight to rational action theories of management (see Savis, Donaldson, and Schooman 1997).  Assumes convergence because of shared collective interests w/ contracted stewart. Higher value on reaching goal convergence (vs. prinicpal agent where goal conflict is assumed to be a given/constant until principal changes).","author":[{"family":"Van Slyke","given":"David M."}],"issued":{"date-parts":[["2006"]]}}},{"id":3108,"uris":["http://zotero.org/users/381007/items/423FXFRI"],"uri":["http://zotero.org/users/381007/items/423FXFRI"],"itemData":{"id":3108,"type":"article-journal","title":"Receipt of Government Revenue among Human Service Organizations","container-title":"Journal of Public Administration Research and Theory","page":"445-471","volume":"21","issue":"3","author":[{"family":"Garrow","given":"Eve E."}],"issued":{"date-parts":[["2010"]]}}}],"schema":"https://github.com/citation-style-language/schema/raw/master/csl-citation.json"} </w:instrText>
      </w:r>
      <w:r>
        <w:rPr>
          <w:szCs w:val="24"/>
        </w:rPr>
        <w:fldChar w:fldCharType="separate"/>
      </w:r>
      <w:r w:rsidRPr="00836DDB">
        <w:rPr>
          <w:szCs w:val="24"/>
        </w:rPr>
        <w:t>(Frederickson and Frederickson 2006; Van Slyke 2006; Garrow 2010)</w:t>
      </w:r>
      <w:r>
        <w:rPr>
          <w:szCs w:val="24"/>
        </w:rPr>
        <w:fldChar w:fldCharType="end"/>
      </w:r>
      <w:r w:rsidRPr="00836DDB">
        <w:rPr>
          <w:szCs w:val="24"/>
        </w:rPr>
        <w:t xml:space="preserve">. Scholarship is not restricted to only service provision, however, and also addresses the impact such collaboration can have on a nonprofit. </w:t>
      </w:r>
      <w:r>
        <w:rPr>
          <w:szCs w:val="24"/>
        </w:rPr>
        <w:fldChar w:fldCharType="begin"/>
      </w:r>
      <w:r>
        <w:rPr>
          <w:szCs w:val="24"/>
        </w:rPr>
        <w:instrText xml:space="preserve"> ADDIN ZOTERO_ITEM CSL_CITATION {"citationID":"irCfZPWa","properties":{"formattedCitation":"(Guo 2007)","plainCitation":"(Guo 2007)"},"citationItems":[{"id":1027,"uris":["http://zotero.org/users/381007/items/JAG7PTE3"],"uri":["http://zotero.org/users/381007/items/JAG7PTE3"],"itemData":{"id":1027,"type":"article-journal","title":"When Government Becomes the Principal Philanthropist: The Effects of Public Funding on Patterns of Nonprofit Governance","container-title":"Public Administration Review","page":"458-473","volume":"67","issue":"3","abstract":"The prevalence of nonprofit orgs in the deliver of public services and the importance of government as a financier to nonprofit contracts continues to increase, this study explores the consequences of this relationship. Smith and Lipsky (1993) argue that nonprofit boards effectively \"embody and represent community interests\" (74) and that growing financial ties to government might transform these boards from agents of the community to agents of the government. Controlling for other relevant environmental and institutional factors, reliance on government funding decreases the likelihood that nonprofits will develop strong, representative boards. The findings suggest that reliance on government funding reduces the representativeness and influences of nonprofit boards, and the democratic function of nonprofit orgs may be seriously constrained.","author":[{"family":"Guo","given":"Chao"}],"issued":{"date-parts":[["2007"]]}}}],"schema":"https://github.com/citation-style-language/schema/raw/master/csl-citation.json"} </w:instrText>
      </w:r>
      <w:r>
        <w:rPr>
          <w:szCs w:val="24"/>
        </w:rPr>
        <w:fldChar w:fldCharType="separate"/>
      </w:r>
      <w:r w:rsidRPr="00836DDB">
        <w:rPr>
          <w:szCs w:val="24"/>
        </w:rPr>
        <w:t>Guo (2007)</w:t>
      </w:r>
      <w:r>
        <w:rPr>
          <w:szCs w:val="24"/>
        </w:rPr>
        <w:fldChar w:fldCharType="end"/>
      </w:r>
      <w:r w:rsidRPr="00836DDB">
        <w:rPr>
          <w:szCs w:val="24"/>
        </w:rPr>
        <w:t xml:space="preserve"> questions how funding dynamics can change the representativeness of a nonprofits Board of Directors if government resources are involved, arguing that in such cases resource dependency not only influences </w:t>
      </w:r>
      <w:r w:rsidRPr="00836DDB">
        <w:rPr>
          <w:i/>
          <w:szCs w:val="24"/>
        </w:rPr>
        <w:t>what</w:t>
      </w:r>
      <w:r w:rsidRPr="00836DDB">
        <w:rPr>
          <w:szCs w:val="24"/>
        </w:rPr>
        <w:t xml:space="preserve"> projects a nonprofit takes on, but also changes the links an organization has with the community it serves. Embedded within the hollow state’s emphasis on maximizing efficiency and capacity is nonprofit knowledge of the cultural landscape of communities served. This expertise makes them particularly advantageous extensions of government because they know the community needs better, </w:t>
      </w:r>
      <w:r w:rsidR="001A1CBE">
        <w:rPr>
          <w:szCs w:val="24"/>
        </w:rPr>
        <w:t>having</w:t>
      </w:r>
      <w:r w:rsidRPr="00836DDB">
        <w:rPr>
          <w:szCs w:val="24"/>
        </w:rPr>
        <w:t xml:space="preserve"> g</w:t>
      </w:r>
      <w:r w:rsidR="001A1CBE">
        <w:rPr>
          <w:szCs w:val="24"/>
        </w:rPr>
        <w:t xml:space="preserve">ained entrée into the community, </w:t>
      </w:r>
      <w:r w:rsidRPr="00836DDB">
        <w:rPr>
          <w:szCs w:val="24"/>
        </w:rPr>
        <w:t xml:space="preserve">already hold the trust of its citizens, and possess specialized knowledge in their field that may be difficult to build and maintain within a large bureaucracy. </w:t>
      </w:r>
      <w:r w:rsidR="00CE5E04">
        <w:rPr>
          <w:szCs w:val="24"/>
        </w:rPr>
        <w:t xml:space="preserve">In the international context, TNGOs are advantageous to governments as vehicles of aid in situations where direct government-to-government aid is not possible or mired in politics and red tape. </w:t>
      </w:r>
    </w:p>
    <w:p w:rsidR="007008D9" w:rsidRDefault="007008D9" w:rsidP="009944D4">
      <w:pPr>
        <w:spacing w:line="480" w:lineRule="auto"/>
        <w:ind w:firstLine="360"/>
        <w:rPr>
          <w:szCs w:val="24"/>
        </w:rPr>
      </w:pPr>
    </w:p>
    <w:p w:rsidR="009944D4" w:rsidRPr="007008D9" w:rsidRDefault="005F3655" w:rsidP="007008D9">
      <w:pPr>
        <w:spacing w:line="480" w:lineRule="auto"/>
        <w:ind w:firstLine="360"/>
        <w:jc w:val="center"/>
        <w:rPr>
          <w:i/>
          <w:szCs w:val="24"/>
        </w:rPr>
      </w:pPr>
      <w:r>
        <w:rPr>
          <w:i/>
          <w:szCs w:val="24"/>
        </w:rPr>
        <w:t>TNGOs, Government Support, and Implementation</w:t>
      </w:r>
    </w:p>
    <w:p w:rsidR="009944D4" w:rsidRPr="00836DDB" w:rsidRDefault="009944D4" w:rsidP="009944D4">
      <w:pPr>
        <w:spacing w:line="480" w:lineRule="auto"/>
        <w:ind w:firstLine="360"/>
        <w:rPr>
          <w:szCs w:val="24"/>
        </w:rPr>
      </w:pPr>
      <w:r w:rsidRPr="00836DDB">
        <w:rPr>
          <w:szCs w:val="24"/>
        </w:rPr>
        <w:t xml:space="preserve">A second example raises the question of government influence on the advocacy activities of human services focused nonprofits, specifically the homeless, finding that where government resources are concerned nonprofits focus advocacy efforts to solidify funding relationships rather than on substantive policy change </w:t>
      </w:r>
      <w:r>
        <w:rPr>
          <w:szCs w:val="24"/>
        </w:rPr>
        <w:fldChar w:fldCharType="begin"/>
      </w:r>
      <w:r>
        <w:rPr>
          <w:szCs w:val="24"/>
        </w:rPr>
        <w:instrText xml:space="preserve"> ADDIN ZOTERO_ITEM CSL_CITATION {"citationID":"f6DhZ4hq","properties":{"formattedCitation":"(Mosley 2012)","plainCitation":"(Mosley 2012)"},"citationItems":[{"id":796,"uris":["http://zotero.org/users/381007/items/D9RJHU4F"],"uri":["http://zotero.org/users/381007/items/D9RJHU4F"],"itemData":{"id":796,"type":"article-journal","title":"Keeping the Lights On: How Government Funding Concerns Drive the Advocacy Agendas of Nonprofit Homeless Providers","container-title":"Journal of Public Administration Research and Theory","page":"841-866","volume":"22","abstract":"Human service nonprofits have historically played an important role in advocating on behalf\nof the vulnerable populations that they serve. Growth in privatization has led many scholars\nand practitioners to wonder if increased dependence on government funds would\ncompromise this role. The objective of this study is to explore the relationship between\ngovernment funding and advocacy participation, goals, and tactics through a qualitative\ninvestigation of advocacy involvement in the field of homeless services. Results demonstrate\nthat having government funding is associated with managers being highly motivated to\nparticipate in advocacy in the hopes of solidifying funding relationships. As a result, advocacy\ngoals are focused primarily on brokering resources and promoting the organization rather\nthan substantive policy change or client representation. Furthermore, in order to be\nperceived as a legitimate partner to government, organizations reject confrontational\nmethods and advocate as insiders. Overall, these findings indicate perceptions about\nadvocacy may need to shift as increased reliance on government funding has made\nadvocacy participation and participation in collaborative governance virtually indistinguishable.","DOI":"doi:10.1093/jopart/mus003","author":[{"family":"Mosley","given":"Jennifer E."}],"issued":{"date-parts":[["2012"]]},"accessed":{"date-parts":[["2013",10,14]]}}}],"schema":"https://github.com/citation-style-language/schema/raw/master/csl-citation.json"} </w:instrText>
      </w:r>
      <w:r>
        <w:rPr>
          <w:szCs w:val="24"/>
        </w:rPr>
        <w:fldChar w:fldCharType="separate"/>
      </w:r>
      <w:r w:rsidRPr="00836DDB">
        <w:rPr>
          <w:szCs w:val="24"/>
        </w:rPr>
        <w:t>(Mosley 2012)</w:t>
      </w:r>
      <w:r>
        <w:rPr>
          <w:szCs w:val="24"/>
        </w:rPr>
        <w:fldChar w:fldCharType="end"/>
      </w:r>
      <w:r w:rsidRPr="00836DDB">
        <w:rPr>
          <w:szCs w:val="24"/>
        </w:rPr>
        <w:t xml:space="preserve">. Public management scholars pick up this issue of substantive policy, but focus attention on the gap between the fields of public policy and public administration </w:t>
      </w:r>
      <w:r>
        <w:rPr>
          <w:szCs w:val="24"/>
        </w:rPr>
        <w:fldChar w:fldCharType="begin"/>
      </w:r>
      <w:r>
        <w:rPr>
          <w:szCs w:val="24"/>
        </w:rPr>
        <w:instrText xml:space="preserve"> ADDIN ZOTERO_ITEM CSL_CITATION {"citationID":"43fINJ01","properties":{"formattedCitation":"(Hicklin and Godwin 2009; Heinrich, Lynn, and Milward 2010; Lynn, Heinrich, and Hill 2001)","plainCitation":"(Hicklin and Godwin 2009; Heinrich, Lynn, and Milward 2010; Lynn, Heinrich, and Hill 2001)"},"citationItems":[{"id":988,"uris":["http://zotero.org/users/381007/items/IECB535M"],"uri":["http://zotero.org/users/381007/items/IECB535M"],"itemData":{"id":988,"type":"article-journal","title":"Agents of Change: The Role of Public Managers in Public Policy","container-title":"The Policy Studies Journal","page":"13-20","volume":"37","issue":"1","author":[{"family":"Hicklin","given":"Alisa"},{"family":"Godwin","given":"Erik"}],"issued":{"date-parts":[["2009"]]}}},{"id":1492,"uris":["http://zotero.org/users/381007/items/W7A59N8W"],"uri":["http://zotero.org/users/381007/items/W7A59N8W"],"itemData":{"id":1492,"type":"article-journal","title":"A State of Agents? Sharpening the Debate and Evidence over the Extent and Impact of the Transformation of Governance","container-title":"Journal of Public Administration Research and Theory","page":"i3-i19","volume":"20","issue":"Supplemental 1","author":[{"family":"Heinrich","given":"Carolyn J."},{"family":"Lynn","given":"Laurence E. Jr."},{"family":"Milward","given":"H. Brinton"}],"issued":{"date-parts":[["2010"]]}}},{"id":3223,"uris":["http://zotero.org/users/381007/items/UHPUVGSR"],"uri":["http://zotero.org/users/381007/items/UHPUVGSR"],"itemData":{"id":3223,"type":"chapter","title":"A Logic for Governance Research","container-title":"Improving Governance:  A New Logic for Empirical Research","publisher":"Georgetown University Press","publisher-place":"Washington","event-place":"Washington","abstract":"Authors propose a three levels of dynamic governance, noting that although the public and private sectors are distinct in terms of management, that they are subject to some of the same influnces.  Particularly important are categories of culture, global, and socioeconomic categories broadly.  These levels are dynamic, but represent interaction between stakeholders, legislators, and institutions. \n\nInstitutional (public choice) level of governance is concerned with the establishment of governing relations or broad strategic alignments at legislative level (relationships between g,a,b,c,d or between public/stakeholders and legislators, between legislative prefs and formal authority governing public agencies, and between formal authority and the org and management of public agencies and programs\n\nThe managerial level of governance is concerned with further shaping of governing relations or the elaboration of strategies by organizational actors - comprising relationships between d and e (interactions between organization, management, and administration and the core technologies and primary work of public agencies\n\nThe technical level of governance is concerned with further shaping of governance at the primary work level where strategic alignments are given their operational expression comprising of relationships between e and f (interactions between primary workers and consequences/outcomes for service recipients/stakeholders) (36)","author":[{"family":"Lynn","given":"Laurence E. Jr."},{"family":"Heinrich","given":"Carolyn J."},{"family":"Hill","given":"Carolyn J."}],"issued":{"date-parts":[["2001"]]}}}],"schema":"https://github.com/citation-style-language/schema/raw/master/csl-citation.json"} </w:instrText>
      </w:r>
      <w:r>
        <w:rPr>
          <w:szCs w:val="24"/>
        </w:rPr>
        <w:fldChar w:fldCharType="separate"/>
      </w:r>
      <w:r w:rsidRPr="00836DDB">
        <w:rPr>
          <w:szCs w:val="24"/>
        </w:rPr>
        <w:t>(Hicklin and Godwin 2009; Heinrich, Lynn, and Milward 2010; Lynn, Heinrich and Hill 2001)</w:t>
      </w:r>
      <w:r>
        <w:rPr>
          <w:szCs w:val="24"/>
        </w:rPr>
        <w:fldChar w:fldCharType="end"/>
      </w:r>
      <w:r w:rsidRPr="00836DDB">
        <w:rPr>
          <w:szCs w:val="24"/>
        </w:rPr>
        <w:t xml:space="preserve">. Drawing attention to street-level bureaucrats </w:t>
      </w:r>
      <w:r>
        <w:rPr>
          <w:szCs w:val="24"/>
        </w:rPr>
        <w:fldChar w:fldCharType="begin"/>
      </w:r>
      <w:r>
        <w:rPr>
          <w:szCs w:val="24"/>
        </w:rPr>
        <w:instrText xml:space="preserve"> ADDIN ZOTERO_ITEM CSL_CITATION {"citationID":"4DCjy0nd","properties":{"formattedCitation":"(Lipsky 1980)","plainCitation":"(Lipsky 1980)"},"citationItems":[{"id":1189,"uris":["http://zotero.org/users/381007/items/PTBXJDQ5"],"uri":["http://zotero.org/users/381007/items/PTBXJDQ5"],"itemData":{"id":1189,"type":"book","title":"Street-Level Bureaucracy: Dilemmas of the Individual in Public Services","publisher":"Russell Sage Foundation","publisher-place":"New York","event-place":"New York","author":[{"family":"Lipsky","given":"Michael"}],"issued":{"date-parts":[["1980"]],"season":"2010"}}}],"schema":"https://github.com/citation-style-language/schema/raw/master/csl-citation.json"} </w:instrText>
      </w:r>
      <w:r>
        <w:rPr>
          <w:szCs w:val="24"/>
        </w:rPr>
        <w:fldChar w:fldCharType="separate"/>
      </w:r>
      <w:r w:rsidRPr="005D5018">
        <w:t>(Lipsky 1980)</w:t>
      </w:r>
      <w:r>
        <w:rPr>
          <w:szCs w:val="24"/>
        </w:rPr>
        <w:fldChar w:fldCharType="end"/>
      </w:r>
      <w:r w:rsidRPr="00836DDB">
        <w:rPr>
          <w:szCs w:val="24"/>
        </w:rPr>
        <w:t xml:space="preserve"> as implementers of purposefully vague policies constructed by policy actors, these texts highlight government-nonprofit relationships indirectly and the pitfalls faced by nonprofits as implementers when policy actors are decoupled from outcomes. </w:t>
      </w:r>
    </w:p>
    <w:p w:rsidR="009944D4" w:rsidRPr="00836DDB" w:rsidRDefault="00CE5E04" w:rsidP="009944D4">
      <w:pPr>
        <w:spacing w:line="480" w:lineRule="auto"/>
        <w:ind w:firstLine="360"/>
        <w:rPr>
          <w:szCs w:val="24"/>
        </w:rPr>
      </w:pPr>
      <w:r>
        <w:rPr>
          <w:szCs w:val="24"/>
        </w:rPr>
        <w:t>Consequently,</w:t>
      </w:r>
      <w:r w:rsidR="009944D4" w:rsidRPr="00836DDB">
        <w:rPr>
          <w:szCs w:val="24"/>
        </w:rPr>
        <w:t xml:space="preserve"> Boards of Directors </w:t>
      </w:r>
      <w:r w:rsidR="00865D9F">
        <w:rPr>
          <w:szCs w:val="24"/>
        </w:rPr>
        <w:t xml:space="preserve">cease being representatives </w:t>
      </w:r>
      <w:r w:rsidR="009944D4" w:rsidRPr="00836DDB">
        <w:rPr>
          <w:szCs w:val="24"/>
        </w:rPr>
        <w:t xml:space="preserve">of their communities </w:t>
      </w:r>
      <w:r w:rsidR="00865D9F">
        <w:rPr>
          <w:szCs w:val="24"/>
        </w:rPr>
        <w:t>as government funding of a nonprofit increases. G</w:t>
      </w:r>
      <w:r w:rsidR="009944D4" w:rsidRPr="00836DDB">
        <w:rPr>
          <w:szCs w:val="24"/>
        </w:rPr>
        <w:t xml:space="preserve">overnment funding changes the activities </w:t>
      </w:r>
      <w:r w:rsidR="00865D9F">
        <w:rPr>
          <w:szCs w:val="24"/>
        </w:rPr>
        <w:t>a</w:t>
      </w:r>
      <w:r w:rsidR="009944D4" w:rsidRPr="00836DDB">
        <w:rPr>
          <w:szCs w:val="24"/>
        </w:rPr>
        <w:t xml:space="preserve"> nonprofit conducts on behalf of its b</w:t>
      </w:r>
      <w:r w:rsidR="00865D9F">
        <w:rPr>
          <w:szCs w:val="24"/>
        </w:rPr>
        <w:t>eneficiaries. This outcome quickly becomes proble</w:t>
      </w:r>
      <w:r w:rsidR="009944D4" w:rsidRPr="00836DDB">
        <w:rPr>
          <w:szCs w:val="24"/>
        </w:rPr>
        <w:t xml:space="preserve">matic for nonprofit decision-making. This highlights another thread in the literature on domestic nonprofits, especially where revenue diversification is minimal, but the concept is also present in broader political science, economics, and elsewhere. The principal-agent relationship (or problem) is one that is characterized by information asymmetry, uncertainty, and risk in which the agent or implementer engaged by the principal to perform a task holds more information about how that task is performed, its cost, and its outcomes while the principal holds contractual power over the agent. In such an arrangement, the agent is expected to select actions that will produce the principal’s desired outcomes </w:t>
      </w:r>
      <w:r w:rsidR="009944D4">
        <w:rPr>
          <w:szCs w:val="24"/>
        </w:rPr>
        <w:fldChar w:fldCharType="begin"/>
      </w:r>
      <w:r w:rsidR="009944D4">
        <w:rPr>
          <w:szCs w:val="24"/>
        </w:rPr>
        <w:instrText xml:space="preserve"> ADDIN ZOTERO_ITEM CSL_CITATION {"citationID":"M3oFuan5","properties":{"formattedCitation":"(Moe 1984)","plainCitation":"(Moe 1984)"},"citationItems":[{"id":3235,"uris":["http://zotero.org/users/381007/items/XCCR5NB7"],"uri":["http://zotero.org/users/381007/items/XCCR5NB7"],"itemData":{"id":3235,"type":"article-journal","title":"The New Economics of Organization","container-title":"American Journal of Political Science","page":"739-777","volume":"28","issue":"4","author":[{"family":"Moe","given":"Terry M."}],"issued":{"date-parts":[["1984"]]}}}],"schema":"https://github.com/citation-style-language/schema/raw/master/csl-citation.json"} </w:instrText>
      </w:r>
      <w:r w:rsidR="009944D4">
        <w:rPr>
          <w:szCs w:val="24"/>
        </w:rPr>
        <w:fldChar w:fldCharType="separate"/>
      </w:r>
      <w:r w:rsidR="009944D4" w:rsidRPr="00836DDB">
        <w:rPr>
          <w:szCs w:val="24"/>
        </w:rPr>
        <w:t>(Moe 1984)</w:t>
      </w:r>
      <w:r w:rsidR="009944D4">
        <w:rPr>
          <w:szCs w:val="24"/>
        </w:rPr>
        <w:fldChar w:fldCharType="end"/>
      </w:r>
      <w:r w:rsidR="009944D4" w:rsidRPr="00836DDB">
        <w:rPr>
          <w:szCs w:val="24"/>
        </w:rPr>
        <w:t xml:space="preserve">. In the cases described earlier, emphasis is placed on ways in which external actors can shape the behavior of an organization. </w:t>
      </w:r>
      <w:r w:rsidR="009944D4">
        <w:rPr>
          <w:szCs w:val="24"/>
        </w:rPr>
        <w:fldChar w:fldCharType="begin"/>
      </w:r>
      <w:r w:rsidR="009944D4">
        <w:rPr>
          <w:szCs w:val="24"/>
        </w:rPr>
        <w:instrText xml:space="preserve"> ADDIN ZOTERO_ITEM CSL_CITATION {"citationID":"oBXivte5","properties":{"formattedCitation":"(Pfeffer and Salancik 2003)","plainCitation":"(Pfeffer and Salancik 2003)"},"citationItems":[{"id":3155,"uris":["http://zotero.org/users/381007/items/CC5TISTK"],"uri":["http://zotero.org/users/381007/items/CC5TISTK"],"itemData":{"id":3155,"type":"book","title":"The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1978"}}}],"schema":"https://github.com/citation-style-language/schema/raw/master/csl-citation.json"} </w:instrText>
      </w:r>
      <w:r w:rsidR="009944D4">
        <w:rPr>
          <w:szCs w:val="24"/>
        </w:rPr>
        <w:fldChar w:fldCharType="separate"/>
      </w:r>
      <w:r w:rsidR="009944D4" w:rsidRPr="00836DDB">
        <w:rPr>
          <w:szCs w:val="24"/>
        </w:rPr>
        <w:t>Pfeffer and Salancik (2003)</w:t>
      </w:r>
      <w:r w:rsidR="009944D4">
        <w:rPr>
          <w:szCs w:val="24"/>
        </w:rPr>
        <w:fldChar w:fldCharType="end"/>
      </w:r>
      <w:r w:rsidR="009944D4" w:rsidRPr="00836DDB">
        <w:rPr>
          <w:rStyle w:val="CommentReference"/>
          <w:sz w:val="24"/>
          <w:szCs w:val="24"/>
        </w:rPr>
        <w:t xml:space="preserve"> </w:t>
      </w:r>
      <w:r w:rsidR="009944D4" w:rsidRPr="00836DDB">
        <w:rPr>
          <w:szCs w:val="24"/>
        </w:rPr>
        <w:t>outline how dependence asymmetries shift power dynamics between organizations based access, ownership, us</w:t>
      </w:r>
      <w:r w:rsidR="00236CA2">
        <w:rPr>
          <w:szCs w:val="24"/>
        </w:rPr>
        <w:t>e, and possession of a resource. Where organizations are overly reliant on one or a few sources of revenue, donors or government may exercise undue influence over the decision-making of that organization. This dynamic is also represented in TNGO r</w:t>
      </w:r>
      <w:r w:rsidR="009944D4" w:rsidRPr="00836DDB">
        <w:rPr>
          <w:szCs w:val="24"/>
        </w:rPr>
        <w:t xml:space="preserve">esearch </w:t>
      </w:r>
      <w:r w:rsidR="00236CA2">
        <w:rPr>
          <w:szCs w:val="24"/>
        </w:rPr>
        <w:t>focused</w:t>
      </w:r>
      <w:r w:rsidR="009944D4" w:rsidRPr="00836DDB">
        <w:rPr>
          <w:szCs w:val="24"/>
        </w:rPr>
        <w:t xml:space="preserve"> </w:t>
      </w:r>
      <w:r w:rsidR="00236CA2">
        <w:rPr>
          <w:szCs w:val="24"/>
        </w:rPr>
        <w:t xml:space="preserve">on </w:t>
      </w:r>
      <w:r w:rsidR="009944D4" w:rsidRPr="00836DDB">
        <w:rPr>
          <w:szCs w:val="24"/>
        </w:rPr>
        <w:t xml:space="preserve">accountability mechanisms </w:t>
      </w:r>
      <w:r w:rsidR="00A5446C">
        <w:rPr>
          <w:szCs w:val="24"/>
        </w:rPr>
        <w:t>produced by donors and government</w:t>
      </w:r>
      <w:r w:rsidR="009944D4" w:rsidRPr="00836DDB">
        <w:rPr>
          <w:szCs w:val="24"/>
        </w:rPr>
        <w:t xml:space="preserve"> </w:t>
      </w:r>
      <w:r w:rsidR="009944D4">
        <w:rPr>
          <w:szCs w:val="24"/>
        </w:rPr>
        <w:fldChar w:fldCharType="begin"/>
      </w:r>
      <w:r w:rsidR="009944D4">
        <w:rPr>
          <w:szCs w:val="24"/>
        </w:rPr>
        <w:instrText xml:space="preserve"> ADDIN ZOTERO_ITEM CSL_CITATION {"citationID":"lQ8p1SDS","properties":{"formattedCitation":"(A. Ebrahim 2002; Gibelman and Gelman 2004)","plainCitation":"(A. Ebrahim 2002; Gibelman and Gelman 2004)"},"citationItems":[{"id":3461,"uris":["http://zotero.org/users/381007/items/XJEPCHDB"],"uri":["http://zotero.org/users/381007/items/XJEPCHDB"],"itemData":{"id":3461,"type":"article-journal","title":"Information Struggles: The Role of Information in the Reproduction of NGO-Funder Relationships","container-title":"Nonprofit and Voluntary Sector Quarterly","page":"84-114","volume":"31","issue":"1","source":"CrossRef","DOI":"10.1177/0899764002311004","ISSN":"0899-7640","shortTitle":"Information Struggles","language":"en","author":[{"family":"Ebrahim","given":"A."}],"issued":{"date-parts":[["2002",3,1]]},"accessed":{"date-parts":[["2015",4,17]]}}},{"id":1572,"uris":["http://zotero.org/users/381007/items/ZF69XBUH"],"uri":["http://zotero.org/users/381007/items/ZF69XBUH"],"itemData":{"id":1572,"type":"article-journal","title":"A Loss of Credibility: Patterns of Wrongdoing Among Nongovernmental Organizations","container-title":"Voluntas: International Journal of Voluntary and Nonprofit Organizations","page":"355-381","volume":"15","issue":"4","abstract":"Incidents of wrongdoing appear to be motivated by self-interest (greed), perceived entitlement, or sexual fulfillment.  Most occurred over a lengthy period and were not percipitous, reflected a lack of board oversight, and had a long-term impact for the org. The word corruption often appears as a descriptor of several of the cases, either trustees or charismatic leaders of bono fide charities engaged in fraud, mismanagement, and corruption that led to ad emise or a takeover of the organization and its remaining assets. In several cases (iraqi oil for food program, Ukranian fund to fight HIV) only a small proportion of funds raised ever reached intended beneficiaries.  US cases included theft, mismanagement of resources, misconduct, excessive compensation, personal life style enhancement, sexual misconduct among NGOS at the local to national level. Such allegations are similar to those of the earlier study, with a few \"new\" areas including failure to disclose business relationships among the principles and subsidiaries and excessive compensation, and terrorism. Among the 6 major themees (personal life style enhancement, mismanagement of resources, support of activities and groups outside the organization's purview) echo those identified earlier despite numerous recommendations about enhancing accountability and tougher monitoring and accountability requirements.","author":[{"family":"Gibelman","given":"Margaret"},{"family":"Gelman","given":"Sheldon R."}],"issued":{"date-parts":[["2004"]]}}}],"schema":"https://github.com/citation-style-language/schema/raw/master/csl-citation.json"} </w:instrText>
      </w:r>
      <w:r w:rsidR="009944D4">
        <w:rPr>
          <w:szCs w:val="24"/>
        </w:rPr>
        <w:fldChar w:fldCharType="separate"/>
      </w:r>
      <w:r w:rsidR="009944D4">
        <w:t>(</w:t>
      </w:r>
      <w:r w:rsidR="009944D4" w:rsidRPr="004671BA">
        <w:t>Ebrahim 2002; Gibelman and Gelman 2004)</w:t>
      </w:r>
      <w:r w:rsidR="009944D4">
        <w:rPr>
          <w:szCs w:val="24"/>
        </w:rPr>
        <w:fldChar w:fldCharType="end"/>
      </w:r>
      <w:r w:rsidR="009944D4" w:rsidRPr="00836DDB">
        <w:rPr>
          <w:szCs w:val="24"/>
        </w:rPr>
        <w:t xml:space="preserve">. </w:t>
      </w:r>
    </w:p>
    <w:p w:rsidR="009944D4" w:rsidRPr="00836DDB" w:rsidRDefault="009944D4" w:rsidP="009944D4">
      <w:pPr>
        <w:spacing w:line="480" w:lineRule="auto"/>
        <w:ind w:firstLine="360"/>
        <w:rPr>
          <w:szCs w:val="24"/>
        </w:rPr>
      </w:pPr>
      <w:r w:rsidRPr="00836DDB">
        <w:rPr>
          <w:szCs w:val="24"/>
        </w:rPr>
        <w:t xml:space="preserve">However, there is little guarantee that agents will in fact pursue the interests of principals </w:t>
      </w:r>
      <w:r>
        <w:rPr>
          <w:szCs w:val="24"/>
        </w:rPr>
        <w:fldChar w:fldCharType="begin"/>
      </w:r>
      <w:r>
        <w:rPr>
          <w:szCs w:val="24"/>
        </w:rPr>
        <w:instrText xml:space="preserve"> ADDIN ZOTERO_ITEM CSL_CITATION {"citationID":"TyISRpNL","properties":{"formattedCitation":"(Bryce 2005)","plainCitation":"(Bryce 2005)"},"citationItems":[{"id":3233,"uris":["http://zotero.org/users/381007/items/WRSBAIQV"],"uri":["http://zotero.org/users/381007/items/WRSBAIQV"],"itemData":{"id":3233,"type":"book","title":"Players in the Public Policy Process: Nonprofits as Social Capital Agents","publisher":"Palgrave Macmillan","publisher-place":"New York","event-place":"New York","author":[{"family":"Bryce","given":"Herrington J."}],"issued":{"date-parts":[["2005"]]}}}],"schema":"https://github.com/citation-style-language/schema/raw/master/csl-citation.json"} </w:instrText>
      </w:r>
      <w:r>
        <w:rPr>
          <w:szCs w:val="24"/>
        </w:rPr>
        <w:fldChar w:fldCharType="separate"/>
      </w:r>
      <w:r w:rsidRPr="00836DDB">
        <w:rPr>
          <w:szCs w:val="24"/>
        </w:rPr>
        <w:t>(Bryce 2005)</w:t>
      </w:r>
      <w:r>
        <w:rPr>
          <w:szCs w:val="24"/>
        </w:rPr>
        <w:fldChar w:fldCharType="end"/>
      </w:r>
      <w:r w:rsidR="0054306A">
        <w:rPr>
          <w:szCs w:val="24"/>
        </w:rPr>
        <w:t>. As a result,</w:t>
      </w:r>
      <w:r w:rsidRPr="00836DDB">
        <w:rPr>
          <w:szCs w:val="24"/>
        </w:rPr>
        <w:t xml:space="preserve"> more monitoring and other accountability measures</w:t>
      </w:r>
      <w:r w:rsidR="0054306A">
        <w:rPr>
          <w:szCs w:val="24"/>
        </w:rPr>
        <w:t xml:space="preserve"> are put in place by government or other principals. Elements of a relationship (trust, reputation, accountability) contextualize this dynamic by evolving the relationship from principal-agent to principal-steward </w:t>
      </w:r>
      <w:r>
        <w:rPr>
          <w:szCs w:val="24"/>
        </w:rPr>
        <w:fldChar w:fldCharType="begin"/>
      </w:r>
      <w:r>
        <w:rPr>
          <w:szCs w:val="24"/>
        </w:rPr>
        <w:instrText xml:space="preserve"> ADDIN ZOTERO_ITEM CSL_CITATION {"citationID":"JuG5i5Wm","properties":{"formattedCitation":"(Van Slyke 2006)","plainCitation":"(Van Slyke 2006)"},"citationItems":[{"id":1287,"uris":["http://zotero.org/users/381007/items/S8KXDA3V"],"uri":["http://zotero.org/users/381007/items/S8KXDA3V"],"itemData":{"id":1287,"type":"article-journal","title":"Agents or Stewards: Using Theory to Understand the Government-Nonprofit Social Service Contracting Relationship","container-title":"Journal of Public Administration Research and Theory","page":"157-187","volume":"17","abstract":"The manner in which nonprofits are managed evolves over time from a principal-agent to a principal-steward relationship, but with less variance than theories suggest. This is the product of contextual conditions including teh type of service, lack of market competitiveness, and management capacity constraints.  Examines trust and reputation using theories of agency and stewardship in contractual arrangements between government and non-profits for provision of social services, finds that there needs to be some theoretical middle ground as neither fully explains.\n\nAgency theory = central approach to a theory of managerial behavior (see Ross 1987).  Assumes goal divergence on part of the contracted agent\n\nStewardship theory = framed as the organizational behavior counterweight to rational action theories of management (see Savis, Donaldson, and Schooman 1997).  Assumes convergence because of shared collective interests w/ contracted stewart. Higher value on reaching goal convergence (vs. prinicpal agent where goal conflict is assumed to be a given/constant until principal changes).","author":[{"family":"Van Slyke","given":"David M."}],"issued":{"date-parts":[["2006"]]}}}],"schema":"https://github.com/citation-style-language/schema/raw/master/csl-citation.json"} </w:instrText>
      </w:r>
      <w:r>
        <w:rPr>
          <w:szCs w:val="24"/>
        </w:rPr>
        <w:fldChar w:fldCharType="separate"/>
      </w:r>
      <w:r w:rsidRPr="00836DDB">
        <w:rPr>
          <w:szCs w:val="24"/>
        </w:rPr>
        <w:t>Van Slyke (2006)</w:t>
      </w:r>
      <w:r>
        <w:rPr>
          <w:szCs w:val="24"/>
        </w:rPr>
        <w:fldChar w:fldCharType="end"/>
      </w:r>
      <w:r w:rsidR="0054306A">
        <w:rPr>
          <w:szCs w:val="24"/>
        </w:rPr>
        <w:t>. The implication</w:t>
      </w:r>
      <w:r w:rsidRPr="00836DDB">
        <w:rPr>
          <w:szCs w:val="24"/>
        </w:rPr>
        <w:t xml:space="preserve"> of this </w:t>
      </w:r>
      <w:r w:rsidR="0054306A">
        <w:rPr>
          <w:szCs w:val="24"/>
        </w:rPr>
        <w:t>is</w:t>
      </w:r>
      <w:r w:rsidRPr="00836DDB">
        <w:rPr>
          <w:szCs w:val="24"/>
        </w:rPr>
        <w:t xml:space="preserve"> that neither the agency theory on which principal-agent relationships rest nor stewardsh</w:t>
      </w:r>
      <w:r w:rsidR="00AB0760">
        <w:rPr>
          <w:szCs w:val="24"/>
        </w:rPr>
        <w:t>ip theory are entirely correct. The length of the relationship between two parties, the reputation of a nonprofit, and urgency of an issue can shape the constraints placed on the agent/steward. At the same time, stewards are still subject to principal influence. What the steward model fails to take into consideration is the agency present on the part of the TNGO in influencing the relationship dynamic, program decisions, donor perceptions and path, and location.</w:t>
      </w:r>
      <w:r w:rsidRPr="00836DDB">
        <w:rPr>
          <w:szCs w:val="24"/>
        </w:rPr>
        <w:tab/>
        <w:t xml:space="preserve">In an international context, a similar pattern is evident during the post-Cold War period in the literature on delegated authority and the increased attention to </w:t>
      </w:r>
      <w:r>
        <w:rPr>
          <w:szCs w:val="24"/>
        </w:rPr>
        <w:t>TNGO</w:t>
      </w:r>
      <w:r w:rsidRPr="00836DDB">
        <w:rPr>
          <w:szCs w:val="24"/>
        </w:rPr>
        <w:t xml:space="preserve">s in international relations. Like the hollow state scholarship, the state’s attention was drawn to </w:t>
      </w:r>
      <w:r>
        <w:rPr>
          <w:szCs w:val="24"/>
        </w:rPr>
        <w:t>TNGO</w:t>
      </w:r>
      <w:r w:rsidRPr="00836DDB">
        <w:rPr>
          <w:szCs w:val="24"/>
        </w:rPr>
        <w:t xml:space="preserve">s because of greater flexibility, credibility, and efficiency </w:t>
      </w:r>
      <w:r>
        <w:rPr>
          <w:szCs w:val="24"/>
        </w:rPr>
        <w:fldChar w:fldCharType="begin"/>
      </w:r>
      <w:r>
        <w:rPr>
          <w:szCs w:val="24"/>
        </w:rPr>
        <w:instrText xml:space="preserve"> ADDIN ZOTERO_ITEM CSL_CITATION {"citationID":"vxGK5x33","properties":{"formattedCitation":"(Hertzke 2004)","plainCitation":"(Hertzke 2004)"},"citationItems":[{"id":3673,"uris":["http://zotero.org/users/381007/items/7NB2RFMB"],"uri":["http://zotero.org/users/381007/items/7NB2RFMB"],"itemData":{"id":3673,"type":"book","title":"Freeing God's Children: The Unlikely Alliance for Global Human Rights","publisher":"Rowman &amp; Littlefield Publishers Inc.","publisher-place":"New York","event-place":"New York","author":[{"family":"Hertzke","given":"Allen"}],"issued":{"date-parts":[["2004"]]}}}],"schema":"https://github.com/citation-style-language/schema/raw/master/csl-citation.json"} </w:instrText>
      </w:r>
      <w:r>
        <w:rPr>
          <w:szCs w:val="24"/>
        </w:rPr>
        <w:fldChar w:fldCharType="separate"/>
      </w:r>
      <w:r w:rsidRPr="007A0483">
        <w:t>(Hertzke 2004)</w:t>
      </w:r>
      <w:r>
        <w:rPr>
          <w:szCs w:val="24"/>
        </w:rPr>
        <w:fldChar w:fldCharType="end"/>
      </w:r>
      <w:r w:rsidRPr="00836DDB">
        <w:rPr>
          <w:szCs w:val="24"/>
        </w:rPr>
        <w:t xml:space="preserve">. Scholars describe the shift toward </w:t>
      </w:r>
      <w:r>
        <w:rPr>
          <w:szCs w:val="24"/>
        </w:rPr>
        <w:t>TNGO</w:t>
      </w:r>
      <w:r w:rsidRPr="00836DDB">
        <w:rPr>
          <w:szCs w:val="24"/>
        </w:rPr>
        <w:t xml:space="preserve">s as delivery mechanisms as soft power </w:t>
      </w:r>
      <w:r>
        <w:rPr>
          <w:szCs w:val="24"/>
        </w:rPr>
        <w:fldChar w:fldCharType="begin"/>
      </w:r>
      <w:r>
        <w:rPr>
          <w:szCs w:val="24"/>
        </w:rPr>
        <w:instrText xml:space="preserve"> ADDIN ZOTERO_ITEM CSL_CITATION {"citationID":"kKeX3VZ8","properties":{"formattedCitation":"(Rogers 2011; Clark 1995)","plainCitation":"(Rogers 2011; Clark 1995)"},"citationItems":[{"id":1452,"uris":["http://zotero.org/users/381007/items/V3GXPUV9"],"uri":["http://zotero.org/users/381007/items/V3GXPUV9"],"itemData":{"id":1452,"type":"chapter","title":"Soft Power, NGOs, and Climate Change: The Case of The Nature Conservancy","container-title":"Climate Change and Environmental Ethics","publisher":"Transaction Publishers","publisher-place":"New Brunswick","page":"217-235","event-place":"New Brunswick","author":[{"family":"Rogers","given":"Katrina S."}],"editor":[{"family":"Nanda","given":"Ved P."}],"issued":{"date-parts":[["2011"]]}}},{"id":1334,"uris":["http://zotero.org/users/381007/items/T8QFAJ7S"],"uri":["http://zotero.org/users/381007/items/T8QFAJ7S"],"itemData":{"id":1334,"type":"article-journal","title":"The state, popular participation, and the voluntary sector","container-title":"World Development","page":"593-601","volume":"23","issue":"4","abstract":"A key determinant in the development contribution of nongovernment organizations (NGOs) is the relationship between NGOs and the state. NGOs may run parallel activities; they may play oppositional roles; or they may represent weaker members of society, organizing them to become more influential in decision making and resource allocation. This “civil society” function entails moving from a “supply side” approach, concentrating on project delivery, to a “demand side” emphasis, helping communities articulate their concerns and participate in development processes. Donors can use the policy dialogue to encourage governments to foster a more enabling environment for NGO activities.","author":[{"family":"Clark","given":"John"}],"issued":{"date-parts":[["1995"]]}}}],"schema":"https://github.com/citation-style-language/schema/raw/master/csl-citation.json"} </w:instrText>
      </w:r>
      <w:r>
        <w:rPr>
          <w:szCs w:val="24"/>
        </w:rPr>
        <w:fldChar w:fldCharType="separate"/>
      </w:r>
      <w:r w:rsidRPr="00836DDB">
        <w:rPr>
          <w:szCs w:val="24"/>
        </w:rPr>
        <w:t>(Rogers 2011; Clark 1995)</w:t>
      </w:r>
      <w:r>
        <w:rPr>
          <w:szCs w:val="24"/>
        </w:rPr>
        <w:fldChar w:fldCharType="end"/>
      </w:r>
      <w:r w:rsidRPr="00836DDB">
        <w:rPr>
          <w:szCs w:val="24"/>
        </w:rPr>
        <w:t xml:space="preserve">, or “the ability to affect others to obtain the outcomes one wants through attraction rather than coercion or payment” </w:t>
      </w:r>
      <w:r>
        <w:rPr>
          <w:szCs w:val="24"/>
        </w:rPr>
        <w:fldChar w:fldCharType="begin"/>
      </w:r>
      <w:r>
        <w:rPr>
          <w:szCs w:val="24"/>
        </w:rPr>
        <w:instrText xml:space="preserve"> ADDIN ZOTERO_ITEM CSL_CITATION {"citationID":"NuKF0jLR","properties":{"formattedCitation":"(Nye 2008, 94)","plainCitation":"(Nye 2008, 94)"},"citationItems":[{"id":3674,"uris":["http://zotero.org/users/381007/items/9V6MF3M9"],"uri":["http://zotero.org/users/381007/items/9V6MF3M9"],"itemData":{"id":3674,"type":"article-journal","title":"Public Diplomacy and Soft Power","container-title":"The Annals of the American Academy of Political and Social Science","page":"94-109","volume":"616","issue":"1","author":[{"family":"Nye","given":"J.S."}],"issued":{"date-parts":[["2008"]]}},"locator":"94"}],"schema":"https://github.com/citation-style-language/schema/raw/master/csl-citation.json"} </w:instrText>
      </w:r>
      <w:r>
        <w:rPr>
          <w:szCs w:val="24"/>
        </w:rPr>
        <w:fldChar w:fldCharType="separate"/>
      </w:r>
      <w:r w:rsidRPr="00283711">
        <w:t>(Nye 2008, 94)</w:t>
      </w:r>
      <w:r>
        <w:rPr>
          <w:szCs w:val="24"/>
        </w:rPr>
        <w:fldChar w:fldCharType="end"/>
      </w:r>
      <w:r w:rsidRPr="00836DDB">
        <w:rPr>
          <w:szCs w:val="24"/>
        </w:rPr>
        <w:t xml:space="preserve">. Through culture, policy, and values, states are able to co-opt rather than coerce people; examples of this strategy include the Bush administration’s HIV/AIDS initiatives and relief efforts following the 2004 Tsunami in Indonesia. Both achieved the goal of public diplomacy, shifting opinions of the United States, while also achieving the nonprofit goal of assisting those in need. Nye notes the ways in which countries differ in public diplomacy, which is also evident in studies of aid delivery and effectiveness. For example, one study of Switzerland focuses on how aid effectiveness differs among state, private, and nonprofit institutions </w:t>
      </w:r>
      <w:r>
        <w:rPr>
          <w:szCs w:val="24"/>
        </w:rPr>
        <w:fldChar w:fldCharType="begin"/>
      </w:r>
      <w:r>
        <w:rPr>
          <w:szCs w:val="24"/>
        </w:rPr>
        <w:instrText xml:space="preserve"> ADDIN ZOTERO_ITEM CSL_CITATION {"citationID":"P5cue7oL","properties":{"formattedCitation":"(Nunnenkamp, Weingarth, and Weisser 2009)","plainCitation":"(Nunnenkamp, Weingarth, and Weisser 2009)"},"citationItems":[{"id":432,"uris":["http://zotero.org/users/381007/items/32F98BJJ"],"uri":["http://zotero.org/users/381007/items/32F98BJJ"],"itemData":{"id":432,"type":"article-journal","title":"Is NGO aid not so different after all? Comparing the allocation of Swiss aid by private and official donors","container-title":"European Journal of Political Economy","page":"422-438","volume":"25","abstract":"Being closer to the poor, NGOs are widely believed to provide better targeted aid than state\nagencies. But empirical evidence is largely lacking.We contribute to closing this gap by drawing\non an exceptionally detailed Swiss database that covers different forms of NGO aid and several\nofficial aid benchmarks. The Tobit estimations account for both altruistic and selfish aid\nmotivations. Whether or not NGOs provide better targeted aid depends on the source of NGO\nfunding as well as the choice of the official benchmark. In contrast to widespread belief,\nhowever, the allocation of self-financed NGO aid reveals striking similarities to the allocation of\nofficial Swiss development aid.","author":[{"family":"Nunnenkamp","given":"Peter"},{"family":"Weingarth","given":"Janina"},{"family":"Weisser","given":"Johannes"}],"issued":{"date-parts":[["2009"]]}}}],"schema":"https://github.com/citation-style-language/schema/raw/master/csl-citation.json"} </w:instrText>
      </w:r>
      <w:r>
        <w:rPr>
          <w:szCs w:val="24"/>
        </w:rPr>
        <w:fldChar w:fldCharType="separate"/>
      </w:r>
      <w:r w:rsidRPr="00836DDB">
        <w:rPr>
          <w:szCs w:val="24"/>
        </w:rPr>
        <w:t>(Nunnenkamp, Weingarth, and Weisser 2009)</w:t>
      </w:r>
      <w:r>
        <w:rPr>
          <w:szCs w:val="24"/>
        </w:rPr>
        <w:fldChar w:fldCharType="end"/>
      </w:r>
      <w:r w:rsidRPr="00836DDB">
        <w:rPr>
          <w:szCs w:val="24"/>
        </w:rPr>
        <w:t xml:space="preserve"> while others question the capacity of </w:t>
      </w:r>
      <w:r>
        <w:rPr>
          <w:szCs w:val="24"/>
        </w:rPr>
        <w:t>TNGO</w:t>
      </w:r>
      <w:r w:rsidRPr="00836DDB">
        <w:rPr>
          <w:szCs w:val="24"/>
        </w:rPr>
        <w:t xml:space="preserve">s to deliver on the lofty goals of public diplomacy </w:t>
      </w:r>
      <w:r>
        <w:rPr>
          <w:szCs w:val="24"/>
        </w:rPr>
        <w:fldChar w:fldCharType="begin"/>
      </w:r>
      <w:r>
        <w:rPr>
          <w:szCs w:val="24"/>
        </w:rPr>
        <w:instrText xml:space="preserve"> ADDIN ZOTERO_ITEM CSL_CITATION {"citationID":"EDG1GZV5","properties":{"formattedCitation":"(Marcussen 1996)","plainCitation":"(Marcussen 1996)"},"citationItems":[{"id":1516,"uris":["http://zotero.org/users/381007/items/WPDQADQF"],"uri":["http://zotero.org/users/381007/items/WPDQADQF"],"itemData":{"id":1516,"type":"article-journal","title":"NGOs, the state and civil society","container-title":"Review of African Political Economy","page":"405-423","volume":"23","issue":"69","abstract":"This article examines the validity of some of the objectives of nongovernmental organisations (hereafter NGOs) that are based in the donor states and operate in the third world. The author has personal experience in the evaluation of several Scandinavian NGOs working in Africa and takes a somewhat sceptical position as to the capacity of such NGOs to ‘construct’ civil society in African states. Inevitably, such NGOs are part of a wider system of development assistance, and their field operations </w:instrText>
      </w:r>
      <w:r>
        <w:rPr>
          <w:rFonts w:ascii="Noteworthy Light" w:hAnsi="Noteworthy Light" w:cs="Noteworthy Light"/>
          <w:szCs w:val="24"/>
        </w:rPr>
        <w:instrText>‐</w:instrText>
      </w:r>
      <w:r>
        <w:rPr>
          <w:szCs w:val="24"/>
        </w:rPr>
        <w:instrText xml:space="preserve"> particularly if they are to participate in the development of long</w:instrText>
      </w:r>
      <w:r>
        <w:rPr>
          <w:rFonts w:ascii="Noteworthy Light" w:hAnsi="Noteworthy Light" w:cs="Noteworthy Light"/>
          <w:szCs w:val="24"/>
        </w:rPr>
        <w:instrText>‐</w:instrText>
      </w:r>
      <w:r>
        <w:rPr>
          <w:szCs w:val="24"/>
        </w:rPr>
        <w:instrText xml:space="preserve">term sustainable development </w:instrText>
      </w:r>
      <w:r>
        <w:rPr>
          <w:rFonts w:ascii="Noteworthy Light" w:hAnsi="Noteworthy Light" w:cs="Noteworthy Light"/>
          <w:szCs w:val="24"/>
        </w:rPr>
        <w:instrText>‐</w:instrText>
      </w:r>
      <w:r>
        <w:rPr>
          <w:szCs w:val="24"/>
        </w:rPr>
        <w:instrText xml:space="preserve"> will both inevitably reflect the nature of this system and have to work closely with existing state structures. On the other hand, in this new phase, the NGOs are outsiders which are, in an artificial way, entering into a process which ought to be much more genuinely and organically evolving out of the local context itself. How this is to be achieved is beyond the scope of this article.","author":[{"family":"Marcussen","given":"Henrik Secher"}],"issued":{"date-parts":[["1996"]]}}}],"schema":"https://github.com/citation-style-language/schema/raw/master/csl-citation.json"} </w:instrText>
      </w:r>
      <w:r>
        <w:rPr>
          <w:szCs w:val="24"/>
        </w:rPr>
        <w:fldChar w:fldCharType="separate"/>
      </w:r>
      <w:r w:rsidRPr="00836DDB">
        <w:rPr>
          <w:szCs w:val="24"/>
        </w:rPr>
        <w:t>(Marcussen 1996)</w:t>
      </w:r>
      <w:r>
        <w:rPr>
          <w:szCs w:val="24"/>
        </w:rPr>
        <w:fldChar w:fldCharType="end"/>
      </w:r>
      <w:r w:rsidRPr="00836DDB">
        <w:rPr>
          <w:szCs w:val="24"/>
        </w:rPr>
        <w:t xml:space="preserve">. Movement toward </w:t>
      </w:r>
      <w:r>
        <w:rPr>
          <w:szCs w:val="24"/>
        </w:rPr>
        <w:t>TNGO</w:t>
      </w:r>
      <w:r w:rsidRPr="00836DDB">
        <w:rPr>
          <w:szCs w:val="24"/>
        </w:rPr>
        <w:t xml:space="preserve">s as vehicles of implementation is evident among international institutions as well, most notably by the World Bank and the International Monetary Fund as they pursued structural adjustment policies. During this period, the credibility of </w:t>
      </w:r>
      <w:r>
        <w:rPr>
          <w:szCs w:val="24"/>
        </w:rPr>
        <w:t>TNGO</w:t>
      </w:r>
      <w:r w:rsidRPr="00836DDB">
        <w:rPr>
          <w:szCs w:val="24"/>
        </w:rPr>
        <w:t xml:space="preserve">s combined with the lack of credibility of government in developing countries resulted in aid channeled through </w:t>
      </w:r>
      <w:r>
        <w:rPr>
          <w:szCs w:val="24"/>
        </w:rPr>
        <w:t>TNGO</w:t>
      </w:r>
      <w:r w:rsidRPr="00836DDB">
        <w:rPr>
          <w:szCs w:val="24"/>
        </w:rPr>
        <w:t xml:space="preserve">s rather than state institutions </w:t>
      </w:r>
      <w:r>
        <w:rPr>
          <w:szCs w:val="24"/>
        </w:rPr>
        <w:fldChar w:fldCharType="begin"/>
      </w:r>
      <w:r>
        <w:rPr>
          <w:szCs w:val="24"/>
        </w:rPr>
        <w:instrText xml:space="preserve"> ADDIN ZOTERO_ITEM CSL_CITATION {"citationID":"rqZq3SK5","properties":{"formattedCitation":"(Jeffrey Herbst 2000; Roberts 2000; Riddell, J. Barry 1992)","plainCitation":"(Jeffrey Herbst 2000; Roberts 2000; Riddell, J. Barry 1992)","dontUpdate":true},"citationItems":[{"id":923,"uris":["http://zotero.org/users/381007/items/GG9VPHJE"],"uri":["http://zotero.org/users/381007/items/GG9VPHJE"],"itemData":{"id":923,"type":"book","title":"States and Power in Africa: Comparative Lessons in Authority and Control","publisher":"Princeton University Press","publisher-place":"Princeton","event-place":"Princeton","abstract":"Theories of international relations, assumed to be universally applicable, have failed to explain the creation of states in Africa. There, the interaction of power and space is dramatically different from what occurred in Europe. In his groundbreaking book, Jeffrey Herbst places the African state-building process in a truly comparative perspective, examining the problem of state consolidation from the precolonial period, through the short but intense interlude of European colonialism, to the modern era of independent states. Herbst's bold contention--that the conditions now facing African state-builders existed long before European penetration of the continent--is sure to provoke controversy, for it runs counter to the prevailing assumption that colonialism changed everything.In identifying how the African state-building process differs from the European experience, Herbst addresses the fundamental problem confronting African leaders: how to extend authority over sparsely settled lands. Indeed, efforts to exert control over vast, inhospitable territories of low population density and varied environmental and geographical zones have resulted in devastating wars, millions of refugees, and dysfunctional governments perpetrating destructive policies.Detailing the precise political calculations of distinct African leaders, Herbst isolates the basic dynamics of African state development. In analyzing how these leaders have attempted to consolidate power, he is able to evaluate a variety of policy alternatives for dealing with the fundamental political challenges facing African states today.","author":[{"family":"Herbst","given":"Jeffrey"}],"issued":{"date-parts":[["2000"]]}}},{"id":958,"uris":["http://zotero.org/users/381007/items/HQ9N8RZU"],"uri":["http://zotero.org/users/381007/items/HQ9N8RZU"],"itemData":{"id":958,"type":"article-journal","title":"NGO Leadership, Success, and Growth in Senegal: Lessons From Ground Level","container-title":"Urban Anthropology and Studies of Cultural Systems and World Economic Development","page":"143-180","volume":"29","issue":"2","abstract":"Under pressure from structural adjustment and unable to reverse environmental degradation trends, the government and farmers were receptive to innovations presented by the NGO in the areas of education, communication and information exchange, collaborative applied research, and participatory community development. The ability of staff to foster participation at multiple levels (int'l community and Senegalese society) contributed to their recognition (legitimacy) as an NGO leader.  Contributing factors included NGO philosophy to use local physical and sociocultural resources with appropriate external inputs to improve productive capacity; the quality of the organizations staff (recruitment and socialization); visible and measurable results within the first few years; image as an organizational leader (staff as leaders in individual domains contributed to overall image of NGO as a leader); effective communication made work highly visible within Senegal and internationally w/ assistance of parent organization.","author":[{"family":"Roberts","given":"Bill"}],"issued":{"date-parts":[["2000"]]}}},{"id":1037,"uris":["http://zotero.org/users/381007/items/JJWB9TVU"],"uri":["http://zotero.org/users/381007/items/JJWB9TVU"],"itemData":{"id":1037,"type":"article-journal","title":"Things Fall Apart Again: Structural Adjustment Programmes in Sub-Saharan Africa","container-title":"The Journal of Modern African Studies","page":"53-68","volume":"30","issue":"1","author":[{"family":"Riddell, J. Barry","given":""}],"issued":{"date-parts":[["1992"]]},"accessed":{"date-parts":[["2011",12,14]]}}}],"schema":"https://github.com/citation-style-language/schema/raw/master/csl-citation.json"} </w:instrText>
      </w:r>
      <w:r>
        <w:rPr>
          <w:szCs w:val="24"/>
        </w:rPr>
        <w:fldChar w:fldCharType="separate"/>
      </w:r>
      <w:r w:rsidRPr="00836DDB">
        <w:rPr>
          <w:szCs w:val="24"/>
        </w:rPr>
        <w:t>(Herbst 2000; Roberts 2000; Riddell 1992)</w:t>
      </w:r>
      <w:r>
        <w:rPr>
          <w:szCs w:val="24"/>
        </w:rPr>
        <w:fldChar w:fldCharType="end"/>
      </w:r>
      <w:r w:rsidRPr="00836DDB">
        <w:rPr>
          <w:szCs w:val="24"/>
        </w:rPr>
        <w:t xml:space="preserve">. Transfers of authority from states to </w:t>
      </w:r>
      <w:r>
        <w:rPr>
          <w:szCs w:val="24"/>
        </w:rPr>
        <w:t>TNGO</w:t>
      </w:r>
      <w:r w:rsidRPr="00836DDB">
        <w:rPr>
          <w:szCs w:val="24"/>
        </w:rPr>
        <w:t xml:space="preserve">s illustrates the challenges of control in principal-agent relationships, yet the tradeoff continues to be worthwhile and as a result, the state has fueled the growth of the nonprofit sector both domestically and internationally. </w:t>
      </w:r>
    </w:p>
    <w:p w:rsidR="007A1CF5" w:rsidRDefault="009944D4" w:rsidP="007A1CF5">
      <w:pPr>
        <w:spacing w:after="200" w:line="480" w:lineRule="auto"/>
        <w:rPr>
          <w:i/>
        </w:rPr>
      </w:pPr>
      <w:r w:rsidRPr="00836DDB">
        <w:rPr>
          <w:b/>
          <w:szCs w:val="24"/>
        </w:rPr>
        <w:tab/>
      </w:r>
      <w:r w:rsidRPr="00836DDB">
        <w:rPr>
          <w:szCs w:val="24"/>
        </w:rPr>
        <w:t xml:space="preserve">What is missing from discussions of </w:t>
      </w:r>
      <w:r>
        <w:rPr>
          <w:szCs w:val="24"/>
        </w:rPr>
        <w:t>TNGO</w:t>
      </w:r>
      <w:r w:rsidRPr="00836DDB">
        <w:rPr>
          <w:szCs w:val="24"/>
        </w:rPr>
        <w:t xml:space="preserve">s as tools of public diplomacy, </w:t>
      </w:r>
      <w:r w:rsidRPr="00283711">
        <w:rPr>
          <w:szCs w:val="24"/>
        </w:rPr>
        <w:t>delegated authority</w:t>
      </w:r>
      <w:r w:rsidRPr="00836DDB">
        <w:rPr>
          <w:szCs w:val="24"/>
        </w:rPr>
        <w:t>, and aid more generally is the influence of the operating and political e</w:t>
      </w:r>
      <w:r w:rsidR="00DB0351">
        <w:rPr>
          <w:szCs w:val="24"/>
        </w:rPr>
        <w:t xml:space="preserve">nvironment in the host country. TNGOs have reputations for working in the most desperate locations and for the </w:t>
      </w:r>
      <w:r w:rsidR="009B725E">
        <w:rPr>
          <w:szCs w:val="24"/>
        </w:rPr>
        <w:t>direst</w:t>
      </w:r>
      <w:r w:rsidR="00DB0351">
        <w:rPr>
          <w:szCs w:val="24"/>
        </w:rPr>
        <w:t xml:space="preserve"> causes. </w:t>
      </w:r>
      <w:r w:rsidR="006A6BB0">
        <w:rPr>
          <w:szCs w:val="24"/>
        </w:rPr>
        <w:t xml:space="preserve">Furthermore, </w:t>
      </w:r>
      <w:r w:rsidR="008C47C5">
        <w:rPr>
          <w:szCs w:val="24"/>
        </w:rPr>
        <w:t xml:space="preserve">TNGOs serve as aid vehicles to deliver assistance on behalf of governments and donors. This enables </w:t>
      </w:r>
      <w:r w:rsidR="005B3F65">
        <w:rPr>
          <w:szCs w:val="24"/>
        </w:rPr>
        <w:t>TNGOs</w:t>
      </w:r>
      <w:r w:rsidR="008C47C5">
        <w:rPr>
          <w:szCs w:val="24"/>
        </w:rPr>
        <w:t xml:space="preserve"> to </w:t>
      </w:r>
      <w:r w:rsidR="005B3F65">
        <w:rPr>
          <w:szCs w:val="24"/>
        </w:rPr>
        <w:t>influence</w:t>
      </w:r>
      <w:r w:rsidR="008C47C5">
        <w:rPr>
          <w:szCs w:val="24"/>
        </w:rPr>
        <w:t xml:space="preserve"> problem</w:t>
      </w:r>
      <w:r w:rsidR="005B3F65">
        <w:rPr>
          <w:szCs w:val="24"/>
        </w:rPr>
        <w:t>s</w:t>
      </w:r>
      <w:r w:rsidR="008C47C5">
        <w:rPr>
          <w:szCs w:val="24"/>
        </w:rPr>
        <w:t xml:space="preserve"> and solution</w:t>
      </w:r>
      <w:r w:rsidR="005B3F65">
        <w:rPr>
          <w:szCs w:val="24"/>
        </w:rPr>
        <w:t xml:space="preserve">s with some freedom. </w:t>
      </w:r>
      <w:r w:rsidR="00F57AC5">
        <w:rPr>
          <w:szCs w:val="24"/>
        </w:rPr>
        <w:t xml:space="preserve">It also permits governments and donors to engage with problems, host governments, and solutions with fewer constraints; hence the term delegated authority. </w:t>
      </w:r>
      <w:r w:rsidR="00DB0351">
        <w:rPr>
          <w:szCs w:val="24"/>
        </w:rPr>
        <w:t xml:space="preserve">However, </w:t>
      </w:r>
      <w:r w:rsidR="002D7EC5">
        <w:rPr>
          <w:szCs w:val="24"/>
        </w:rPr>
        <w:t xml:space="preserve">certain elements must be in place for them to succeed. The political environment must be open and stable enough to allow them to register in the first place, move about the country, and conduct their work with a degree of safety. The operating environment must allow them to receive funds to conduct their work and infrastructure to conduct work must also be present. </w:t>
      </w:r>
      <w:r>
        <w:rPr>
          <w:szCs w:val="24"/>
        </w:rPr>
        <w:t xml:space="preserve">Bratton </w:t>
      </w:r>
      <w:r>
        <w:rPr>
          <w:szCs w:val="24"/>
        </w:rPr>
        <w:fldChar w:fldCharType="begin"/>
      </w:r>
      <w:r>
        <w:rPr>
          <w:szCs w:val="24"/>
        </w:rPr>
        <w:instrText xml:space="preserve"> ADDIN ZOTERO_ITEM CSL_CITATION {"citationID":"O0X4oxNC","properties":{"formattedCitation":"(Bratton 1989a; Bratton, Michael 1990)","plainCitation":"(Bratton 1989a; Bratton, Michael 1990)"},"citationItems":[{"id":575,"uris":["http://zotero.org/users/381007/items/6TI2WVZ4"],"uri":["http://zotero.org/users/381007/items/6TI2WVZ4"],"itemData":{"id":575,"type":"article-journal","title":"Beyond the State: Civil Society and Associational Life in Africa","container-title":"World Politics","page":"407-430","volume":"41","issue":"3","author":[{"family":"Bratton","given":"Michael"}],"issued":{"date-parts":[["1989"]]}}},{"id":591,"uris":["http://zotero.org/users/381007/items/7CSDI28H"],"uri":["http://zotero.org/users/381007/items/7CSDI28H"],"itemData":{"id":591,"type":"article-journal","title":"Non-governmental Organizations in Africa: Can They Influence Public Policy?","container-title":"Development and Change","page":"87-118","volume":"21","abstract":"Three case studies of NGO advocacy in sub-Saharan Africa, finds that certain factors influence the effectiveness of NGOs in influencing policymaking. Some are more successful than others based on these.","author":[{"family":"Bratton, Michael","given":""}],"issued":{"date-parts":[["1990"]]}}}],"schema":"https://github.com/citation-style-language/schema/raw/master/csl-citation.json"} </w:instrText>
      </w:r>
      <w:r>
        <w:rPr>
          <w:szCs w:val="24"/>
        </w:rPr>
        <w:fldChar w:fldCharType="separate"/>
      </w:r>
      <w:r>
        <w:t xml:space="preserve">(1989a; </w:t>
      </w:r>
      <w:r w:rsidRPr="004671BA">
        <w:t>1990)</w:t>
      </w:r>
      <w:r>
        <w:rPr>
          <w:szCs w:val="24"/>
        </w:rPr>
        <w:fldChar w:fldCharType="end"/>
      </w:r>
      <w:r w:rsidRPr="00836DDB">
        <w:rPr>
          <w:szCs w:val="24"/>
        </w:rPr>
        <w:t xml:space="preserve"> touches on government-</w:t>
      </w:r>
      <w:r>
        <w:rPr>
          <w:szCs w:val="24"/>
        </w:rPr>
        <w:t>TNGO</w:t>
      </w:r>
      <w:r w:rsidRPr="00836DDB">
        <w:rPr>
          <w:szCs w:val="24"/>
        </w:rPr>
        <w:t xml:space="preserve"> relations when he links the worlds of public policy and comparative politics in his examination of </w:t>
      </w:r>
      <w:r>
        <w:rPr>
          <w:szCs w:val="24"/>
        </w:rPr>
        <w:t>TNGO</w:t>
      </w:r>
      <w:r w:rsidRPr="00836DDB">
        <w:rPr>
          <w:szCs w:val="24"/>
        </w:rPr>
        <w:t xml:space="preserve">s as policy entrepreneurs, but otherwise </w:t>
      </w:r>
      <w:r>
        <w:rPr>
          <w:szCs w:val="24"/>
        </w:rPr>
        <w:t>TNGO</w:t>
      </w:r>
      <w:r w:rsidRPr="00836DDB">
        <w:rPr>
          <w:szCs w:val="24"/>
        </w:rPr>
        <w:t xml:space="preserve">s are approached without concern about what influences their decisions or motivates them. Instead, they are viewed simply as agents of the state and international institutions operating in a void. Obviously, nothing could be further from the truth. The domestic environments in which </w:t>
      </w:r>
      <w:r>
        <w:rPr>
          <w:szCs w:val="24"/>
        </w:rPr>
        <w:t>TNGO</w:t>
      </w:r>
      <w:r w:rsidRPr="00836DDB">
        <w:rPr>
          <w:szCs w:val="24"/>
        </w:rPr>
        <w:t>s operate are as important as the domestic environments in which they were formed, find funding, and are regulated. That is, nonprofits with an international scope are subject to multiple principals. This means that the environment inhabited by organizations working internationally moves beyond the government-</w:t>
      </w:r>
      <w:r>
        <w:rPr>
          <w:szCs w:val="24"/>
        </w:rPr>
        <w:t>TNGO</w:t>
      </w:r>
      <w:r w:rsidRPr="00836DDB">
        <w:rPr>
          <w:szCs w:val="24"/>
        </w:rPr>
        <w:t xml:space="preserve"> and donor-</w:t>
      </w:r>
      <w:r>
        <w:rPr>
          <w:szCs w:val="24"/>
        </w:rPr>
        <w:t>TNGO relationship. Rather, decision-making is also constrained by</w:t>
      </w:r>
      <w:r w:rsidRPr="00836DDB">
        <w:rPr>
          <w:szCs w:val="24"/>
        </w:rPr>
        <w:t xml:space="preserve"> host governments, other international </w:t>
      </w:r>
      <w:r>
        <w:rPr>
          <w:szCs w:val="24"/>
        </w:rPr>
        <w:t>TNGO</w:t>
      </w:r>
      <w:r w:rsidRPr="00836DDB">
        <w:rPr>
          <w:szCs w:val="24"/>
        </w:rPr>
        <w:t xml:space="preserve">s, and local </w:t>
      </w:r>
      <w:r>
        <w:rPr>
          <w:szCs w:val="24"/>
        </w:rPr>
        <w:t>TNGO</w:t>
      </w:r>
      <w:r w:rsidRPr="00836DDB">
        <w:rPr>
          <w:szCs w:val="24"/>
        </w:rPr>
        <w:t>s join the field as a</w:t>
      </w:r>
      <w:r>
        <w:rPr>
          <w:szCs w:val="24"/>
        </w:rPr>
        <w:t xml:space="preserve">gents or principals themselves. This creates </w:t>
      </w:r>
      <w:r w:rsidRPr="00836DDB">
        <w:rPr>
          <w:szCs w:val="24"/>
        </w:rPr>
        <w:t xml:space="preserve">a nested rather than hierarchical set of relationships. This dynamic changes the way in which </w:t>
      </w:r>
      <w:r>
        <w:rPr>
          <w:szCs w:val="24"/>
        </w:rPr>
        <w:t>TNGO</w:t>
      </w:r>
      <w:r w:rsidRPr="00836DDB">
        <w:rPr>
          <w:szCs w:val="24"/>
        </w:rPr>
        <w:t xml:space="preserve">s are perceived by beneficiaries, governments, partners, and donors. </w:t>
      </w:r>
    </w:p>
    <w:p w:rsidR="00E60EC9" w:rsidRDefault="00E60EC9" w:rsidP="009944D4">
      <w:pPr>
        <w:spacing w:line="480" w:lineRule="auto"/>
        <w:rPr>
          <w:szCs w:val="24"/>
        </w:rPr>
      </w:pPr>
    </w:p>
    <w:p w:rsidR="009944D4" w:rsidRPr="00E60EC9" w:rsidRDefault="00E60EC9" w:rsidP="00E60EC9">
      <w:pPr>
        <w:spacing w:line="480" w:lineRule="auto"/>
        <w:jc w:val="center"/>
        <w:rPr>
          <w:i/>
        </w:rPr>
      </w:pPr>
      <w:r>
        <w:rPr>
          <w:i/>
          <w:szCs w:val="24"/>
        </w:rPr>
        <w:t>Influences on Location: Operating and Political Environments</w:t>
      </w:r>
    </w:p>
    <w:p w:rsidR="009944D4" w:rsidRPr="00836DDB" w:rsidRDefault="009944D4" w:rsidP="007A1CF5">
      <w:pPr>
        <w:spacing w:line="480" w:lineRule="auto"/>
        <w:rPr>
          <w:szCs w:val="24"/>
        </w:rPr>
      </w:pPr>
      <w:r w:rsidRPr="00836DDB">
        <w:rPr>
          <w:szCs w:val="24"/>
        </w:rPr>
        <w:tab/>
        <w:t xml:space="preserve">Within this framework, the operating and political </w:t>
      </w:r>
      <w:r w:rsidR="009B725E" w:rsidRPr="00836DDB">
        <w:rPr>
          <w:szCs w:val="24"/>
        </w:rPr>
        <w:t>environments are</w:t>
      </w:r>
      <w:r w:rsidRPr="00836DDB">
        <w:rPr>
          <w:szCs w:val="24"/>
        </w:rPr>
        <w:t xml:space="preserve"> significant factors shaping </w:t>
      </w:r>
      <w:r>
        <w:rPr>
          <w:szCs w:val="24"/>
        </w:rPr>
        <w:t>TNGO</w:t>
      </w:r>
      <w:r w:rsidRPr="00836DDB">
        <w:rPr>
          <w:szCs w:val="24"/>
        </w:rPr>
        <w:t xml:space="preserve"> decision-making.  Referring to their framework concerning location in OECD countries, </w:t>
      </w:r>
      <w:r>
        <w:rPr>
          <w:szCs w:val="24"/>
        </w:rPr>
        <w:t xml:space="preserve">Bloodgood and Tremblay-Boire </w:t>
      </w:r>
      <w:r>
        <w:rPr>
          <w:szCs w:val="24"/>
        </w:rPr>
        <w:fldChar w:fldCharType="begin"/>
      </w:r>
      <w:r>
        <w:rPr>
          <w:szCs w:val="24"/>
        </w:rPr>
        <w:instrText xml:space="preserve"> ADDIN ZOTERO_ITEM CSL_CITATION {"citationID":"i2x8NWiD","properties":{"formattedCitation":"(Bloodgood and Tremblay-Boire 2014)","plainCitation":"(Bloodgood and Tremblay-Boire 2014)"},"citationItems":[{"id":3675,"uris":["http://zotero.org/users/381007/items/GW7SAJAI"],"uri":["http://zotero.org/users/381007/items/GW7SAJAI"],"itemData":{"id":3675,"type":"paper-conference","title":"Explaining Non-governmental Organizations in the OECD and Beyond: The Role of Political Parties","publisher":"APSA","publisher-place":"Washington","event":"American Political Science Association Annual Meeting","event-place":"Washington","author":[{"family":"Bloodgood","given":"E.A."},{"family":"Tremblay-Boire","given":"J."}],"issued":{"date-parts":[["2014"]]}}}],"schema":"https://github.com/citation-style-language/schema/raw/master/csl-citation.json"} </w:instrText>
      </w:r>
      <w:r>
        <w:rPr>
          <w:szCs w:val="24"/>
        </w:rPr>
        <w:fldChar w:fldCharType="separate"/>
      </w:r>
      <w:r>
        <w:t>(</w:t>
      </w:r>
      <w:r w:rsidRPr="00283711">
        <w:t>2014)</w:t>
      </w:r>
      <w:r>
        <w:rPr>
          <w:szCs w:val="24"/>
        </w:rPr>
        <w:fldChar w:fldCharType="end"/>
      </w:r>
      <w:r w:rsidR="009B725E">
        <w:rPr>
          <w:szCs w:val="24"/>
        </w:rPr>
        <w:t xml:space="preserve"> </w:t>
      </w:r>
      <w:r w:rsidRPr="00836DDB">
        <w:rPr>
          <w:szCs w:val="24"/>
        </w:rPr>
        <w:t xml:space="preserve">observe that </w:t>
      </w:r>
      <w:r>
        <w:rPr>
          <w:szCs w:val="24"/>
        </w:rPr>
        <w:t>TNGO</w:t>
      </w:r>
      <w:r w:rsidRPr="00836DDB">
        <w:rPr>
          <w:szCs w:val="24"/>
        </w:rPr>
        <w:t xml:space="preserve">s carefully consider the countries in which they operate in order to avoid </w:t>
      </w:r>
      <w:r>
        <w:rPr>
          <w:szCs w:val="24"/>
        </w:rPr>
        <w:fldChar w:fldCharType="begin"/>
      </w:r>
      <w:r>
        <w:rPr>
          <w:szCs w:val="24"/>
        </w:rPr>
        <w:instrText xml:space="preserve"> ADDIN ZOTERO_ITEM CSL_CITATION {"citationID":"bLVraEOs","properties":{"formattedCitation":"(Keck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Keck and Sikkink (1998)</w:t>
      </w:r>
      <w:r>
        <w:rPr>
          <w:szCs w:val="24"/>
        </w:rPr>
        <w:fldChar w:fldCharType="end"/>
      </w:r>
      <w:r w:rsidRPr="00836DDB">
        <w:rPr>
          <w:szCs w:val="24"/>
        </w:rPr>
        <w:t xml:space="preserve"> boomerang effect. The boomerang effect is a phenomenon in </w:t>
      </w:r>
      <w:r w:rsidR="00E43661">
        <w:rPr>
          <w:szCs w:val="24"/>
        </w:rPr>
        <w:t xml:space="preserve">transnational advocacy networks. In it, </w:t>
      </w:r>
      <w:r w:rsidRPr="00836DDB">
        <w:rPr>
          <w:szCs w:val="24"/>
        </w:rPr>
        <w:t>citizens of a country lacking open channels of political communication and civil society petition assistance from citizens of another country. Those citizens in turn pressure their own government to influence the government of the first country. Bloodgood</w:t>
      </w:r>
      <w:r>
        <w:rPr>
          <w:szCs w:val="24"/>
        </w:rPr>
        <w:t xml:space="preserve"> and Tremblay-Boire</w:t>
      </w:r>
      <w:r w:rsidRPr="00836DDB">
        <w:rPr>
          <w:szCs w:val="24"/>
        </w:rPr>
        <w:t xml:space="preserve"> (2014) posit that decisions of </w:t>
      </w:r>
      <w:r>
        <w:rPr>
          <w:szCs w:val="24"/>
        </w:rPr>
        <w:t>TNGO</w:t>
      </w:r>
      <w:r w:rsidRPr="00836DDB">
        <w:rPr>
          <w:szCs w:val="24"/>
        </w:rPr>
        <w:t xml:space="preserve">s, specifically the countries they enter, are predictable based on the political landscape. </w:t>
      </w:r>
      <w:r w:rsidR="009B725E">
        <w:rPr>
          <w:szCs w:val="24"/>
        </w:rPr>
        <w:t>They</w:t>
      </w:r>
      <w:r w:rsidRPr="00836DDB">
        <w:rPr>
          <w:szCs w:val="24"/>
        </w:rPr>
        <w:t xml:space="preserve"> believe it is possible to predict whether advocacy organizations are more or less likely to locate in corporatist or pluralist regimes based on openness and the manner in which the regime maintains stability. </w:t>
      </w:r>
    </w:p>
    <w:p w:rsidR="009944D4" w:rsidRPr="00836DDB" w:rsidRDefault="009944D4" w:rsidP="009944D4">
      <w:pPr>
        <w:spacing w:line="480" w:lineRule="auto"/>
        <w:rPr>
          <w:szCs w:val="24"/>
        </w:rPr>
      </w:pPr>
      <w:r w:rsidRPr="00836DDB">
        <w:rPr>
          <w:szCs w:val="24"/>
        </w:rPr>
        <w:tab/>
        <w:t xml:space="preserve">The regulations </w:t>
      </w:r>
      <w:r>
        <w:rPr>
          <w:szCs w:val="24"/>
        </w:rPr>
        <w:t>TNGO</w:t>
      </w:r>
      <w:r w:rsidRPr="00836DDB">
        <w:rPr>
          <w:szCs w:val="24"/>
        </w:rPr>
        <w:t xml:space="preserve">s face in their quotidian activities may capture openness. This is because institutions and the regulations they impose permit, prohibit, or prescribe behaviors </w:t>
      </w:r>
      <w:r>
        <w:rPr>
          <w:szCs w:val="24"/>
        </w:rPr>
        <w:fldChar w:fldCharType="begin"/>
      </w:r>
      <w:r>
        <w:rPr>
          <w:szCs w:val="24"/>
        </w:rPr>
        <w:instrText xml:space="preserve"> ADDIN ZOTERO_ITEM CSL_CITATION {"citationID":"SIDSbisQ","properties":{"formattedCitation":"(Ostrom 1990)","plainCitation":"(Ostrom 1990)"},"citationItems":[{"id":1157,"uris":["http://zotero.org/users/381007/items/P2ICEBTS"],"uri":["http://zotero.org/users/381007/items/P2ICEBTS"],"itemData":{"id":1157,"type":"book","title":"Governing the Commons: The Evolution of Institutions for Collective Action","publisher":"Cambridge University Press","publisher-place":"Cambridge","event-place":"Cambridge","author":[{"family":"Ostrom","given":"Elinor"}],"issued":{"date-parts":[["1990"]]}}}],"schema":"https://github.com/citation-style-language/schema/raw/master/csl-citation.json"} </w:instrText>
      </w:r>
      <w:r>
        <w:rPr>
          <w:szCs w:val="24"/>
        </w:rPr>
        <w:fldChar w:fldCharType="separate"/>
      </w:r>
      <w:r w:rsidRPr="00836DDB">
        <w:rPr>
          <w:szCs w:val="24"/>
        </w:rPr>
        <w:t>(Ostrom 1990)</w:t>
      </w:r>
      <w:r>
        <w:rPr>
          <w:szCs w:val="24"/>
        </w:rPr>
        <w:fldChar w:fldCharType="end"/>
      </w:r>
      <w:r w:rsidRPr="00836DDB">
        <w:rPr>
          <w:szCs w:val="24"/>
        </w:rPr>
        <w:t xml:space="preserve">. Therefore, governments may block or facilitate behavior through regulations that influence the registration of </w:t>
      </w:r>
      <w:r>
        <w:rPr>
          <w:szCs w:val="24"/>
        </w:rPr>
        <w:t>TNGO</w:t>
      </w:r>
      <w:r w:rsidRPr="00836DDB">
        <w:rPr>
          <w:szCs w:val="24"/>
        </w:rPr>
        <w:t xml:space="preserve">s, the structure of Boards of Directors, their finances, meetings, and even the activities in which they may engage </w:t>
      </w:r>
      <w:r>
        <w:rPr>
          <w:szCs w:val="24"/>
        </w:rPr>
        <w:fldChar w:fldCharType="begin"/>
      </w:r>
      <w:r>
        <w:rPr>
          <w:szCs w:val="24"/>
        </w:rPr>
        <w:instrText xml:space="preserve"> ADDIN ZOTERO_ITEM CSL_CITATION {"citationID":"qQHNMZHt","properties":{"formattedCitation":"(Keck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(Keck and Sikkink 1998)</w:t>
      </w:r>
      <w:r>
        <w:rPr>
          <w:szCs w:val="24"/>
        </w:rPr>
        <w:fldChar w:fldCharType="end"/>
      </w:r>
      <w:r w:rsidRPr="00836DDB">
        <w:rPr>
          <w:szCs w:val="24"/>
        </w:rPr>
        <w:t xml:space="preserve">. The ability to encourage or discourage behavior through the operating environment is, of course, not restricted to governments in countries of implementation. Requirements such as the non-distribution constraint and the registration process for tax-exempt status in the United States illustrate the ways in which governments shape the nonprofit environment. The contexts in which they do so, however, are distinct. Evidence of this can be found in the news as well as in scholarship. </w:t>
      </w:r>
    </w:p>
    <w:p w:rsidR="009944D4" w:rsidRPr="00836DDB" w:rsidRDefault="009944D4" w:rsidP="009944D4">
      <w:pPr>
        <w:spacing w:line="480" w:lineRule="auto"/>
        <w:ind w:firstLine="360"/>
        <w:rPr>
          <w:szCs w:val="24"/>
        </w:rPr>
      </w:pPr>
      <w:r w:rsidRPr="00836DDB">
        <w:rPr>
          <w:szCs w:val="24"/>
        </w:rPr>
        <w:t xml:space="preserve">In 2009, Ethiopia adopted restrictive </w:t>
      </w:r>
      <w:r>
        <w:rPr>
          <w:szCs w:val="24"/>
        </w:rPr>
        <w:t>TNGO</w:t>
      </w:r>
      <w:r w:rsidRPr="00836DDB">
        <w:rPr>
          <w:szCs w:val="24"/>
        </w:rPr>
        <w:t xml:space="preserve"> legislation focused on foreign sources of funding and violating international protocols for freedom of association </w:t>
      </w:r>
      <w:r>
        <w:rPr>
          <w:szCs w:val="24"/>
        </w:rPr>
        <w:fldChar w:fldCharType="begin"/>
      </w:r>
      <w:r>
        <w:rPr>
          <w:szCs w:val="24"/>
        </w:rPr>
        <w:instrText xml:space="preserve"> ADDIN ZOTERO_ITEM CSL_CITATION {"citationID":"2xlS7IQY","properties":{"formattedCitation":"(ICNL 2015)","plainCitation":"(ICNL 2015)"},"citationItems":[{"id":3676,"uris":["http://zotero.org/users/381007/items/RG4C3PZD"],"uri":["http://zotero.org/users/381007/items/RG4C3PZD"],"itemData":{"id":3676,"type":"article-journal","title":"Country Reports: Sub-Saharan Africa","URL":"http://www.icnl.org/research","author":[{"family":"ICNL","given":""}],"issued":{"date-parts":[["2015"]]},"accessed":{"date-parts":[["2015",6,15]]}}}],"schema":"https://github.com/citation-style-language/schema/raw/master/csl-citation.json"} </w:instrText>
      </w:r>
      <w:r>
        <w:rPr>
          <w:szCs w:val="24"/>
        </w:rPr>
        <w:fldChar w:fldCharType="separate"/>
      </w:r>
      <w:r w:rsidRPr="00283711">
        <w:t>(ICNL 2015)</w:t>
      </w:r>
      <w:r>
        <w:rPr>
          <w:szCs w:val="24"/>
        </w:rPr>
        <w:fldChar w:fldCharType="end"/>
      </w:r>
      <w:r w:rsidRPr="00836DDB">
        <w:rPr>
          <w:szCs w:val="24"/>
        </w:rPr>
        <w:t xml:space="preserve">. </w:t>
      </w:r>
      <w:r w:rsidRPr="0075755F">
        <w:rPr>
          <w:szCs w:val="24"/>
        </w:rPr>
        <w:t xml:space="preserve">Dupuy et al. </w:t>
      </w:r>
      <w:r w:rsidRPr="0075755F">
        <w:rPr>
          <w:szCs w:val="24"/>
        </w:rPr>
        <w:fldChar w:fldCharType="begin"/>
      </w:r>
      <w:r w:rsidRPr="0075755F">
        <w:rPr>
          <w:szCs w:val="24"/>
        </w:rPr>
        <w:instrText xml:space="preserve"> ADDIN ZOTERO_ITEM CSL_CITATION {"citationID":"y9FyrKTp","properties":{"formattedCitation":"(Dupuy, Ron, and Prakash 2015)","plainCitation":"(Dupuy, Ron, and Prakash 2015)"},"citationItems":[{"id":3677,"uris":["http://zotero.org/users/381007/items/CG45KSB5"],"uri":["http://zotero.org/users/381007/items/CG45KSB5"],"itemData":{"id":3677,"type":"article-journal","title":"Who Survived? Ethiopia's Regulatory Crackdown on Foreign-Funded NGOs","container-title":"Review in International Political Economy","page":"419-456","volume":"22","issue":"2","author":[{"family":"Dupuy","given":"Kendra"},{"family":"Ron","given":"James"},{"family":"Prakash","given":"Aseem"}],"issued":{"date-parts":[["2015"]]}}}],"schema":"https://github.com/citation-style-language/schema/raw/master/csl-citation.json"} </w:instrText>
      </w:r>
      <w:r w:rsidRPr="0075755F">
        <w:rPr>
          <w:szCs w:val="24"/>
        </w:rPr>
        <w:fldChar w:fldCharType="separate"/>
      </w:r>
      <w:r w:rsidRPr="0075755F">
        <w:t>(2015)</w:t>
      </w:r>
      <w:r w:rsidRPr="0075755F">
        <w:rPr>
          <w:szCs w:val="24"/>
        </w:rPr>
        <w:fldChar w:fldCharType="end"/>
      </w:r>
      <w:r w:rsidRPr="00836DDB">
        <w:rPr>
          <w:szCs w:val="24"/>
        </w:rPr>
        <w:t xml:space="preserve"> ask how public regulations shape the behavior of </w:t>
      </w:r>
      <w:r>
        <w:rPr>
          <w:szCs w:val="24"/>
        </w:rPr>
        <w:t>TNGO</w:t>
      </w:r>
      <w:r w:rsidRPr="00836DDB">
        <w:rPr>
          <w:szCs w:val="24"/>
        </w:rPr>
        <w:t xml:space="preserve">s and the composition of the sector as a whole. Similarly restrictive measures have also been introduced in Russia, Azerbaijan, Mexico, </w:t>
      </w:r>
      <w:r>
        <w:rPr>
          <w:szCs w:val="24"/>
        </w:rPr>
        <w:t xml:space="preserve">and Uganda among others. Dupuy et al. </w:t>
      </w:r>
      <w:r w:rsidRPr="00836DDB">
        <w:rPr>
          <w:szCs w:val="24"/>
        </w:rPr>
        <w:t xml:space="preserve">note that because many international </w:t>
      </w:r>
      <w:r>
        <w:rPr>
          <w:szCs w:val="24"/>
        </w:rPr>
        <w:t>TNGO</w:t>
      </w:r>
      <w:r w:rsidRPr="00836DDB">
        <w:rPr>
          <w:szCs w:val="24"/>
        </w:rPr>
        <w:t xml:space="preserve">s are advocacy organizations, working on issues such as human rights or gender, they upset the political status quo and governments use regulations to gain greater control over them. The assertion by Bloodgood </w:t>
      </w:r>
      <w:r>
        <w:rPr>
          <w:szCs w:val="24"/>
        </w:rPr>
        <w:t>and Tremblay-Boire</w:t>
      </w:r>
      <w:r w:rsidRPr="00836DDB">
        <w:rPr>
          <w:szCs w:val="24"/>
        </w:rPr>
        <w:t xml:space="preserve"> (2014) that advocacy organizations are more likely to be active in pluralist regimes because of channels open to them may be extended beyond the OECD countries upon which they focus. However, </w:t>
      </w:r>
      <w:r>
        <w:rPr>
          <w:szCs w:val="24"/>
        </w:rPr>
        <w:t>the authors</w:t>
      </w:r>
      <w:r w:rsidRPr="00836DDB">
        <w:rPr>
          <w:szCs w:val="24"/>
        </w:rPr>
        <w:t xml:space="preserve"> assume that varieties of regimes share affinities for certain types of regulations and that these are already in place, beginning at the point of entry for a </w:t>
      </w:r>
      <w:r>
        <w:rPr>
          <w:szCs w:val="24"/>
        </w:rPr>
        <w:t>TNGO</w:t>
      </w:r>
      <w:r w:rsidRPr="00836DDB">
        <w:rPr>
          <w:szCs w:val="24"/>
        </w:rPr>
        <w:t>.</w:t>
      </w:r>
    </w:p>
    <w:p w:rsidR="009944D4" w:rsidRPr="00836DDB" w:rsidRDefault="009944D4" w:rsidP="009944D4">
      <w:pPr>
        <w:spacing w:line="480" w:lineRule="auto"/>
        <w:ind w:firstLine="720"/>
        <w:rPr>
          <w:szCs w:val="24"/>
        </w:rPr>
      </w:pPr>
      <w:r>
        <w:rPr>
          <w:szCs w:val="24"/>
        </w:rPr>
        <w:t xml:space="preserve">The Ethiopia case illustrates the significance of the political and operating environments in TNGO </w:t>
      </w:r>
      <w:r w:rsidRPr="00836DDB">
        <w:rPr>
          <w:szCs w:val="24"/>
        </w:rPr>
        <w:t xml:space="preserve">decision-making </w:t>
      </w:r>
      <w:r>
        <w:rPr>
          <w:szCs w:val="24"/>
        </w:rPr>
        <w:t xml:space="preserve">concerning location. Regulatory environments are influential not only at </w:t>
      </w:r>
      <w:r w:rsidRPr="00836DDB">
        <w:rPr>
          <w:szCs w:val="24"/>
        </w:rPr>
        <w:t>the poin</w:t>
      </w:r>
      <w:r>
        <w:rPr>
          <w:szCs w:val="24"/>
        </w:rPr>
        <w:t>t of entry. They are also game changing later in the organization’s lifecycle, for example, leading to the exit of TNGOs in the Ethiopian case</w:t>
      </w:r>
      <w:r w:rsidRPr="00836DDB">
        <w:rPr>
          <w:szCs w:val="24"/>
        </w:rPr>
        <w:t xml:space="preserve">. </w:t>
      </w:r>
      <w:r>
        <w:rPr>
          <w:szCs w:val="24"/>
        </w:rPr>
        <w:t>Host countries introduce regulations that adversely affect U.S.-based and other international TNGOs for political, economic, and other reasons. Development scholars refer to shell organizations set up to benefit from funds delivered through TNGOs, but who do not contribute to development goals, as briefcase TNGOs. Recent regulatory restrictions</w:t>
      </w:r>
      <w:r w:rsidRPr="00836DDB">
        <w:rPr>
          <w:szCs w:val="24"/>
        </w:rPr>
        <w:t xml:space="preserve"> may be in response to </w:t>
      </w:r>
      <w:r w:rsidR="00724CC8">
        <w:rPr>
          <w:szCs w:val="24"/>
        </w:rPr>
        <w:t>“</w:t>
      </w:r>
      <w:r w:rsidRPr="00836DDB">
        <w:rPr>
          <w:szCs w:val="24"/>
        </w:rPr>
        <w:t>briefcase NGOs</w:t>
      </w:r>
      <w:r w:rsidR="00724CC8">
        <w:rPr>
          <w:szCs w:val="24"/>
        </w:rPr>
        <w:t>”</w:t>
      </w:r>
      <w:r w:rsidRPr="00836DDB">
        <w:rPr>
          <w:szCs w:val="24"/>
        </w:rPr>
        <w:t xml:space="preserve"> </w:t>
      </w:r>
      <w:r>
        <w:rPr>
          <w:szCs w:val="24"/>
        </w:rPr>
        <w:fldChar w:fldCharType="begin"/>
      </w:r>
      <w:r>
        <w:rPr>
          <w:szCs w:val="24"/>
        </w:rPr>
        <w:instrText xml:space="preserve"> ADDIN ZOTERO_ITEM CSL_CITATION {"citationID":"l1O9RVQv","properties":{"formattedCitation":"(Hearn 2007)","plainCitation":"(Hearn 2007)"},"citationItems":[{"id":418,"uris":["http://zotero.org/users/381007/items/2N8FC9FN"],"uri":["http://zotero.org/users/381007/items/2N8FC9FN"],"itemData":{"id":418,"type":"article-journal","title":"African NGOs: The New Compradors?","container-title":"Development &amp; Change","page":"1095-1110","volume":"38","issue":"6","abstract":"In the course of the last twenty-five years, Africa has witnessed an astounding growth in the number and influence of non-governmental organizations (NGOs) in general, and more recently of African NGOs in particular. Initially, the literature on this was dominated by the concerns of the policy-making and NGO communities, drawing on liberal pluralist theory. Lately, an independent, critical literature has developed based on substantial empirical research. Its findings make for uncomfortable reading. They document the essential lack of autonomy of local non-state actors and their very close relationship to Northern governments. This essay argues that the position of NGOs must be theorized within the wider context of the global political economy of the continent. With this in mind, it investigates the rationale for using a comprador perspective to understand the contemporary role of African NGOs.","author":[{"family":"Hearn","given":"Julie"}],"issued":{"date-parts":[["2007"]]}}}],"schema":"https://github.com/citation-style-language/schema/raw/master/csl-citation.json"} </w:instrText>
      </w:r>
      <w:r>
        <w:rPr>
          <w:szCs w:val="24"/>
        </w:rPr>
        <w:fldChar w:fldCharType="separate"/>
      </w:r>
      <w:r w:rsidRPr="00836DDB">
        <w:rPr>
          <w:szCs w:val="24"/>
        </w:rPr>
        <w:t>(Hearn 2007)</w:t>
      </w:r>
      <w:r>
        <w:rPr>
          <w:szCs w:val="24"/>
        </w:rPr>
        <w:fldChar w:fldCharType="end"/>
      </w:r>
      <w:r>
        <w:rPr>
          <w:szCs w:val="24"/>
        </w:rPr>
        <w:t xml:space="preserve"> </w:t>
      </w:r>
      <w:r w:rsidRPr="00836DDB">
        <w:rPr>
          <w:szCs w:val="24"/>
        </w:rPr>
        <w:t>as well as advocacy organizations</w:t>
      </w:r>
      <w:r>
        <w:rPr>
          <w:szCs w:val="24"/>
        </w:rPr>
        <w:t xml:space="preserve"> promoting the rights or issues that threaten the power of the status quo</w:t>
      </w:r>
      <w:r w:rsidRPr="00836DDB">
        <w:rPr>
          <w:szCs w:val="24"/>
        </w:rPr>
        <w:t xml:space="preserve">. In the former, governments with weak institutions may use the operating environment to ensure accountability and minimize duplication, thereby improving outcomes. Such explanations are to be taken at face value. In Ethiopia, most local human rights organizations disappeared following legislation enactment and the number of </w:t>
      </w:r>
      <w:r w:rsidR="00724CC8">
        <w:rPr>
          <w:szCs w:val="24"/>
        </w:rPr>
        <w:t>T</w:t>
      </w:r>
      <w:r w:rsidRPr="00836DDB">
        <w:rPr>
          <w:szCs w:val="24"/>
        </w:rPr>
        <w:t xml:space="preserve">NGOs </w:t>
      </w:r>
      <w:r>
        <w:rPr>
          <w:szCs w:val="24"/>
        </w:rPr>
        <w:t>decreased across sectors (Dupuy et al. 2015)</w:t>
      </w:r>
      <w:r w:rsidRPr="00836DDB">
        <w:rPr>
          <w:szCs w:val="24"/>
        </w:rPr>
        <w:t xml:space="preserve">. Azerbaijan, Mexico, Israel, Russia, and more recently Uganda are among those who introduced legislation influencing the operating environment of </w:t>
      </w:r>
      <w:r>
        <w:rPr>
          <w:szCs w:val="24"/>
        </w:rPr>
        <w:t xml:space="preserve">TNGOs. Although foreign funding is often the target of restrictive legislation, it has been shown to increase accountability among TNGOs as well as local civil society. Consequently, recipients of foreign funding are well-regarded in their communities. Such funding conveys a degree of prestige and recipients are also more likely to receive funding in the future, improving their sustainability and ultimate impact </w:t>
      </w:r>
      <w:r>
        <w:rPr>
          <w:szCs w:val="24"/>
        </w:rPr>
        <w:fldChar w:fldCharType="begin"/>
      </w:r>
      <w:r>
        <w:rPr>
          <w:szCs w:val="24"/>
        </w:rPr>
        <w:instrText xml:space="preserve"> ADDIN ZOTERO_ITEM CSL_CITATION {"citationID":"NU5OB9jz","properties":{"formattedCitation":"(Chahim and Prakash 2014)","plainCitation":"(Chahim and Prakash 2014)"},"citationItems":[{"id":3678,"uris":["http://zotero.org/users/381007/items/4QJNZIF5"],"uri":["http://zotero.org/users/381007/items/4QJNZIF5"],"itemData":{"id":3678,"type":"article-journal","title":"NGOization, Foreign Funding, and the Nicaraguan Civil Society","container-title":"VOLUNTAS: International Journal of Voluntary and Nonprofit Organizations","page":"487-513","volume":"25","issue":"2","author":[{"family":"Chahim","given":"Dean"},{"family":"Prakash","given":"Aseem"}],"issued":{"date-parts":[["2014"]]}}}],"schema":"https://github.com/citation-style-language/schema/raw/master/csl-citation.json"} </w:instrText>
      </w:r>
      <w:r>
        <w:rPr>
          <w:szCs w:val="24"/>
        </w:rPr>
        <w:fldChar w:fldCharType="separate"/>
      </w:r>
      <w:r w:rsidRPr="0075755F">
        <w:t>(Chahim and Prakash 2014)</w:t>
      </w:r>
      <w:r>
        <w:rPr>
          <w:szCs w:val="24"/>
        </w:rPr>
        <w:fldChar w:fldCharType="end"/>
      </w:r>
      <w:r w:rsidRPr="00836DDB">
        <w:rPr>
          <w:szCs w:val="24"/>
        </w:rPr>
        <w:t xml:space="preserve">. Although there are many examples of laws pertaining to </w:t>
      </w:r>
      <w:r w:rsidR="00724CC8">
        <w:rPr>
          <w:szCs w:val="24"/>
        </w:rPr>
        <w:t>T</w:t>
      </w:r>
      <w:r w:rsidRPr="00836DDB">
        <w:rPr>
          <w:szCs w:val="24"/>
        </w:rPr>
        <w:t xml:space="preserve">NGOs and </w:t>
      </w:r>
      <w:r w:rsidR="00724CC8">
        <w:rPr>
          <w:szCs w:val="24"/>
        </w:rPr>
        <w:t xml:space="preserve">domestic </w:t>
      </w:r>
      <w:r w:rsidRPr="00836DDB">
        <w:rPr>
          <w:szCs w:val="24"/>
        </w:rPr>
        <w:t>nonprofits, such as 501(c) registration in the United States, laws such as these represent particularly challenging conditions that change the civil society landscape.  For example, in Uganda</w:t>
      </w:r>
      <w:r w:rsidR="002C1833">
        <w:rPr>
          <w:szCs w:val="24"/>
        </w:rPr>
        <w:t>,</w:t>
      </w:r>
      <w:r w:rsidRPr="00836DDB">
        <w:rPr>
          <w:szCs w:val="24"/>
        </w:rPr>
        <w:t xml:space="preserve"> </w:t>
      </w:r>
      <w:r>
        <w:rPr>
          <w:szCs w:val="24"/>
        </w:rPr>
        <w:t>several U.S.-based</w:t>
      </w:r>
      <w:r w:rsidRPr="00836DDB">
        <w:rPr>
          <w:szCs w:val="24"/>
        </w:rPr>
        <w:t xml:space="preserve"> </w:t>
      </w:r>
      <w:r w:rsidR="00724CC8">
        <w:rPr>
          <w:szCs w:val="24"/>
        </w:rPr>
        <w:t>T</w:t>
      </w:r>
      <w:r w:rsidRPr="00836DDB">
        <w:rPr>
          <w:szCs w:val="24"/>
        </w:rPr>
        <w:t>NGO</w:t>
      </w:r>
      <w:r>
        <w:rPr>
          <w:szCs w:val="24"/>
        </w:rPr>
        <w:t>s interviewed in Chapter 4</w:t>
      </w:r>
      <w:r w:rsidRPr="00836DDB">
        <w:rPr>
          <w:szCs w:val="24"/>
        </w:rPr>
        <w:t xml:space="preserve"> </w:t>
      </w:r>
      <w:r>
        <w:rPr>
          <w:szCs w:val="24"/>
        </w:rPr>
        <w:t>directly stated that</w:t>
      </w:r>
      <w:r w:rsidRPr="00836DDB">
        <w:rPr>
          <w:szCs w:val="24"/>
        </w:rPr>
        <w:t xml:space="preserve"> </w:t>
      </w:r>
      <w:r>
        <w:rPr>
          <w:szCs w:val="24"/>
        </w:rPr>
        <w:t>they</w:t>
      </w:r>
      <w:r w:rsidRPr="00836DDB">
        <w:rPr>
          <w:szCs w:val="24"/>
        </w:rPr>
        <w:t xml:space="preserve"> would exit if the proposed </w:t>
      </w:r>
      <w:r>
        <w:rPr>
          <w:szCs w:val="24"/>
        </w:rPr>
        <w:t>legislation is enacted in 2016.</w:t>
      </w:r>
      <w:r w:rsidRPr="00836DDB">
        <w:rPr>
          <w:szCs w:val="24"/>
        </w:rPr>
        <w:t xml:space="preserve"> </w:t>
      </w:r>
    </w:p>
    <w:p w:rsidR="007A1CF5" w:rsidRDefault="009944D4" w:rsidP="0084627E">
      <w:pPr>
        <w:spacing w:after="200" w:line="480" w:lineRule="auto"/>
        <w:ind w:firstLine="720"/>
        <w:rPr>
          <w:i/>
        </w:rPr>
      </w:pPr>
      <w:r w:rsidRPr="00836DDB">
        <w:rPr>
          <w:szCs w:val="24"/>
        </w:rPr>
        <w:t xml:space="preserve">Restrictive legislation is a means for semi-democracies to control or eliminate challengers in order to maintain power as civil society is often seen as a source of public opposition </w:t>
      </w:r>
      <w:r>
        <w:rPr>
          <w:szCs w:val="24"/>
        </w:rPr>
        <w:fldChar w:fldCharType="begin"/>
      </w:r>
      <w:r>
        <w:rPr>
          <w:szCs w:val="24"/>
        </w:rPr>
        <w:instrText xml:space="preserve"> ADDIN ZOTERO_ITEM CSL_CITATION {"citationID":"qvUauimd","properties":{"formattedCitation":"(Carothers, Thomas 2002)","plainCitation":"(Carothers, Thomas 2002)"},"citationItems":[{"id":1061,"uris":["http://zotero.org/users/381007/items/KBEDGCCR"],"uri":["http://zotero.org/users/381007/items/KBEDGCCR"],"itemData":{"id":1061,"type":"article-journal","title":"The End of the Transition Paradigm","container-title":"Journal of Democracy","page":"5-21","volume":"13","issue":"1","abstract":"The transition paradigm has been somewhat useful during the 'third wave' of democratization, but it is increasingly clear that reality is no longer conforming to the model.  Many countries that policy makers and aid practitioners persist in calling 'transitional' are not in transition to democracy, and of the democratic transitions that are under way, more than a few are not following the model.  It is time to recognize that the transition paradigm has outlived its usefulness and look for a better lens.","author":[{"family":"Carothers, Thomas","given":""}],"issued":{"date-parts":[["2002",1]]}}}],"schema":"https://github.com/citation-style-language/schema/raw/master/csl-citation.json"} </w:instrText>
      </w:r>
      <w:r>
        <w:rPr>
          <w:szCs w:val="24"/>
        </w:rPr>
        <w:fldChar w:fldCharType="separate"/>
      </w:r>
      <w:r>
        <w:rPr>
          <w:szCs w:val="24"/>
        </w:rPr>
        <w:t>(Carothers 2002</w:t>
      </w:r>
      <w:r w:rsidRPr="00836DDB">
        <w:rPr>
          <w:szCs w:val="24"/>
        </w:rPr>
        <w:t>)</w:t>
      </w:r>
      <w:r>
        <w:rPr>
          <w:szCs w:val="24"/>
        </w:rPr>
        <w:fldChar w:fldCharType="end"/>
      </w:r>
      <w:r w:rsidRPr="00836DDB">
        <w:rPr>
          <w:szCs w:val="24"/>
        </w:rPr>
        <w:t xml:space="preserve">. 44 percent of states have passed more restrictive </w:t>
      </w:r>
      <w:r w:rsidR="00724CC8">
        <w:rPr>
          <w:szCs w:val="24"/>
        </w:rPr>
        <w:t>T</w:t>
      </w:r>
      <w:r w:rsidRPr="00836DDB">
        <w:rPr>
          <w:szCs w:val="24"/>
        </w:rPr>
        <w:t>NGO legislation since 1955, 69 of them since the Cold War’s end</w:t>
      </w:r>
      <w:r>
        <w:rPr>
          <w:szCs w:val="24"/>
        </w:rPr>
        <w:t xml:space="preserve"> </w:t>
      </w:r>
      <w:r>
        <w:rPr>
          <w:szCs w:val="24"/>
        </w:rPr>
        <w:fldChar w:fldCharType="begin"/>
      </w:r>
      <w:r>
        <w:rPr>
          <w:szCs w:val="24"/>
        </w:rPr>
        <w:instrText xml:space="preserve"> ADDIN ZOTERO_ITEM CSL_CITATION {"citationID":"agoHZEmx","properties":{"formattedCitation":"(Dupuy, Ron, and Prakash 2015)","plainCitation":"(Dupuy, Ron, and Prakash 2015)"},"citationItems":[{"id":3677,"uris":["http://zotero.org/users/381007/items/CG45KSB5"],"uri":["http://zotero.org/users/381007/items/CG45KSB5"],"itemData":{"id":3677,"type":"article-journal","title":"Who Survived? Ethiopia's Regulatory Crackdown on Foreign-Funded NGOs","container-title":"Review in International Political Economy","page":"419-456","volume":"22","issue":"2","author":[{"family":"Dupuy","given":"Kendra"},{"family":"Ron","given":"James"},{"family":"Prakash","given":"Aseem"}],"issued":{"date-parts":[["2015"]]}}}],"schema":"https://github.com/citation-style-language/schema/raw/master/csl-citation.json"} </w:instrText>
      </w:r>
      <w:r>
        <w:rPr>
          <w:szCs w:val="24"/>
        </w:rPr>
        <w:fldChar w:fldCharType="separate"/>
      </w:r>
      <w:r w:rsidRPr="0075755F">
        <w:t>(Dupuy, Ron, and Prakash 2015)</w:t>
      </w:r>
      <w:r>
        <w:rPr>
          <w:szCs w:val="24"/>
        </w:rPr>
        <w:fldChar w:fldCharType="end"/>
      </w:r>
      <w:r w:rsidRPr="00836DDB">
        <w:rPr>
          <w:szCs w:val="24"/>
        </w:rPr>
        <w:t>. Thus, the impact of phenomenon is evident and generalizable beyond the Ethiopian case. With the exception of</w:t>
      </w:r>
      <w:r>
        <w:rPr>
          <w:szCs w:val="24"/>
        </w:rPr>
        <w:t xml:space="preserve"> a few authors </w:t>
      </w:r>
      <w:r>
        <w:rPr>
          <w:szCs w:val="24"/>
        </w:rPr>
        <w:fldChar w:fldCharType="begin"/>
      </w:r>
      <w:r>
        <w:rPr>
          <w:szCs w:val="24"/>
        </w:rPr>
        <w:instrText xml:space="preserve"> ADDIN ZOTERO_ITEM CSL_CITATION {"citationID":"0RCTr2HN","properties":{"formattedCitation":"(Bratton 1989b; Bloodgood and Tremblay-Boire 2014; Dupuy, Ron, and Prakash 2015)","plainCitation":"(Bratton 1989b; Bloodgood and Tremblay-Boire 2014; Dupuy, Ron, and Prakash 2015)"},"citationItems":[{"id":1423,"uris":["http://zotero.org/users/381007/items/UG2HIV6H"],"uri":["http://zotero.org/users/381007/items/UG2HIV6H"],"itemData":{"id":1423,"type":"article-journal","title":"The Politics of Government-NGO Relations in Africa","container-title":"World Development","page":"569-587","volume":"17","issue":"4","abstract":"Non-governmental organizations (NGOs), deservedly or not. have gained a reputation as the leading practitioners of rural development in Africa. African governments have responded ambiguously to the presence of these new agencies, on the one hand valuing the economic resources NGOs can raise, but resisting the political pluralization implied by popular development action. This article describes the growth of NGOs in Africa and proposes a framework for analyzing the dynamics of government-NGO relations. By means of examples drawn from Kenya and Zimbabwe, the article illustrates  strategies used by governments to exercise control, and by NGOs to assert autonomy. An argument is made that politics, rather than economics, best explain the contribution of NGOs to development, as well as the attitude of governments toward the burgeoning voluntary sector. Finds that NGOs do not seek to supplant the state and have been able to maintain nonconfrontational relationships for the start.  Goverments have acknowledged the supplementary contribution of NGOs so long as it has not been accompanied by attempts to seize public initiative or take political credit. NGO-government relations are likely to be most successful where populist policies and capable government meets NGOs that wish to pursue development programs in a \"nation's heartland\" and conflictual where weak and defensive gov w/ limited power base meets and NGO seeking to promote community mobilization in contested border areas.  Otherwise, relations are likely to run hot/cold depending on the government's perception of natioanl security.","author":[{"family":"Bratton","given":"Michael"}],"issued":{"date-parts":[["1989"]]}}},{"id":3675,"uris":["http://zotero.org/users/381007/items/GW7SAJAI"],"uri":["http://zotero.org/users/381007/items/GW7SAJAI"],"itemData":{"id":3675,"type":"paper-conference","title":"Explaining Non-governmental Organizations in the OECD and Beyond: The Role of Political Parties","publisher":"APSA","publisher-place":"Washington","event":"American Political Science Association Annual Meeting","event-place":"Washington","author":[{"family":"Bloodgood","given":"E.A."},{"family":"Tremblay-Boire","given":"J."}],"issued":{"date-parts":[["2014"]]}}},{"id":3677,"uris":["http://zotero.org/users/381007/items/CG45KSB5"],"uri":["http://zotero.org/users/381007/items/CG45KSB5"],"itemData":{"id":3677,"type":"article-journal","title":"Who Survived? Ethiopia's Regulatory Crackdown on Foreign-Funded NGOs","container-title":"Review in International Political Economy","page":"419-456","volume":"22","issue":"2","author":[{"family":"Dupuy","given":"Kendra"},{"family":"Ron","given":"James"},{"family":"Prakash","given":"Aseem"}],"issued":{"date-parts":[["2015"]]}}}],"schema":"https://github.com/citation-style-language/schema/raw/master/csl-citation.json"} </w:instrText>
      </w:r>
      <w:r>
        <w:rPr>
          <w:szCs w:val="24"/>
        </w:rPr>
        <w:fldChar w:fldCharType="separate"/>
      </w:r>
      <w:r w:rsidRPr="0075755F">
        <w:t>(Bratton 1989b; Bloodgood and Tremblay-Boire 2014; Dupuy, Ron, and Prakash 2015)</w:t>
      </w:r>
      <w:r>
        <w:rPr>
          <w:szCs w:val="24"/>
        </w:rPr>
        <w:fldChar w:fldCharType="end"/>
      </w:r>
      <w:r w:rsidRPr="00836DDB">
        <w:rPr>
          <w:szCs w:val="24"/>
        </w:rPr>
        <w:t xml:space="preserve">, little </w:t>
      </w:r>
      <w:r>
        <w:rPr>
          <w:szCs w:val="24"/>
        </w:rPr>
        <w:t>research</w:t>
      </w:r>
      <w:r w:rsidRPr="00836DDB">
        <w:rPr>
          <w:szCs w:val="24"/>
        </w:rPr>
        <w:t xml:space="preserve"> has been conducted on the legal environment and how it influences </w:t>
      </w:r>
      <w:r w:rsidR="00724CC8">
        <w:rPr>
          <w:szCs w:val="24"/>
        </w:rPr>
        <w:t>T</w:t>
      </w:r>
      <w:r w:rsidRPr="00836DDB">
        <w:rPr>
          <w:szCs w:val="24"/>
        </w:rPr>
        <w:t xml:space="preserve">NGOs. Even less research is focused on NGOs outside of advanced industrialized countries, making this a fruitful area for research. Of course, factors beyond legal regulations and the operating environment also shape </w:t>
      </w:r>
      <w:r w:rsidR="00724CC8">
        <w:rPr>
          <w:szCs w:val="24"/>
        </w:rPr>
        <w:t>T</w:t>
      </w:r>
      <w:r w:rsidRPr="00836DDB">
        <w:rPr>
          <w:szCs w:val="24"/>
        </w:rPr>
        <w:t xml:space="preserve">NGO location and decision-making.  As mentioned, donor attention cycles, principal demands, capacity, the political, operating, and economic environments, mission, and beyond all fit within the decision-making framework when considering where to go and what to do there. It is the way in which these factors influence the </w:t>
      </w:r>
      <w:r w:rsidR="00724CC8">
        <w:rPr>
          <w:szCs w:val="24"/>
        </w:rPr>
        <w:t>T</w:t>
      </w:r>
      <w:r w:rsidRPr="00836DDB">
        <w:rPr>
          <w:szCs w:val="24"/>
        </w:rPr>
        <w:t xml:space="preserve">NGO lifecycle that is the contribution of this dissertation, distinguishing it from time-bounded types of decision-making research </w:t>
      </w:r>
      <w:r>
        <w:rPr>
          <w:szCs w:val="24"/>
        </w:rPr>
        <w:fldChar w:fldCharType="begin"/>
      </w:r>
      <w:r>
        <w:rPr>
          <w:szCs w:val="24"/>
        </w:rPr>
        <w:instrText xml:space="preserve"> ADDIN ZOTERO_ITEM CSL_CITATION {"citationID":"OP3cFZge","properties":{"formattedCitation":"(Berlan and Bruno-van Vijfeijken 2013)","plainCitation":"(Berlan and Bruno-van Vijfeijken 2013)"},"citationItems":[{"id":3579,"uris":["http://zotero.org/users/381007/items/2ZWKSRMZ"],"uri":["http://zotero.org/users/381007/items/2ZWKSRMZ"],"itemData":{"id":3579,"type":"article-journal","title":"The Planned Close of an NGO: Evidence for a New Organizational Form?","container-title":"VOLUNTAS: International Journal of Voluntary and Nonprofit Organizations","page":"262-275","volume":"24","issue":"1","source":"CrossRef","DOI":"10.1007/s11266-012-9300-2","ISSN":"0957-8765, 1573-7888","shortTitle":"The Planned Close of an NGO","language":"en","author":[{"family":"Berlan","given":"David"},{"family":"Bruno-van Vijfeijken","given":"Tosca"}],"issued":{"date-parts":[["2013"]]},"accessed":{"date-parts":[["2016",2,5]]}}}],"schema":"https://github.com/citation-style-language/schema/raw/master/csl-citation.json"} </w:instrText>
      </w:r>
      <w:r>
        <w:rPr>
          <w:szCs w:val="24"/>
        </w:rPr>
        <w:fldChar w:fldCharType="separate"/>
      </w:r>
      <w:r w:rsidRPr="0075755F">
        <w:t>(Berlan and Bruno-van Vijfeijken 2013)</w:t>
      </w:r>
      <w:r>
        <w:rPr>
          <w:szCs w:val="24"/>
        </w:rPr>
        <w:fldChar w:fldCharType="end"/>
      </w:r>
      <w:r>
        <w:rPr>
          <w:szCs w:val="24"/>
        </w:rPr>
        <w:t>.</w:t>
      </w:r>
      <w:r w:rsidR="007A1CF5" w:rsidRPr="007A1CF5">
        <w:rPr>
          <w:i/>
        </w:rPr>
        <w:t xml:space="preserve"> </w:t>
      </w:r>
    </w:p>
    <w:p w:rsidR="00E67B1D" w:rsidRDefault="00E67B1D" w:rsidP="007A1CF5">
      <w:pPr>
        <w:spacing w:line="480" w:lineRule="auto"/>
        <w:ind w:firstLine="360"/>
        <w:rPr>
          <w:szCs w:val="24"/>
        </w:rPr>
      </w:pPr>
    </w:p>
    <w:p w:rsidR="009944D4" w:rsidRPr="00836DDB" w:rsidRDefault="00E60EC9" w:rsidP="009944D4">
      <w:pPr>
        <w:spacing w:line="480" w:lineRule="auto"/>
        <w:jc w:val="center"/>
        <w:rPr>
          <w:i/>
          <w:szCs w:val="24"/>
        </w:rPr>
      </w:pPr>
      <w:r>
        <w:rPr>
          <w:i/>
          <w:szCs w:val="24"/>
        </w:rPr>
        <w:t xml:space="preserve">The Role of TNGOs in </w:t>
      </w:r>
      <w:r w:rsidR="009944D4" w:rsidRPr="00836DDB">
        <w:rPr>
          <w:i/>
          <w:szCs w:val="24"/>
        </w:rPr>
        <w:t>Development and Civil Society</w:t>
      </w:r>
    </w:p>
    <w:p w:rsidR="009944D4" w:rsidRPr="00836DDB" w:rsidRDefault="009944D4" w:rsidP="009944D4">
      <w:pPr>
        <w:spacing w:line="480" w:lineRule="auto"/>
        <w:rPr>
          <w:szCs w:val="24"/>
        </w:rPr>
      </w:pPr>
      <w:r w:rsidRPr="00836DDB">
        <w:rPr>
          <w:b/>
          <w:szCs w:val="24"/>
        </w:rPr>
        <w:tab/>
      </w:r>
      <w:r w:rsidRPr="00836DDB">
        <w:rPr>
          <w:szCs w:val="24"/>
        </w:rPr>
        <w:t xml:space="preserve">While political science took a largely positive view on the expansion of </w:t>
      </w:r>
      <w:r w:rsidR="00724CC8">
        <w:rPr>
          <w:szCs w:val="24"/>
        </w:rPr>
        <w:t>T</w:t>
      </w:r>
      <w:r w:rsidRPr="00836DDB">
        <w:rPr>
          <w:szCs w:val="24"/>
        </w:rPr>
        <w:t xml:space="preserve">NGOs through the 1980s and 1990s </w:t>
      </w:r>
      <w:r>
        <w:rPr>
          <w:szCs w:val="24"/>
        </w:rPr>
        <w:fldChar w:fldCharType="begin"/>
      </w:r>
      <w:r>
        <w:rPr>
          <w:szCs w:val="24"/>
        </w:rPr>
        <w:instrText xml:space="preserve"> ADDIN ZOTERO_ITEM CSL_CITATION {"citationID":"ym417YOG","properties":{"formattedCitation":"(Fisher, Julie 1998; Keck and Sikkink 1998; Dupuy, Ron, and Prakash 2015)","plainCitation":"(Fisher, Julie 1998; Keck and Sikkink 1998; Dupuy, Ron, and Prakash 2015)"},"citationItems":[{"id":430,"uris":["http://zotero.org/users/381007/items/2WWNHG74"],"uri":["http://zotero.org/users/381007/items/2WWNHG74"],"itemData":{"id":430,"type":"book","title":"Nongovernments: NGOs and the Political Development of the Third World","publisher":"Kumarian press","publisher-place":"West Hartford","event-place":"West Hartford","author":[{"family":"Fisher, Julie","given":""}],"issued":{"date-parts":[["1998"]]}}},{"id":3216,"uris":["http://zotero.org/users/381007/items/S3PFUTDP"],"uri":["http://zotero.org/users/381007/items/S3PFUTDP"],"itemData":{"id":3216,"type":"book","title":"Activists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E."},{"family":"Sikkink","given":"Kathryn"}],"issued":{"date-parts":[["1998"]]}}},{"id":3677,"uris":["http://zotero.org/users/381007/items/CG45KSB5"],"uri":["http://zotero.org/users/381007/items/CG45KSB5"],"itemData":{"id":3677,"type":"article-journal","title":"Who Survived? Ethiopia's Regulatory Crackdown on Foreign-Funded NGOs","container-title":"Review in International Political Economy","page":"419-456","volume":"22","issue":"2","author":[{"family":"Dupuy","given":"Kendra"},{"family":"Ron","given":"James"},{"family":"Prakash","given":"Aseem"}],"issued":{"date-parts":[["2015"]]}}}],"schema":"https://github.com/citation-style-language/schema/raw/master/csl-citation.json"} </w:instrText>
      </w:r>
      <w:r>
        <w:rPr>
          <w:szCs w:val="24"/>
        </w:rPr>
        <w:fldChar w:fldCharType="separate"/>
      </w:r>
      <w:r w:rsidRPr="0075755F">
        <w:t>(</w:t>
      </w:r>
      <w:r w:rsidR="009B1493">
        <w:t>Fisher</w:t>
      </w:r>
      <w:r w:rsidRPr="0075755F">
        <w:t xml:space="preserve"> 1998; Keck and Sikkink 1998; Dupuy, Ron, and Prakash 2015)</w:t>
      </w:r>
      <w:r>
        <w:rPr>
          <w:szCs w:val="24"/>
        </w:rPr>
        <w:fldChar w:fldCharType="end"/>
      </w:r>
      <w:r>
        <w:rPr>
          <w:szCs w:val="24"/>
        </w:rPr>
        <w:fldChar w:fldCharType="begin"/>
      </w:r>
      <w:r>
        <w:rPr>
          <w:szCs w:val="24"/>
        </w:rPr>
        <w:instrText xml:space="preserve"> ADDIN ZOTERO_ITEM CSL_CITATION {"citationID":"yDHbtXeA","properties":{"formattedCitation":"(Fisher, Julie 1998; Keck and Sikkink 1998)","plainCitation":"(Fisher, Julie 1998; Keck and Sikkink 1998)"},"citationItems":[{"id":430,"uris":["http://zotero.org/users/381007/items/2WWNHG74"],"uri":["http://zotero.org/users/381007/items/2WWNHG74"],"itemData":{"id":430,"type":"book","title":"Nongovernments: NGOs and the Political Development of the Third World","publisher":"Kumarian press","publisher-place":"West Hartford","event-place":"West Hartford","author":[{"family":"Fisher, Julie","given":""}],"issued":{"date-parts":[["1998"]]}}},{"id":3216,"uris":["http://zotero.org/users/381007/items/S3PFUTDP"],"uri":["http://zotero.org/users/381007/items/S3PFUTDP"],"itemData":{"id":3216,"type":"book","title":"Activists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end"/>
      </w:r>
      <w:r w:rsidRPr="00836DDB">
        <w:rPr>
          <w:szCs w:val="24"/>
        </w:rPr>
        <w:t xml:space="preserve">, a more skeptical literature emerged in the late 1990s. The concept of development refers to a project of intervention in the developing world </w:t>
      </w:r>
      <w:r>
        <w:rPr>
          <w:szCs w:val="24"/>
        </w:rPr>
        <w:fldChar w:fldCharType="begin"/>
      </w:r>
      <w:r>
        <w:rPr>
          <w:szCs w:val="24"/>
        </w:rPr>
        <w:instrText xml:space="preserve"> ADDIN ZOTERO_ITEM CSL_CITATION {"citationID":"V06GEwBS","properties":{"formattedCitation":"(Mitlin, Hickey, and Bebbington 2007)","plainCitation":"(Mitlin, Hickey, and Bebbington 2007)"},"citationItems":[{"id":1508,"uris":["http://zotero.org/users/381007/items/WFWHG6QH"],"uri":["http://zotero.org/users/381007/items/WFWHG6QH"],"itemData":{"id":1508,"type":"article-journal","title":"Reclaiming Development? NGOs and the Challenge of Alternatives","container-title":"World Development","page":"1699-1720","volume":"35","issue":"10","abstract":"NGOs are both endogenous to development (systemic sense) while often viewing themselves and being viewed as exogenous when it comes to interventions (‘development’ = geographically uneven, profoundly contradictory set of processes underlying capitalist dvlpmnts and ‘Development’ refers to project of intervention in the 3rd wrld) (Mitlin 1701)","author":[{"family":"Mitlin","given":"Diana"},{"family":"Hickey","given":"Sam"},{"family":"Bebbington","given":"Anthony"}],"issued":{"date-parts":[["2007"]]}}}],"schema":"https://github.com/citation-style-language/schema/raw/master/csl-citation.json"} </w:instrText>
      </w:r>
      <w:r>
        <w:rPr>
          <w:szCs w:val="24"/>
        </w:rPr>
        <w:fldChar w:fldCharType="separate"/>
      </w:r>
      <w:r w:rsidRPr="00836DDB">
        <w:rPr>
          <w:szCs w:val="24"/>
        </w:rPr>
        <w:t>(Mitlin, Hickey, and Bebbington 2007, p. 1701)</w:t>
      </w:r>
      <w:r>
        <w:rPr>
          <w:szCs w:val="24"/>
        </w:rPr>
        <w:fldChar w:fldCharType="end"/>
      </w:r>
      <w:r w:rsidRPr="00836DDB">
        <w:rPr>
          <w:szCs w:val="24"/>
        </w:rPr>
        <w:t xml:space="preserve">. Motives for these interventions are complex, with some claiming altruism and need as drivers and others fueled by historical, religious, or political motives. The emerging skepticism in the interdisciplinary field of development signaled a branch in the study of aid, NGOs, and development more broadly as both scholars and practitioners raised alarms about the effectiveness of aid accountability </w:t>
      </w:r>
      <w:r>
        <w:rPr>
          <w:szCs w:val="24"/>
        </w:rPr>
        <w:fldChar w:fldCharType="begin"/>
      </w:r>
      <w:r>
        <w:rPr>
          <w:szCs w:val="24"/>
        </w:rPr>
        <w:instrText xml:space="preserve"> ADDIN ZOTERO_ITEM CSL_CITATION {"citationID":"wmvS2aAD","properties":{"formattedCitation":"(Edwards and Hulme 1996a; Marcussen 1996; Smillie 1995; Leonard and Straus 2003; Moyo 2009; Easterly, William 2009; A. Ebrahim 2002)","plainCitation":"(Edwards and Hulme 1996a; Marcussen 1996; Smillie 1995; Leonard and Straus 2003; Moyo 2009; Easterly, William 2009; A. Ebrahim 2002)"},"citationItems":[{"id":3159,"uris":["http://zotero.org/users/381007/items/E8SBU3U8"],"uri":["http://zotero.org/users/381007/items/E8SBU3U8"],"itemData":{"id":3159,"type":"chapter","title":"Beyond the Magic Bullet?  Lessons and Conclusions","container-title":"Beyond the Magic Bullet: NGO Performance and Accountability in the Post-Cold War World","publisher":"Kumarian Press","page":"254-266","abstract":"NGOs will always remain accountable to donors and supporters, as well as to partenrs, and to some extent their beneficiaries.  Official aid agencies may move twoard less linear approaches to development, but will have to satisfy demand for results from politicians.  Many NGOs choose to work across national boudnaries, sectors of work,s ervice delivery, and other approaches to development, they don't see those choices as mutually exclusive.  These are management issues rather than issues of principle.. poss to remain operationally accountable to govs in terms of use of funds yet remain accountable to low income communities in which the NGO works as well.","author":[{"family":"Edwards","given":"Michael"},{"family":"Hulme","given":"David"}],"editor":[{"family":"Edwards","given":"Michael"},{"family":"Hulme","given":"David"}],"issued":{"date-parts":[["1996"]]}}},{"id":1516,"uris":["http://zotero.org/users/381007/items/WPDQADQF"],"uri":["http://zotero.org/users/381007/items/WPDQADQF"],"itemData":{"id":1516,"type":"article-journal","title":"NGOs, the state and civil society","container-title":"Review of African Political Economy","page":"405-423","volume":"23","issue":"69","abstract":"This article examines the validity of some of the objectives of nongovernmental organisations (hereafter NGOs) that are based in the donor states and operate in the third world. The author has personal experience in the evaluation of several Scandinavian NGOs working in Africa and takes a somewhat sceptical position as to the capacity of such NGOs to ‘construct’ civil society in African states. Inevitably, such NGOs are part of a wider system of development assistance, and their field operations </w:instrText>
      </w:r>
      <w:r>
        <w:rPr>
          <w:rFonts w:ascii="Noteworthy Light" w:hAnsi="Noteworthy Light" w:cs="Noteworthy Light"/>
          <w:szCs w:val="24"/>
        </w:rPr>
        <w:instrText>‐</w:instrText>
      </w:r>
      <w:r>
        <w:rPr>
          <w:szCs w:val="24"/>
        </w:rPr>
        <w:instrText xml:space="preserve"> particularly if they are to participate in the development of long</w:instrText>
      </w:r>
      <w:r>
        <w:rPr>
          <w:rFonts w:ascii="Noteworthy Light" w:hAnsi="Noteworthy Light" w:cs="Noteworthy Light"/>
          <w:szCs w:val="24"/>
        </w:rPr>
        <w:instrText>‐</w:instrText>
      </w:r>
      <w:r>
        <w:rPr>
          <w:szCs w:val="24"/>
        </w:rPr>
        <w:instrText xml:space="preserve">term sustainable development </w:instrText>
      </w:r>
      <w:r>
        <w:rPr>
          <w:rFonts w:ascii="Noteworthy Light" w:hAnsi="Noteworthy Light" w:cs="Noteworthy Light"/>
          <w:szCs w:val="24"/>
        </w:rPr>
        <w:instrText>‐</w:instrText>
      </w:r>
      <w:r>
        <w:rPr>
          <w:szCs w:val="24"/>
        </w:rPr>
        <w:instrText xml:space="preserve"> will both inevitably reflect the nature of this system and have to work closely with existing state structures. On the other hand, in this new phase, the NGOs are outsiders which are, in an artificial way, entering into a process which ought to be much more genuinely and organically evolving out of the local context itself. How this is to be achieved is beyond the scope of this article.","author":[{"family":"Marcussen","given":"Henrik Secher"}],"issued":{"date-parts":[["1996"]]}}},{"id":1514,"uris":["http://zotero.org/users/381007/items/WM8HZZ76"],"uri":["http://zotero.org/users/381007/items/WM8HZZ76"],"itemData":{"id":1514,"type":"book","title":"The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evolution?","author":[{"family":"Smillie","given":"Ian"}],"issued":{"date-parts":[["1995"]]}}},{"id":1214,"uris":["http://zotero.org/users/381007/items/QB8RUM5D"],"uri":["http://zotero.org/users/381007/items/QB8RUM5D"],"itemData":{"id":1214,"type":"book","title":"Africa's Stalled Development: International Causes and Cures","publisher":"Lynne Rienner Publishers","publisher-place":"Boulder","event-place":"Boulder","author":[{"family":"Leonard","given":"David K."},{"family":"Straus","given":"Scott"}],"issued":{"date-parts":[["2003"]]}}},{"id":1181,"uris":["http://zotero.org/users/381007/items/PNTAAGDW"],"uri":["http://zotero.org/users/381007/items/PNTAAGDW"],"itemData":{"id":1181,"type":"book","title":"Dead Aid: Why Aid Is Not Working And How There Is  Better Way For Africa","publisher":"Farrar, Straus and Giroux","publisher-place":"New York","event-place":"New York","author":[{"family":"Moyo","given":"Dambisa"}],"issued":{"date-parts":[["2009"]]}}},{"id":1416,"uris":["http://zotero.org/users/381007/items/UABI9A6W"],"uri":["http://zotero.org/users/381007/items/UABI9A6W"],"itemData":{"id":1416,"type":"article-journal","title":"Can the West Save Africa?","container-title":"Journal of Economic Literature","page":"373-447","volume":"47","issue":"2","abstract":"Easterly (2009) notes that the most successful GDP growth (esp Botswana and Mauritius) = “homegrown”, like the East Asian Tigers and India and China, not due to “ambitious outside intervention”. Question to explore is what are the determinants of successful (homegrown) development? (440) or, what are the differences between the two, why is one better than the other?","author":[{"family":"Easterly, William","given":""}],"issued":{"date-parts":[["2009",6]]},"accessed":{"date-parts":[["2012",1,31]]}}},{"id":3461,"uris":["http://zotero.org/users/381007/items/XJEPCHDB"],"uri":["http://zotero.org/users/381007/items/XJEPCHDB"],"itemData":{"id":3461,"type":"article-journal","title":"Information Struggles: The Role of Information in the Reproduction of NGO-Funder Relationships","container-title":"Nonprofit and Voluntary Sector Quarterly","page":"84-114","volume":"31","issue":"1","source":"CrossRef","DOI":"10.1177/0899764002311004","ISSN":"0899-7640","shortTitle":"Information Struggles","language":"en","author":[{"family":"Ebrahim","given":"A."}],"issued":{"date-parts":[["2002",3,1]]},"accessed":{"date-parts":[["2015",4,17]]}}}],"schema":"https://github.com/citation-style-language/schema/raw/master/csl-citation.json"} </w:instrText>
      </w:r>
      <w:r>
        <w:rPr>
          <w:szCs w:val="24"/>
        </w:rPr>
        <w:fldChar w:fldCharType="separate"/>
      </w:r>
      <w:r w:rsidRPr="004671BA">
        <w:t>(Edwards and Hulme 1996a; Marcussen 1996; Smillie 1995; Leonard and Straus 2003; Moyo 2</w:t>
      </w:r>
      <w:r>
        <w:t xml:space="preserve">009; Easterly, William 2009; </w:t>
      </w:r>
      <w:r w:rsidRPr="004671BA">
        <w:t>Ebrahim 2002)</w:t>
      </w:r>
      <w:r>
        <w:rPr>
          <w:szCs w:val="24"/>
        </w:rPr>
        <w:fldChar w:fldCharType="end"/>
      </w:r>
      <w:r w:rsidRPr="00836DDB">
        <w:rPr>
          <w:szCs w:val="24"/>
        </w:rPr>
        <w:t xml:space="preserve">.  </w:t>
      </w:r>
    </w:p>
    <w:p w:rsidR="009944D4" w:rsidRPr="00836DDB" w:rsidRDefault="009944D4" w:rsidP="009944D4">
      <w:pPr>
        <w:spacing w:line="480" w:lineRule="auto"/>
        <w:ind w:firstLine="720"/>
        <w:rPr>
          <w:szCs w:val="24"/>
        </w:rPr>
      </w:pPr>
      <w:r w:rsidRPr="00836DDB">
        <w:rPr>
          <w:szCs w:val="24"/>
        </w:rPr>
        <w:t xml:space="preserve">The development can be divided into two sub-sections. The first is concerned with development in an institutional context. That is, </w:t>
      </w:r>
      <w:r w:rsidR="00724CC8">
        <w:rPr>
          <w:szCs w:val="24"/>
        </w:rPr>
        <w:t>T</w:t>
      </w:r>
      <w:r w:rsidRPr="00836DDB">
        <w:rPr>
          <w:szCs w:val="24"/>
        </w:rPr>
        <w:t xml:space="preserve">NGOs supplementing weak state institutions with low capacity in less developed countries </w:t>
      </w:r>
      <w:r>
        <w:rPr>
          <w:szCs w:val="24"/>
        </w:rPr>
        <w:fldChar w:fldCharType="begin"/>
      </w:r>
      <w:r>
        <w:rPr>
          <w:szCs w:val="24"/>
        </w:rPr>
        <w:instrText xml:space="preserve"> ADDIN ZOTERO_ITEM CSL_CITATION {"citationID":"UJalI2Ni","properties":{"formattedCitation":"(Bratton 1989a; Hearn 2007; Jeffrey Herbst 2000; Carothers, Thomas 2002)","plainCitation":"(Bratton 1989a; Hearn 2007; Jeffrey Herbst 2000; Carothers, Thomas 2002)"},"citationItems":[{"id":575,"uris":["http://zotero.org/users/381007/items/6TI2WVZ4"],"uri":["http://zotero.org/users/381007/items/6TI2WVZ4"],"itemData":{"id":575,"type":"article-journal","title":"Beyond the State: Civil Society and Associational Life in Africa","container-title":"World Politics","page":"407-430","volume":"41","issue":"3","author":[{"family":"Bratton","given":"Michael"}],"issued":{"date-parts":[["1989"]]}}},{"id":418,"uris":["http://zotero.org/users/381007/items/2N8FC9FN"],"uri":["http://zotero.org/users/381007/items/2N8FC9FN"],"itemData":{"id":418,"type":"article-journal","title":"African NGOs: The New Compradors?","container-title":"Development &amp; Change","page":"1095-1110","volume":"38","issue":"6","abstract":"In the course of the last twenty-five years, Africa has witnessed an astounding growth in the number and influence of non-governmental organizations (NGOs) in general, and more recently of African NGOs in particular. Initially, the literature on this was dominated by the concerns of the policy-making and NGO communities, drawing on liberal pluralist theory. Lately, an independent, critical literature has developed based on substantial empirical research. Its findings make for uncomfortable reading. They document the essential lack of autonomy of local non-state actors and their very close relationship to Northern governments. This essay argues that the position of NGOs must be theorized within the wider context of the global political economy of the continent. With this in mind, it investigates the rationale for using a comprador perspective to understand the contemporary role of African NGOs.","author":[{"family":"Hearn","given":"Julie"}],"issued":{"date-parts":[["2007"]]}}},{"id":923,"uris":["http://zotero.org/users/381007/items/GG9VPHJE"],"uri":["http://zotero.org/users/381007/items/GG9VPHJE"],"itemData":{"id":923,"type":"book","title":"States and Power in Africa: Comparative Lessons in Authority and Control","publisher":"Princeton University Press","publisher-place":"Princeton","event-place":"Princeton","abstract":"Theories of international relations, assumed to be universally applicable, have failed to explain the creation of states in Africa. There, the interaction of power and space is dramatically different from what occurred in Europe. In his groundbreaking book, Jeffrey Herbst places the African state-building process in a truly comparative perspective, examining the problem of state consolidation from the precolonial period, through the short but intense interlude of European colonialism, to the modern era of independent states. Herbst's bold contention--that the conditions now facing African state-builders existed long before European penetration of the continent--is sure to provoke controversy, for it runs counter to the prevailing assumption that colonialism changed everything.In identifying how the African state-building process differs from the European experience, Herbst addresses the fundamental problem confronting African leaders: how to extend authority over sparsely settled lands. Indeed, efforts to exert control over vast, inhospitable territories of low population density and varied environmental and geographical zones have resulted in devastating wars, millions of refugees, and dysfunctional governments perpetrating destructive policies.Detailing the precise political calculations of distinct African leaders, Herbst isolates the basic dynamics of African state development. In analyzing how these leaders have attempted to consolidate power, he is able to evaluate a variety of policy alternatives for dealing with the fundamental political challenges facing African states today.","author":[{"family":"Herbst","given":"Jeffrey"}],"issued":{"date-parts":[["2000"]]}}},{"id":1061,"uris":["http://zotero.org/users/381007/items/KBEDGCCR"],"uri":["http://zotero.org/users/381007/items/KBEDGCCR"],"itemData":{"id":1061,"type":"article-journal","title":"The End of the Transition Paradigm","container-title":"Journal of Democracy","page":"5-21","volume":"13","issue":"1","abstract":"The transition paradigm has been somewhat useful during the 'third wave' of democratization, but it is increasingly clear that reality is no longer conforming to the model.  Many countries that policy makers and aid practitioners persist in calling 'transitional' are not in transition to democracy, and of the democratic transitions that are under way, more than a few are not following the model.  It is time to recognize that the transition paradigm has outlived its usefulness and look for a better lens.","author":[{"family":"Carothers, Thomas","given":""}],"issued":{"date-parts":[["2002",1]]}}}],"schema":"https://github.com/citation-style-language/schema/raw/master/csl-citation.json"} </w:instrText>
      </w:r>
      <w:r>
        <w:rPr>
          <w:szCs w:val="24"/>
        </w:rPr>
        <w:fldChar w:fldCharType="separate"/>
      </w:r>
      <w:r w:rsidRPr="004671BA">
        <w:t>(Bratton 1989a; Hearn 2007; Herbst 2000; Carothers, Thomas 2002)</w:t>
      </w:r>
      <w:r>
        <w:rPr>
          <w:szCs w:val="24"/>
        </w:rPr>
        <w:fldChar w:fldCharType="end"/>
      </w:r>
      <w:r w:rsidRPr="00836DDB">
        <w:rPr>
          <w:szCs w:val="24"/>
        </w:rPr>
        <w:t xml:space="preserve"> or explanations for economic development or lack thereof </w:t>
      </w:r>
      <w:r>
        <w:rPr>
          <w:szCs w:val="24"/>
        </w:rPr>
        <w:fldChar w:fldCharType="begin"/>
      </w:r>
      <w:r>
        <w:rPr>
          <w:szCs w:val="24"/>
        </w:rPr>
        <w:instrText xml:space="preserve"> ADDIN ZOTERO_ITEM CSL_CITATION {"citationID":"nLLU9IaQ","properties":{"formattedCitation":"(North 1990; Przeworski, Adam 2000; Przeworski and Limongi 1993; Boix, Carles and Stokes, Susan C. 2003; Englebert, Pierre 2000)","plainCitation":"(North 1990; Przeworski, Adam 2000; Przeworski and Limongi 1993; Boix, Carles and Stokes, Susan C. 2003; Englebert, Pierre 2000)"},"citationItems":[{"id":1559,"uris":["http://zotero.org/users/381007/items/XZ7URSQ2"],"uri":["http://zotero.org/users/381007/items/XZ7URSQ2"],"itemData":{"id":1559,"type":"book","title":"Institutions, Institutional Change and Economic Performance","publisher":"Cambridge University Press","publisher-place":"Cambridge","event-place":"Cambridge","author":[{"family":"North","given":"Douglass C."}],"issued":{"date-parts":[["1990"]]}}},{"id":554,"uris":["http://zotero.org/users/381007/items/6EXAAX4C"],"uri":["http://zotero.org/users/381007/items/6EXAAX4C"],"itemData":{"id":554,"type":"chapter","title":"Economic Development and Political Regimes","container-title":"Development and Democracy","author":[{"family":"Przeworski, Adam","given":""}],"issued":{"date-parts":[["2000"]]}}},{"id":1007,"uris":["http://zotero.org/users/381007/items/ITBVBTJH"],"uri":["http://zotero.org/users/381007/items/ITBVBTJH"],"itemData":{"id":1007,"type":"article-journal","title":"Political Regimes and Economic Growth","container-title":"The Journal of Economic Perspectives","page":"51-69","volume":"7","issue":"3","author":[{"family":"Przeworski","given":"Adam"},{"family":"Limongi","given":"Fernando"}],"issued":{"date-parts":[["1993"]]}}},{"id":863,"uris":["http://zotero.org/users/381007/items/EZPGDSWA"],"uri":["http://zotero.org/users/381007/items/EZPGDSWA"],"itemData":{"id":863,"type":"article-journal","title":"Endogenous Democratization","container-title":"World Politics","page":"517-549","volume":"55","issue":"4","abstract":"Challenge of Przeworski and Limogni's conceptual theory of endogenous and exogenous democracy (claim that exogenous theory holds while endogenous one fails).  Endogenous = development increases the likelihood that poor countries will undergo a transition to democracy.  Exogenous = development makes democracies, once estabished, less likely to fall to dictatorships.\n\nFinds through expansion of dataset that theory of endogenous democracy does hold up, but that development is only a proxy for other influential variables.  (Income equality, Knowledge (literacy), period (pre/post WWII), democratic institutions (controlling for Soviet and oil countries)).","author":[{"family":"Boix, Carles","given":""},{"family":"Stokes, Susan C.","given":""}],"issued":{"date-parts":[["2003",7]]},"accessed":{"date-parts":[["2011",3,4]]}}},{"id":1382,"uris":["http://zotero.org/users/381007/items/TT9QM83Z"],"uri":["http://zotero.org/users/381007/items/TT9QM83Z"],"itemData":{"id":1382,"type":"book","title":"State Legitimacy and Development in Africa","publisher":"Lynne Rienner Publishers","publisher-place":"Boulder","event-place":"Boulder","author":[{"family":"Englebert, Pierre","given":""}],"issued":{"date-parts":[["2000"]]}}}],"schema":"https://github.com/citation-style-language/schema/raw/master/csl-citation.json"} </w:instrText>
      </w:r>
      <w:r>
        <w:rPr>
          <w:szCs w:val="24"/>
        </w:rPr>
        <w:fldChar w:fldCharType="separate"/>
      </w:r>
      <w:r w:rsidRPr="00836DDB">
        <w:rPr>
          <w:szCs w:val="24"/>
        </w:rPr>
        <w:t>(North 1990; Przeworski 2000; Przeworski and Limongi 1993; Boix and Stokes</w:t>
      </w:r>
      <w:r>
        <w:rPr>
          <w:szCs w:val="24"/>
        </w:rPr>
        <w:t xml:space="preserve"> </w:t>
      </w:r>
      <w:r w:rsidRPr="00836DDB">
        <w:rPr>
          <w:szCs w:val="24"/>
        </w:rPr>
        <w:t>2003; Englebert 2000)</w:t>
      </w:r>
      <w:r>
        <w:rPr>
          <w:szCs w:val="24"/>
        </w:rPr>
        <w:fldChar w:fldCharType="end"/>
      </w:r>
      <w:r w:rsidRPr="00836DDB">
        <w:rPr>
          <w:szCs w:val="24"/>
        </w:rPr>
        <w:t>.</w:t>
      </w:r>
    </w:p>
    <w:p w:rsidR="009944D4" w:rsidRPr="00836DDB" w:rsidRDefault="009944D4" w:rsidP="009944D4">
      <w:pPr>
        <w:spacing w:line="480" w:lineRule="auto"/>
        <w:rPr>
          <w:szCs w:val="24"/>
        </w:rPr>
      </w:pPr>
      <w:r w:rsidRPr="00836DDB">
        <w:rPr>
          <w:szCs w:val="24"/>
        </w:rPr>
        <w:tab/>
        <w:t xml:space="preserve">The first grouping of literature is linked to the field of public administration in its emphasis on implementation and service provision. The hollow state addresses the devolution of authority, a role similar to that of </w:t>
      </w:r>
      <w:r w:rsidR="00724CC8">
        <w:rPr>
          <w:szCs w:val="24"/>
        </w:rPr>
        <w:t>T</w:t>
      </w:r>
      <w:r w:rsidRPr="00836DDB">
        <w:rPr>
          <w:szCs w:val="24"/>
        </w:rPr>
        <w:t xml:space="preserve">NGOs in the development literature. Debates about development, civil society, and effectiveness are centered on the question of whether </w:t>
      </w:r>
      <w:r w:rsidR="00724CC8">
        <w:rPr>
          <w:szCs w:val="24"/>
        </w:rPr>
        <w:t>T</w:t>
      </w:r>
      <w:r w:rsidRPr="00836DDB">
        <w:rPr>
          <w:szCs w:val="24"/>
        </w:rPr>
        <w:t xml:space="preserve">NGOs are institutions that supplant or supplement the state. Some feel that such organizations are simply extensions of the state. </w:t>
      </w:r>
      <w:r>
        <w:rPr>
          <w:szCs w:val="24"/>
        </w:rPr>
        <w:fldChar w:fldCharType="begin"/>
      </w:r>
      <w:r>
        <w:rPr>
          <w:szCs w:val="24"/>
        </w:rPr>
        <w:instrText xml:space="preserve"> ADDIN ZOTERO_ITEM CSL_CITATION {"citationID":"LnGhYkNX","properties":{"formattedCitation":"(Brass 2012a)","plainCitation":"(Brass 2012a)"},"citationItems":[{"id":439,"uris":["http://zotero.org/users/381007/items/35TGSIDC"],"uri":["http://zotero.org/users/381007/items/35TGSIDC"],"itemData":{"id":439,"type":"article-journal","title":"Blurring Boundaries: The Integration of NGOs into Governance in Kenya","container-title":"Governance","page":"209-235","volume":"25","issue":"2","abstract":"This article examines the impact of the proliferation of nongovernmental\norganizations (NGOs) on governance in Kenya. Looking specifically at\nservice provision, it analyzes how the growth of NGOs has begun to change\nthe way decisions are made and policy is formulated. In so doing, the article\nexplores shifting NGO–government relations over time. The governance\nof service provision has become a complex, intertwined affair in whichNGOs\nsit on national policymaking committees, government integratesNGOplans\nand budgets into national policy, and government actors learn from and copy\nNGOs’ participatory, accountable approach. Through (1) the integration of\nformer NGO leaders in government, (2) increasing the variety of voices\nheard in government decision making, (3) lobbying by NGOs, and (4)\nmimicry of NGOs by government, governance of Kenyan service provision\nhas begun to become more democratic. Through such changes, developing\ncountries are witnessing a blurring of the line between public and private.","author":[{"family":"Brass","given":"Jennifer N."}],"issued":{"date-parts":[["2012"]]}}}],"schema":"https://github.com/citation-style-language/schema/raw/master/csl-citation.json"} </w:instrText>
      </w:r>
      <w:r>
        <w:rPr>
          <w:szCs w:val="24"/>
        </w:rPr>
        <w:fldChar w:fldCharType="separate"/>
      </w:r>
      <w:r w:rsidRPr="00836DDB">
        <w:rPr>
          <w:szCs w:val="24"/>
        </w:rPr>
        <w:t>Brass (2012a)</w:t>
      </w:r>
      <w:r>
        <w:rPr>
          <w:szCs w:val="24"/>
        </w:rPr>
        <w:fldChar w:fldCharType="end"/>
      </w:r>
      <w:r w:rsidRPr="00836DDB">
        <w:rPr>
          <w:szCs w:val="24"/>
        </w:rPr>
        <w:t xml:space="preserve">, for example, reports that citizens in remote areas of Kenya make little differentiation between the Kenyan government and </w:t>
      </w:r>
      <w:r w:rsidR="00724CC8">
        <w:rPr>
          <w:szCs w:val="24"/>
        </w:rPr>
        <w:t>T</w:t>
      </w:r>
      <w:r w:rsidRPr="00836DDB">
        <w:rPr>
          <w:szCs w:val="24"/>
        </w:rPr>
        <w:t xml:space="preserve">NGOs.  Because many </w:t>
      </w:r>
      <w:r w:rsidR="00724CC8">
        <w:rPr>
          <w:szCs w:val="24"/>
        </w:rPr>
        <w:t>T</w:t>
      </w:r>
      <w:r w:rsidRPr="00836DDB">
        <w:rPr>
          <w:szCs w:val="24"/>
        </w:rPr>
        <w:t xml:space="preserve">NGOs work in the area of service provision in many development contexts, welfare frameworks emphasizing advanced industrialized states </w:t>
      </w:r>
      <w:r>
        <w:rPr>
          <w:szCs w:val="24"/>
        </w:rPr>
        <w:fldChar w:fldCharType="begin"/>
      </w:r>
      <w:r>
        <w:rPr>
          <w:szCs w:val="24"/>
        </w:rPr>
        <w:instrText xml:space="preserve"> ADDIN ZOTERO_ITEM CSL_CITATION {"citationID":"OBALOIno","properties":{"formattedCitation":"(Esping-Andersen, Gosta 1990)","plainCitation":"(Esping-Andersen, Gosta 1990)"},"citationItems":[{"id":1356,"uris":["http://zotero.org/users/381007/items/TG96PGGN"],"uri":["http://zotero.org/users/381007/items/TG96PGGN"],"itemData":{"id":1356,"type":"book","title":"The Three Worlds of Welfare Capitalism","publisher":"Princeton University Press","publisher-place":"Princeton","event-place":"Princeton","author":[{"family":"Esping-Andersen, Gosta","given":""}],"issued":{"date-parts":[["1990"]]}}}],"schema":"https://github.com/citation-style-language/schema/raw/master/csl-citation.json"} </w:instrText>
      </w:r>
      <w:r>
        <w:rPr>
          <w:szCs w:val="24"/>
        </w:rPr>
        <w:fldChar w:fldCharType="separate"/>
      </w:r>
      <w:r>
        <w:rPr>
          <w:szCs w:val="24"/>
        </w:rPr>
        <w:t xml:space="preserve">(Esping-Andersen </w:t>
      </w:r>
      <w:r w:rsidRPr="00836DDB">
        <w:rPr>
          <w:szCs w:val="24"/>
        </w:rPr>
        <w:t>1990)</w:t>
      </w:r>
      <w:r>
        <w:rPr>
          <w:szCs w:val="24"/>
        </w:rPr>
        <w:fldChar w:fldCharType="end"/>
      </w:r>
      <w:r w:rsidRPr="00836DDB">
        <w:rPr>
          <w:szCs w:val="24"/>
        </w:rPr>
        <w:t xml:space="preserve"> become distorted. His thesis that development serves as the causal mechanism for higher levels of welfare provision assumes advanced industrialized status and lacks a threshold for welfare provision. Th</w:t>
      </w:r>
      <w:r w:rsidR="00724CC8">
        <w:rPr>
          <w:szCs w:val="24"/>
        </w:rPr>
        <w:t>us, a lower level of development, combined with TNGOs as service providers, complicates</w:t>
      </w:r>
      <w:r w:rsidRPr="00836DDB">
        <w:rPr>
          <w:szCs w:val="24"/>
        </w:rPr>
        <w:t xml:space="preserve"> the landscape. </w:t>
      </w:r>
      <w:r>
        <w:rPr>
          <w:szCs w:val="24"/>
        </w:rPr>
        <w:fldChar w:fldCharType="begin"/>
      </w:r>
      <w:r>
        <w:rPr>
          <w:szCs w:val="24"/>
        </w:rPr>
        <w:instrText xml:space="preserve"> ADDIN ZOTERO_ITEM CSL_CITATION {"citationID":"wH9u46NB","properties":{"formattedCitation":"(Wood, Geof and Ian Gough 2006)","plainCitation":"(Wood, Geof and Ian Gough 2006)"},"citationItems":[{"id":715,"uris":["http://zotero.org/users/381007/items/ARB3H7WT"],"uri":["http://zotero.org/users/381007/items/ARB3H7WT"],"itemData":{"id":715,"type":"article-journal","title":"A Comparative Welfare Regime Approach to Global Social Policy","container-title":"World Development","page":"1696-1712","volume":"34","issue":"10","abstract":"Redefines framework of welfare regimes of industrailized nations o address experiences of countries/regions with problematic states and imperfect markets.  Proposes broader typology of wefare state/informal security/insecurity to capture relationships between social and cultural conditions, institutional performance, welfare outcomes, and path dependence.  Compares E Asia, S Asia, Lating America, Sub-Saharan Africa.  Argues that for many poorer people, partially capitalized societies, people's security relies informally upon various clientelist relationships.  De-clientelization as a strategy to formalize rights to security is a step to protect citizens from the insecurity of markets.","DOI":"10.1016/j.worlddev.2006.02.001","author":[{"family":"Wood, Geof","given":""},{"family":"Ian Gough","given":""}],"issued":{"date-parts":[["2006"]]},"accessed":{"date-parts":[["2011",7,14]]}}}],"schema":"https://github.com/citation-style-language/schema/raw/master/csl-citation.json"} </w:instrText>
      </w:r>
      <w:r>
        <w:rPr>
          <w:szCs w:val="24"/>
        </w:rPr>
        <w:fldChar w:fldCharType="separate"/>
      </w:r>
      <w:r w:rsidRPr="00836DDB">
        <w:rPr>
          <w:szCs w:val="24"/>
        </w:rPr>
        <w:t>Wood and Gough (2006)</w:t>
      </w:r>
      <w:r>
        <w:rPr>
          <w:szCs w:val="24"/>
        </w:rPr>
        <w:fldChar w:fldCharType="end"/>
      </w:r>
      <w:r w:rsidRPr="00836DDB">
        <w:rPr>
          <w:szCs w:val="24"/>
        </w:rPr>
        <w:t xml:space="preserve"> propose an alternative comparative conceptual framework in which informal relationships are integral parts of well-being and state institutions perpetuate insecurity.  Others argue that the presence of </w:t>
      </w:r>
      <w:r w:rsidR="00724CC8">
        <w:rPr>
          <w:szCs w:val="24"/>
        </w:rPr>
        <w:t>T</w:t>
      </w:r>
      <w:r w:rsidRPr="00836DDB">
        <w:rPr>
          <w:szCs w:val="24"/>
        </w:rPr>
        <w:t xml:space="preserve">NGOs keeps state institutions weak, thereby supplanting them and doing little to build capacity </w:t>
      </w:r>
      <w:r>
        <w:rPr>
          <w:szCs w:val="24"/>
        </w:rPr>
        <w:fldChar w:fldCharType="begin"/>
      </w:r>
      <w:r>
        <w:rPr>
          <w:szCs w:val="24"/>
        </w:rPr>
        <w:instrText xml:space="preserve"> ADDIN ZOTERO_ITEM CSL_CITATION {"citationID":"82VYyt65","properties":{"formattedCitation":"(Fisher, Julie 1998; Smillie 1995)","plainCitation":"(Fisher, Julie 1998; Smillie 1995)"},"citationItems":[{"id":430,"uris":["http://zotero.org/users/381007/items/2WWNHG74"],"uri":["http://zotero.org/users/381007/items/2WWNHG74"],"itemData":{"id":430,"type":"book","title":"Nongovernments: NGOs and the Political Development of the Third World","publisher":"Kumarian press","publisher-place":"West Hartford","event-place":"West Hartford","author":[{"family":"Fisher, Julie","given":""}],"issued":{"date-parts":[["1998"]]}}},{"id":1514,"uris":["http://zotero.org/users/381007/items/WM8HZZ76"],"uri":["http://zotero.org/users/381007/items/WM8HZZ76"],"itemData":{"id":1514,"type":"book","title":"The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rPr>
          <w:szCs w:val="24"/>
        </w:rPr>
        <w:fldChar w:fldCharType="separate"/>
      </w:r>
      <w:r w:rsidRPr="00836DDB">
        <w:rPr>
          <w:szCs w:val="24"/>
        </w:rPr>
        <w:t>(Fisher 1998; Smillie 1995)</w:t>
      </w:r>
      <w:r>
        <w:rPr>
          <w:szCs w:val="24"/>
        </w:rPr>
        <w:fldChar w:fldCharType="end"/>
      </w:r>
      <w:r w:rsidRPr="00836DDB">
        <w:rPr>
          <w:szCs w:val="24"/>
        </w:rPr>
        <w:t xml:space="preserve">. In addition to the international development literature and the role of </w:t>
      </w:r>
      <w:r w:rsidR="00724CC8">
        <w:rPr>
          <w:szCs w:val="24"/>
        </w:rPr>
        <w:t>T</w:t>
      </w:r>
      <w:r w:rsidRPr="00836DDB">
        <w:rPr>
          <w:szCs w:val="24"/>
        </w:rPr>
        <w:t xml:space="preserve">NGOs as service providers, a significant proportion of scholarship in the domestic nonprofit sphere has also been focused on service provision </w:t>
      </w:r>
      <w:r>
        <w:rPr>
          <w:szCs w:val="24"/>
        </w:rPr>
        <w:fldChar w:fldCharType="begin"/>
      </w:r>
      <w:r>
        <w:rPr>
          <w:szCs w:val="24"/>
        </w:rPr>
        <w:instrText xml:space="preserve"> ADDIN ZOTERO_ITEM CSL_CITATION {"citationID":"R3Zh0Ae9","properties":{"formattedCitation":"(Mosley 2012; Gazley 2008; Garrow 2010; Van Slyke 2006)","plainCitation":"(Mosley 2012; Gazley 2008; Garrow 2010; Van Slyke 2006)"},"citationItems":[{"id":796,"uris":["http://zotero.org/users/381007/items/D9RJHU4F"],"uri":["http://zotero.org/users/381007/items/D9RJHU4F"],"itemData":{"id":796,"type":"article-journal","title":"Keeping the Lights On: How Government Funding Concerns Drive the Advocacy Agendas of Nonprofit Homeless Providers","container-title":"Journal of Public Administration Research and Theory","page":"841-866","volume":"22","abstract":"Human service nonprofits have historically played an important role in advocating on behalf\nof the vulnerable populations that they serve. Growth in privatization has led many scholars\nand practitioners to wonder if increased dependence on government funds would\ncompromise this role. The objective of this study is to explore the relationship between\ngovernment funding and advocacy participation, goals, and tactics through a qualitative\ninvestigation of advocacy involvement in the field of homeless services. Results demonstrate\nthat having government funding is associated with managers being highly motivated to\nparticipate in advocacy in the hopes of solidifying funding relationships. As a result, advocacy\ngoals are focused primarily on brokering resources and promoting the organization rather\nthan substantive policy change or client representation. Furthermore, in order to be\nperceived as a legitimate partner to government, organizations reject confrontational\nmethods and advocate as insiders. Overall, these findings indicate perceptions about\nadvocacy may need to shift as increased reliance on government funding has made\nadvocacy participation and participation in collaborative governance virtually indistinguishable.","DOI":"doi:10.1093/jopart/mus003","author":[{"family":"Mosley","given":"Jennifer E."}],"issued":{"date-parts":[["2012"]]},"accessed":{"date-parts":[["2013",10,14]]}}},{"id":825,"uris":["http://zotero.org/users/381007/items/DWKURA7F"],"uri":["http://zotero.org/users/381007/items/DWKURA7F"],"itemData":{"id":825,"type":"article-journal","title":"Beyond the Contract: The Scope and Nature of Informal Government-Nonprofit Partnerships","container-title":"Public Administration Review","page":"141-154","volume":"68","issue":"1","abstract":"Privatization research lacks an understanding of the scope and nature of informal service delivery relationships between nonprofits and local government. This article reports on a study of local service delivery partnerships in Georgia using survey and interview data. In addition to assessing the frequency of noncontractual partnerships, this study builds on B. Guy Peters’s definition of public–private partnerships to delineate the control–formality dimensions of these partnerships more clearly. The agency theory notion that a trade-off occurs between formality and control is also tested. The findings show that most public–private partnerships involving nonprofits are led by government agencies, and they are only weakly collaborative in the sense of shared authority or resources. Often, community norms substitute for formal service agreements. The study concludes with suggestions for further research regarding trust and behavioral norms in public–private partnerships.","author":[{"family":"Gazley","given":"Beth"}],"issued":{"date-parts":[["2008"]]}}},{"id":3108,"uris":["http://zotero.org/users/381007/items/423FXFRI"],"uri":["http://zotero.org/users/381007/items/423FXFRI"],"itemData":{"id":3108,"type":"article-journal","title":"Receipt of Government Revenue among Human Service Organizations","container-title":"Journal of Public Administration Research and Theory","page":"445-471","volume":"21","issue":"3","author":[{"family":"Garrow","given":"Eve E."}],"issued":{"date-parts":[["2010"]]}}},{"id":1287,"uris":["http://zotero.org/users/381007/items/S8KXDA3V"],"uri":["http://zotero.org/users/381007/items/S8KXDA3V"],"itemData":{"id":1287,"type":"article-journal","title":"Agents or Stewards: Using Theory to Understand the Government-Nonprofit Social Service Contracting Relationship","container-title":"Journal of Public Administration Research and Theory","page":"157-187","volume":"17","abstract":"The manner in which nonprofits are managed evolves over time from a principal-agent to a principal-steward relationship, but with less variance than theories suggest. This is the product of contextual conditions including teh type of service, lack of market competitiveness, and management capacity constraints.  Examines trust and reputation using theories of agency and stewardship in contractual arrangements between government and non-profits for provision of social services, finds that there needs to be some theoretical middle ground as neither fully explains.\n\nAgency theory = central approach to a theory of managerial behavior (see Ross 1987).  Assumes goal divergence on part of the contracted agent\n\nStewardship theory = framed as the organizational behavior counterweight to rational action theories of management (see Savis, Donaldson, and Schooman 1997).  Assumes convergence because of shared collective interests w/ contracted stewart. Higher value on reaching goal convergence (vs. prinicpal agent where goal conflict is assumed to be a given/constant until principal changes).","author":[{"family":"Van Slyke","given":"David M."}],"issued":{"date-parts":[["2006"]]}}}],"schema":"https://github.com/citation-style-language/schema/raw/master/csl-citation.json"} </w:instrText>
      </w:r>
      <w:r>
        <w:rPr>
          <w:szCs w:val="24"/>
        </w:rPr>
        <w:fldChar w:fldCharType="separate"/>
      </w:r>
      <w:r w:rsidRPr="0075755F">
        <w:t>(Mosley 2012; Gazley 2008; Garrow 2010; Van Slyke 2006)</w:t>
      </w:r>
      <w:r>
        <w:rPr>
          <w:szCs w:val="24"/>
        </w:rPr>
        <w:fldChar w:fldCharType="end"/>
      </w:r>
      <w:r w:rsidRPr="00836DDB">
        <w:rPr>
          <w:szCs w:val="24"/>
        </w:rPr>
        <w:t xml:space="preserve">. Various models of development curry </w:t>
      </w:r>
      <w:r>
        <w:rPr>
          <w:szCs w:val="24"/>
        </w:rPr>
        <w:t xml:space="preserve">favor </w:t>
      </w:r>
      <w:r w:rsidRPr="00836DDB">
        <w:rPr>
          <w:szCs w:val="24"/>
        </w:rPr>
        <w:t xml:space="preserve">or fall out of </w:t>
      </w:r>
      <w:r>
        <w:rPr>
          <w:szCs w:val="24"/>
        </w:rPr>
        <w:t>fashion</w:t>
      </w:r>
      <w:r w:rsidRPr="00836DDB">
        <w:rPr>
          <w:szCs w:val="24"/>
        </w:rPr>
        <w:t xml:space="preserve"> as donor and geopolitical priorities shift </w:t>
      </w:r>
      <w:r>
        <w:rPr>
          <w:szCs w:val="24"/>
        </w:rPr>
        <w:fldChar w:fldCharType="begin"/>
      </w:r>
      <w:r>
        <w:rPr>
          <w:szCs w:val="24"/>
        </w:rPr>
        <w:instrText xml:space="preserve"> ADDIN ZOTERO_ITEM CSL_CITATION {"citationID":"4c619jEu","properties":{"formattedCitation":"(Igoe and Kelsall 2005)","plainCitation":"(Igoe and Kelsall 2005)"},"citationItems":[{"id":372,"uris":["http://zotero.org/groups/219094/items/UPM7UEWZ"],"uri":["http://zotero.org/groups/219094/items/UPM7UEWZ"],"itemData":{"id":372,"type":"chapter","title":"Introduction: Between a Rock and a Hard Place","container-title":"Between a Rock and a Hard Place: African NGOs, Donors, and the State","publisher":"Carolina Academic Press","publisher-place":"Durham","page":"1-33","event-place":"Durham","author":[{"family":"Igoe","given":"Jim"},{"family":"Kelsall","given":"Tim"}],"editor":[{"family":"Igoe","given":"Jim"},{"family":"Kelsall","given":"Tim"}],"issued":{"date-parts":[["2005"]]}}}],"schema":"https://github.com/citation-style-language/schema/raw/master/csl-citation.json"} </w:instrText>
      </w:r>
      <w:r>
        <w:rPr>
          <w:szCs w:val="24"/>
        </w:rPr>
        <w:fldChar w:fldCharType="separate"/>
      </w:r>
      <w:r w:rsidRPr="00B86EBA">
        <w:t>(Igoe and Kelsall 2005)</w:t>
      </w:r>
      <w:r>
        <w:rPr>
          <w:szCs w:val="24"/>
        </w:rPr>
        <w:fldChar w:fldCharType="end"/>
      </w:r>
      <w:r w:rsidRPr="00836DDB">
        <w:rPr>
          <w:szCs w:val="24"/>
        </w:rPr>
        <w:t xml:space="preserve">. </w:t>
      </w:r>
      <w:r>
        <w:rPr>
          <w:szCs w:val="24"/>
        </w:rPr>
        <w:fldChar w:fldCharType="begin"/>
      </w:r>
      <w:r>
        <w:rPr>
          <w:szCs w:val="24"/>
        </w:rPr>
        <w:instrText xml:space="preserve"> ADDIN ZOTERO_ITEM CSL_CITATION {"citationID":"wgaeolJa","properties":{"formattedCitation":"(Lieberman 2009)","plainCitation":"(Lieberman 2009)"},"citationItems":[{"id":1046,"uris":["http://zotero.org/users/381007/items/JSV55BMA"],"uri":["http://zotero.org/users/381007/items/JSV55BMA"],"itemData":{"id":1046,"type":"book","title":"Boundaries of Contagion: How Ethnic Politics Have Shaped Government Responses to AIDS","publisher":"Princeton University Press","publisher-place":"Princeton","event-place":"Princeton","abstract":"Examines the role of state capacity, democratic institutions, civil society, and international actors in policy responses to HIV, but argues that these categories do not fully explain variation from country to country.  Instead, differences in governmental responses should be understood in terms of ethnic diversity and conflict (ethnic boundary institutions), which negatively affect the provision of public goods.  Where ethnic boundaries are more defined, the disease is understood in terms of ethnicity and policy implementation is influenced. Using the case of South Africa and Brazil, Lieberman finds that the national government's response to HIV has been more aggressive than in South Africa because the AIDS bureaucracy is well institutionalized and the government has been a lead actor rather than NGOs. In South Africa, the AIDS bureaucracy was established much later and had fewer staff whereas Brazil allocated social expenditures toward AIDS realted efforts earlier and spent more per capita.  Arguments concerning state capacity do not explain differences between these two cases because South Africa exceeded measures of state capacity compared to Brazil for most years between 1980 and 2002. Democratic institutions and civil society also not not provide a full explanation because South Africa's weak response has persisted depsite a greater degree of civil liberties and higher Polity Score than Brazil. Pressures of global governance on developing countries (from WHO, etc.) is also inadequate explanation because both cases are among the highest per capita income levels in their regions and have refused international assistance, even in the area of HIV. South Africa has been reluctant to adopt stronger policies despite international pressure. Leadership is also inadequate because charismatic leaders like Mandela have weak policies whereas \"unremarkable\" leaders in other countries have responded aggressively.  \n\nLieberman adds to the discussion ethnic boundaries, nting that South Africa had extremely institutionalized boundaries under apartheid and epidemiological data is still collected along racial lines today.  Brazil, however, has actively promoted nonracialization and Portuguese as a single langauge to unite groups (S. Africa as multi-lingual boundaries) and prohibits racial discriminiation - thus, strong ethnic boundaries on AIDS policy in South Africa has been a racialization about the discourse of risk, blame, and how to respond (how the disease is understood).  In a third case, India, Liberman finds that ethnic diversity is not a good predictor of AIDS policy, but ethnic boundaries still seem to have an impact (higher % of state population vs intercaste marriages are associated with lower state AIDS expenditures per capita).","author":[{"family":"Lieberman","given":"Evan S."}],"issued":{"date-parts":[["2009"]]}}}],"schema":"https://github.com/citation-style-language/schema/raw/master/csl-citation.json"} </w:instrText>
      </w:r>
      <w:r>
        <w:rPr>
          <w:szCs w:val="24"/>
        </w:rPr>
        <w:fldChar w:fldCharType="separate"/>
      </w:r>
      <w:r w:rsidRPr="00836DDB">
        <w:rPr>
          <w:szCs w:val="24"/>
        </w:rPr>
        <w:t>Lieberman's (2009)</w:t>
      </w:r>
      <w:r>
        <w:rPr>
          <w:szCs w:val="24"/>
        </w:rPr>
        <w:fldChar w:fldCharType="end"/>
      </w:r>
      <w:r>
        <w:rPr>
          <w:szCs w:val="24"/>
        </w:rPr>
        <w:t xml:space="preserve"> </w:t>
      </w:r>
      <w:r w:rsidRPr="00836DDB">
        <w:rPr>
          <w:szCs w:val="24"/>
        </w:rPr>
        <w:t xml:space="preserve">work on HIV/AIDs responses in four countries illustrates how state capacity and attitudes toward </w:t>
      </w:r>
      <w:r w:rsidR="00724CC8">
        <w:rPr>
          <w:szCs w:val="24"/>
        </w:rPr>
        <w:t>T</w:t>
      </w:r>
      <w:r w:rsidRPr="00836DDB">
        <w:rPr>
          <w:szCs w:val="24"/>
        </w:rPr>
        <w:t xml:space="preserve">NGOS, the socio-cultural landscape, and need are capable of shaping different responses and outcomes depending on the environment. The implication is that resources, politics, and the level of need all interact to influence </w:t>
      </w:r>
      <w:r w:rsidR="00724CC8">
        <w:rPr>
          <w:szCs w:val="24"/>
        </w:rPr>
        <w:t>TNGO</w:t>
      </w:r>
      <w:r w:rsidRPr="00836DDB">
        <w:rPr>
          <w:szCs w:val="24"/>
        </w:rPr>
        <w:t xml:space="preserve"> location and decision-making. </w:t>
      </w:r>
    </w:p>
    <w:p w:rsidR="009944D4" w:rsidRPr="00836DDB" w:rsidRDefault="009944D4" w:rsidP="009944D4">
      <w:pPr>
        <w:spacing w:line="480" w:lineRule="auto"/>
        <w:ind w:firstLine="720"/>
        <w:rPr>
          <w:szCs w:val="24"/>
        </w:rPr>
      </w:pPr>
      <w:r w:rsidRPr="00836DDB">
        <w:rPr>
          <w:szCs w:val="24"/>
        </w:rPr>
        <w:t xml:space="preserve">Within the realm of development, much attention is also dedicated to the subject of civil society, which is viewed as the foundation for political and economic development </w:t>
      </w:r>
      <w:r>
        <w:rPr>
          <w:szCs w:val="24"/>
        </w:rPr>
        <w:fldChar w:fldCharType="begin"/>
      </w:r>
      <w:r>
        <w:rPr>
          <w:szCs w:val="24"/>
        </w:rPr>
        <w:instrText xml:space="preserve"> ADDIN ZOTERO_ITEM CSL_CITATION {"citationID":"pV9NNzQC","properties":{"formattedCitation":"(Putnam 1993)","plainCitation":"(Putnam 1993)"},"citationItems":[{"id":553,"uris":["http://zotero.org/users/381007/items/6E8UC8GN"],"uri":["http://zotero.org/users/381007/items/6E8UC8GN"],"itemData":{"id":553,"type":"book","title":"Making Democracy Work: Civic Traditions in Modern Italy","publisher":"Princeton University Press","publisher-place":"Princeton","event-place":"Princeton","author":[{"family":"Putnam","given":"Robert"}],"issued":{"date-parts":[["1993"]]}}}],"schema":"https://github.com/citation-style-language/schema/raw/master/csl-citation.json"} </w:instrText>
      </w:r>
      <w:r>
        <w:rPr>
          <w:szCs w:val="24"/>
        </w:rPr>
        <w:fldChar w:fldCharType="separate"/>
      </w:r>
      <w:r w:rsidRPr="00B86EBA">
        <w:t>(Putnam 1993)</w:t>
      </w:r>
      <w:r>
        <w:rPr>
          <w:szCs w:val="24"/>
        </w:rPr>
        <w:fldChar w:fldCharType="end"/>
      </w:r>
      <w:r w:rsidRPr="00836DDB">
        <w:rPr>
          <w:szCs w:val="24"/>
        </w:rPr>
        <w:t xml:space="preserve">. </w:t>
      </w:r>
      <w:r>
        <w:rPr>
          <w:szCs w:val="24"/>
        </w:rPr>
        <w:t>Consequently, the</w:t>
      </w:r>
      <w:r w:rsidRPr="00836DDB">
        <w:rPr>
          <w:szCs w:val="24"/>
        </w:rPr>
        <w:t xml:space="preserve"> state and civil society</w:t>
      </w:r>
      <w:r>
        <w:rPr>
          <w:szCs w:val="24"/>
        </w:rPr>
        <w:t xml:space="preserve"> may be viewed</w:t>
      </w:r>
      <w:r w:rsidRPr="00836DDB">
        <w:rPr>
          <w:szCs w:val="24"/>
        </w:rPr>
        <w:t xml:space="preserve"> as mutually dependent beings formed in a fashion similar to the process of development, both evolving together as needs and values change. </w:t>
      </w:r>
      <w:r w:rsidR="00724CC8">
        <w:rPr>
          <w:szCs w:val="24"/>
        </w:rPr>
        <w:t>TNGO</w:t>
      </w:r>
      <w:r w:rsidRPr="00836DDB">
        <w:rPr>
          <w:szCs w:val="24"/>
        </w:rPr>
        <w:t xml:space="preserve">s are a more recent addition to civil society, but their place is twofold: </w:t>
      </w:r>
      <w:r w:rsidR="00724CC8">
        <w:rPr>
          <w:szCs w:val="24"/>
        </w:rPr>
        <w:t>TNGO</w:t>
      </w:r>
      <w:r w:rsidRPr="00836DDB">
        <w:rPr>
          <w:szCs w:val="24"/>
        </w:rPr>
        <w:t xml:space="preserve">s are a part of civil society and they strengthen (local) civil society organizations through their activities </w:t>
      </w:r>
      <w:r>
        <w:rPr>
          <w:szCs w:val="24"/>
        </w:rPr>
        <w:fldChar w:fldCharType="begin"/>
      </w:r>
      <w:r>
        <w:rPr>
          <w:szCs w:val="24"/>
        </w:rPr>
        <w:instrText xml:space="preserve"> ADDIN ZOTERO_ITEM CSL_CITATION {"citationID":"Gm1BG3tT","properties":{"formattedCitation":"(Mercer 2002)","plainCitation":"(Mercer 2002)"},"citationItems":[{"id":1062,"uris":["http://zotero.org/users/381007/items/KBFJXR4C"],"uri":["http://zotero.org/users/381007/items/KBFJXR4C"],"itemData":{"id":1062,"type":"article-journal","title":"NGOs, civil society and democratization: a critical review of the literature","container-title":"Progress in Development Studies","page":"5-22","volume":"2","issue":"1","author":[{"family":"Mercer","given":"Claire"}],"issued":{"date-parts":[["2002"]]}}}],"schema":"https://github.com/citation-style-language/schema/raw/master/csl-citation.json"} </w:instrText>
      </w:r>
      <w:r>
        <w:rPr>
          <w:szCs w:val="24"/>
        </w:rPr>
        <w:fldChar w:fldCharType="separate"/>
      </w:r>
      <w:r w:rsidRPr="00836DDB">
        <w:rPr>
          <w:szCs w:val="24"/>
        </w:rPr>
        <w:t>(Mercer 2002)</w:t>
      </w:r>
      <w:r>
        <w:rPr>
          <w:szCs w:val="24"/>
        </w:rPr>
        <w:fldChar w:fldCharType="end"/>
      </w:r>
      <w:r w:rsidRPr="00836DDB">
        <w:rPr>
          <w:szCs w:val="24"/>
        </w:rPr>
        <w:t xml:space="preserve">. Consequently, </w:t>
      </w:r>
      <w:r w:rsidR="00724CC8">
        <w:rPr>
          <w:szCs w:val="24"/>
        </w:rPr>
        <w:t>TNGO</w:t>
      </w:r>
      <w:r w:rsidRPr="00836DDB">
        <w:rPr>
          <w:szCs w:val="24"/>
        </w:rPr>
        <w:t xml:space="preserve">s are both endogenous and exogenous to development </w:t>
      </w:r>
      <w:r>
        <w:rPr>
          <w:szCs w:val="24"/>
        </w:rPr>
        <w:fldChar w:fldCharType="begin"/>
      </w:r>
      <w:r>
        <w:rPr>
          <w:szCs w:val="24"/>
        </w:rPr>
        <w:instrText xml:space="preserve"> ADDIN ZOTERO_ITEM CSL_CITATION {"citationID":"KbtLSZO1","properties":{"formattedCitation":"(Mitlin, Hickey, and Bebbington 2007)","plainCitation":"(Mitlin, Hickey, and Bebbington 2007)"},"citationItems":[{"id":1508,"uris":["http://zotero.org/users/381007/items/WFWHG6QH"],"uri":["http://zotero.org/users/381007/items/WFWHG6QH"],"itemData":{"id":1508,"type":"article-journal","title":"Reclaiming Development? NGOs and the Challenge of Alternatives","container-title":"World Development","page":"1699-1720","volume":"35","issue":"10","abstract":"NGOs are both endogenous to development (systemic sense) while often viewing themselves and being viewed as exogenous when it comes to interventions (‘development’ = geographically uneven, profoundly contradictory set of processes underlying capitalist dvlpmnts and ‘Development’ refers to project of intervention in the 3rd wrld) (Mitlin 1701)","author":[{"family":"Mitlin","given":"Diana"},{"family":"Hickey","given":"Sam"},{"family":"Bebbington","given":"Anthony"}],"issued":{"date-parts":[["2007"]]}}}],"schema":"https://github.com/citation-style-language/schema/raw/master/csl-citation.json"} </w:instrText>
      </w:r>
      <w:r>
        <w:rPr>
          <w:szCs w:val="24"/>
        </w:rPr>
        <w:fldChar w:fldCharType="separate"/>
      </w:r>
      <w:r w:rsidRPr="00836DDB">
        <w:rPr>
          <w:szCs w:val="24"/>
        </w:rPr>
        <w:t>(Mitlin, Hickey, and Bebbington 2007)</w:t>
      </w:r>
      <w:r>
        <w:rPr>
          <w:szCs w:val="24"/>
        </w:rPr>
        <w:fldChar w:fldCharType="end"/>
      </w:r>
      <w:r w:rsidRPr="00836DDB">
        <w:rPr>
          <w:szCs w:val="24"/>
        </w:rPr>
        <w:t xml:space="preserve">. At the same time they are implementers contributing to development processes they must also be understood in terms of their relationship to the state and market, as well as to other </w:t>
      </w:r>
      <w:r w:rsidR="00724CC8">
        <w:rPr>
          <w:szCs w:val="24"/>
        </w:rPr>
        <w:t>TNGO</w:t>
      </w:r>
      <w:r w:rsidRPr="00836DDB">
        <w:rPr>
          <w:szCs w:val="24"/>
        </w:rPr>
        <w:t xml:space="preserve">s. </w:t>
      </w:r>
    </w:p>
    <w:p w:rsidR="007A1CF5" w:rsidRDefault="009944D4" w:rsidP="007A1CF5">
      <w:pPr>
        <w:spacing w:after="200" w:line="480" w:lineRule="auto"/>
        <w:rPr>
          <w:i/>
        </w:rPr>
      </w:pPr>
      <w:r w:rsidRPr="00836DDB">
        <w:rPr>
          <w:szCs w:val="24"/>
        </w:rPr>
        <w:t xml:space="preserve">Several scholars have noted </w:t>
      </w:r>
      <w:r w:rsidR="00653503">
        <w:rPr>
          <w:szCs w:val="24"/>
        </w:rPr>
        <w:t>T</w:t>
      </w:r>
      <w:r w:rsidRPr="00836DDB">
        <w:rPr>
          <w:szCs w:val="24"/>
        </w:rPr>
        <w:t xml:space="preserve">NGO efforts to secure official revenue streams, </w:t>
      </w:r>
      <w:r w:rsidR="00653503">
        <w:rPr>
          <w:szCs w:val="24"/>
        </w:rPr>
        <w:t xml:space="preserve">which </w:t>
      </w:r>
      <w:r w:rsidRPr="00836DDB">
        <w:rPr>
          <w:szCs w:val="24"/>
        </w:rPr>
        <w:t xml:space="preserve">sometimes </w:t>
      </w:r>
      <w:r w:rsidR="00653503">
        <w:rPr>
          <w:szCs w:val="24"/>
        </w:rPr>
        <w:t>includes</w:t>
      </w:r>
      <w:r w:rsidRPr="00836DDB">
        <w:rPr>
          <w:szCs w:val="24"/>
        </w:rPr>
        <w:t xml:space="preserve"> of partnerships with larger organizations </w:t>
      </w:r>
      <w:r>
        <w:rPr>
          <w:szCs w:val="24"/>
        </w:rPr>
        <w:fldChar w:fldCharType="begin"/>
      </w:r>
      <w:r>
        <w:rPr>
          <w:szCs w:val="24"/>
        </w:rPr>
        <w:instrText xml:space="preserve"> ADDIN ZOTERO_ITEM CSL_CITATION {"citationID":"LeRWQ4nu","properties":{"formattedCitation":"(Green 2012; Okuku 2002)","plainCitation":"(Green 2012; Okuku 2002)"},"citationItems":[{"id":1386,"uris":["http://zotero.org/users/381007/items/TTFZVFF3"],"uri":["http://zotero.org/users/381007/items/TTFZVFF3"],"itemData":{"id":1386,"type":"article-journal","title":"Anticipatory Development: Mobilizing Civil Society in Tanzaia","container-title":"Critique of Anthropology","page":"309-333","volume":"32","issue":"3","abstract":"Examines the globalization of civil society (relationship of local NGOs to iNGOs in development) through the proliferation of NGOs in developing countries by focusing on the technologies and methods (capacity buiding, training, development relationships) through wich expansion becomes possible.  These organiations do not represent an extension of state power, but a multiplicity of peripheral positions from which actors seek conractual engagement in development relations.\n\nNumerous small scale NGOs are seeking to establish themselves as small scale development actors in Tanzania, often comprised of serving or former public officials or staff of development projects who see themselves as volunteers.  Such organizations aim to partner with larger development agencies as a means of securing a place within international development.  Over the past 15 years, new forms of international influence and inclusion within transnational policy regimes associated with hegemonic policy models of the World Bank and IMF have come to fruition through bilateral, multilateral and non-government donor organizations. The extension of small scale NGOs in Africa is considered as local civil society by donors is part of of this effect. The majority of these orgs aren't engaged in development activities and have not secured access to funds, they are best understood as development agents \"in waiting\" who adjacently occupy development relations rather than as extensions of neoliberal governing (310).  Instead they participate in \"anticipatory development\" where they try to convert their peripherality to development orders that will adjacently allow them recognition and ultimately access to funding streams.","author":[{"family":"Green","given":"Maia"}],"issued":{"date-parts":[["2012"]]}}},{"id":465,"uris":["http://zotero.org/users/381007/items/3TZ4TN9R"],"uri":["http://zotero.org/users/381007/items/3TZ4TN9R"],"itemData":{"id":465,"type":"article-journal","title":"Civil Society and Democratisation Processes in Kenya and Uganda: A Comparative Analysis of the Contribution of the Church and NGOs","container-title":"African Journal of Political Science","page":"81-97","volume":"7","issue":"2","author":[{"family":"Okuku","given":"Juma Anthony"}],"issued":{"date-parts":[["2002"]]}}}],"schema":"https://github.com/citation-style-language/schema/raw/master/csl-citation.json"} </w:instrText>
      </w:r>
      <w:r>
        <w:rPr>
          <w:szCs w:val="24"/>
        </w:rPr>
        <w:fldChar w:fldCharType="separate"/>
      </w:r>
      <w:r w:rsidRPr="00836DDB">
        <w:rPr>
          <w:szCs w:val="24"/>
        </w:rPr>
        <w:t>(Green 2012; Okuku 2002)</w:t>
      </w:r>
      <w:r>
        <w:rPr>
          <w:szCs w:val="24"/>
        </w:rPr>
        <w:fldChar w:fldCharType="end"/>
      </w:r>
      <w:r w:rsidRPr="00836DDB">
        <w:rPr>
          <w:szCs w:val="24"/>
        </w:rPr>
        <w:t xml:space="preserve">. Both come in response to state weakness. Green refers to transnational policy regimes, such as the World Bank, as drivers of </w:t>
      </w:r>
      <w:r w:rsidR="00653503">
        <w:rPr>
          <w:szCs w:val="24"/>
        </w:rPr>
        <w:t>TNGO</w:t>
      </w:r>
      <w:r w:rsidRPr="00836DDB">
        <w:rPr>
          <w:szCs w:val="24"/>
        </w:rPr>
        <w:t xml:space="preserve"> expansion, location, and development strategies </w:t>
      </w:r>
      <w:r>
        <w:rPr>
          <w:szCs w:val="24"/>
        </w:rPr>
        <w:fldChar w:fldCharType="begin"/>
      </w:r>
      <w:r>
        <w:rPr>
          <w:szCs w:val="24"/>
        </w:rPr>
        <w:instrText xml:space="preserve"> ADDIN ZOTERO_ITEM CSL_CITATION {"citationID":"BwkiQmam","properties":{"formattedCitation":"(Green 2012)","plainCitation":"(Green 2012)"},"citationItems":[{"id":1386,"uris":["http://zotero.org/users/381007/items/TTFZVFF3"],"uri":["http://zotero.org/users/381007/items/TTFZVFF3"],"itemData":{"id":1386,"type":"article-journal","title":"Anticipatory Development: Mobilizing Civil Society in Tanzaia","container-title":"Critique of Anthropology","page":"309-333","volume":"32","issue":"3","abstract":"Examines the globalization of civil society (relationship of local NGOs to iNGOs in development) through the proliferation of NGOs in developing countries by focusing on the technologies and methods (capacity buiding, training, development relationships) through wich expansion becomes possible.  These organiations do not represent an extension of state power, but a multiplicity of peripheral positions from which actors seek conractual engagement in development relations.\n\nNumerous small scale NGOs are seeking to establish themselves as small scale development actors in Tanzania, often comprised of serving or former public officials or staff of development projects who see themselves as volunteers.  Such organizations aim to partner with larger development agencies as a means of securing a place within international development.  Over the past 15 years, new forms of international influence and inclusion within transnational policy regimes associated with hegemonic policy models of the World Bank and IMF have come to fruition through bilateral, multilateral and non-government donor organizations. The extension of small scale NGOs in Africa is considered as local civil society by donors is part of of this effect. The majority of these orgs aren't engaged in development activities and have not secured access to funds, they are best understood as development agents \"in waiting\" who adjacently occupy development relations rather than as extensions of neoliberal governing (310).  Instead they participate in \"anticipatory development\" where they try to convert their peripherality to development orders that will adjacently allow them recognition and ultimately access to funding streams.","author":[{"family":"Green","given":"Maia"}],"issued":{"date-parts":[["2012"]]}}}],"schema":"https://github.com/citation-style-language/schema/raw/master/csl-citation.json"} </w:instrText>
      </w:r>
      <w:r>
        <w:rPr>
          <w:szCs w:val="24"/>
        </w:rPr>
        <w:fldChar w:fldCharType="separate"/>
      </w:r>
      <w:r w:rsidRPr="00836DDB">
        <w:rPr>
          <w:szCs w:val="24"/>
        </w:rPr>
        <w:t>(Green 2012)</w:t>
      </w:r>
      <w:r>
        <w:rPr>
          <w:szCs w:val="24"/>
        </w:rPr>
        <w:fldChar w:fldCharType="end"/>
      </w:r>
      <w:r w:rsidRPr="00836DDB">
        <w:rPr>
          <w:szCs w:val="24"/>
        </w:rPr>
        <w:t xml:space="preserve">. Development failures are attributed to the wholesale import of such strategies without adaptation to local landscapes, as well as foreign organizations with limited commitment beyond their contract or buy-in from the community </w:t>
      </w:r>
      <w:r>
        <w:rPr>
          <w:szCs w:val="24"/>
        </w:rPr>
        <w:fldChar w:fldCharType="begin"/>
      </w:r>
      <w:r>
        <w:rPr>
          <w:szCs w:val="24"/>
        </w:rPr>
        <w:instrText xml:space="preserve"> ADDIN ZOTERO_ITEM CSL_CITATION {"citationID":"HobXUpHv","properties":{"formattedCitation":"(Moyo 2009; Forje 2008)","plainCitation":"(Moyo 2009; Forje 2008)"},"citationItems":[{"id":1181,"uris":["http://zotero.org/users/381007/items/PNTAAGDW"],"uri":["http://zotero.org/users/381007/items/PNTAAGDW"],"itemData":{"id":1181,"type":"book","title":"Dead Aid: Why Aid Is Not Working And How There Is  Better Way For Africa","publisher":"Farrar, Straus and Giroux","publisher-place":"New York","event-place":"New York","author":[{"family":"Moyo","given":"Dambisa"}],"issued":{"date-parts":[["2009"]]}}},{"id":1078,"uris":["http://zotero.org/users/381007/items/KUTMT9A7"],"uri":["http://zotero.org/users/381007/items/KUTMT9A7"],"itemData":{"id":1078,"type":"chapter","title":"Political Leadership, State-Civil Society Relations and the Search for Development Alternatives","container-title":"Civil Society and the Search for Development Alternatives in Cameroon","publisher":"CODESRIA","publisher-place":"Dakar","page":"191-205","event-place":"Dakar","author":[{"family":"Forje","given":"John W."}],"editor":[{"family":"Vubo","given":"Emmanuel Yenshu"}],"issued":{"date-parts":[["2008"]]}}}],"schema":"https://github.com/citation-style-language/schema/raw/master/csl-citation.json"} </w:instrText>
      </w:r>
      <w:r>
        <w:rPr>
          <w:szCs w:val="24"/>
        </w:rPr>
        <w:fldChar w:fldCharType="separate"/>
      </w:r>
      <w:r>
        <w:rPr>
          <w:szCs w:val="24"/>
        </w:rPr>
        <w:t>(Moyo 2009; Forje 2008</w:t>
      </w:r>
      <w:r w:rsidRPr="00836DDB">
        <w:rPr>
          <w:szCs w:val="24"/>
        </w:rPr>
        <w:t>)</w:t>
      </w:r>
      <w:r>
        <w:rPr>
          <w:szCs w:val="24"/>
        </w:rPr>
        <w:fldChar w:fldCharType="end"/>
      </w:r>
      <w:r w:rsidRPr="00836DDB">
        <w:rPr>
          <w:szCs w:val="24"/>
        </w:rPr>
        <w:t xml:space="preserve">. Some claim that the concept of civil society holds little use outside of Western contexts and explains the lack of organization in some societies </w:t>
      </w:r>
      <w:r>
        <w:rPr>
          <w:szCs w:val="24"/>
        </w:rPr>
        <w:fldChar w:fldCharType="begin"/>
      </w:r>
      <w:r>
        <w:rPr>
          <w:szCs w:val="24"/>
        </w:rPr>
        <w:instrText xml:space="preserve"> ADDIN ZOTERO_ITEM CSL_CITATION {"citationID":"lV42NtRT","properties":{"formattedCitation":"(Bayart 1986; Khilnani 2001; Obadare 2011; Hann 1996)","plainCitation":"(Bayart 1986; Khilnani 2001; Obadare 2011; Hann 1996)"},"citationItems":[{"id":749,"uris":["http://zotero.org/users/381007/items/C4AIQ2AU"],"uri":["http://zotero.org/users/381007/items/C4AIQ2AU"],"itemData":{"id":749,"type":"chapter","title":"Civil Society in Africa","container-title":"Political Domination in Africa","publisher":"Cambridge University Press","publisher-place":"Cambridge","page":"109-122","event-place":"Cambridge","abstract":"The absence of any organization principle for civil society explains the weakness of civil society in SSA, without a common cultural frame of reference between the dominant and dominantedand sometimes not even among the dominated it is difficult to overcome \"unitary politics\". THe absence of such share conceptual maps is the probem. However, there are some who remain outside politics (associations, etc.) who may provide a 'culture of accountability' among actors that could be an resource in the move toward democracy.","author":[{"family":"Bayart","given":"Jean-Francois"}],"editor":[{"family":"Chabal","given":"Patrick"}],"issued":{"date-parts":[["1986"]]}}},{"id":410,"uris":["http://zotero.org/users/381007/items/2H3ZMZKU"],"uri":["http://zotero.org/users/381007/items/2H3ZMZKU"],"itemData":{"id":410,"type":"chapter","title":"The Development of Civil Society","container-title":"Civil Society: History and Possibilities","publisher":"Cambridge University Press","publisher-place":"Cambridge","page":"11-32","event-place":"Cambridge","editor":[{"family":"Kaviraj","given":"Sudipta"},{"family":"Khilnani","given":"Sunil"}],"author":[{"family":"Khilnani","given":"Sunil"}],"issued":{"date-parts":[["2001"]]}}},{"id":499,"uris":["http://zotero.org/users/381007/items/4TDN7WIQ"],"uri":["http://zotero.org/users/381007/items/4TDN7WIQ"],"itemData":{"id":499,"type":"chapter","title":"Civil Society in Sub-Saharan Africa","container-title":"The Oxford Handbook of Civil Society","publisher":"Oxford University Press","publisher-place":"Oxford","page":"183-219","event-place":"Oxford","author":[{"family":"Obadare","given":"Ebenezer"}],"editor":[{"family":"Edwards","given":"Michael"}],"issued":{"date-parts":[["2011"]]}}},{"id":1025,"uris":["http://zotero.org/users/381007/items/JADRZTGQ"],"uri":["http://zotero.org/users/381007/items/JADRZTGQ"],"itemData":{"id":1025,"type":"chapter","title":"Introduction: Poltical Society and Civil Anthropology","container-title":"Civil Society: Challenging Western Models","publisher":"Routledge","publisher-place":"London","page":"1-26","event-place":"London","author":[{"family":"Hann","given":"Chris"}],"editor":[{"family":"Hann","given":"Chris"},{"family":"Dunn","given":""}],"issued":{"date-parts":[["1996"]]}}}],"schema":"https://github.com/citation-style-language/schema/raw/master/csl-citation.json"} </w:instrText>
      </w:r>
      <w:r>
        <w:rPr>
          <w:szCs w:val="24"/>
        </w:rPr>
        <w:fldChar w:fldCharType="separate"/>
      </w:r>
      <w:r w:rsidRPr="00836DDB">
        <w:rPr>
          <w:szCs w:val="24"/>
        </w:rPr>
        <w:t>(Bayart 1986; Khilnani 2001; Obadare 2011; Hann 1996)</w:t>
      </w:r>
      <w:r>
        <w:rPr>
          <w:szCs w:val="24"/>
        </w:rPr>
        <w:fldChar w:fldCharType="end"/>
      </w:r>
      <w:r w:rsidRPr="00836DDB">
        <w:rPr>
          <w:szCs w:val="24"/>
        </w:rPr>
        <w:t xml:space="preserve"> while others argue that there are a diversity of ways to define civil society, broadening its conceptual applicability </w:t>
      </w:r>
      <w:r>
        <w:rPr>
          <w:szCs w:val="24"/>
        </w:rPr>
        <w:fldChar w:fldCharType="begin"/>
      </w:r>
      <w:r>
        <w:rPr>
          <w:szCs w:val="24"/>
        </w:rPr>
        <w:instrText xml:space="preserve"> ADDIN ZOTERO_ITEM CSL_CITATION {"citationID":"uYwDxQqC","properties":{"formattedCitation":"(Lewis 2002)","plainCitation":"(Lewis 2002)"},"citationItems":[{"id":1545,"uris":["http://zotero.org/users/381007/items/XHT24MUC"],"uri":["http://zotero.org/users/381007/items/XHT24MUC"],"itemData":{"id":1545,"type":"article-journal","title":"Civil Society in African Contexts: Reflections on the 'usefulness' of a concept","container-title":"Development and Change","page":"569-586","volume":"33","issue":"4","author":[{"family":"Lewis","given":"David"}],"issued":{"date-parts":[["2002"]]}}}],"schema":"https://github.com/citation-style-language/schema/raw/master/csl-citation.json"} </w:instrText>
      </w:r>
      <w:r>
        <w:rPr>
          <w:szCs w:val="24"/>
        </w:rPr>
        <w:fldChar w:fldCharType="separate"/>
      </w:r>
      <w:r w:rsidRPr="00836DDB">
        <w:rPr>
          <w:szCs w:val="24"/>
        </w:rPr>
        <w:t>(Lewis 2002)</w:t>
      </w:r>
      <w:r>
        <w:rPr>
          <w:szCs w:val="24"/>
        </w:rPr>
        <w:fldChar w:fldCharType="end"/>
      </w:r>
      <w:r w:rsidRPr="00836DDB">
        <w:rPr>
          <w:szCs w:val="24"/>
        </w:rPr>
        <w:t xml:space="preserve">. In either case, governments and transnational policy regimes reflexively shifted toward </w:t>
      </w:r>
      <w:r w:rsidR="00653503">
        <w:rPr>
          <w:szCs w:val="24"/>
        </w:rPr>
        <w:t>TNGO</w:t>
      </w:r>
      <w:r w:rsidRPr="00836DDB">
        <w:rPr>
          <w:szCs w:val="24"/>
        </w:rPr>
        <w:t xml:space="preserve">s as vehicles of development following the failure of top-down development approaches in the 1960s and 1970s </w:t>
      </w:r>
      <w:r>
        <w:rPr>
          <w:szCs w:val="24"/>
        </w:rPr>
        <w:fldChar w:fldCharType="begin"/>
      </w:r>
      <w:r>
        <w:rPr>
          <w:szCs w:val="24"/>
        </w:rPr>
        <w:instrText xml:space="preserve"> ADDIN ZOTERO_ITEM CSL_CITATION {"citationID":"3sjLpi4L","properties":{"formattedCitation":"(Kamruzzaman 2013; Marcussen 1996; Salamon 1994)","plainCitation":"(Kamruzzaman 2013; Marcussen 1996; Salamon 1994)"},"citationItems":[{"id":1060,"uris":["http://zotero.org/users/381007/items/K9GC5G72"],"uri":["http://zotero.org/users/381007/items/K9GC5G72"],"itemData":{"id":1060,"type":"article-journal","title":"Civil society or 'comprador class', participation or parroting?","container-title":"Progress in Development Studies","page":"31-49","volume":"13","issue":"1","abstract":"Examines the interface between the ideal notions of civil society and participation within Bangladesh's Poverty Reduction Strategy Paper (PRSP) formulation process. Civil society has been likened to a renaissance and is considered the most likely solution to development problems. Failure of top-down develpment approach in the 60s through the 70s led to interest in the idea that ordinary citizens might have a part to play in the development process, shaping participation projects as the 'new paradigm' of development. Article presents observation from 36 semi-structured interviews with civil society representatives. Argues that in theory, participation can be \"manifested as the key for development', but in practice, participation can be an \"iron hand in a velvet glove\" turning into parroting and resembling expected and required views to validate the external framework. By mainstreaming participation an interest group within the civil soiety can emerge that has technical knowledge of producing development policy according to donor recipe with some dimensions of participation. Should civil society and participation be used as technologies of social control or as anti-hegemonic and anti-clientelistic forces to empower the marginalized?\n\nEvidence that civil society has become the de facto and the de jure representatives of particular segments of the population in the design, implementation, and monitorying of public policy (Gurza Lavalle et al 2005; Kamruzzaman 2013, 32)\n\nCivil society can serve as a watchdog by holding the government accountable to the people (Stiles 2002; 32)\n\nCivil society participation lauded as positive policy shift (Booth 2003)\n\nThe term civil society has been associated with the formation of a particular type of political authority, ex. an authority that seeks greater good and/or pursues common goals.. but it is an ambiguous concept that \"arises from its changing meaning over time.\" (32)\n\n17th and 18th century thinkers defined civil society in contrast to the state (Chandhoke 1995; Kaldor 2004). Civil society characterized by rule of law based on certain fundamental individual rights enforced by a political authority also subject to rule of law. There are differences in civil society's classical origin and its more contemporary usage; the notion of civil society is rooted in Western European and North American political thought and experience but in a developmnet discourse it represents a mix of associations existing outside of the state (and mostly in opposition), including the private sector (Bratton 1988, 1994; Makumbe 1998; Rothchild and Chazan 1988) - the most important factor in the growth of civil society is the formation of collective 'consciousness' that shapes perceptions and experiences of society (ex. when lg #s of the pop conceive of common needs - environmental), a premise based on the liberal/pluralist conception of society's relationship to the state as an anti-hegemonic force that aggregates opinions and preferences and articulates them. (32-3)\n\nSupport of civil society allows donor agencies to pursue a combination of goals; the hazard of an emergent civil society lies in the active and well-meaning efforts of international agencies and bilateral and aid donors to fabricate civil society. This is particularly true in Africa where a civil society is being manufactured by donor resources (Sobhan 2000) - not true, associational life democratic traditions strong in Africa...\n\nCivil society defined conventionally as a Western/Northern construct, its concept based on situated values and experiences. Depite this, some have extended the idea beyone the Western experience so that there is more than one way to think about and apply the concept. The notion that different sets of values and experiences can give rise to different conceptiosn and applications of 'civil society' means that it should not be seen as a static phnomenon; the marraige between participation and development programes is subjected to many roganizational demands (bureaucratic review and approal, budgets, reporting requirements) which impedes particiaption from being inclusive and bottom-up (41; Kapoor 2005).\n\nChanges in policy do not necessarily lead to changes in outcome. Policies can exist as intentions or symbols, but may never be put into practice. Many good policies are poorly implemented, reflecting a gap between policy-making and policy implementation. (42)\n\nParticipation should be recognized as a political issue rather than the \"romantic notion\" of inclusion and normalization process of external developmnet agendas. (42)","author":[{"family":"Kamruzzaman","given":"Palash"}],"issued":{"date-parts":[["2013"]]}}},{"id":1516,"uris":["http://zotero.org/users/381007/items/WPDQADQF"],"uri":["http://zotero.org/users/381007/items/WPDQADQF"],"itemData":{"id":1516,"type":"article-journal","title":"NGOs, the state and civil society","container-title":"Review of African Political Economy","page":"405-423","volume":"23","issue":"69","abstract":"This article examines the validity of some of the objectives of nongovernmental organisations (hereafter NGOs) that are based in the donor states and operate in the third world. The author has personal experience in the evaluation of several Scandinavian NGOs working in Africa and takes a somewhat sceptical position as to the capacity of such NGOs to ‘construct’ civil society in African states. Inevitably, such NGOs are part of a wider system of development assistance, and their field operations </w:instrText>
      </w:r>
      <w:r>
        <w:rPr>
          <w:rFonts w:ascii="Noteworthy Light" w:hAnsi="Noteworthy Light" w:cs="Noteworthy Light"/>
          <w:szCs w:val="24"/>
        </w:rPr>
        <w:instrText>‐</w:instrText>
      </w:r>
      <w:r>
        <w:rPr>
          <w:szCs w:val="24"/>
        </w:rPr>
        <w:instrText xml:space="preserve"> particularly if they are to participate in the development of long</w:instrText>
      </w:r>
      <w:r>
        <w:rPr>
          <w:rFonts w:ascii="Noteworthy Light" w:hAnsi="Noteworthy Light" w:cs="Noteworthy Light"/>
          <w:szCs w:val="24"/>
        </w:rPr>
        <w:instrText>‐</w:instrText>
      </w:r>
      <w:r>
        <w:rPr>
          <w:szCs w:val="24"/>
        </w:rPr>
        <w:instrText xml:space="preserve">term sustainable development </w:instrText>
      </w:r>
      <w:r>
        <w:rPr>
          <w:rFonts w:ascii="Noteworthy Light" w:hAnsi="Noteworthy Light" w:cs="Noteworthy Light"/>
          <w:szCs w:val="24"/>
        </w:rPr>
        <w:instrText>‐</w:instrText>
      </w:r>
      <w:r>
        <w:rPr>
          <w:szCs w:val="24"/>
        </w:rPr>
        <w:instrText xml:space="preserve"> will both inevitably reflect the nature of this system and have to work closely with existing state structures. On the other hand, in this new phase, the NGOs are outsiders which are, in an artificial way, entering into a process which ought to be much more genuinely and organically evolving out of the local context itself. How this is to be achieved is beyond the scope of this article.","author":[{"family":"Marcussen","given":"Henrik Secher"}],"issued":{"date-parts":[["1996"]]}}},{"id":3680,"uris":["http://zotero.org/users/381007/items/HH8GKT67"],"uri":["http://zotero.org/users/381007/items/HH8GKT67"],"itemData":{"id":3680,"type":"article-journal","title":"The Rise of the Nonprofit Sector","container-title":"Foreign Affairs","page":"109-109","volume":"73","author":[{"family":"Salamon","given":"Lester M."}],"issued":{"date-parts":[["1994"]]}}}],"schema":"https://github.com/citation-style-language/schema/raw/master/csl-citation.json"} </w:instrText>
      </w:r>
      <w:r>
        <w:rPr>
          <w:szCs w:val="24"/>
        </w:rPr>
        <w:fldChar w:fldCharType="separate"/>
      </w:r>
      <w:r w:rsidRPr="002A6B56">
        <w:t>(Kamruzzaman 2013; Marcussen 1996; Salamon 1994)</w:t>
      </w:r>
      <w:r>
        <w:rPr>
          <w:szCs w:val="24"/>
        </w:rPr>
        <w:fldChar w:fldCharType="end"/>
      </w:r>
      <w:r w:rsidRPr="00836DDB">
        <w:rPr>
          <w:szCs w:val="24"/>
        </w:rPr>
        <w:t xml:space="preserve">, which ultimately led to the growth of the nonprofit and </w:t>
      </w:r>
      <w:r w:rsidR="00653503">
        <w:rPr>
          <w:szCs w:val="24"/>
        </w:rPr>
        <w:t>TNGO</w:t>
      </w:r>
      <w:r w:rsidRPr="00836DDB">
        <w:rPr>
          <w:szCs w:val="24"/>
        </w:rPr>
        <w:t xml:space="preserve"> sectors. Pa</w:t>
      </w:r>
      <w:r w:rsidR="00A2134E">
        <w:rPr>
          <w:szCs w:val="24"/>
        </w:rPr>
        <w:t>rtnerships, particularly local-T</w:t>
      </w:r>
      <w:r w:rsidRPr="00836DDB">
        <w:rPr>
          <w:szCs w:val="24"/>
        </w:rPr>
        <w:t xml:space="preserve">NGO collaborations, are also the product of changing development models. These often come at the behest of donors seeking to build the capacity of local civil society and long-term sustainability, creating a nested principal-agent relationship in which </w:t>
      </w:r>
      <w:r w:rsidR="00653503">
        <w:rPr>
          <w:szCs w:val="24"/>
        </w:rPr>
        <w:t>TNGO</w:t>
      </w:r>
      <w:r w:rsidRPr="00836DDB">
        <w:rPr>
          <w:szCs w:val="24"/>
        </w:rPr>
        <w:t xml:space="preserve">s are faced with uncertain information from implementing partners and uncertain funding from donors </w:t>
      </w:r>
      <w:r>
        <w:rPr>
          <w:szCs w:val="24"/>
        </w:rPr>
        <w:fldChar w:fldCharType="begin"/>
      </w:r>
      <w:r>
        <w:rPr>
          <w:szCs w:val="24"/>
        </w:rPr>
        <w:instrText xml:space="preserve"> ADDIN ZOTERO_ITEM CSL_CITATION {"citationID":"eECbIN2U","properties":{"formattedCitation":"(Watkins, Swidler, and Hannan 2012)","plainCitation":"(Watkins, Swidler, and Hannan 2012)"},"citationItems":[{"id":840,"uris":["http://zotero.org/users/381007/items/EAPNI2SA"],"uri":["http://zotero.org/users/381007/items/EAPNI2SA"],"itemData":{"id":840,"type":"article-journal","title":"Outsourcing Social Transformation: Development NGOs as Organizations","container-title":"Annual Review of Sociology","page":"285-315","volume":"38","abstract":"Examines NGO chains and principal-agent challenges posed by donor demands and altruism from afar.  Finds that NGOs often have to use intermediaries in program implemenation and are faced with uncertainty regarding information and funding.  Finds that some types of NGOs are more likely to specialize (humanitarian relief) or the use of technology like social marketing vs. broder focus.  Uncertainty in funding and their environment shapes the work of NGOs and their organization.","author":[{"family":"Watkins","given":"Susan Cotts"},{"family":"Swidler","given":"Ann"},{"family":"Hannan","given":"Thomas"}],"issued":{"date-parts":[["2012"]]}}}],"schema":"https://github.com/citation-style-language/schema/raw/master/csl-citation.json"} </w:instrText>
      </w:r>
      <w:r>
        <w:rPr>
          <w:szCs w:val="24"/>
        </w:rPr>
        <w:fldChar w:fldCharType="separate"/>
      </w:r>
      <w:r w:rsidRPr="00836DDB">
        <w:rPr>
          <w:szCs w:val="24"/>
        </w:rPr>
        <w:t>(Watkins, Swidler, and Hannan 2012)</w:t>
      </w:r>
      <w:r>
        <w:rPr>
          <w:szCs w:val="24"/>
        </w:rPr>
        <w:fldChar w:fldCharType="end"/>
      </w:r>
      <w:r w:rsidRPr="00836DDB">
        <w:rPr>
          <w:szCs w:val="24"/>
        </w:rPr>
        <w:t xml:space="preserve">. Collaboration, and the location of other </w:t>
      </w:r>
      <w:r w:rsidR="00653503">
        <w:rPr>
          <w:szCs w:val="24"/>
        </w:rPr>
        <w:t>TNGO</w:t>
      </w:r>
      <w:r w:rsidRPr="00836DDB">
        <w:rPr>
          <w:szCs w:val="24"/>
        </w:rPr>
        <w:t xml:space="preserve">s, has been shown to influence location decisions specifically </w:t>
      </w:r>
      <w:r>
        <w:rPr>
          <w:szCs w:val="24"/>
        </w:rPr>
        <w:fldChar w:fldCharType="begin"/>
      </w:r>
      <w:r>
        <w:rPr>
          <w:szCs w:val="24"/>
        </w:rPr>
        <w:instrText xml:space="preserve"> ADDIN ZOTERO_ITEM CSL_CITATION {"citationID":"6B2SNOHI","properties":{"formattedCitation":"(Brass 2012b; Mitchell 2013; Fruttero and Gauri 2005)","plainCitation":"(Brass 2012b; Mitchell 2013; Fruttero and Gauri 2005)"},"citationItems":[{"id":949,"uris":["http://zotero.org/users/381007/items/HCQ4K4HC"],"uri":["http://zotero.org/users/381007/items/HCQ4K4HC"],"itemData":{"id":949,"type":"article-journal","title":"Why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community.","author":[{"family":"Fruttero","given":"Anna"},{"family":"Gauri","given":"Varun"}],"issued":{"date-parts":[["2005"]]}}}],"schema":"https://github.com/citation-style-language/schema/raw/master/csl-citation.json"} </w:instrText>
      </w:r>
      <w:r>
        <w:rPr>
          <w:szCs w:val="24"/>
        </w:rPr>
        <w:fldChar w:fldCharType="separate"/>
      </w:r>
      <w:r w:rsidRPr="00836DDB">
        <w:rPr>
          <w:szCs w:val="24"/>
        </w:rPr>
        <w:t>(Brass 2012b; Mitchell 2013; Fruttero and Gauri 2005)</w:t>
      </w:r>
      <w:r>
        <w:rPr>
          <w:szCs w:val="24"/>
        </w:rPr>
        <w:fldChar w:fldCharType="end"/>
      </w:r>
      <w:r w:rsidR="00653503">
        <w:rPr>
          <w:szCs w:val="24"/>
        </w:rPr>
        <w:t>. Critiques of a</w:t>
      </w:r>
      <w:r w:rsidRPr="00836DDB">
        <w:rPr>
          <w:szCs w:val="24"/>
        </w:rPr>
        <w:t xml:space="preserve"> </w:t>
      </w:r>
      <w:r w:rsidR="00653503">
        <w:rPr>
          <w:szCs w:val="24"/>
        </w:rPr>
        <w:t>T</w:t>
      </w:r>
      <w:r w:rsidRPr="00836DDB">
        <w:rPr>
          <w:szCs w:val="24"/>
        </w:rPr>
        <w:t xml:space="preserve">NGO-centric development strategy raise concerns about effectiveness, more specifically accountability to the wants of donors over beneficiaries due to resource dependency </w:t>
      </w:r>
      <w:r>
        <w:rPr>
          <w:szCs w:val="24"/>
        </w:rPr>
        <w:fldChar w:fldCharType="begin"/>
      </w:r>
      <w:r>
        <w:rPr>
          <w:szCs w:val="24"/>
        </w:rPr>
        <w:instrText xml:space="preserve"> ADDIN ZOTERO_ITEM CSL_CITATION {"citationID":"Qoq66joO","properties":{"formattedCitation":"(Edwards and Hulme 1996a; AbouAssi 2012)","plainCitation":"(Edwards and Hulme 1996a; AbouAssi 2012)"},"citationItems":[{"id":3159,"uris":["http://zotero.org/users/381007/items/E8SBU3U8"],"uri":["http://zotero.org/users/381007/items/E8SBU3U8"],"itemData":{"id":3159,"type":"chapter","title":"Beyond the Magic Bullet?  Lessons and Conclusions","container-title":"Beyond the Magic Bullet: NGO Performance and Accountability in the Post-Cold War World","publisher":"Kumarian Press","page":"254-266","abstract":"NGOs will always remain accountable to donors and supporters, as well as to partenrs, and to some extent their beneficiaries.  Official aid agencies may move twoard less linear approaches to development, but will have to satisfy demand for results from politicians.  Many NGOs choose to work across national boudnaries, sectors of work,s ervice delivery, and other approaches to development, they don't see those choices as mutually exclusive.  These are management issues rather than issues of principle.. poss to remain operationally accountable to govs in terms of use of funds yet remain accountable to low income communities in which the NGO works as well.","author":[{"family":"Edwards","given":"Michael"},{"family":"Hulme","given":"David"}],"editor":[{"family":"Edwards","given":"Michael"},{"family":"Hulme","given":"David"}],"issued":{"date-parts":[["1996"]]}}},{"id":436,"uris":["http://zotero.org/users/381007/items/34QQGVBT"],"uri":["http://zotero.org/users/381007/items/34QQGVBT"],"itemData":{"id":436,"type":"article-journal","title":"Mercurial Donors: NGO Response to Shifting Funding Priorities","container-title":"Nonprofit and Voluntary Sector Quarterly","page":"584-602","volume":"42","issue":"3","abstract":"The NGO–donor relationship is especially volatile. NGOs in developing countries heavily rely on foreign donor funding and donor dominance is evident. This article explores the relationship at times when donors revise funding priorities and partner NGOs try to adapt. The article draws on qualitative research of multiple observations to study the decisions of four NGOs in response to several shifts in donor funding. The analysis reveals variation in NGO responses to such shifts: suspend the relationship, reach common ground, automatically execute the donor’s interests, and voluntarily and deliberately adapt to the situation. Building on Hirschman’s typology, four modes of NGOs’ response are identified: exit, voice, loyalty, and, a newly proposed mode, adjustment. Additional interpretation of NGOs’ responses and possible implications for NGO management are discussed.","author":[{"family":"AbouAssi","given":"Khaldoun"}],"issued":{"date-parts":[["2012"]]}}}],"schema":"https://github.com/citation-style-language/schema/raw/master/csl-citation.json"} </w:instrText>
      </w:r>
      <w:r>
        <w:rPr>
          <w:szCs w:val="24"/>
        </w:rPr>
        <w:fldChar w:fldCharType="separate"/>
      </w:r>
      <w:r w:rsidRPr="004671BA">
        <w:t>(Edwards and Hulme 1996a; AbouAssi 2012)</w:t>
      </w:r>
      <w:r>
        <w:rPr>
          <w:szCs w:val="24"/>
        </w:rPr>
        <w:fldChar w:fldCharType="end"/>
      </w:r>
      <w:r w:rsidRPr="00836DDB">
        <w:rPr>
          <w:szCs w:val="24"/>
        </w:rPr>
        <w:t xml:space="preserve">. The rise of transnational regimes since the Cold War also reflects to the geopolitical changes afoot and </w:t>
      </w:r>
      <w:r w:rsidR="00653503">
        <w:rPr>
          <w:szCs w:val="24"/>
        </w:rPr>
        <w:t>TNGO</w:t>
      </w:r>
      <w:r w:rsidRPr="00836DDB">
        <w:rPr>
          <w:szCs w:val="24"/>
        </w:rPr>
        <w:t xml:space="preserve">s as part of a broader development system while the variation in civil society across states is testimony to the influence the political and legal environments have on </w:t>
      </w:r>
      <w:r w:rsidR="00653503">
        <w:rPr>
          <w:szCs w:val="24"/>
        </w:rPr>
        <w:t>TNGO</w:t>
      </w:r>
      <w:r w:rsidRPr="00836DDB">
        <w:rPr>
          <w:szCs w:val="24"/>
        </w:rPr>
        <w:t xml:space="preserve"> operations. </w:t>
      </w:r>
    </w:p>
    <w:p w:rsidR="00E60EC9" w:rsidRDefault="00E60EC9" w:rsidP="009944D4">
      <w:pPr>
        <w:spacing w:line="480" w:lineRule="auto"/>
        <w:ind w:firstLine="720"/>
        <w:rPr>
          <w:szCs w:val="24"/>
        </w:rPr>
      </w:pPr>
    </w:p>
    <w:p w:rsidR="009944D4" w:rsidRPr="00141859" w:rsidRDefault="00E60EC9" w:rsidP="00E60EC9">
      <w:pPr>
        <w:spacing w:line="480" w:lineRule="auto"/>
        <w:ind w:firstLine="720"/>
        <w:jc w:val="center"/>
        <w:rPr>
          <w:i/>
          <w:szCs w:val="24"/>
        </w:rPr>
      </w:pPr>
      <w:r w:rsidRPr="00141859">
        <w:rPr>
          <w:i/>
          <w:szCs w:val="24"/>
        </w:rPr>
        <w:t xml:space="preserve">Historical Contexts </w:t>
      </w:r>
      <w:r w:rsidR="00141859">
        <w:rPr>
          <w:i/>
          <w:szCs w:val="24"/>
        </w:rPr>
        <w:t>for</w:t>
      </w:r>
      <w:r w:rsidRPr="00141859">
        <w:rPr>
          <w:i/>
          <w:szCs w:val="24"/>
        </w:rPr>
        <w:t xml:space="preserve"> TNGOs</w:t>
      </w:r>
      <w:r w:rsidR="00141859">
        <w:rPr>
          <w:i/>
          <w:szCs w:val="24"/>
        </w:rPr>
        <w:t>: Colonial Legacies</w:t>
      </w:r>
    </w:p>
    <w:p w:rsidR="009944D4" w:rsidRPr="00836DDB" w:rsidRDefault="009944D4" w:rsidP="009944D4">
      <w:pPr>
        <w:spacing w:line="480" w:lineRule="auto"/>
        <w:ind w:firstLine="720"/>
        <w:rPr>
          <w:szCs w:val="24"/>
        </w:rPr>
      </w:pPr>
      <w:r w:rsidRPr="00836DDB">
        <w:rPr>
          <w:szCs w:val="24"/>
        </w:rPr>
        <w:t xml:space="preserve">The second grouping examines colonial systems of governance and the influence these have on regimes and state institutions today </w:t>
      </w:r>
      <w:r>
        <w:rPr>
          <w:szCs w:val="24"/>
        </w:rPr>
        <w:fldChar w:fldCharType="begin"/>
      </w:r>
      <w:r>
        <w:rPr>
          <w:szCs w:val="24"/>
        </w:rPr>
        <w:instrText xml:space="preserve"> ADDIN ZOTERO_ITEM CSL_CITATION {"citationID":"ItV8Xgz5","properties":{"formattedCitation":"(Boone 2003; Carbonnier 2013; Bates 1981; Jeffery Herbst 1990)","plainCitation":"(Boone 2003; Carbonnier 2013; Bates 1981; Jeffery Herbst 1990)"},"citationItems":[{"id":1478,"uris":["http://zotero.org/users/381007/items/VUSFPRSI"],"uri":["http://zotero.org/users/381007/items/VUSFPRSI"],"itemData":{"id":1478,"type":"book","title":"The Political Topographies of the African State: Territorial Authority and Institutional Choice","publisher":"Cambridge University Press","publisher-place":"Cambridge","event-place":"Cambridge","abstract":"Central rulers' power, ambitions, and strategies of control vary across subregions.  Unevenness reflects state-building logic shaped by differences in the political econom of the regions (relations of property, production, and authority) that determine the political clout and economic needs of regional elites.  Center-provincial bargaining is what drives politics, not unilaeral choices of the cneter, and ultimatley determines how institutions distribute power (administrative occupation = direct rule, or indirect rule through local elites/hierarchies/institutions).  Where devolution occurs, we most often find decentralized despotism and weakened opportunity for democrace due to the demobilization of the local level.  Choices made about how to govern ultimately depend upon the hierarchies in place and the risk associated by the center with these hierarchies (their willingness to exchange rule for land, keeping subjects in line, etc.).  Peaceful decolonization is evidence of colonial powers acknowledgement of failure to find an effective framework to govern.  Post-colonial rulers, however, are able to engage in path switching if goals change at center level, to remedy mistakes (or make them), or if local social structure (ex. hierarchies, elites v sufi brotherhoods) changes.","author":[{"family":"Boone","given":"Catherine"}],"issued":{"date-parts":[["2003"]]}}},{"id":3142,"uris":["http://zotero.org/users/381007/items/9U8FGIMN"],"uri":["http://zotero.org/users/381007/items/9U8FGIMN"],"itemData":{"id":3142,"type":"chapter","title":"Religion and Development: Reconsidering Secularism as the Norm","container-title":"International Development Policy: Religion and Development","publisher":"Palgrave Macmillan","publisher-place":"New York","page":"1-5","event-place":"New York","author":[{"family":"Carbonnier","given":"Gilles"}],"editor":[{"family":"Carbonnier","given":"Gilles"}],"issued":{"date-parts":[["2013"]]}}},{"id":1305,"uris":["http://zotero.org/users/381007/items/SNS927NF"],"uri":["http://zotero.org/users/381007/items/SNS927NF"],"itemData":{"id":1305,"type":"book","title":"Markets and States in Tropical Africa: The Political Basis of Agricultural Policies","publisher":"University of California Press","publisher-place":"Berkeley","event-place":"Berkeley","abstract":"African economies are based on agriculture, but as developing countries governments seek to move toward manufacturing. To facilitate this, governments extract resources from the agricultural sector through taxes and price depression and channel revenue to industry. To counteract falls in agricultural production, governments subsidize agricultural inputs (machinery, fertilizers, etc.). Governments repress leaders of collective interests by giving side payments to influential members in rural areas and using resources from market intervention to build political organizations to promote their policies.","author":[{"family":"Bates","given":"Robert H."}],"issued":{"date-parts":[["1981"]]}}},{"id":977,"uris":["http://zotero.org/users/381007/items/I7SRA6VG"],"uri":["http://zotero.org/users/381007/items/I7SRA6VG"],"itemData":{"id":977,"type":"article-journal","title":"The Structural Adjustment of Politics in Africa","container-title":"World Development","page":"949-958","volume":"18","issue":"7","abstract":"It has long been recognized that the structural adjustment programs currently being\nproposed by the World Bank and the International Monetary Fund in Africa have important\npolitical consequences. However, there has been almost no attention devoted to what structural\nadjustment, ifimplemented, means for the way that politics is actually carried out in African nations.\nThe failure to examine the long-term consequences of economic reform for politics is particularly\nsurprising given that the major instruments of structural adjustment - public sector reform,\ndevaluation. elimination ofmarketing boards - threaten to change not only the constituencies that\nAfrican leaders look to for support but the way in which leaders relate to their supporters in the\ncountries south of the Sahara. The paper examines how structural adjustment, if actually\nimplemented, would affect politics in African countries. The paper finds that structural adjustment\nmakes the political climate much riskier for leaders while weakening the central apparatus of the\nstate on which rulers have long relied to stay. in _po wer. The implications of the analysis for donors\nare also discussed.","author":[{"family":"Herbst","given":"Jeffery"}],"issued":{"date-parts":[["1990"]]}}}],"schema":"https://github.com/citation-style-language/schema/raw/master/csl-citation.json"} </w:instrText>
      </w:r>
      <w:r>
        <w:rPr>
          <w:szCs w:val="24"/>
        </w:rPr>
        <w:fldChar w:fldCharType="separate"/>
      </w:r>
      <w:r w:rsidRPr="00836DDB">
        <w:rPr>
          <w:szCs w:val="24"/>
        </w:rPr>
        <w:t>(Boone 2003; Carbonnier 2013; Bates 1981; Herbst 1990)</w:t>
      </w:r>
      <w:r>
        <w:rPr>
          <w:szCs w:val="24"/>
        </w:rPr>
        <w:fldChar w:fldCharType="end"/>
      </w:r>
      <w:r w:rsidRPr="00836DDB">
        <w:rPr>
          <w:szCs w:val="24"/>
        </w:rPr>
        <w:t xml:space="preserve">. In addition to the impact of the institutions themselves, scholars are also interested in the outcomes produced by the institutions. </w:t>
      </w:r>
      <w:r>
        <w:rPr>
          <w:szCs w:val="24"/>
        </w:rPr>
        <w:fldChar w:fldCharType="begin"/>
      </w:r>
      <w:r>
        <w:rPr>
          <w:szCs w:val="24"/>
        </w:rPr>
        <w:instrText xml:space="preserve"> ADDIN ZOTERO_ITEM CSL_CITATION {"citationID":"XEec4uiS","properties":{"formattedCitation":"(Van de Walle 2001)","plainCitation":"(Van de Walle 2001)"},"citationItems":[{"id":1313,"uris":["http://zotero.org/users/381007/items/SVFFZZ66"],"uri":["http://zotero.org/users/381007/items/SVFFZZ66"],"itemData":{"id":1313,"type":"chapter","title":"Decision Making in Post Colonial Africa","container-title":"African Economies and the Politics of Permanent Crisis: 1979-1999","publisher":"Cambridge University Press","publisher-place":"Cambridge","page":"113-151","event-place":"Cambridge","author":[{"family":"Van de Walle","given":"Nicolas"}],"issued":{"date-parts":[["2001"]]}}}],"schema":"https://github.com/citation-style-language/schema/raw/master/csl-citation.json"} </w:instrText>
      </w:r>
      <w:r>
        <w:rPr>
          <w:szCs w:val="24"/>
        </w:rPr>
        <w:fldChar w:fldCharType="separate"/>
      </w:r>
      <w:r w:rsidRPr="00836DDB">
        <w:rPr>
          <w:szCs w:val="24"/>
        </w:rPr>
        <w:t>Van de Walle (2001)</w:t>
      </w:r>
      <w:r>
        <w:rPr>
          <w:szCs w:val="24"/>
        </w:rPr>
        <w:fldChar w:fldCharType="end"/>
      </w:r>
      <w:r w:rsidRPr="00836DDB">
        <w:rPr>
          <w:szCs w:val="24"/>
        </w:rPr>
        <w:t xml:space="preserve"> builds on previous institutionalist work noting that many states have experienced an institutional regression. Consequently, he says, this means that in the African case states possessed more capacity at independence than they do today. Moving forward, </w:t>
      </w:r>
      <w:r>
        <w:rPr>
          <w:szCs w:val="24"/>
        </w:rPr>
        <w:fldChar w:fldCharType="begin"/>
      </w:r>
      <w:r>
        <w:rPr>
          <w:szCs w:val="24"/>
        </w:rPr>
        <w:instrText xml:space="preserve"> ADDIN ZOTERO_ITEM CSL_CITATION {"citationID":"URyfDro1","properties":{"formattedCitation":"(Olzak 2011)","plainCitation":"(Olzak 2011)"},"citationItems":[{"id":1055,"uris":["http://zotero.org/users/381007/items/K3K2QP8U"],"uri":["http://zotero.org/users/381007/items/K3K2QP8U"],"itemData":{"id":1055,"type":"article-journal","title":"Does Globalization Breed Ethnic Discontent?","container-title":"Journal of Conflict Resolution","page":"3-32","volume":"55","issue":"3","author":[{"family":"Olzak","given":"Susan"}],"issued":{"date-parts":[["2011"]]}}}],"schema":"https://github.com/citation-style-language/schema/raw/master/csl-citation.json"} </w:instrText>
      </w:r>
      <w:r>
        <w:rPr>
          <w:szCs w:val="24"/>
        </w:rPr>
        <w:fldChar w:fldCharType="separate"/>
      </w:r>
      <w:r w:rsidRPr="00836DDB">
        <w:rPr>
          <w:szCs w:val="24"/>
        </w:rPr>
        <w:t>Olzak (2011)</w:t>
      </w:r>
      <w:r>
        <w:rPr>
          <w:szCs w:val="24"/>
        </w:rPr>
        <w:fldChar w:fldCharType="end"/>
      </w:r>
      <w:r w:rsidRPr="00836DDB">
        <w:rPr>
          <w:szCs w:val="24"/>
        </w:rPr>
        <w:t xml:space="preserve"> examines the more contemporary phenomenon of globalization. While </w:t>
      </w:r>
      <w:r w:rsidRPr="002A6B56">
        <w:rPr>
          <w:szCs w:val="24"/>
        </w:rPr>
        <w:t>Bloodgood and Tremblay-Boire 2014 and Dupuy et al. 2015</w:t>
      </w:r>
      <w:r w:rsidRPr="00836DDB">
        <w:rPr>
          <w:szCs w:val="24"/>
        </w:rPr>
        <w:t xml:space="preserve"> see globalization as a positive force that pressures regimes to create space for </w:t>
      </w:r>
      <w:r w:rsidR="00653503">
        <w:rPr>
          <w:szCs w:val="24"/>
        </w:rPr>
        <w:t>TNGO</w:t>
      </w:r>
      <w:r w:rsidRPr="00836DDB">
        <w:rPr>
          <w:szCs w:val="24"/>
        </w:rPr>
        <w:t xml:space="preserve">s (albeit, not always through liberalization), she argues that globalization affects ethnic conflicts differently than other types of armed conflicts. In many post-colonial states, ethnicity becomes an extremely salient political issue due to colonial borders and privileges granted to certain ethnic groups over others by the colonial administration. Many have noted divergent democratic and economic paths between former French and former British colonies </w:t>
      </w:r>
      <w:r>
        <w:rPr>
          <w:szCs w:val="24"/>
        </w:rPr>
        <w:fldChar w:fldCharType="begin"/>
      </w:r>
      <w:r>
        <w:rPr>
          <w:szCs w:val="24"/>
        </w:rPr>
        <w:instrText xml:space="preserve"> ADDIN ZOTERO_ITEM CSL_CITATION {"citationID":"uB2lmTNA","properties":{"formattedCitation":"(Boone 2003; Hyden 2000; Blanton, Robert, T. David Mason, and Brian Athow 2001)","plainCitation":"(Boone 2003; Hyden 2000; Blanton, Robert, T. David Mason, and Brian Athow 2001)"},"citationItems":[{"id":1478,"uris":["http://zotero.org/users/381007/items/VUSFPRSI"],"uri":["http://zotero.org/users/381007/items/VUSFPRSI"],"itemData":{"id":1478,"type":"book","title":"The Political Topographies of the African State: Territorial Authority and Institutional Choice","publisher":"Cambridge University Press","publisher-place":"Cambridge","event-place":"Cambridge","abstract":"Central rulers' power, ambitions, and strategies of control vary across subregions.  Unevenness reflects state-building logic shaped by differences in the political econom of the regions (relations of property, production, and authority) that determine the political clout and economic needs of regional elites.  Center-provincial bargaining is what drives politics, not unilaeral choices of the cneter, and ultimatley determines how institutions distribute power (administrative occupation = direct rule, or indirect rule through local elites/hierarchies/institutions).  Where devolution occurs, we most often find decentralized despotism and weakened opportunity for democrace due to the demobilization of the local level.  Choices made about how to govern ultimately depend upon the hierarchies in place and the risk associated by the center with these hierarchies (their willingness to exchange rule for land, keeping subjects in line, etc.).  Peaceful decolonization is evidence of colonial powers acknowledgement of failure to find an effective framework to govern.  Post-colonial rulers, however, are able to engage in path switching if goals change at center level, to remedy mistakes (or make them), or if local social structure (ex. hierarchies, elites v sufi brotherhoods) changes.","author":[{"family":"Boone","given":"Catherine"}],"issued":{"date-parts":[["2003"]]}}},{"id":517,"uris":["http://zotero.org/users/381007/items/5BU3PCIX"],"uri":["http://zotero.org/users/381007/items/5BU3PCIX"],"itemData":{"id":517,"type":"chapter","title":"The Governance Challenge in Africa","container-title":"African Perspectives on Governance","publisher":"Africa World Press, Inc.","publisher-place":"Trenton","page":"1-32","event-place":"Trenton","author":[{"family":"Hyden","given":"Goran"}],"editor":[{"family":"Hyden","given":"Goran"},{"family":"Okoth-Ogendo","given":"Hastings W.O."},{"family":"Olowu","given":"Bamidele"}],"issued":{"date-parts":[["2000"]]}}},{"id":409,"uris":["http://zotero.org/users/381007/items/2GT87X5D"],"uri":["http://zotero.org/users/381007/items/2GT87X5D"],"itemData":{"id":409,"type":"article-journal","title":"Colonial Style and Post-Colonial Ethnic Conflict in Africa","container-title":"Journal of Peace Research","page":"473-491","volume":"38","issue":"4","author":[{"family":"Blanton, Robert","given":""},{"family":"T. David Mason","given":""},{"family":"Brian Athow","given":""}],"issued":{"date-parts":[["2001"]]}}}],"schema":"https://github.com/citation-style-language/schema/raw/master/csl-citation.json"} </w:instrText>
      </w:r>
      <w:r>
        <w:rPr>
          <w:szCs w:val="24"/>
        </w:rPr>
        <w:fldChar w:fldCharType="separate"/>
      </w:r>
      <w:r w:rsidRPr="00836DDB">
        <w:rPr>
          <w:szCs w:val="24"/>
        </w:rPr>
        <w:t>(B</w:t>
      </w:r>
      <w:r>
        <w:rPr>
          <w:szCs w:val="24"/>
        </w:rPr>
        <w:t xml:space="preserve">oone 2003; Hyden 2000; Blanton, </w:t>
      </w:r>
      <w:r w:rsidRPr="00836DDB">
        <w:rPr>
          <w:szCs w:val="24"/>
        </w:rPr>
        <w:t>Mason, and Athow 2001)</w:t>
      </w:r>
      <w:r>
        <w:rPr>
          <w:szCs w:val="24"/>
        </w:rPr>
        <w:fldChar w:fldCharType="end"/>
      </w:r>
      <w:r w:rsidRPr="00836DDB">
        <w:rPr>
          <w:szCs w:val="24"/>
        </w:rPr>
        <w:t xml:space="preserve">, but ethnicity emerges as a common theme, especially in sub-Saharan Africa. Olzak (2007) finds that cultural and economic globalization increases the number of fatalities in ethnic conflicts, thereby exacerbating ethnic competition. More diverse societies, however, experience fewer fatalities. This is contrary to much of the research on ethnic fractionalization </w:t>
      </w:r>
      <w:r>
        <w:rPr>
          <w:szCs w:val="24"/>
        </w:rPr>
        <w:fldChar w:fldCharType="begin"/>
      </w:r>
      <w:r>
        <w:rPr>
          <w:szCs w:val="24"/>
        </w:rPr>
        <w:instrText xml:space="preserve"> ADDIN ZOTERO_ITEM CSL_CITATION {"citationID":"totbplrq","properties":{"formattedCitation":"(Fearon and Laitin 1996; Fearon, James D. and David D. Laitin 2003)","plainCitation":"(Fearon and Laitin 1996; Fearon, James D. and David D. Laitin 2003)"},"citationItems":[{"id":190,"uris":["http://zotero.org/groups/194890/items/PRJ92IRV"],"uri":["http://zotero.org/groups/194890/items/PRJ92IRV"],"itemData":{"id":190,"type":"article-journal","title":"Explaining Interethnic Cooperation","container-title":"The American Political Science Review","page":"715-735","volume":"90","issue":"4","author":[{"family":"Fearon","given":"James D."},{"family":"Laitin","given":"David D."}],"issued":{"date-parts":[["1996"]]}}},{"id":966,"uris":["http://zotero.org/users/381007/items/HUXFFX6T"],"uri":["http://zotero.org/users/381007/items/HUXFFX6T"],"itemData":{"id":966,"type":"article-journal","title":"Ethnicity, Insurgency, and Civil War","container-title":"The American Political Science Review","page":"75-90","volume":"97","issue":"1","author":[{"family":"Fearon, James D.","given":""},{"family":"David D. Laitin","given":""}],"issued":{"date-parts":[["2003",2]]},"accessed":{"date-parts":[["2011",4,3]]}}}],"schema":"https://github.com/citation-style-language/schema/raw/master/csl-citation.json"} </w:instrText>
      </w:r>
      <w:r>
        <w:rPr>
          <w:szCs w:val="24"/>
        </w:rPr>
        <w:fldChar w:fldCharType="separate"/>
      </w:r>
      <w:r w:rsidRPr="00836DDB">
        <w:rPr>
          <w:szCs w:val="24"/>
        </w:rPr>
        <w:t>(Fearon and Laitin 1996; Fearon and Laitin 2003)</w:t>
      </w:r>
      <w:r>
        <w:rPr>
          <w:szCs w:val="24"/>
        </w:rPr>
        <w:fldChar w:fldCharType="end"/>
      </w:r>
      <w:r w:rsidRPr="00836DDB">
        <w:rPr>
          <w:szCs w:val="24"/>
        </w:rPr>
        <w:t xml:space="preserve">, but may support the work of </w:t>
      </w:r>
      <w:r>
        <w:rPr>
          <w:szCs w:val="24"/>
        </w:rPr>
        <w:fldChar w:fldCharType="begin"/>
      </w:r>
      <w:r>
        <w:rPr>
          <w:szCs w:val="24"/>
        </w:rPr>
        <w:instrText xml:space="preserve"> ADDIN ZOTERO_ITEM CSL_CITATION {"citationID":"Dubu8VsM","properties":{"formattedCitation":"(Varshney, Ashutosh 2001)","plainCitation":"(Varshney, Ashutosh 2001)"},"citationItems":[{"id":518,"uris":["http://zotero.org/users/381007/items/5D7GF89V"],"uri":["http://zotero.org/users/381007/items/5D7GF89V"],"itemData":{"id":518,"type":"article-journal","title":"Ethnic Conflict and Civil Society: India and Beyond","container-title":"World Politics","page":"362-398","volume":"53","issue":"3","abstract":"2 arguments:\n\n    * Interethnic and intraethnic networks of civic engagement play very different roles in ethnic conflict.  Because they build bridges and manage tensions, interethnic networks are agents of peace, but if communities are org'd along intraethnic lines and interconnections w/ other communities are weak or nonexistent, then ethnic violence is likely.\n    * Civic networks, intra and interethnic, can also be broken down into two other types: organized and quotidian.  This distinction is based on whether civic interaction is formal or not (associational forms of engagement and everyday forms of engagement).  Business associations, professional orgs, reading clubs, NGOs, sports, etc. are associational.  Everday = routine interactions (363)","author":[{"family":"Varshney, Ashutosh","given":""}],"issued":{"date-parts":[["2001",4]]},"accessed":{"date-parts":[["2011",3,13]]}}}],"schema":"https://github.com/citation-style-language/schema/raw/master/csl-citation.json"} </w:instrText>
      </w:r>
      <w:r>
        <w:rPr>
          <w:szCs w:val="24"/>
        </w:rPr>
        <w:fldChar w:fldCharType="separate"/>
      </w:r>
      <w:r w:rsidRPr="00836DDB">
        <w:rPr>
          <w:szCs w:val="24"/>
        </w:rPr>
        <w:t>Varshney (2001)</w:t>
      </w:r>
      <w:r>
        <w:rPr>
          <w:szCs w:val="24"/>
        </w:rPr>
        <w:fldChar w:fldCharType="end"/>
      </w:r>
      <w:r w:rsidRPr="00836DDB">
        <w:rPr>
          <w:szCs w:val="24"/>
        </w:rPr>
        <w:t xml:space="preserve">. Varshney, also interested in fractionalization, uses civil society in India to examine ethnic conflict.  Among his findings, the types of interactions between citizens and especially civil society play a role in conflict. Instances where interethnic networks are characterized by interaction through civic associations fare better in terms of levels of democracy and conflict than those in which interactions are limited to routine interactions such as shopping </w:t>
      </w:r>
      <w:r>
        <w:rPr>
          <w:szCs w:val="24"/>
        </w:rPr>
        <w:fldChar w:fldCharType="begin"/>
      </w:r>
      <w:r>
        <w:rPr>
          <w:szCs w:val="24"/>
        </w:rPr>
        <w:instrText xml:space="preserve"> ADDIN ZOTERO_ITEM CSL_CITATION {"citationID":"x6ZB0vsC","properties":{"formattedCitation":"(Varshney, Ashutosh 2001; Lussier and Fish 2012)","plainCitation":"(Varshney, Ashutosh 2001; Lussier and Fish 2012)"},"citationItems":[{"id":518,"uris":["http://zotero.org/users/381007/items/5D7GF89V"],"uri":["http://zotero.org/users/381007/items/5D7GF89V"],"itemData":{"id":518,"type":"article-journal","title":"Ethnic Conflict and Civil Society: India and Beyond","container-title":"World Politics","page":"362-398","volume":"53","issue":"3","abstract":"2 arguments:\n\n    * Interethnic and intraethnic networks of civic engagement play very different roles in ethnic conflict.  Because they build bridges and manage tensions, interethnic networks are agents of peace, but if communities are org'd along intraethnic lines and interconnections w/ other communities are weak or nonexistent, then ethnic violence is likely.\n    * Civic networks, intra and interethnic, can also be broken down into two other types: organized and quotidian.  This distinction is based on whether civic interaction is formal or not (associational forms of engagement and everyday forms of engagement).  Business associations, professional orgs, reading clubs, NGOs, sports, etc. are associational.  Everday = routine interactions (363)","author":[{"family":"Varshney, Ashutosh","given":""}],"issued":{"date-parts":[["2001",4]]},"accessed":{"date-parts":[["2011",3,13]]}}},{"id":411,"uris":["http://zotero.org/users/381007/items/2H6IC7IW"],"uri":["http://zotero.org/users/381007/items/2H6IC7IW"],"itemData":{"id":411,"type":"article-journal","title":"Indonesia: The Benefits of Civic Engagement","author":[{"family":"Lussier","given":"Danielle N."},{"family":"Fish","given":"M. Steven"}],"issued":{"date-parts":[["2012"]]}}}],"schema":"https://github.com/citation-style-language/schema/raw/master/csl-citation.json"} </w:instrText>
      </w:r>
      <w:r>
        <w:rPr>
          <w:szCs w:val="24"/>
        </w:rPr>
        <w:fldChar w:fldCharType="separate"/>
      </w:r>
      <w:r w:rsidRPr="00836DDB">
        <w:rPr>
          <w:szCs w:val="24"/>
        </w:rPr>
        <w:t>(Varshney 2001; Lussier and Fish 2012)</w:t>
      </w:r>
      <w:r>
        <w:rPr>
          <w:szCs w:val="24"/>
        </w:rPr>
        <w:fldChar w:fldCharType="end"/>
      </w:r>
      <w:r w:rsidRPr="00836DDB">
        <w:rPr>
          <w:szCs w:val="24"/>
        </w:rPr>
        <w:t xml:space="preserve">. Like Olzak, others also note the influence globalization has on ethnic identities. In </w:t>
      </w:r>
      <w:r w:rsidRPr="00836DDB">
        <w:rPr>
          <w:szCs w:val="24"/>
          <w:u w:val="single"/>
        </w:rPr>
        <w:t>Ethnicity Inc.</w:t>
      </w:r>
      <w:r w:rsidRPr="00836DDB">
        <w:rPr>
          <w:szCs w:val="24"/>
        </w:rPr>
        <w:t xml:space="preserve"> </w:t>
      </w:r>
      <w:r>
        <w:rPr>
          <w:szCs w:val="24"/>
        </w:rPr>
        <w:fldChar w:fldCharType="begin"/>
      </w:r>
      <w:r>
        <w:rPr>
          <w:szCs w:val="24"/>
        </w:rPr>
        <w:instrText xml:space="preserve"> ADDIN ZOTERO_ITEM CSL_CITATION {"citationID":"UILTj2QL","properties":{"formattedCitation":"(Comaroff, John L. and Jean Comaroff 2009)","plainCitation":"(Comaroff, John L. and Jean Comaroff 2009)"},"citationItems":[{"id":1380,"uris":["http://zotero.org/users/381007/items/TSIDBZ69"],"uri":["http://zotero.org/users/381007/items/TSIDBZ69"],"itemData":{"id":1380,"type":"book","title":"Ethnicity, Inc.","publisher":"University of Chicago Press","publisher-place":"Chicago","event-place":"Chicago","author":[{"family":"Comaroff, John L.","given":""},{"family":"Jean Comaroff","given":""}],"issued":{"date-parts":[["2009"]]}}}],"schema":"https://github.com/citation-style-language/schema/raw/master/csl-citation.json"} </w:instrText>
      </w:r>
      <w:r>
        <w:rPr>
          <w:szCs w:val="24"/>
        </w:rPr>
        <w:fldChar w:fldCharType="separate"/>
      </w:r>
      <w:r w:rsidRPr="00836DDB">
        <w:rPr>
          <w:szCs w:val="24"/>
        </w:rPr>
        <w:t>Comaroff and Comaroff (2009)</w:t>
      </w:r>
      <w:r>
        <w:rPr>
          <w:szCs w:val="24"/>
        </w:rPr>
        <w:fldChar w:fldCharType="end"/>
      </w:r>
      <w:r w:rsidRPr="00836DDB">
        <w:rPr>
          <w:szCs w:val="24"/>
        </w:rPr>
        <w:t xml:space="preserve"> observe that globalization can create stronger ethnic identities. </w:t>
      </w:r>
    </w:p>
    <w:p w:rsidR="009944D4" w:rsidRPr="00836DDB" w:rsidRDefault="009944D4" w:rsidP="009944D4">
      <w:pPr>
        <w:spacing w:line="480" w:lineRule="auto"/>
        <w:ind w:firstLine="720"/>
        <w:rPr>
          <w:szCs w:val="24"/>
        </w:rPr>
      </w:pPr>
      <w:r w:rsidRPr="00836DDB">
        <w:rPr>
          <w:szCs w:val="24"/>
        </w:rPr>
        <w:t xml:space="preserve">In Olzak’s description, this may produce more intense ethnic conflict while in Comaroff and Comaroff’s it may produce the commodification of a culture, but also inequalities within a population. The ethnic competition that follows is not purely the product of globalization, but part of a path dependency that begins with colonial institutions. Ethnic identities in a development context is illustrated by </w:t>
      </w:r>
      <w:r>
        <w:rPr>
          <w:szCs w:val="24"/>
        </w:rPr>
        <w:fldChar w:fldCharType="begin"/>
      </w:r>
      <w:r>
        <w:rPr>
          <w:szCs w:val="24"/>
        </w:rPr>
        <w:instrText xml:space="preserve"> ADDIN ZOTERO_ITEM CSL_CITATION {"citationID":"1t7hxPSE","properties":{"formattedCitation":"(Habyarimana et al. 2007)","plainCitation":"(Habyarimana et al. 2007)"},"citationItems":[{"id":902,"uris":["http://zotero.org/users/381007/items/FTQVHTQ4"],"uri":["http://zotero.org/users/381007/items/FTQVHTQ4"],"itemData":{"id":902,"type":"article-journal","title":"Why Does Ethnic Diversity Undermine Public Goods Provision?","container-title":"American Political Science Review","page":"709-725","volume":"101","issue":"04","author":[{"family":"Habyarimana","given":"James"},{"family":"Humphreys","given":"Macartan"},{"family":"Posner","given":"Daniel N."},{"family":"Weinstein","given":"Jeremy M."}],"issued":{"date-parts":[["2007"]]}}}],"schema":"https://github.com/citation-style-language/schema/raw/master/csl-citation.json"} </w:instrText>
      </w:r>
      <w:r>
        <w:rPr>
          <w:szCs w:val="24"/>
        </w:rPr>
        <w:fldChar w:fldCharType="separate"/>
      </w:r>
      <w:r w:rsidRPr="00836DDB">
        <w:rPr>
          <w:szCs w:val="24"/>
        </w:rPr>
        <w:t>Habyarimana et al. (2007)</w:t>
      </w:r>
      <w:r>
        <w:rPr>
          <w:szCs w:val="24"/>
        </w:rPr>
        <w:fldChar w:fldCharType="end"/>
      </w:r>
      <w:r w:rsidRPr="00836DDB">
        <w:rPr>
          <w:szCs w:val="24"/>
        </w:rPr>
        <w:t xml:space="preserve">, who presents an experiment conducted in Uganda in which co-ethnics engage in a greater number of altruistic actions and cooperation with group members than with non-group members, even when at their own expense. History matters, and institutions are shaped by historical trajectories </w:t>
      </w:r>
      <w:r>
        <w:rPr>
          <w:szCs w:val="24"/>
        </w:rPr>
        <w:fldChar w:fldCharType="begin"/>
      </w:r>
      <w:r>
        <w:rPr>
          <w:szCs w:val="24"/>
        </w:rPr>
        <w:instrText xml:space="preserve"> ADDIN ZOTERO_ITEM CSL_CITATION {"citationID":"R28vpxra","properties":{"formattedCitation":"(Putnam 1993)","plainCitation":"(Putnam 1993)"},"citationItems":[{"id":553,"uris":["http://zotero.org/users/381007/items/6E8UC8GN"],"uri":["http://zotero.org/users/381007/items/6E8UC8GN"],"itemData":{"id":553,"type":"book","title":"Making Democracy Work: Civic Traditions in Modern Italy","publisher":"Princeton University Press","publisher-place":"Princeton","event-place":"Princeton","author":[{"family":"Putnam","given":"Robert"}],"issued":{"date-parts":[["1993"]]}}}],"schema":"https://github.com/citation-style-language/schema/raw/master/csl-citation.json"} </w:instrText>
      </w:r>
      <w:r>
        <w:rPr>
          <w:szCs w:val="24"/>
        </w:rPr>
        <w:fldChar w:fldCharType="separate"/>
      </w:r>
      <w:r w:rsidRPr="00836DDB">
        <w:rPr>
          <w:szCs w:val="24"/>
        </w:rPr>
        <w:t>(Putnam 1993)</w:t>
      </w:r>
      <w:r>
        <w:rPr>
          <w:szCs w:val="24"/>
        </w:rPr>
        <w:fldChar w:fldCharType="end"/>
      </w:r>
      <w:r w:rsidRPr="00836DDB">
        <w:rPr>
          <w:szCs w:val="24"/>
        </w:rPr>
        <w:t xml:space="preserve">. Putnam’s case is modern Italy, but the observation that governments receive inputs from society and institutions produce outputs accordingly is well applied to colonial institutions and the ethnic competition that resulted. </w:t>
      </w:r>
    </w:p>
    <w:p w:rsidR="00047930" w:rsidRDefault="009944D4" w:rsidP="00047930">
      <w:pPr>
        <w:spacing w:after="200" w:line="480" w:lineRule="auto"/>
        <w:rPr>
          <w:i/>
        </w:rPr>
      </w:pPr>
      <w:r w:rsidRPr="00836DDB">
        <w:rPr>
          <w:szCs w:val="24"/>
        </w:rPr>
        <w:t xml:space="preserve">Weak post-colonial institutions combined with ethnic competition for public goods and power produced an opening for </w:t>
      </w:r>
      <w:r w:rsidR="00653503">
        <w:rPr>
          <w:szCs w:val="24"/>
        </w:rPr>
        <w:t>TNGO</w:t>
      </w:r>
      <w:r w:rsidRPr="00836DDB">
        <w:rPr>
          <w:szCs w:val="24"/>
        </w:rPr>
        <w:t xml:space="preserve">s in less developed countries. Although these authors may not consider their work to be directly applicable to </w:t>
      </w:r>
      <w:r w:rsidR="00653503">
        <w:rPr>
          <w:szCs w:val="24"/>
        </w:rPr>
        <w:t>TNGO</w:t>
      </w:r>
      <w:r w:rsidRPr="00836DDB">
        <w:rPr>
          <w:szCs w:val="24"/>
        </w:rPr>
        <w:t>s, they set the stage for political and</w:t>
      </w:r>
      <w:r>
        <w:rPr>
          <w:szCs w:val="24"/>
        </w:rPr>
        <w:t xml:space="preserve"> economic development follows. </w:t>
      </w:r>
    </w:p>
    <w:p w:rsidR="00E67B1D" w:rsidRDefault="00E67B1D" w:rsidP="00047930">
      <w:pPr>
        <w:spacing w:line="480" w:lineRule="auto"/>
        <w:ind w:firstLine="720"/>
        <w:rPr>
          <w:szCs w:val="24"/>
        </w:rPr>
      </w:pPr>
    </w:p>
    <w:p w:rsidR="009944D4" w:rsidRPr="00836DDB" w:rsidRDefault="00141859" w:rsidP="00E67B1D">
      <w:pPr>
        <w:spacing w:line="480" w:lineRule="auto"/>
        <w:jc w:val="center"/>
        <w:rPr>
          <w:i/>
          <w:szCs w:val="24"/>
        </w:rPr>
      </w:pPr>
      <w:r>
        <w:rPr>
          <w:i/>
          <w:szCs w:val="24"/>
        </w:rPr>
        <w:t>Globalization and TNGOs: Structure and Management</w:t>
      </w:r>
    </w:p>
    <w:p w:rsidR="009944D4" w:rsidRPr="00836DDB" w:rsidRDefault="009944D4" w:rsidP="009944D4">
      <w:pPr>
        <w:spacing w:line="480" w:lineRule="auto"/>
        <w:rPr>
          <w:szCs w:val="24"/>
        </w:rPr>
      </w:pPr>
      <w:r w:rsidRPr="00836DDB">
        <w:rPr>
          <w:szCs w:val="24"/>
        </w:rPr>
        <w:tab/>
        <w:t xml:space="preserve">If colonial empires can be thought of as transnational networks, this thread is also present in the third theme or literature on </w:t>
      </w:r>
      <w:r w:rsidR="00653503">
        <w:rPr>
          <w:szCs w:val="24"/>
        </w:rPr>
        <w:t>TNGO</w:t>
      </w:r>
      <w:r w:rsidRPr="00836DDB">
        <w:rPr>
          <w:szCs w:val="24"/>
        </w:rPr>
        <w:t xml:space="preserve">s, location, and decision-making. Transnational presence during the colonial period was about exporting of values, extraction of resources, and the projection of power and empire. Today, transnational presence is also about values and power, but with drastically different goals. </w:t>
      </w:r>
    </w:p>
    <w:p w:rsidR="009944D4" w:rsidRPr="00836DDB" w:rsidRDefault="009944D4" w:rsidP="009944D4">
      <w:pPr>
        <w:spacing w:line="480" w:lineRule="auto"/>
        <w:rPr>
          <w:szCs w:val="24"/>
        </w:rPr>
      </w:pPr>
      <w:r w:rsidRPr="00836DDB">
        <w:rPr>
          <w:szCs w:val="24"/>
        </w:rPr>
        <w:tab/>
        <w:t xml:space="preserve">Scholarship on transnational advocacy networks emerged in the late 1990s to early 2000s, perhaps the most notable contribution coming from </w:t>
      </w:r>
      <w:r>
        <w:rPr>
          <w:szCs w:val="24"/>
        </w:rPr>
        <w:fldChar w:fldCharType="begin"/>
      </w:r>
      <w:r>
        <w:rPr>
          <w:szCs w:val="24"/>
        </w:rPr>
        <w:instrText xml:space="preserve"> ADDIN ZOTERO_ITEM CSL_CITATION {"citationID":"5gwobXOl","properties":{"formattedCitation":"(Keck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Keck and Sikkink (1998)</w:t>
      </w:r>
      <w:r>
        <w:rPr>
          <w:szCs w:val="24"/>
        </w:rPr>
        <w:fldChar w:fldCharType="end"/>
      </w:r>
      <w:r w:rsidRPr="00836DDB">
        <w:rPr>
          <w:szCs w:val="24"/>
        </w:rPr>
        <w:t xml:space="preserve"> on international activism and human rights. While there is some overlap with literature on development and the institutions, transnational advocacy networks are distinct because they serve as mechanisms for communication and values across </w:t>
      </w:r>
      <w:r w:rsidR="00653503">
        <w:rPr>
          <w:szCs w:val="24"/>
        </w:rPr>
        <w:t>TNGO</w:t>
      </w:r>
      <w:r w:rsidRPr="00836DDB">
        <w:rPr>
          <w:szCs w:val="24"/>
        </w:rPr>
        <w:t xml:space="preserve">s. Rather than channeling state aid or values, they transform individual, group, or state values </w:t>
      </w:r>
      <w:r>
        <w:rPr>
          <w:szCs w:val="24"/>
        </w:rPr>
        <w:fldChar w:fldCharType="begin"/>
      </w:r>
      <w:r>
        <w:rPr>
          <w:szCs w:val="24"/>
        </w:rPr>
        <w:instrText xml:space="preserve"> ADDIN ZOTERO_ITEM CSL_CITATION {"citationID":"S6q1E5T6","properties":{"formattedCitation":"(Keck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(Keck and Sikkink 1998)</w:t>
      </w:r>
      <w:r>
        <w:rPr>
          <w:szCs w:val="24"/>
        </w:rPr>
        <w:fldChar w:fldCharType="end"/>
      </w:r>
      <w:r w:rsidRPr="00836DDB">
        <w:rPr>
          <w:szCs w:val="24"/>
        </w:rPr>
        <w:t xml:space="preserve">. Transnational advocacy networks encompass a diversity of organizations, including religious lobbies </w:t>
      </w:r>
      <w:r>
        <w:rPr>
          <w:szCs w:val="24"/>
        </w:rPr>
        <w:fldChar w:fldCharType="begin"/>
      </w:r>
      <w:r>
        <w:rPr>
          <w:szCs w:val="24"/>
        </w:rPr>
        <w:instrText xml:space="preserve"> ADDIN ZOTERO_ITEM CSL_CITATION {"citationID":"RriozKBp","properties":{"formattedCitation":"(Hertzke 2004)","plainCitation":"(Hertzke 2004)"},"citationItems":[{"id":3673,"uris":["http://zotero.org/users/381007/items/7NB2RFMB"],"uri":["http://zotero.org/users/381007/items/7NB2RFMB"],"itemData":{"id":3673,"type":"book","title":"Freeing God's Children: The Unlikely Alliance for Global Human Rights","publisher":"Rowman &amp; Littlefield Publishers Inc.","publisher-place":"New York","event-place":"New York","author":[{"family":"Hertzke","given":"Allen"}],"issued":{"date-parts":[["2004"]]}}}],"schema":"https://github.com/citation-style-language/schema/raw/master/csl-citation.json"} </w:instrText>
      </w:r>
      <w:r>
        <w:rPr>
          <w:szCs w:val="24"/>
        </w:rPr>
        <w:fldChar w:fldCharType="separate"/>
      </w:r>
      <w:r w:rsidRPr="002A6B56">
        <w:t>(Hertzke 2004)</w:t>
      </w:r>
      <w:r>
        <w:rPr>
          <w:szCs w:val="24"/>
        </w:rPr>
        <w:fldChar w:fldCharType="end"/>
      </w:r>
      <w:r w:rsidRPr="00836DDB">
        <w:rPr>
          <w:szCs w:val="24"/>
        </w:rPr>
        <w:t xml:space="preserve">, which coalesce around particular issues and shared values. Although many are focused on human rights issues, </w:t>
      </w:r>
      <w:r>
        <w:rPr>
          <w:szCs w:val="24"/>
        </w:rPr>
        <w:fldChar w:fldCharType="begin"/>
      </w:r>
      <w:r>
        <w:rPr>
          <w:szCs w:val="24"/>
        </w:rPr>
        <w:instrText xml:space="preserve"> ADDIN ZOTERO_ITEM CSL_CITATION {"citationID":"O7EKvqge","properties":{"formattedCitation":"(Mitchell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Pr>
          <w:szCs w:val="24"/>
        </w:rPr>
        <w:fldChar w:fldCharType="separate"/>
      </w:r>
      <w:r w:rsidRPr="00836DDB">
        <w:rPr>
          <w:szCs w:val="24"/>
        </w:rPr>
        <w:t>Mitchell (2013)</w:t>
      </w:r>
      <w:r>
        <w:rPr>
          <w:szCs w:val="24"/>
        </w:rPr>
        <w:fldChar w:fldCharType="end"/>
      </w:r>
      <w:r w:rsidRPr="00836DDB">
        <w:rPr>
          <w:szCs w:val="24"/>
        </w:rPr>
        <w:t xml:space="preserve"> work on collaborative propensities shows that they are engaged in many different sectors. </w:t>
      </w:r>
    </w:p>
    <w:p w:rsidR="009944D4" w:rsidRPr="00836DDB" w:rsidRDefault="009944D4" w:rsidP="009944D4">
      <w:pPr>
        <w:spacing w:line="480" w:lineRule="auto"/>
        <w:rPr>
          <w:szCs w:val="24"/>
        </w:rPr>
      </w:pPr>
      <w:r w:rsidRPr="00836DDB">
        <w:rPr>
          <w:szCs w:val="24"/>
        </w:rPr>
        <w:tab/>
        <w:t xml:space="preserve">In terms of decision-making, the most interesting area of research on transnational NGO networks is related to organizational structure and management. </w:t>
      </w:r>
      <w:r>
        <w:rPr>
          <w:szCs w:val="24"/>
        </w:rPr>
        <w:fldChar w:fldCharType="begin"/>
      </w:r>
      <w:r>
        <w:rPr>
          <w:szCs w:val="24"/>
        </w:rPr>
        <w:instrText xml:space="preserve"> ADDIN ZOTERO_ITEM CSL_CITATION {"citationID":"8DgmoilE","properties":{"formattedCitation":"(Stroup 2012)","plainCitation":"(Stroup 2012)"},"citationItems":[{"id":3109,"uris":["http://zotero.org/users/381007/items/49Q6M98X"],"uri":["http://zotero.org/users/381007/items/49Q6M98X"],"itemData":{"id":3109,"type":"book","title":"Borders Among Activists: International NGOs in the United States, Britain, and France","publisher":"Cornell University Press","publisher-place":"Ithaca","event-place":"Ithaca","abstract":"Many iNGOs are increasingly active in int'l arenas, but Stroup argues that actual organizational structures and strategies are deeply tied to national environments. Example: CARE, Oxfam, and MSF resemble charities from their home countries more than they do humanitarian relief groups around the world. As a result, durable transnational campaigns are unlikely.  Uses dimensions of professionalization/management; fundraising; and government relations/issue selection.","author":[{"family":"Stroup","given":"Sarah S."}],"issued":{"date-parts":[["2012"]]}}}],"schema":"https://github.com/citation-style-language/schema/raw/master/csl-citation.json"} </w:instrText>
      </w:r>
      <w:r>
        <w:rPr>
          <w:szCs w:val="24"/>
        </w:rPr>
        <w:fldChar w:fldCharType="separate"/>
      </w:r>
      <w:r w:rsidRPr="00836DDB">
        <w:rPr>
          <w:szCs w:val="24"/>
        </w:rPr>
        <w:t>Stroup (2012)</w:t>
      </w:r>
      <w:r>
        <w:rPr>
          <w:szCs w:val="24"/>
        </w:rPr>
        <w:fldChar w:fldCharType="end"/>
      </w:r>
      <w:r w:rsidRPr="00836DDB">
        <w:rPr>
          <w:szCs w:val="24"/>
        </w:rPr>
        <w:t xml:space="preserve"> posits that organizational structures and strategies are deeply embedded in national environments. For example, OXFAM as a British organization resembles British organizations more than other humanitarian groups from around the world while Médicins Sans Frontières</w:t>
      </w:r>
      <w:r w:rsidRPr="00836DDB">
        <w:rPr>
          <w:rStyle w:val="FootnoteReference"/>
          <w:szCs w:val="24"/>
        </w:rPr>
        <w:footnoteReference w:id="3"/>
      </w:r>
      <w:r w:rsidRPr="00836DDB">
        <w:rPr>
          <w:szCs w:val="24"/>
        </w:rPr>
        <w:t xml:space="preserve"> more closely resembles other French TNGOs. Strop argues that, as a result, durable transnational campaigns are unlikely due to differences in management, fundraising, government relations, and issue selection among others. Despite this, many TNGOs are increasingly active in the international sphere as “going global” becomes easier with changes in technology. </w:t>
      </w:r>
    </w:p>
    <w:p w:rsidR="009944D4" w:rsidRPr="00836DDB" w:rsidRDefault="009944D4" w:rsidP="009944D4">
      <w:pPr>
        <w:spacing w:line="480" w:lineRule="auto"/>
        <w:rPr>
          <w:szCs w:val="24"/>
        </w:rPr>
      </w:pPr>
      <w:r w:rsidRPr="00836DDB">
        <w:rPr>
          <w:szCs w:val="24"/>
        </w:rPr>
        <w:tab/>
        <w:t>The way in which these elements shape organizational structure and culture are important to TNGO location selection and the decision-making process. Cultural and historical connections are correlated with location choices; for example, French TNGOs are more likely to be present in former French colonies while attributes such as language, heritage, and religion are</w:t>
      </w:r>
      <w:r>
        <w:rPr>
          <w:szCs w:val="24"/>
        </w:rPr>
        <w:t xml:space="preserve"> also associated with location </w:t>
      </w:r>
      <w:r>
        <w:rPr>
          <w:szCs w:val="24"/>
        </w:rPr>
        <w:fldChar w:fldCharType="begin"/>
      </w:r>
      <w:r>
        <w:rPr>
          <w:szCs w:val="24"/>
        </w:rPr>
        <w:instrText xml:space="preserve"> ADDIN ZOTERO_ITEM CSL_CITATION {"citationID":"3sHqS7tU","properties":{"formattedCitation":"(Stroup 2012)","plainCitation":"(Stroup 2012)"},"citationItems":[{"id":3109,"uris":["http://zotero.org/users/381007/items/49Q6M98X"],"uri":["http://zotero.org/users/381007/items/49Q6M98X"],"itemData":{"id":3109,"type":"book","title":"Borders Among Activists: International NGOs in the United States, Britain, and France","publisher":"Cornell University Press","publisher-place":"Ithaca","event-place":"Ithaca","abstract":"Many iNGOs are increasingly active in int'l arenas, but Stroup argues that actual organizational structures and strategies are deeply tied to national environments. Example: CARE, Oxfam, and MSF resemble charities from their home countries more than they do humanitarian relief groups around the world. As a result, durable transnational campaigns are unlikely.  Uses dimensions of professionalization/management; fundraising; and government relations/issue selection.","author":[{"family":"Stroup","given":"Sarah S."}],"issued":{"date-parts":[["2012"]]}}}],"schema":"https://github.com/citation-style-language/schema/raw/master/csl-citation.json"} </w:instrText>
      </w:r>
      <w:r>
        <w:rPr>
          <w:szCs w:val="24"/>
        </w:rPr>
        <w:fldChar w:fldCharType="separate"/>
      </w:r>
      <w:r w:rsidRPr="002A6B56">
        <w:t>(</w:t>
      </w:r>
      <w:r w:rsidRPr="006B0F1A">
        <w:t>Stroup 2012</w:t>
      </w:r>
      <w:r w:rsidRPr="002A6B56">
        <w:t>)</w:t>
      </w:r>
      <w:r>
        <w:rPr>
          <w:szCs w:val="24"/>
        </w:rPr>
        <w:fldChar w:fldCharType="end"/>
      </w:r>
      <w:r w:rsidRPr="00836DDB">
        <w:rPr>
          <w:szCs w:val="24"/>
        </w:rPr>
        <w:t xml:space="preserve">. </w:t>
      </w:r>
    </w:p>
    <w:p w:rsidR="00047930" w:rsidRDefault="009944D4" w:rsidP="00047930">
      <w:pPr>
        <w:spacing w:after="200" w:line="480" w:lineRule="auto"/>
        <w:rPr>
          <w:i/>
        </w:rPr>
      </w:pPr>
      <w:r w:rsidRPr="00836DDB">
        <w:rPr>
          <w:szCs w:val="24"/>
        </w:rPr>
        <w:tab/>
        <w:t xml:space="preserve">While Stroup takes an international relations approach, her observation is not remiss. </w:t>
      </w:r>
      <w:r>
        <w:rPr>
          <w:szCs w:val="24"/>
        </w:rPr>
        <w:fldChar w:fldCharType="begin"/>
      </w:r>
      <w:r>
        <w:rPr>
          <w:szCs w:val="24"/>
        </w:rPr>
        <w:instrText xml:space="preserve"> ADDIN ZOTERO_ITEM CSL_CITATION {"citationID":"wIm1BrYe","properties":{"formattedCitation":"(Lynn, Heinrich, and Hill 2001)","plainCitation":"(Lynn, Heinrich, and Hill 2001)"},"citationItems":[{"id":3223,"uris":["http://zotero.org/users/381007/items/UHPUVGSR"],"uri":["http://zotero.org/users/381007/items/UHPUVGSR"],"itemData":{"id":3223,"type":"chapter","title":"A Logic for Governance Research","container-title":"Improving Governance:  A New Logic for Empirical Research","publisher":"Georgetown University Press","publisher-place":"Washington","event-place":"Washington","abstract":"Authors propose a three levels of dynamic governance, noting that although the public and private sectors are distinct in terms of management, that they are subject to some of the same influnces.  Particularly important are categories of culture, global, and socioeconomic categories broadly.  These levels are dynamic, but represent interaction between stakeholders, legislators, and institutions. \n\nInstitutional (public choice) level of governance is concerned with the establishment of governing relations or broad strategic alignments at legislative level (relationships between g,a,b,c,d or between public/stakeholders and legislators, between legislative prefs and formal authority governing public agencies, and between formal authority and the org and management of public agencies and programs\n\nThe managerial level of governance is concerned with further shaping of governing relations or the elaboration of strategies by organizational actors - comprising relationships between d and e (interactions between organization, management, and administration and the core technologies and primary work of public agencies\n\nThe technical level of governance is concerned with further shaping of governance at the primary work level where strategic alignments are given their operational expression comprising of relationships between e and f (interactions between primary workers and consequences/outcomes for service recipients/stakeholders) (36)","author":[{"family":"Lynn","given":"Laurence E. Jr."},{"family":"Heinrich","given":"Carolyn J."},{"family":"Hill","given":"Carolyn J."}],"issued":{"date-parts":[["2001"]]}}}],"schema":"https://github.com/citation-style-language/schema/raw/master/csl-citation.json"} </w:instrText>
      </w:r>
      <w:r>
        <w:rPr>
          <w:szCs w:val="24"/>
        </w:rPr>
        <w:fldChar w:fldCharType="separate"/>
      </w:r>
      <w:r w:rsidRPr="00836DDB">
        <w:rPr>
          <w:szCs w:val="24"/>
        </w:rPr>
        <w:t>Lynn, Heinrich, and Hill (2001)</w:t>
      </w:r>
      <w:r>
        <w:rPr>
          <w:szCs w:val="24"/>
        </w:rPr>
        <w:fldChar w:fldCharType="end"/>
      </w:r>
      <w:r w:rsidRPr="00836DDB">
        <w:rPr>
          <w:szCs w:val="24"/>
        </w:rPr>
        <w:t xml:space="preserve"> also note global, cultural, and national in their study of public administration and governance structures. They observe that “Any governance regime, from the local to the international, is embedded in a wider social, fiscal, political, and cultural context” (p. 17), suggesting that context shapes the structures, practices, and outcomes of regimes and their policies. Such networks are most likely to emerge around issues where domestic channels of communication between citizens and government are minimal; activists believe networks will further their missions; and where international contact via conferences and other mediums strengthens networks (Keck and Sikkink 1998). While TNGOs represent some of the largest and strongest </w:t>
      </w:r>
      <w:r w:rsidR="00653503">
        <w:rPr>
          <w:szCs w:val="24"/>
        </w:rPr>
        <w:t>TNGO</w:t>
      </w:r>
      <w:r w:rsidRPr="00836DDB">
        <w:rPr>
          <w:szCs w:val="24"/>
        </w:rPr>
        <w:t xml:space="preserve">s in the world </w:t>
      </w:r>
      <w:r>
        <w:rPr>
          <w:szCs w:val="24"/>
        </w:rPr>
        <w:fldChar w:fldCharType="begin"/>
      </w:r>
      <w:r>
        <w:rPr>
          <w:szCs w:val="24"/>
        </w:rPr>
        <w:instrText xml:space="preserve"> ADDIN ZOTERO_ITEM CSL_CITATION {"citationID":"YgIkyCKQ","properties":{"formattedCitation":"(Mitchell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Pr>
          <w:szCs w:val="24"/>
        </w:rPr>
        <w:fldChar w:fldCharType="separate"/>
      </w:r>
      <w:r w:rsidRPr="00836DDB">
        <w:rPr>
          <w:szCs w:val="24"/>
        </w:rPr>
        <w:t>(Mitchell 2013)</w:t>
      </w:r>
      <w:r>
        <w:rPr>
          <w:szCs w:val="24"/>
        </w:rPr>
        <w:fldChar w:fldCharType="end"/>
      </w:r>
      <w:r w:rsidRPr="00836DDB">
        <w:rPr>
          <w:szCs w:val="24"/>
        </w:rPr>
        <w:t xml:space="preserve">, networks may be made up of </w:t>
      </w:r>
      <w:r w:rsidR="00653503">
        <w:rPr>
          <w:szCs w:val="24"/>
        </w:rPr>
        <w:t>transnational</w:t>
      </w:r>
      <w:r w:rsidRPr="00836DDB">
        <w:rPr>
          <w:szCs w:val="24"/>
        </w:rPr>
        <w:t xml:space="preserve"> and </w:t>
      </w:r>
      <w:r w:rsidR="00653503">
        <w:rPr>
          <w:szCs w:val="24"/>
        </w:rPr>
        <w:t>national</w:t>
      </w:r>
      <w:r w:rsidRPr="00836DDB">
        <w:rPr>
          <w:szCs w:val="24"/>
        </w:rPr>
        <w:t xml:space="preserve"> NGOs, local social movements, media, religious organizations, and intergovernmental organizations </w:t>
      </w:r>
      <w:r>
        <w:rPr>
          <w:szCs w:val="24"/>
        </w:rPr>
        <w:fldChar w:fldCharType="begin"/>
      </w:r>
      <w:r>
        <w:rPr>
          <w:szCs w:val="24"/>
        </w:rPr>
        <w:instrText xml:space="preserve"> ADDIN ZOTERO_ITEM CSL_CITATION {"citationID":"FxIWbiQm","properties":{"formattedCitation":"(Keck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(Keck and Sikkink 1998, p.9)</w:t>
      </w:r>
      <w:r>
        <w:rPr>
          <w:szCs w:val="24"/>
        </w:rPr>
        <w:fldChar w:fldCharType="end"/>
      </w:r>
      <w:r w:rsidRPr="00836DDB">
        <w:rPr>
          <w:szCs w:val="24"/>
        </w:rPr>
        <w:t xml:space="preserve">. </w:t>
      </w:r>
    </w:p>
    <w:p w:rsidR="0067021C" w:rsidRDefault="0067021C" w:rsidP="009944D4">
      <w:pPr>
        <w:spacing w:line="480" w:lineRule="auto"/>
        <w:rPr>
          <w:szCs w:val="24"/>
        </w:rPr>
      </w:pPr>
    </w:p>
    <w:p w:rsidR="009944D4" w:rsidRPr="0067021C" w:rsidRDefault="0067021C" w:rsidP="0067021C">
      <w:pPr>
        <w:spacing w:line="480" w:lineRule="auto"/>
        <w:jc w:val="center"/>
        <w:rPr>
          <w:i/>
          <w:szCs w:val="24"/>
        </w:rPr>
      </w:pPr>
      <w:r>
        <w:rPr>
          <w:i/>
          <w:szCs w:val="24"/>
        </w:rPr>
        <w:t xml:space="preserve">Globalization and TNGOs: Advocacy and Framing </w:t>
      </w:r>
    </w:p>
    <w:p w:rsidR="009944D4" w:rsidRPr="00836DDB" w:rsidRDefault="009944D4" w:rsidP="009944D4">
      <w:pPr>
        <w:spacing w:line="480" w:lineRule="auto"/>
        <w:rPr>
          <w:szCs w:val="24"/>
        </w:rPr>
      </w:pPr>
      <w:r w:rsidRPr="00836DDB">
        <w:rPr>
          <w:szCs w:val="24"/>
        </w:rPr>
        <w:tab/>
        <w:t xml:space="preserve">Frames serve as an important mechanism for action among nonprofits and </w:t>
      </w:r>
      <w:r w:rsidR="00653503">
        <w:rPr>
          <w:szCs w:val="24"/>
        </w:rPr>
        <w:t>TNGO</w:t>
      </w:r>
      <w:r w:rsidRPr="00836DDB">
        <w:rPr>
          <w:szCs w:val="24"/>
        </w:rPr>
        <w:t xml:space="preserve">s, but particularly where transnational networks are concerned. Through shared definitions and understandings of issues, </w:t>
      </w:r>
      <w:r w:rsidR="00653503">
        <w:rPr>
          <w:szCs w:val="24"/>
        </w:rPr>
        <w:t>TNGO</w:t>
      </w:r>
      <w:r w:rsidRPr="00836DDB">
        <w:rPr>
          <w:szCs w:val="24"/>
        </w:rPr>
        <w:t xml:space="preserve">s are able to form connections with each other and to urge individuals and institutions to action. In the fields of policy and public administration, the deeply held beliefs that serve as the foundations are akin to core beliefs, which serve as the causal driver for behavior, while transnational networks are similar to advocacy coalition networks that coalesce around beliefs </w:t>
      </w:r>
      <w:r>
        <w:rPr>
          <w:szCs w:val="24"/>
        </w:rPr>
        <w:fldChar w:fldCharType="begin"/>
      </w:r>
      <w:r>
        <w:rPr>
          <w:szCs w:val="24"/>
        </w:rPr>
        <w:instrText xml:space="preserve"> ADDIN ZOTERO_ITEM CSL_CITATION {"citationID":"klvsKB1Y","properties":{"formattedCitation":"(Jenkins-Smith and Sabatier 1993)","plainCitation":"(Jenkins-Smith and Sabatier 1993)"},"citationItems":[{"id":1360,"uris":["http://zotero.org/users/381007/items/TH6VPKIG"],"uri":["http://zotero.org/users/381007/items/TH6VPKIG"],"itemData":{"id":1360,"type":"chapter","title":"The Study of the Public Policy Process","container-title":"Policy Change and Learning: An Advocacy Coalition Approach","publisher":"Westview Press","publisher-place":"Boulder","page":"1-9","event-place":"Boulder","author":[{"family":"Jenkins-Smith","given":"Hank C."},{"family":"Sabatier","given":"Paul A."}],"editor":[{"family":"Sabatier","given":"Paul A."},{"family":"Jenkins-Smith","given":"Hank C."}],"issued":{"date-parts":[["1993"]]}}}],"schema":"https://github.com/citation-style-language/schema/raw/master/csl-citation.json"} </w:instrText>
      </w:r>
      <w:r>
        <w:rPr>
          <w:szCs w:val="24"/>
        </w:rPr>
        <w:fldChar w:fldCharType="separate"/>
      </w:r>
      <w:r w:rsidRPr="00836DDB">
        <w:rPr>
          <w:szCs w:val="24"/>
        </w:rPr>
        <w:t>(Jenkins-Smith and Sabatier 1993)</w:t>
      </w:r>
      <w:r>
        <w:rPr>
          <w:szCs w:val="24"/>
        </w:rPr>
        <w:fldChar w:fldCharType="end"/>
      </w:r>
      <w:r w:rsidRPr="00836DDB">
        <w:rPr>
          <w:szCs w:val="24"/>
        </w:rPr>
        <w:t>. Within advocacy coalition networks, conviction toward sets of beliefs varies on three levels, ranging from strongly stable to middling, to those that may change over space and time. While Jenki</w:t>
      </w:r>
      <w:r w:rsidR="00E43661">
        <w:rPr>
          <w:szCs w:val="24"/>
        </w:rPr>
        <w:t xml:space="preserve">ns-Smith’s and Sabatier’s work </w:t>
      </w:r>
      <w:r w:rsidRPr="00836DDB">
        <w:rPr>
          <w:szCs w:val="24"/>
        </w:rPr>
        <w:t xml:space="preserve">is presented in a domestic context, its policy actors are inclusive of </w:t>
      </w:r>
      <w:r w:rsidR="00447B59">
        <w:rPr>
          <w:szCs w:val="24"/>
        </w:rPr>
        <w:t>T</w:t>
      </w:r>
      <w:r w:rsidRPr="00836DDB">
        <w:rPr>
          <w:szCs w:val="24"/>
        </w:rPr>
        <w:t xml:space="preserve">NGOs. It neatly lends itself to questions of TNGOs, commitment to mission or other goals, and collaborative propensities. TNGOs may be willing to acquiesce certain points in order to further a goal central to their mission and frames may serve as a heuristic for assessing organizations, issues, and causes </w:t>
      </w:r>
      <w:r>
        <w:rPr>
          <w:szCs w:val="24"/>
        </w:rPr>
        <w:fldChar w:fldCharType="begin"/>
      </w:r>
      <w:r>
        <w:rPr>
          <w:szCs w:val="24"/>
        </w:rPr>
        <w:instrText xml:space="preserve"> ADDIN ZOTERO_ITEM CSL_CITATION {"citationID":"c39pdgls","properties":{"formattedCitation":"(Busby 2007)","plainCitation":"(Busby 2007)"},"citationItems":[{"id":3681,"uris":["http://zotero.org/users/381007/items/VD9858VV"],"uri":["http://zotero.org/users/381007/items/VD9858VV"],"itemData":{"id":3681,"type":"article-journal","title":"Bono made Jesse Helms cry: Jubilee 2000, debt relief, and moral action in international politics","container-title":"International Studies Quarterly","page":"247-275","volume":"51","issue":"3","author":[{"family":"Busby","given":"Joshua"}],"issued":{"date-parts":[["2007"]]}}}],"schema":"https://github.com/citation-style-language/schema/raw/master/csl-citation.json"} </w:instrText>
      </w:r>
      <w:r>
        <w:rPr>
          <w:szCs w:val="24"/>
        </w:rPr>
        <w:fldChar w:fldCharType="separate"/>
      </w:r>
      <w:r w:rsidRPr="00DF4AFC">
        <w:t>(Busby 2007)</w:t>
      </w:r>
      <w:r>
        <w:rPr>
          <w:szCs w:val="24"/>
        </w:rPr>
        <w:fldChar w:fldCharType="end"/>
      </w:r>
      <w:r w:rsidRPr="00836DDB">
        <w:rPr>
          <w:szCs w:val="24"/>
        </w:rPr>
        <w:t>.</w:t>
      </w:r>
      <w:r>
        <w:rPr>
          <w:rStyle w:val="FootnoteReference"/>
          <w:szCs w:val="24"/>
        </w:rPr>
        <w:footnoteReference w:id="4"/>
      </w:r>
      <w:r w:rsidRPr="00836DDB">
        <w:rPr>
          <w:szCs w:val="24"/>
        </w:rPr>
        <w:t xml:space="preserve">  </w:t>
      </w:r>
    </w:p>
    <w:p w:rsidR="009944D4" w:rsidRPr="00836DDB" w:rsidRDefault="009944D4" w:rsidP="009944D4">
      <w:pPr>
        <w:spacing w:line="480" w:lineRule="auto"/>
        <w:rPr>
          <w:szCs w:val="24"/>
        </w:rPr>
      </w:pPr>
      <w:r w:rsidRPr="00836DDB">
        <w:rPr>
          <w:szCs w:val="24"/>
        </w:rPr>
        <w:tab/>
        <w:t xml:space="preserve">In his assessment humanitarian issues, </w:t>
      </w:r>
      <w:r w:rsidRPr="00DF4AFC">
        <w:rPr>
          <w:szCs w:val="24"/>
        </w:rPr>
        <w:t xml:space="preserve">Heinze </w:t>
      </w:r>
      <w:r w:rsidRPr="00DF4AFC">
        <w:rPr>
          <w:szCs w:val="24"/>
        </w:rPr>
        <w:fldChar w:fldCharType="begin"/>
      </w:r>
      <w:r w:rsidRPr="00DF4AFC">
        <w:rPr>
          <w:szCs w:val="24"/>
        </w:rPr>
        <w:instrText xml:space="preserve"> ADDIN ZOTERO_ITEM CSL_CITATION {"citationID":"VcusiKzj","properties":{"formattedCitation":"(Heinze 2007)","plainCitation":"(Heinze 2007)"},"citationItems":[{"id":3682,"uris":["http://zotero.org/users/381007/items/I76NS7DW"],"uri":["http://zotero.org/users/381007/items/I76NS7DW"],"itemData":{"id":3682,"type":"article-journal","title":"The Rhetoric of Genocide in US Foreign Policy: Rwanda and Darfur Compared","container-title":"Political Science Quarterly","page":"359-383","volume":"122","issue":"3","author":[{"family":"Heinze","given":"E.A."}],"issued":{"date-parts":[["2007"]]}}}],"schema":"https://github.com/citation-style-language/schema/raw/master/csl-citation.json"} </w:instrText>
      </w:r>
      <w:r w:rsidRPr="00DF4AFC">
        <w:rPr>
          <w:szCs w:val="24"/>
        </w:rPr>
        <w:fldChar w:fldCharType="separate"/>
      </w:r>
      <w:r w:rsidRPr="00DF4AFC">
        <w:t>(2007)</w:t>
      </w:r>
      <w:r w:rsidRPr="00DF4AFC">
        <w:rPr>
          <w:szCs w:val="24"/>
        </w:rPr>
        <w:fldChar w:fldCharType="end"/>
      </w:r>
      <w:r w:rsidRPr="00836DDB">
        <w:rPr>
          <w:szCs w:val="24"/>
        </w:rPr>
        <w:t xml:space="preserve"> finds that the framing of Rwanda was more successful than that of Darfur in terms of government intervention and aid. While outcome of both reflects the path dependency of events in Somalia, it provides a comparative analysis of Busby’s (2007) conditions for successful framing: a permissive international environment, focusing events, credible information, low cost, cultural matching, and supportive policy gatekeepers. Both Busby and Heinze work within the international r</w:t>
      </w:r>
      <w:r>
        <w:rPr>
          <w:szCs w:val="24"/>
        </w:rPr>
        <w:t xml:space="preserve">elations tradition, but it is </w:t>
      </w:r>
      <w:r w:rsidRPr="00836DDB">
        <w:rPr>
          <w:szCs w:val="24"/>
        </w:rPr>
        <w:t>easy to see how their findings apply to TNGOs. The policy environment and framing can both impact the decision-making of NGOs as well as their advocac</w:t>
      </w:r>
      <w:r w:rsidR="00653503">
        <w:rPr>
          <w:szCs w:val="24"/>
        </w:rPr>
        <w:t>y efforts. In either scenario a</w:t>
      </w:r>
      <w:r w:rsidRPr="00836DDB">
        <w:rPr>
          <w:szCs w:val="24"/>
        </w:rPr>
        <w:t xml:space="preserve"> </w:t>
      </w:r>
      <w:r w:rsidR="00653503">
        <w:rPr>
          <w:szCs w:val="24"/>
        </w:rPr>
        <w:t>T</w:t>
      </w:r>
      <w:r w:rsidRPr="00836DDB">
        <w:rPr>
          <w:szCs w:val="24"/>
        </w:rPr>
        <w:t xml:space="preserve">NGO’s decision-making may be influenced because of the resources available, safety, or perceptions about how much need is in an area or how impactful the work is. This suggests that government or public attention may create a domino effect that influences decisions. At the same time, </w:t>
      </w:r>
      <w:r w:rsidR="00653503">
        <w:rPr>
          <w:szCs w:val="24"/>
        </w:rPr>
        <w:t>T</w:t>
      </w:r>
      <w:r w:rsidRPr="00836DDB">
        <w:rPr>
          <w:szCs w:val="24"/>
        </w:rPr>
        <w:t xml:space="preserve">NGOs are also able to shape ideas, institutions, and practices on a global level </w:t>
      </w:r>
      <w:r>
        <w:rPr>
          <w:szCs w:val="24"/>
        </w:rPr>
        <w:fldChar w:fldCharType="begin"/>
      </w:r>
      <w:r>
        <w:rPr>
          <w:szCs w:val="24"/>
        </w:rPr>
        <w:instrText xml:space="preserve"> ADDIN ZOTERO_ITEM CSL_CITATION {"citationID":"JnoOBKZj","properties":{"formattedCitation":"(DeMars 2005; Keck and Sikkink 1998)","plainCitation":"(DeMars 2005; Keck and Sikkink 1998)"},"citationItems":[{"id":3138,"uris":["http://zotero.org/users/381007/items/95AX72CC"],"uri":["http://zotero.org/users/381007/items/95AX72CC"],"itemData":{"id":3138,"type":"book","title":"NGOs and Transnational Networks: Wild Cards in World Politics","publisher":"Pluto Press","publisher-place":"London","event-place":"London","abstract":"Global moral compass asserts confidence to make moral claim and practical judgments anywhere in the world, depends on circumscribed causality, the causality of both the problem and the NGO solution can reliably be isolated from local social and political contexts.  Modular technique is a set of practies the NGO brings anywhere in the world to create a self-evident positive impact (depends on claim of magic bullet causality - that the technique will only influence the porblem at which it is aimed).  Secular sanction invokes the moral authority of global norms above governments to justify action, but relies on hidden claim of enforcement causality (that global norms will create consistent results everywhere rather than contingent) and representative claims cast the NGO as \"acting for the people\" with moral authority originating below governments, which relies upon the claim of empowerment causality (that NGOs actually mobilize the power of those they claim to represent).","author":[{"family":"DeMars","given":"William E."}],"issued":{"date-parts":[["2005"]]}}},{"id":3216,"uris":["http://zotero.org/users/381007/items/S3PFUTDP"],"uri":["http://zotero.org/users/381007/items/S3PFUTDP"],"itemData":{"id":3216,"type":"book","title":"Activists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(DeMars 2005; Keck and Sikkink 1998)</w:t>
      </w:r>
      <w:r>
        <w:rPr>
          <w:szCs w:val="24"/>
        </w:rPr>
        <w:fldChar w:fldCharType="end"/>
      </w:r>
      <w:r w:rsidRPr="00836DDB">
        <w:rPr>
          <w:szCs w:val="24"/>
        </w:rPr>
        <w:t xml:space="preserve">. For </w:t>
      </w:r>
      <w:r w:rsidR="00653503">
        <w:rPr>
          <w:szCs w:val="24"/>
        </w:rPr>
        <w:t>T</w:t>
      </w:r>
      <w:r w:rsidRPr="00836DDB">
        <w:rPr>
          <w:szCs w:val="24"/>
        </w:rPr>
        <w:t xml:space="preserve">NGOs themselves, the goals of networks are encapsulated by a global moral compass, allowing them to use frames to make blanket claims about human needs or rights </w:t>
      </w:r>
      <w:r>
        <w:rPr>
          <w:szCs w:val="24"/>
        </w:rPr>
        <w:fldChar w:fldCharType="begin"/>
      </w:r>
      <w:r>
        <w:rPr>
          <w:szCs w:val="24"/>
        </w:rPr>
        <w:instrText xml:space="preserve"> ADDIN ZOTERO_ITEM CSL_CITATION {"citationID":"FD2tdAl8","properties":{"formattedCitation":"(DeMars 2005)","plainCitation":"(DeMars 2005)"},"citationItems":[{"id":3138,"uris":["http://zotero.org/users/381007/items/95AX72CC"],"uri":["http://zotero.org/users/381007/items/95AX72CC"],"itemData":{"id":3138,"type":"book","title":"NGOs and Transnational Networks: Wild Cards in World Politics","publisher":"Pluto Press","publisher-place":"London","event-place":"London","abstract":"Global moral compass asserts confidence to make moral claim and practical judgments anywhere in the world, depends on circumscribed causality, the causality of both the problem and the NGO solution can reliably be isolated from local social and political contexts.  Modular technique is a set of practies the NGO brings anywhere in the world to create a self-evident positive impact (depends on claim of magic bullet causality - that the technique will only influence the porblem at which it is aimed).  Secular sanction invokes the moral authority of global norms above governments to justify action, but relies on hidden claim of enforcement causality (that global norms will create consistent results everywhere rather than contingent) and representative claims cast the NGO as \"acting for the people\" with moral authority originating below governments, which relies upon the claim of empowerment causality (that NGOs actually mobilize the power of those they claim to represent).","author":[{"family":"DeMars","given":"William E."}],"issued":{"date-parts":[["2005"]]}}}],"schema":"https://github.com/citation-style-language/schema/raw/master/csl-citation.json"} </w:instrText>
      </w:r>
      <w:r>
        <w:rPr>
          <w:szCs w:val="24"/>
        </w:rPr>
        <w:fldChar w:fldCharType="separate"/>
      </w:r>
      <w:r w:rsidRPr="00836DDB">
        <w:rPr>
          <w:szCs w:val="24"/>
        </w:rPr>
        <w:t>(DeMars 2005)</w:t>
      </w:r>
      <w:r>
        <w:rPr>
          <w:szCs w:val="24"/>
        </w:rPr>
        <w:fldChar w:fldCharType="end"/>
      </w:r>
      <w:r w:rsidRPr="00836DDB">
        <w:rPr>
          <w:szCs w:val="24"/>
        </w:rPr>
        <w:t>.</w:t>
      </w:r>
    </w:p>
    <w:p w:rsidR="00047930" w:rsidRDefault="009944D4" w:rsidP="00047930">
      <w:pPr>
        <w:spacing w:after="200" w:line="480" w:lineRule="auto"/>
        <w:rPr>
          <w:i/>
        </w:rPr>
      </w:pPr>
      <w:r w:rsidRPr="00836DDB">
        <w:rPr>
          <w:szCs w:val="24"/>
        </w:rPr>
        <w:tab/>
        <w:t xml:space="preserve">The moral compass of TNGOs raises a second issue through the question of relationships between Northern TNGOs and counterparts in the Global South, as well as the broader North-South relationship. Although North-South relations are a theme present in the development literature, it is raised here because of the focus of the dissertation. Rather than being a question of aid effectiveness </w:t>
      </w:r>
      <w:r>
        <w:rPr>
          <w:szCs w:val="24"/>
        </w:rPr>
        <w:fldChar w:fldCharType="begin"/>
      </w:r>
      <w:r>
        <w:rPr>
          <w:szCs w:val="24"/>
        </w:rPr>
        <w:instrText xml:space="preserve"> ADDIN ZOTERO_ITEM CSL_CITATION {"citationID":"X9urIisq","properties":{"formattedCitation":"(Rohrschneider and Dalton 2002; Edwards and Hulme 1996a)","plainCitation":"(Rohrschneider and Dalton 2002; Edwards and Hulme 1996a)"},"citationItems":[{"id":3144,"uris":["http://zotero.org/users/381007/items/A6ZZSR89"],"uri":["http://zotero.org/users/381007/items/A6ZZSR89"],"itemData":{"id":3144,"type":"article-journal","title":"A Global Network? Transnational Cooperation among Environmental Groups","container-title":"The Journal of Politics","page":"510-533","volume":"64","issue":"2","abstract":"To what degree does transnational action exist among environmetnal NGOs and what characterizes it? Reason to be skeptical of transnational action of NGOs in developing world: 1) many groups are resource poor and int'l travel/networking can be expensive... some argue that social movements should be oriented toward domestic politics, not int'l; 2) political tension between North/South due to global displacement and loss of legitimacy where dependency on the North is too strong.","author":[{"family":"Rohrschneider","given":"Robert"},{"family":"Dalton","given":"Russell J."}],"issued":{"date-parts":[["2002"]]}}},{"id":3159,"uris":["http://zotero.org/users/381007/items/E8SBU3U8"],"uri":["http://zotero.org/users/381007/items/E8SBU3U8"],"itemData":{"id":3159,"type":"chapter","title":"Beyond the Magic Bullet?  Lessons and Conclusions","container-title":"Beyond the Magic Bullet: NGO Performance and Accountability in the Post-Cold War World","publisher":"Kumarian Press","page":"254-266","abstract":"NGOs will always remain accountable to donors and supporters, as well as to partenrs, and to some extent their beneficiaries.  Official aid agencies may move twoard less linear approaches to development, but will have to satisfy demand for results from politicians.  Many NGOs choose to work across national boudnaries, sectors of work,s ervice delivery, and other approaches to development, they don't see those choices as mutually exclusive.  These are management issues rather than issues of principle.. poss to remain operationally accountable to govs in terms of use of funds yet remain accountable to low income communities in which the NGO works as well.","author":[{"family":"Edwards","given":"Michael"},{"family":"Hulme","given":"David"}],"editor":[{"family":"Edwards","given":"Michael"},{"family":"Hulme","given":"David"}],"issued":{"date-parts":[["1996"]]}}}],"schema":"https://github.com/citation-style-language/schema/raw/master/csl-citation.json"} </w:instrText>
      </w:r>
      <w:r>
        <w:rPr>
          <w:szCs w:val="24"/>
        </w:rPr>
        <w:fldChar w:fldCharType="separate"/>
      </w:r>
      <w:r w:rsidRPr="004671BA">
        <w:t>(Rohrschneider and Dalton 2002; Edwards and Hulme 1996a)</w:t>
      </w:r>
      <w:r>
        <w:rPr>
          <w:szCs w:val="24"/>
        </w:rPr>
        <w:fldChar w:fldCharType="end"/>
      </w:r>
      <w:r w:rsidRPr="00836DDB">
        <w:rPr>
          <w:szCs w:val="24"/>
        </w:rPr>
        <w:t xml:space="preserve"> or </w:t>
      </w:r>
      <w:r>
        <w:rPr>
          <w:szCs w:val="24"/>
        </w:rPr>
        <w:t xml:space="preserve">one of </w:t>
      </w:r>
      <w:r w:rsidRPr="00836DDB">
        <w:rPr>
          <w:szCs w:val="24"/>
        </w:rPr>
        <w:t>capacity buildi</w:t>
      </w:r>
      <w:r>
        <w:rPr>
          <w:szCs w:val="24"/>
        </w:rPr>
        <w:t xml:space="preserve">ng of local civil society, the question concerns </w:t>
      </w:r>
      <w:r w:rsidRPr="00836DDB">
        <w:rPr>
          <w:szCs w:val="24"/>
        </w:rPr>
        <w:t xml:space="preserve">professionalization, collaboration, and what makes a location more or less attractive to a </w:t>
      </w:r>
      <w:r>
        <w:rPr>
          <w:szCs w:val="24"/>
        </w:rPr>
        <w:t>U.S.-based</w:t>
      </w:r>
      <w:r w:rsidRPr="00836DDB">
        <w:rPr>
          <w:szCs w:val="24"/>
        </w:rPr>
        <w:t xml:space="preserve"> </w:t>
      </w:r>
      <w:r w:rsidR="00653503">
        <w:rPr>
          <w:szCs w:val="24"/>
        </w:rPr>
        <w:t>TNGO</w:t>
      </w:r>
      <w:r w:rsidRPr="00836DDB">
        <w:rPr>
          <w:szCs w:val="24"/>
        </w:rPr>
        <w:t>. Local</w:t>
      </w:r>
      <w:r w:rsidR="00A2134E">
        <w:rPr>
          <w:szCs w:val="24"/>
        </w:rPr>
        <w:t xml:space="preserve"> NGOs operate differently from T</w:t>
      </w:r>
      <w:r w:rsidRPr="00836DDB">
        <w:rPr>
          <w:szCs w:val="24"/>
        </w:rPr>
        <w:t xml:space="preserve">NGOs. While </w:t>
      </w:r>
      <w:r>
        <w:rPr>
          <w:szCs w:val="24"/>
        </w:rPr>
        <w:t>U.S.-based</w:t>
      </w:r>
      <w:r w:rsidRPr="00836DDB">
        <w:rPr>
          <w:szCs w:val="24"/>
        </w:rPr>
        <w:t xml:space="preserve"> </w:t>
      </w:r>
      <w:r w:rsidR="00653503">
        <w:rPr>
          <w:szCs w:val="24"/>
        </w:rPr>
        <w:t>TNGO</w:t>
      </w:r>
      <w:r w:rsidRPr="00836DDB">
        <w:rPr>
          <w:szCs w:val="24"/>
        </w:rPr>
        <w:t xml:space="preserve">s emphasize evaluation, receipted accounts, and budgeting, many local organizations lack such professionalization </w:t>
      </w:r>
      <w:r>
        <w:rPr>
          <w:szCs w:val="24"/>
        </w:rPr>
        <w:fldChar w:fldCharType="begin"/>
      </w:r>
      <w:r>
        <w:rPr>
          <w:szCs w:val="24"/>
        </w:rPr>
        <w:instrText xml:space="preserve"> ADDIN ZOTERO_ITEM CSL_CITATION {"citationID":"Z9cHuzX0","properties":{"formattedCitation":"(Elliott, Charles 1987)","plainCitation":"(Elliott, Charles 1987)"},"citationItems":[{"id":871,"uris":["http://zotero.org/users/381007/items/F4DZ2JCB"],"uri":["http://zotero.org/users/381007/items/F4DZ2JCB"],"itemData":{"id":871,"type":"article-journal","title":"Some Aspects of Relations Between the North and South in the NGO Sector","container-title":"World Development","page":"57-68","volume":"15","issue":"Supplement","abstract":"Typology of NGOs, how international and local NGOs operate differently. Argues that the NGO sector is homogenous and it is thus difficult to make generalizations.","author":[{"family":"Elliott, Charles","given":""}],"issued":{"date-parts":[["1987"]]}}}],"schema":"https://github.com/citation-style-language/schema/raw/master/csl-citation.json"} </w:instrText>
      </w:r>
      <w:r>
        <w:rPr>
          <w:szCs w:val="24"/>
        </w:rPr>
        <w:fldChar w:fldCharType="separate"/>
      </w:r>
      <w:r w:rsidRPr="00836DDB">
        <w:rPr>
          <w:szCs w:val="24"/>
        </w:rPr>
        <w:t>(Elliott 1987)</w:t>
      </w:r>
      <w:r>
        <w:rPr>
          <w:szCs w:val="24"/>
        </w:rPr>
        <w:fldChar w:fldCharType="end"/>
      </w:r>
      <w:r w:rsidRPr="00836DDB">
        <w:rPr>
          <w:szCs w:val="24"/>
        </w:rPr>
        <w:t xml:space="preserve">. Today, community based projects have experienced success after following the participatory policy-making model and incorporating the views and concerns of local people </w:t>
      </w:r>
      <w:r>
        <w:rPr>
          <w:szCs w:val="24"/>
        </w:rPr>
        <w:fldChar w:fldCharType="begin"/>
      </w:r>
      <w:r>
        <w:rPr>
          <w:szCs w:val="24"/>
        </w:rPr>
        <w:instrText xml:space="preserve"> ADDIN ZOTERO_ITEM CSL_CITATION {"citationID":"xYnsX9ZF","properties":{"formattedCitation":"(Brooks, Waylen, and Mulder 2013)","plainCitation":"(Brooks, Waylen, and Mulder 2013)"},"citationItems":[{"id":1203,"uris":["http://zotero.org/users/381007/items/Q373JSZD"],"uri":["http://zotero.org/users/381007/items/Q373JSZD"],"itemData":{"id":1203,"type":"article-journal","title":"Assessing community-based conservation projects: A systematic review and multilevel analysis of attitudinal, behavioral, ecological, and economic outcome","container-title":"Environmental Evidence","page":"1-34","volume":"2","issue":"2","author":[{"family":"Brooks","given":"Jeremy"},{"family":"Waylen","given":"Kerry Ann"},{"family":"Mulder","given":"Monique Borgerhoff"}],"issued":{"date-parts":[["2013"]]}}}],"schema":"https://github.com/citation-style-language/schema/raw/master/csl-citation.json"} </w:instrText>
      </w:r>
      <w:r>
        <w:rPr>
          <w:szCs w:val="24"/>
        </w:rPr>
        <w:fldChar w:fldCharType="separate"/>
      </w:r>
      <w:r w:rsidRPr="00836DDB">
        <w:rPr>
          <w:szCs w:val="24"/>
        </w:rPr>
        <w:t>(</w:t>
      </w:r>
      <w:r>
        <w:rPr>
          <w:szCs w:val="24"/>
        </w:rPr>
        <w:t>Brooks, Waylen, and Mulder 2013</w:t>
      </w:r>
      <w:r w:rsidRPr="00836DDB">
        <w:rPr>
          <w:szCs w:val="24"/>
        </w:rPr>
        <w:t>)</w:t>
      </w:r>
      <w:r>
        <w:rPr>
          <w:szCs w:val="24"/>
        </w:rPr>
        <w:fldChar w:fldCharType="end"/>
      </w:r>
      <w:r w:rsidRPr="00836DDB">
        <w:rPr>
          <w:szCs w:val="24"/>
        </w:rPr>
        <w:t xml:space="preserve">. However, what Elliott writes remains true about local </w:t>
      </w:r>
      <w:r w:rsidR="00653503">
        <w:rPr>
          <w:szCs w:val="24"/>
        </w:rPr>
        <w:t>NGO</w:t>
      </w:r>
      <w:r w:rsidRPr="00836DDB">
        <w:rPr>
          <w:szCs w:val="24"/>
        </w:rPr>
        <w:t xml:space="preserve">s nearly 30 years later. </w:t>
      </w:r>
    </w:p>
    <w:p w:rsidR="0067021C" w:rsidRDefault="0067021C" w:rsidP="009944D4">
      <w:pPr>
        <w:spacing w:line="480" w:lineRule="auto"/>
        <w:rPr>
          <w:szCs w:val="24"/>
        </w:rPr>
      </w:pPr>
    </w:p>
    <w:p w:rsidR="009944D4" w:rsidRPr="0067021C" w:rsidRDefault="0067021C" w:rsidP="0067021C">
      <w:pPr>
        <w:spacing w:line="480" w:lineRule="auto"/>
        <w:jc w:val="center"/>
        <w:rPr>
          <w:i/>
          <w:szCs w:val="24"/>
        </w:rPr>
      </w:pPr>
      <w:r>
        <w:rPr>
          <w:i/>
          <w:szCs w:val="24"/>
        </w:rPr>
        <w:t>National and Transnational Collaboration</w:t>
      </w:r>
    </w:p>
    <w:p w:rsidR="009944D4" w:rsidRPr="00836DDB" w:rsidRDefault="009944D4" w:rsidP="009944D4">
      <w:pPr>
        <w:spacing w:line="480" w:lineRule="auto"/>
        <w:ind w:firstLine="720"/>
        <w:rPr>
          <w:szCs w:val="24"/>
        </w:rPr>
      </w:pPr>
      <w:r w:rsidRPr="00836DDB">
        <w:rPr>
          <w:szCs w:val="24"/>
        </w:rPr>
        <w:t>A push for international-local partnerships from donors, particularly on the part of government agencies such as USAID</w:t>
      </w:r>
      <w:r w:rsidRPr="00836DDB">
        <w:rPr>
          <w:rStyle w:val="FootnoteReference"/>
          <w:szCs w:val="24"/>
        </w:rPr>
        <w:footnoteReference w:id="5"/>
      </w:r>
      <w:r w:rsidRPr="00836DDB">
        <w:rPr>
          <w:szCs w:val="24"/>
        </w:rPr>
        <w:t xml:space="preserve">, occurred over the last decade. Collaboration with local entities is meant to strengthen local civil society indirectly and ultimately to create sustainable projects which local organizations can oversee and secure funds for independently. However, during field interviews in summer 2015 many </w:t>
      </w:r>
      <w:r>
        <w:rPr>
          <w:szCs w:val="24"/>
        </w:rPr>
        <w:t>U.S.-based</w:t>
      </w:r>
      <w:r w:rsidRPr="00836DDB">
        <w:rPr>
          <w:szCs w:val="24"/>
        </w:rPr>
        <w:t xml:space="preserve"> </w:t>
      </w:r>
      <w:r>
        <w:rPr>
          <w:szCs w:val="24"/>
        </w:rPr>
        <w:t>T</w:t>
      </w:r>
      <w:r w:rsidRPr="00836DDB">
        <w:rPr>
          <w:szCs w:val="24"/>
        </w:rPr>
        <w:t>NGOs indicated that they do not partner with local organizations</w:t>
      </w:r>
      <w:r>
        <w:rPr>
          <w:szCs w:val="24"/>
        </w:rPr>
        <w:t>,</w:t>
      </w:r>
      <w:r w:rsidRPr="00836DDB">
        <w:rPr>
          <w:szCs w:val="24"/>
        </w:rPr>
        <w:t xml:space="preserve"> citing corruption and professionalization as </w:t>
      </w:r>
      <w:r>
        <w:rPr>
          <w:szCs w:val="24"/>
        </w:rPr>
        <w:t xml:space="preserve">the primary </w:t>
      </w:r>
      <w:r w:rsidRPr="00836DDB">
        <w:rPr>
          <w:szCs w:val="24"/>
        </w:rPr>
        <w:t xml:space="preserve">reasons. </w:t>
      </w:r>
      <w:r>
        <w:rPr>
          <w:szCs w:val="24"/>
        </w:rPr>
        <w:t>TNGOs that do partner with local groups utilize an intensive vetting process. In addition, the TNGO community maintains a shared list of groups with whom they have successfully partnered in the past.</w:t>
      </w:r>
      <w:r w:rsidRPr="00836DDB">
        <w:rPr>
          <w:szCs w:val="24"/>
        </w:rPr>
        <w:t xml:space="preserve"> </w:t>
      </w:r>
      <w:r>
        <w:rPr>
          <w:szCs w:val="24"/>
        </w:rPr>
        <w:t>Nonetheless</w:t>
      </w:r>
      <w:r w:rsidRPr="00836DDB">
        <w:rPr>
          <w:szCs w:val="24"/>
        </w:rPr>
        <w:t xml:space="preserve">, </w:t>
      </w:r>
      <w:r>
        <w:rPr>
          <w:szCs w:val="24"/>
        </w:rPr>
        <w:t>during interviews conducted in Uganda for this dissertation in summer 2015, multiple</w:t>
      </w:r>
      <w:r w:rsidRPr="00836DDB">
        <w:rPr>
          <w:szCs w:val="24"/>
        </w:rPr>
        <w:t xml:space="preserve"> </w:t>
      </w:r>
      <w:r>
        <w:rPr>
          <w:szCs w:val="24"/>
        </w:rPr>
        <w:t>T</w:t>
      </w:r>
      <w:r w:rsidRPr="00836DDB">
        <w:rPr>
          <w:szCs w:val="24"/>
        </w:rPr>
        <w:t>NGOs</w:t>
      </w:r>
      <w:r>
        <w:rPr>
          <w:szCs w:val="24"/>
        </w:rPr>
        <w:t xml:space="preserve"> indicated that they</w:t>
      </w:r>
      <w:r w:rsidRPr="00836DDB">
        <w:rPr>
          <w:szCs w:val="24"/>
        </w:rPr>
        <w:t xml:space="preserve"> receive government support for their work</w:t>
      </w:r>
      <w:r>
        <w:rPr>
          <w:szCs w:val="24"/>
        </w:rPr>
        <w:t>,</w:t>
      </w:r>
      <w:r w:rsidRPr="00836DDB">
        <w:rPr>
          <w:szCs w:val="24"/>
        </w:rPr>
        <w:t xml:space="preserve"> </w:t>
      </w:r>
      <w:r>
        <w:rPr>
          <w:szCs w:val="24"/>
        </w:rPr>
        <w:t xml:space="preserve">with or without local partners. </w:t>
      </w:r>
    </w:p>
    <w:p w:rsidR="009944D4" w:rsidRPr="00836DDB" w:rsidRDefault="009944D4" w:rsidP="009944D4">
      <w:pPr>
        <w:spacing w:line="480" w:lineRule="auto"/>
        <w:rPr>
          <w:szCs w:val="24"/>
        </w:rPr>
      </w:pPr>
      <w:r w:rsidRPr="00836DDB">
        <w:rPr>
          <w:szCs w:val="24"/>
        </w:rPr>
        <w:tab/>
      </w:r>
      <w:r>
        <w:rPr>
          <w:szCs w:val="24"/>
        </w:rPr>
        <w:fldChar w:fldCharType="begin"/>
      </w:r>
      <w:r>
        <w:rPr>
          <w:szCs w:val="24"/>
        </w:rPr>
        <w:instrText xml:space="preserve"> ADDIN ZOTERO_ITEM CSL_CITATION {"citationID":"CCOHJvMx","properties":{"formattedCitation":"(S. M. Roberts, Jones, and Frohling 2005; Smillie 1995)","plainCitation":"(S. M. Roberts, Jones, and Frohling 2005; Smillie 1995)"},"citationItems":[{"id":757,"uris":["http://zotero.org/users/381007/items/CADSHXBP"],"uri":["http://zotero.org/users/381007/items/CADSHXBP"],"itemData":{"id":757,"type":"article-journal","title":"NGOs and the Globalization of Managerialism: A Research Framework","container-title":"World Development","page":"1845-1864","volume":"33","issue":"11","abstract":"Globalization has created networks of NGOs that are spatially distant, but sometimes geographically clustered (north-south relationships), through which managerial practices have diffused such as accountability, capacity-building, and transparency.","author":[{"family":"Roberts","given":"Susan M."},{"family":"Jones","given":"John Paul III"},{"family":"Frohling","given":"Oliver"}],"issued":{"date-parts":[["2005"]]}}},{"id":1514,"uris":["http://zotero.org/users/381007/items/WM8HZZ76"],"uri":["http://zotero.org/users/381007/items/WM8HZZ76"],"itemData":{"id":1514,"type":"book","title":"The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rPr>
          <w:szCs w:val="24"/>
        </w:rPr>
        <w:fldChar w:fldCharType="separate"/>
      </w:r>
      <w:r w:rsidRPr="00836DDB">
        <w:rPr>
          <w:szCs w:val="24"/>
        </w:rPr>
        <w:t>Roberts, Jones, and Frohling (2005) and Smillie (1995)</w:t>
      </w:r>
      <w:r>
        <w:rPr>
          <w:szCs w:val="24"/>
        </w:rPr>
        <w:fldChar w:fldCharType="end"/>
      </w:r>
      <w:r w:rsidRPr="00836DDB">
        <w:rPr>
          <w:szCs w:val="24"/>
        </w:rPr>
        <w:t xml:space="preserve"> take a more optimistic view of North-South relations among </w:t>
      </w:r>
      <w:r>
        <w:rPr>
          <w:szCs w:val="24"/>
        </w:rPr>
        <w:t>local organizations and T</w:t>
      </w:r>
      <w:r w:rsidRPr="00836DDB">
        <w:rPr>
          <w:szCs w:val="24"/>
        </w:rPr>
        <w:t xml:space="preserve">NGOs. </w:t>
      </w:r>
      <w:r>
        <w:rPr>
          <w:szCs w:val="24"/>
        </w:rPr>
        <w:t xml:space="preserve">Typically, local organizations are perceived as the beneficiaries, absorbing USAID best practices via U.S.-based TNGOs for example. TNGOs are also beneficiaries though because local organizations increase their spatial impact </w:t>
      </w:r>
      <w:r>
        <w:rPr>
          <w:szCs w:val="24"/>
        </w:rPr>
        <w:fldChar w:fldCharType="begin"/>
      </w:r>
      <w:r>
        <w:rPr>
          <w:szCs w:val="24"/>
        </w:rPr>
        <w:instrText xml:space="preserve"> ADDIN ZOTERO_ITEM CSL_CITATION {"citationID":"ssJwcrKO","properties":{"formattedCitation":"(S. M. Roberts, Jones, and Frohling 2005)","plainCitation":"(S. M. Roberts, Jones, and Frohling 2005)"},"citationItems":[{"id":757,"uris":["http://zotero.org/users/381007/items/CADSHXBP"],"uri":["http://zotero.org/users/381007/items/CADSHXBP"],"itemData":{"id":757,"type":"article-journal","title":"NGOs and the Globalization of Managerialism: A Research Framework","container-title":"World Development","page":"1845-1864","volume":"33","issue":"11","abstract":"Globalization has created networks of NGOs that are spatially distant, but sometimes geographically clustered (north-south relationships), through which managerial practices have diffused such as accountability, capacity-building, and transparency.","author":[{"family":"Roberts","given":"Susan M."},{"family":"Jones","given":"John Paul III"},{"family":"Frohling","given":"Oliver"}],"issued":{"date-parts":[["2005"]]}}}],"schema":"https://github.com/citation-style-language/schema/raw/master/csl-citation.json"} </w:instrText>
      </w:r>
      <w:r>
        <w:rPr>
          <w:szCs w:val="24"/>
        </w:rPr>
        <w:fldChar w:fldCharType="separate"/>
      </w:r>
      <w:r w:rsidRPr="00836DDB">
        <w:rPr>
          <w:szCs w:val="24"/>
        </w:rPr>
        <w:t>(Roberts, Jones, and Frohling 2005, p. 1846)</w:t>
      </w:r>
      <w:r>
        <w:rPr>
          <w:szCs w:val="24"/>
        </w:rPr>
        <w:fldChar w:fldCharType="end"/>
      </w:r>
      <w:r w:rsidRPr="00836DDB">
        <w:rPr>
          <w:szCs w:val="24"/>
        </w:rPr>
        <w:t xml:space="preserve">. Coupled with the growth of the sector overall, this suggests growth in the local sector. Smillie supports claims of local sector growth in tandem with TNGOs, but notes that the patterns subject to different influences. Although local NGOs may be small or amateurish by comparison to Northern counterparts, they have been present for far longer. However, the introduction of the state and the market both exert strong influences on their presence, as has the entry of Northern </w:t>
      </w:r>
      <w:r w:rsidR="00653503">
        <w:rPr>
          <w:szCs w:val="24"/>
        </w:rPr>
        <w:t>TNGO</w:t>
      </w:r>
      <w:r w:rsidRPr="00836DDB">
        <w:rPr>
          <w:szCs w:val="24"/>
        </w:rPr>
        <w:t xml:space="preserve">s </w:t>
      </w:r>
      <w:r>
        <w:rPr>
          <w:szCs w:val="24"/>
        </w:rPr>
        <w:fldChar w:fldCharType="begin"/>
      </w:r>
      <w:r>
        <w:rPr>
          <w:szCs w:val="24"/>
        </w:rPr>
        <w:instrText xml:space="preserve"> ADDIN ZOTERO_ITEM CSL_CITATION {"citationID":"IeeNGJXQ","properties":{"formattedCitation":"(Smillie 1995)","plainCitation":"(Smillie 1995)"},"citationItems":[{"id":1514,"uris":["http://zotero.org/users/381007/items/WM8HZZ76"],"uri":["http://zotero.org/users/381007/items/WM8HZZ76"],"itemData":{"id":1514,"type":"book","title":"The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rPr>
          <w:szCs w:val="24"/>
        </w:rPr>
        <w:fldChar w:fldCharType="separate"/>
      </w:r>
      <w:r w:rsidRPr="00836DDB">
        <w:rPr>
          <w:szCs w:val="24"/>
        </w:rPr>
        <w:t>(Smillie 1995)</w:t>
      </w:r>
      <w:r>
        <w:rPr>
          <w:szCs w:val="24"/>
        </w:rPr>
        <w:fldChar w:fldCharType="end"/>
      </w:r>
      <w:r w:rsidRPr="00836DDB">
        <w:rPr>
          <w:szCs w:val="24"/>
        </w:rPr>
        <w:t xml:space="preserve">. More specifically, the managerialism adopted by the nonprofit sector in the 1990s, including strategic planning and double-entry bookkeeping, is transferred through the networks formed by TNGOs and local NGO </w:t>
      </w:r>
      <w:r>
        <w:rPr>
          <w:szCs w:val="24"/>
        </w:rPr>
        <w:fldChar w:fldCharType="begin"/>
      </w:r>
      <w:r>
        <w:rPr>
          <w:szCs w:val="24"/>
        </w:rPr>
        <w:instrText xml:space="preserve"> ADDIN ZOTERO_ITEM CSL_CITATION {"citationID":"5MvkVfEB","properties":{"formattedCitation":"(S. M. Roberts, Jones, and Frohling 2005)","plainCitation":"(S. M. Roberts, Jones, and Frohling 2005)"},"citationItems":[{"id":757,"uris":["http://zotero.org/users/381007/items/CADSHXBP"],"uri":["http://zotero.org/users/381007/items/CADSHXBP"],"itemData":{"id":757,"type":"article-journal","title":"NGOs and the Globalization of Managerialism: A Research Framework","container-title":"World Development","page":"1845-1864","volume":"33","issue":"11","abstract":"Globalization has created networks of NGOs that are spatially distant, but sometimes geographically clustered (north-south relationships), through which managerial practices have diffused such as accountability, capacity-building, and transparency.","author":[{"family":"Roberts","given":"Susan M."},{"family":"Jones","given":"John Paul III"},{"family":"Frohling","given":"Oliver"}],"issued":{"date-parts":[["2005"]]}}}],"schema":"https://github.com/citation-style-language/schema/raw/master/csl-citation.json"} </w:instrText>
      </w:r>
      <w:r>
        <w:rPr>
          <w:szCs w:val="24"/>
        </w:rPr>
        <w:fldChar w:fldCharType="separate"/>
      </w:r>
      <w:r w:rsidRPr="00836DDB">
        <w:rPr>
          <w:szCs w:val="24"/>
        </w:rPr>
        <w:t>(Roberts, Jones, and Frohling 2005)</w:t>
      </w:r>
      <w:r>
        <w:rPr>
          <w:szCs w:val="24"/>
        </w:rPr>
        <w:fldChar w:fldCharType="end"/>
      </w:r>
      <w:r w:rsidRPr="00836DDB">
        <w:rPr>
          <w:szCs w:val="24"/>
        </w:rPr>
        <w:t xml:space="preserve">. If the majority of funding for local NGOs flows through TNGOs </w:t>
      </w:r>
      <w:r>
        <w:rPr>
          <w:szCs w:val="24"/>
        </w:rPr>
        <w:fldChar w:fldCharType="begin"/>
      </w:r>
      <w:r>
        <w:rPr>
          <w:szCs w:val="24"/>
        </w:rPr>
        <w:instrText xml:space="preserve"> ADDIN ZOTERO_ITEM CSL_CITATION {"citationID":"XddFnrgF","properties":{"formattedCitation":"(E. James 1989; Dupuy, Ron, and Prakash 2015)","plainCitation":"(E. James 1989; Dupuy, Ron, and Prakash 2015)"},"citationItems":[{"id":3171,"uris":["http://zotero.org/users/381007/items/FVKADD36"],"uri":["http://zotero.org/users/381007/items/FVKADD36"],"itemData":{"id":3171,"type":"chapter","title":"The Nonprofit Sector in Developing Countries: The Case of Sri Lanka","container-title":"The Nonprofit Sector in International Perspective: Studies in Comparative Culture and Policy","publisher":"Oxford University Press","publisher-place":"New York","page":"289-318","event-place":"New York","abstract":"Asks whether there is a nonporfit sector in Sri Lanka and how it difers from the NPO sector in the US.  Finds that most funding for NPOs in Sri Lanka comes from foreign donors (87%) while domestically time and labor were more likely to be volunteered.  The two sectors are similar in that they both are serviced oriented, but Sri Lankan NGOs also engage in provision of impure public goods like roads, wells, and canals.  The author suspects this is not uncommon among developing countries.  NPOs are divded into two categories, those able to secure government funding are more likel to flourish (another similarity with the US&gt;","editor":[{"family":"James","given":"Estelle"}],"author":[{"family":"James","given":"Estelle"}],"issued":{"date-parts":[["1989"]]}}},{"id":3677,"uris":["http://zotero.org/users/381007/items/CG45KSB5"],"uri":["http://zotero.org/users/381007/items/CG45KSB5"],"itemData":{"id":3677,"type":"article-journal","title":"Who Survived? Ethiopia's Regulatory Crackdown on Foreign-Funded NGOs","container-title":"Review in International Political Economy","page":"419-456","volume":"22","issue":"2","author":[{"family":"Dupuy","given":"Kendra"},{"family":"Ron","given":"James"},{"family":"Prakash","given":"Aseem"}],"issued":{"date-parts":[["2015"]]}}}],"schema":"https://github.com/citation-style-language/schema/raw/master/csl-citation.json"} </w:instrText>
      </w:r>
      <w:r>
        <w:rPr>
          <w:szCs w:val="24"/>
        </w:rPr>
        <w:fldChar w:fldCharType="separate"/>
      </w:r>
      <w:r w:rsidRPr="00DF4AFC">
        <w:t>( James 1989; Dupuy, Ron, and Prakash 2015)</w:t>
      </w:r>
      <w:r>
        <w:rPr>
          <w:szCs w:val="24"/>
        </w:rPr>
        <w:fldChar w:fldCharType="end"/>
      </w:r>
      <w:r w:rsidRPr="00836DDB">
        <w:rPr>
          <w:szCs w:val="24"/>
        </w:rPr>
        <w:t xml:space="preserve">, collaboration with TNGOs becomes an integral piece of their growth, livelihoods, and professionalization of local NGOs. </w:t>
      </w:r>
    </w:p>
    <w:p w:rsidR="009944D4" w:rsidRPr="00836DDB" w:rsidRDefault="009944D4" w:rsidP="009944D4">
      <w:pPr>
        <w:spacing w:line="480" w:lineRule="auto"/>
        <w:ind w:firstLine="720"/>
        <w:rPr>
          <w:szCs w:val="24"/>
        </w:rPr>
      </w:pPr>
      <w:r w:rsidRPr="00836DDB">
        <w:rPr>
          <w:szCs w:val="24"/>
        </w:rPr>
        <w:t xml:space="preserve">If collaboration </w:t>
      </w:r>
      <w:r w:rsidR="00447B59">
        <w:rPr>
          <w:szCs w:val="24"/>
        </w:rPr>
        <w:t>makes</w:t>
      </w:r>
      <w:r w:rsidRPr="00836DDB">
        <w:rPr>
          <w:szCs w:val="24"/>
        </w:rPr>
        <w:t xml:space="preserve"> a location more attractive to </w:t>
      </w:r>
      <w:r>
        <w:rPr>
          <w:szCs w:val="24"/>
        </w:rPr>
        <w:t>U.S.-based</w:t>
      </w:r>
      <w:r w:rsidRPr="00836DDB">
        <w:rPr>
          <w:szCs w:val="24"/>
        </w:rPr>
        <w:t xml:space="preserve"> </w:t>
      </w:r>
      <w:r w:rsidR="00447B59">
        <w:rPr>
          <w:szCs w:val="24"/>
        </w:rPr>
        <w:t>T</w:t>
      </w:r>
      <w:r w:rsidRPr="00836DDB">
        <w:rPr>
          <w:szCs w:val="24"/>
        </w:rPr>
        <w:t xml:space="preserve">NGOs, the local landscape may also be an influential factor on decision-making. </w:t>
      </w:r>
      <w:r>
        <w:rPr>
          <w:szCs w:val="24"/>
        </w:rPr>
        <w:fldChar w:fldCharType="begin"/>
      </w:r>
      <w:r>
        <w:rPr>
          <w:szCs w:val="24"/>
        </w:rPr>
        <w:instrText xml:space="preserve"> ADDIN ZOTERO_ITEM CSL_CITATION {"citationID":"p2ko4CZk","properties":{"formattedCitation":"(Mitchell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Pr>
          <w:szCs w:val="24"/>
        </w:rPr>
        <w:fldChar w:fldCharType="separate"/>
      </w:r>
      <w:r w:rsidRPr="00836DDB">
        <w:rPr>
          <w:szCs w:val="24"/>
        </w:rPr>
        <w:t>Mitchell (2013)</w:t>
      </w:r>
      <w:r>
        <w:rPr>
          <w:szCs w:val="24"/>
        </w:rPr>
        <w:fldChar w:fldCharType="end"/>
      </w:r>
      <w:r w:rsidRPr="00836DDB">
        <w:rPr>
          <w:szCs w:val="24"/>
        </w:rPr>
        <w:t xml:space="preserve"> and </w:t>
      </w:r>
      <w:r>
        <w:rPr>
          <w:szCs w:val="24"/>
        </w:rPr>
        <w:fldChar w:fldCharType="begin"/>
      </w:r>
      <w:r>
        <w:rPr>
          <w:szCs w:val="24"/>
        </w:rPr>
        <w:instrText xml:space="preserve"> ADDIN ZOTERO_ITEM CSL_CITATION {"citationID":"Z5vZso4b","properties":{"formattedCitation":"(Brass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836DDB">
        <w:rPr>
          <w:szCs w:val="24"/>
        </w:rPr>
        <w:t>(Brass 2012b)</w:t>
      </w:r>
      <w:r>
        <w:rPr>
          <w:szCs w:val="24"/>
        </w:rPr>
        <w:fldChar w:fldCharType="end"/>
      </w:r>
      <w:r w:rsidRPr="00836DDB">
        <w:rPr>
          <w:szCs w:val="24"/>
        </w:rPr>
        <w:t xml:space="preserve"> both find that networks and collaboration are significant and positive factors in their research. At the same time, dependency on the North is a primary concern in the North-South relations literature and one that agencies such as USAID aim to minimize through collaboration. To be successful, power asymmetry must be carefully managed. Collaborations must be meaningful</w:t>
      </w:r>
      <w:r w:rsidR="00605315">
        <w:rPr>
          <w:szCs w:val="24"/>
        </w:rPr>
        <w:t>,</w:t>
      </w:r>
      <w:r w:rsidRPr="00836DDB">
        <w:rPr>
          <w:szCs w:val="24"/>
        </w:rPr>
        <w:t xml:space="preserve"> and Northern partners must not be perceived as patrons.</w:t>
      </w:r>
    </w:p>
    <w:p w:rsidR="009944D4" w:rsidRPr="00836DDB" w:rsidRDefault="009944D4" w:rsidP="009944D4">
      <w:pPr>
        <w:spacing w:line="480" w:lineRule="auto"/>
        <w:rPr>
          <w:szCs w:val="24"/>
        </w:rPr>
      </w:pPr>
      <w:r w:rsidRPr="00836DDB">
        <w:rPr>
          <w:szCs w:val="24"/>
        </w:rPr>
        <w:tab/>
        <w:t xml:space="preserve">Meaningful collaborations are not limited only to North-South partnerships. </w:t>
      </w:r>
      <w:r>
        <w:rPr>
          <w:szCs w:val="24"/>
        </w:rPr>
        <w:fldChar w:fldCharType="begin"/>
      </w:r>
      <w:r>
        <w:rPr>
          <w:szCs w:val="24"/>
        </w:rPr>
        <w:instrText xml:space="preserve"> ADDIN ZOTERO_ITEM CSL_CITATION {"citationID":"WvK93GPl","properties":{"formattedCitation":"(Brass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836DDB">
        <w:rPr>
          <w:szCs w:val="24"/>
        </w:rPr>
        <w:t>Brass (2012b)</w:t>
      </w:r>
      <w:r>
        <w:rPr>
          <w:szCs w:val="24"/>
        </w:rPr>
        <w:fldChar w:fldCharType="end"/>
      </w:r>
      <w:r w:rsidRPr="00836DDB">
        <w:rPr>
          <w:szCs w:val="24"/>
        </w:rPr>
        <w:t xml:space="preserve"> notes that networks may influence where </w:t>
      </w:r>
      <w:r w:rsidR="00605315">
        <w:rPr>
          <w:szCs w:val="24"/>
        </w:rPr>
        <w:t>T</w:t>
      </w:r>
      <w:r w:rsidRPr="00836DDB">
        <w:rPr>
          <w:szCs w:val="24"/>
        </w:rPr>
        <w:t xml:space="preserve">NGOs go in the Kenyan case, identifying staff as a primary factor. The ability to obtain and retain knowledgeable and experience staff is important to the effectiveness and efficiency of </w:t>
      </w:r>
      <w:r>
        <w:rPr>
          <w:szCs w:val="24"/>
        </w:rPr>
        <w:t>U.S.-based</w:t>
      </w:r>
      <w:r w:rsidRPr="00836DDB">
        <w:rPr>
          <w:szCs w:val="24"/>
        </w:rPr>
        <w:t xml:space="preserve"> </w:t>
      </w:r>
      <w:r w:rsidR="00605315">
        <w:rPr>
          <w:szCs w:val="24"/>
        </w:rPr>
        <w:t>T</w:t>
      </w:r>
      <w:r w:rsidRPr="00836DDB">
        <w:rPr>
          <w:szCs w:val="24"/>
        </w:rPr>
        <w:t xml:space="preserve">NGOs. She refers to international staff, however, national staff is as important. The movement of talented national staff from the public sector to the third sector is one of the contributing factors to weak state institutional capacity discussed earlier. National staff provide useful connections as well as knowledge about the political and cultural landscape that can help </w:t>
      </w:r>
      <w:r>
        <w:rPr>
          <w:szCs w:val="24"/>
        </w:rPr>
        <w:t>U.S.-based</w:t>
      </w:r>
      <w:r w:rsidRPr="00836DDB">
        <w:rPr>
          <w:szCs w:val="24"/>
        </w:rPr>
        <w:t xml:space="preserve"> </w:t>
      </w:r>
      <w:r w:rsidR="00605315">
        <w:rPr>
          <w:szCs w:val="24"/>
        </w:rPr>
        <w:t>T</w:t>
      </w:r>
      <w:r w:rsidRPr="00836DDB">
        <w:rPr>
          <w:szCs w:val="24"/>
        </w:rPr>
        <w:t xml:space="preserve">NGOs navigate a country and achieve its goals. In a few cases encountered during field interviews in Uganda, </w:t>
      </w:r>
      <w:r>
        <w:rPr>
          <w:szCs w:val="24"/>
        </w:rPr>
        <w:t>U.S.-based</w:t>
      </w:r>
      <w:r w:rsidRPr="00836DDB">
        <w:rPr>
          <w:szCs w:val="24"/>
        </w:rPr>
        <w:t xml:space="preserve"> </w:t>
      </w:r>
      <w:r w:rsidR="00605315">
        <w:rPr>
          <w:szCs w:val="24"/>
        </w:rPr>
        <w:t>T</w:t>
      </w:r>
      <w:r w:rsidRPr="00836DDB">
        <w:rPr>
          <w:szCs w:val="24"/>
        </w:rPr>
        <w:t xml:space="preserve">NGOs preferred to place North Americans in positions related to accountability, such as a Country Director or Financial Controller. Because of work regulations, this is most often attributed to </w:t>
      </w:r>
      <w:r>
        <w:rPr>
          <w:szCs w:val="24"/>
        </w:rPr>
        <w:t>skills and education</w:t>
      </w:r>
      <w:r w:rsidRPr="00836DDB">
        <w:rPr>
          <w:szCs w:val="24"/>
        </w:rPr>
        <w:t xml:space="preserve"> rather than corruption. More often, </w:t>
      </w:r>
      <w:r>
        <w:rPr>
          <w:szCs w:val="24"/>
        </w:rPr>
        <w:t>U.S.-based</w:t>
      </w:r>
      <w:r w:rsidRPr="00836DDB">
        <w:rPr>
          <w:szCs w:val="24"/>
        </w:rPr>
        <w:t xml:space="preserve"> </w:t>
      </w:r>
      <w:r w:rsidR="00605315">
        <w:rPr>
          <w:szCs w:val="24"/>
        </w:rPr>
        <w:t>T</w:t>
      </w:r>
      <w:r w:rsidRPr="00836DDB">
        <w:rPr>
          <w:szCs w:val="24"/>
        </w:rPr>
        <w:t xml:space="preserve">NGOs employed </w:t>
      </w:r>
      <w:r w:rsidR="006D3608">
        <w:rPr>
          <w:szCs w:val="24"/>
        </w:rPr>
        <w:t>staff</w:t>
      </w:r>
      <w:r w:rsidRPr="00836DDB">
        <w:rPr>
          <w:szCs w:val="24"/>
        </w:rPr>
        <w:t xml:space="preserve"> </w:t>
      </w:r>
      <w:r w:rsidR="006D3608">
        <w:rPr>
          <w:szCs w:val="24"/>
        </w:rPr>
        <w:t>who</w:t>
      </w:r>
      <w:r w:rsidRPr="00836DDB">
        <w:rPr>
          <w:szCs w:val="24"/>
        </w:rPr>
        <w:t xml:space="preserve"> </w:t>
      </w:r>
      <w:r>
        <w:rPr>
          <w:szCs w:val="24"/>
        </w:rPr>
        <w:t>were entirely Ugandan nationals</w:t>
      </w:r>
      <w:r w:rsidRPr="00836DDB">
        <w:rPr>
          <w:szCs w:val="24"/>
        </w:rPr>
        <w:t>.</w:t>
      </w:r>
      <w:r>
        <w:rPr>
          <w:rStyle w:val="FootnoteReference"/>
          <w:szCs w:val="24"/>
        </w:rPr>
        <w:footnoteReference w:id="6"/>
      </w:r>
      <w:r w:rsidRPr="00836DDB">
        <w:rPr>
          <w:szCs w:val="24"/>
        </w:rPr>
        <w:t xml:space="preserve"> The interaction between headquarters and a country office made up entirely of national staff or between expatriates and national staff w</w:t>
      </w:r>
      <w:r>
        <w:rPr>
          <w:szCs w:val="24"/>
        </w:rPr>
        <w:t xml:space="preserve">ithin a country office raises another </w:t>
      </w:r>
      <w:r w:rsidRPr="00836DDB">
        <w:rPr>
          <w:szCs w:val="24"/>
        </w:rPr>
        <w:t xml:space="preserve">issue for globalization and TNGOs: cross cultural management. </w:t>
      </w:r>
    </w:p>
    <w:p w:rsidR="009944D4" w:rsidRPr="00836DDB" w:rsidRDefault="009944D4" w:rsidP="009944D4">
      <w:pPr>
        <w:spacing w:line="480" w:lineRule="auto"/>
        <w:rPr>
          <w:szCs w:val="24"/>
        </w:rPr>
      </w:pPr>
      <w:r w:rsidRPr="00836DDB">
        <w:rPr>
          <w:szCs w:val="24"/>
        </w:rPr>
        <w:tab/>
        <w:t xml:space="preserve">Cross-cultural management is an obviously important, yet under addressed, area of research for </w:t>
      </w:r>
      <w:r w:rsidR="00605315">
        <w:rPr>
          <w:szCs w:val="24"/>
        </w:rPr>
        <w:t>T</w:t>
      </w:r>
      <w:r w:rsidRPr="00836DDB">
        <w:rPr>
          <w:szCs w:val="24"/>
        </w:rPr>
        <w:t xml:space="preserve">NGOs operating in the international context. Cross-cultural management is at the heart of program effectiveness, but cultural sensitivity within an </w:t>
      </w:r>
      <w:r w:rsidR="00605315">
        <w:rPr>
          <w:szCs w:val="24"/>
        </w:rPr>
        <w:t>T</w:t>
      </w:r>
      <w:r w:rsidRPr="00836DDB">
        <w:rPr>
          <w:szCs w:val="24"/>
        </w:rPr>
        <w:t xml:space="preserve">NGO as well as the cultural appropriateness of the programming are also important </w:t>
      </w:r>
      <w:r>
        <w:rPr>
          <w:szCs w:val="24"/>
        </w:rPr>
        <w:fldChar w:fldCharType="begin"/>
      </w:r>
      <w:r>
        <w:rPr>
          <w:szCs w:val="24"/>
        </w:rPr>
        <w:instrText xml:space="preserve"> ADDIN ZOTERO_ITEM CSL_CITATION {"citationID":"fTbObw67","properties":{"formattedCitation":"(Jackson 2009)","plainCitation":"(Jackson 2009)"},"citationItems":[{"id":519,"uris":["http://zotero.org/users/381007/items/5HAIE2SN"],"uri":["http://zotero.org/users/381007/items/5HAIE2SN"],"itemData":{"id":519,"type":"article-journal","title":"A Critical Cross-Cultural Perspective for Developing Nonprofit International Management Capacity","container-title":"Nonprofit Management &amp; Leadership","page":"443-466","volume":"19","issue":"4","abstract":"Issues of the effectiveness of international NGOs are becoming critical among claims that cultural sensitivity to people's needs and the appropriateness of the interventions is a competitive advantage of the sector.  The idea of \"managing\" NGOs is a recent consideration among practitioners and academics, and development practitioners seem to disdain anything related to managerialism or uncritically accept western management principals.  Some organizations appear to have revised their techniques, importing the latest management techniques as quick fixes, especially where NGOs there are concerns about the development effectiveness of iNGOs (performance, aid system architecture, power asymmetry - see Mawdlsey et al 2002, Groves and Hinton 2004).  Pressures NGOs from donor organizations to adopt modern techniques are considerable as access to funds comes with more stringent conditions, including greater accountability and organizational transformations.  Management is becoming a critical component in the iNGO sector, but there are 2 related issues that receive little attention in the literature: 1) management effectiveness and 2) management appropriateness.","author":[{"family":"Jackson","given":"Terrence"}],"issued":{"date-parts":[["2009"]]}}}],"schema":"https://github.com/citation-style-language/schema/raw/master/csl-citation.json"} </w:instrText>
      </w:r>
      <w:r>
        <w:rPr>
          <w:szCs w:val="24"/>
        </w:rPr>
        <w:fldChar w:fldCharType="separate"/>
      </w:r>
      <w:r w:rsidRPr="00836DDB">
        <w:rPr>
          <w:szCs w:val="24"/>
        </w:rPr>
        <w:t>(Jackson 2009)</w:t>
      </w:r>
      <w:r>
        <w:rPr>
          <w:szCs w:val="24"/>
        </w:rPr>
        <w:fldChar w:fldCharType="end"/>
      </w:r>
      <w:r w:rsidRPr="00836DDB">
        <w:rPr>
          <w:szCs w:val="24"/>
        </w:rPr>
        <w:t xml:space="preserve">. Of course, this overlaps with Lewis’s (2001) managerialism and the wholesale export of practices and solutions from the West. To both meet the demands of donors for accountability and to meet the </w:t>
      </w:r>
      <w:r w:rsidR="00E203F8">
        <w:rPr>
          <w:szCs w:val="24"/>
        </w:rPr>
        <w:t xml:space="preserve">needs of the organization </w:t>
      </w:r>
      <w:r w:rsidRPr="00836DDB">
        <w:rPr>
          <w:szCs w:val="24"/>
        </w:rPr>
        <w:t xml:space="preserve">and </w:t>
      </w:r>
      <w:r w:rsidR="00E203F8">
        <w:rPr>
          <w:szCs w:val="24"/>
        </w:rPr>
        <w:t>its beneficiaries</w:t>
      </w:r>
      <w:r w:rsidRPr="00836DDB">
        <w:rPr>
          <w:szCs w:val="24"/>
        </w:rPr>
        <w:t>, a cross-cultural convergence approach is recommended. Such</w:t>
      </w:r>
      <w:r w:rsidR="00605315">
        <w:rPr>
          <w:szCs w:val="24"/>
        </w:rPr>
        <w:t xml:space="preserve"> an approach should hybridize a</w:t>
      </w:r>
      <w:r w:rsidRPr="00836DDB">
        <w:rPr>
          <w:szCs w:val="24"/>
        </w:rPr>
        <w:t xml:space="preserve"> </w:t>
      </w:r>
      <w:r w:rsidR="00605315">
        <w:rPr>
          <w:szCs w:val="24"/>
        </w:rPr>
        <w:t>T</w:t>
      </w:r>
      <w:r w:rsidRPr="00836DDB">
        <w:rPr>
          <w:szCs w:val="24"/>
        </w:rPr>
        <w:t xml:space="preserve">NGO by retaining managerialist elements, but also incorporating local humanistic values focused </w:t>
      </w:r>
      <w:r w:rsidR="006D3608">
        <w:rPr>
          <w:szCs w:val="24"/>
        </w:rPr>
        <w:t>on</w:t>
      </w:r>
      <w:r w:rsidRPr="00836DDB">
        <w:rPr>
          <w:szCs w:val="24"/>
        </w:rPr>
        <w:t xml:space="preserve"> staff as individuals </w:t>
      </w:r>
      <w:r>
        <w:rPr>
          <w:szCs w:val="24"/>
        </w:rPr>
        <w:fldChar w:fldCharType="begin"/>
      </w:r>
      <w:r>
        <w:rPr>
          <w:szCs w:val="24"/>
        </w:rPr>
        <w:instrText xml:space="preserve"> ADDIN ZOTERO_ITEM CSL_CITATION {"citationID":"3wzfCxQT","properties":{"formattedCitation":"(Jackson and Haines 2007; Jackson 2009)","plainCitation":"(Jackson and Haines 2007; Jackson 2009)"},"citationItems":[{"id":1312,"uris":["http://zotero.org/users/381007/items/SU2Q4SHX"],"uri":["http://zotero.org/users/381007/items/SU2Q4SHX"],"itemData":{"id":1312,"type":"article-journal","title":"Cross-Cultural Management in South African NGOs","container-title":"South African Review of Sociology","page":"85-98","volume":"38","issue":"1","abstract":"Little written on cross-cultural management in NGOs despite the importance in managing people and reconciling cultural differences and NGOs multicultural societies.  This article provides a model for analyzing cross-cultural dynamics in management through the concept of cultural crossvergence and hybridization by incorporating values and the humanistic value of people. For local NGOs, the main cross-cultural issues can be understood as \"inter-continental\" (North-South or West-non Western relations) both historically and currently. This involves the relationship of power (military/economic) as colonial relations or neo-colonial relations (economic/ideological) through international agencies, multi-national corporations, and the hegemony of the Western management education.  Can also be understood in terms of inter-ethnic relations of the workplace or staff/client and community relations. At the intercontinental level, value is placed on people in the organization (the locus of human value) and may be a major source of misunderstanding in the management of people. Recgonition among NGOs of the need to be culturall sensitive in the literature, but there a few formal structures/processes like training workshops to facilitate cross-cultural management. Despite claiming comparative advantage in the NGO sector's ability to respond locally, its social focus and cultural sensitivity remain detatched from what is articulated in the literature; Northern donors place great pressures on Southern NGOs to adopt \"modern\" management methods and understanding of the locus of human value may counter this approach; cross-cultural dynamics within management of NGOs may be better understood through modeling of cultural crossvergence tht can be subject of interventions and involving capacity building, management development, training, and policy reformulations by donor agencies; local South African NGOs appear resistant to complete moves to \"modern\" management and are instead incorporating humanistic styles and systems that better reflect community values. This suggests the need for further research in other \"developing\" regions as well as among international NGOs and the ways in which they operate and manage people and policies.","author":[{"family":"Jackson","given":"Terrence"},{"family":"Haines","given":"Richard"}],"issued":{"date-parts":[["2007"]]}}},{"id":519,"uris":["http://zotero.org/users/381007/items/5HAIE2SN"],"uri":["http://zotero.org/users/381007/items/5HAIE2SN"],"itemData":{"id":519,"type":"article-journal","title":"A Critical Cross-Cultural Perspective for Developing Nonprofit International Management Capacity","container-title":"Nonprofit Management &amp; Leadership","page":"443-466","volume":"19","issue":"4","abstract":"Issues of the effectiveness of international NGOs are becoming critical among claims that cultural sensitivity to people's needs and the appropriateness of the interventions is a competitive advantage of the sector.  The idea of \"managing\" NGOs is a recent consideration among practitioners and academics, and development practitioners seem to disdain anything related to managerialism or uncritically accept western management principals.  Some organizations appear to have revised their techniques, importing the latest management techniques as quick fixes, especially where NGOs there are concerns about the development effectiveness of iNGOs (performance, aid system architecture, power asymmetry - see Mawdlsey et al 2002, Groves and Hinton 2004).  Pressures NGOs from donor organizations to adopt modern techniques are considerable as access to funds comes with more stringent conditions, including greater accountability and organizational transformations.  Management is becoming a critical component in the iNGO sector, but there are 2 related issues that receive little attention in the literature: 1) management effectiveness and 2) management appropriateness.","author":[{"family":"Jackson","given":"Terrence"}],"issued":{"date-parts":[["2009"]]}}}],"schema":"https://github.com/citation-style-language/schema/raw/master/csl-citation.json"} </w:instrText>
      </w:r>
      <w:r>
        <w:rPr>
          <w:szCs w:val="24"/>
        </w:rPr>
        <w:fldChar w:fldCharType="separate"/>
      </w:r>
      <w:r w:rsidRPr="00836DDB">
        <w:rPr>
          <w:szCs w:val="24"/>
        </w:rPr>
        <w:t>(Jackson and Haines 2007; Jackson 2009)</w:t>
      </w:r>
      <w:r>
        <w:rPr>
          <w:szCs w:val="24"/>
        </w:rPr>
        <w:fldChar w:fldCharType="end"/>
      </w:r>
      <w:r w:rsidRPr="00836DDB">
        <w:rPr>
          <w:szCs w:val="24"/>
        </w:rPr>
        <w:t xml:space="preserve">. Jackson and Haines (2007) offer the cross-cultural approach as an inter-ethnic one, a reminder of Varshney’s (2001) findings on inter-ethnic harmony and meaningful interaction. Both perspectives highlight the significance of upward and downward accountability is especially significant for TNGOs due to the competition between organizations for resources and the management of those resources </w:t>
      </w:r>
      <w:r>
        <w:rPr>
          <w:szCs w:val="24"/>
        </w:rPr>
        <w:fldChar w:fldCharType="begin"/>
      </w:r>
      <w:r>
        <w:rPr>
          <w:szCs w:val="24"/>
        </w:rPr>
        <w:instrText xml:space="preserve"> ADDIN ZOTERO_ITEM CSL_CITATION {"citationID":"jDeZVBmn","properties":{"formattedCitation":"(Schmitz, Raggo, and Bruno-van Vijfeijken 2012)","plainCitation":"(Schmitz, Raggo, and Bruno-van Vijfeijken 2012)"},"citationItems":[{"id":641,"uris":["http://zotero.org/users/381007/items/8DD22WVD"],"uri":["http://zotero.org/users/381007/items/8DD22WVD"],"itemData":{"id":641,"type":"article-journal","title":"Accountability of Transnational NGOs: Aspiration vs. Practice","container-title":"Nonprofit and Voluntary Sector Quarterly","page":"1175-1194","volume":"41","issue":"6","abstract":"RQ: How is accountability among TNGOs perceived and practiced? \nTo whom, what for, and how are transnational NGOs accountable?\n\nFindings: Examines hte issue of accountability of TNGOs, a major issue in both academia and policy circles. Most of the policy literature focuses on prescriptions, but this article emphasizes how leadership within TNGOs perceive accountability. Accountability is important because of the expansion of resources and the number of TNGOs, and also because the pressure of accountability measures can create mutally exclusive and incoherent demands that may be incompatible with TNGO efforts to strengthen \"downward accountablity.\" The study finds that smaller organizations are more likely to associate accountability with financial management compared to mid-sized and large organizations, showing that donor-driven accountability pressures are more pronounced with smaller organizations.  Accountability in this manner is often described in terms of \"concrete practices\" and is largely reactive to external demands.  Interviewees identified 3 constituents to which they feel responsible on average; most included donors, followed by the board of beneficiaries; but also included were governments, staff, the public, other NGOs, and beneficiaries.  However, there was more emphasis on some constituents over others (78% overall for donors versus 48% for beneficiaries).  There was also a strong linkage between being accountable to donors through financial management, transparency, and legal/contractual obligations and interviewees also identified related mechanisms, such as internal and external audits, when asked how they are accountable (in addtion to metrics and evaluation). \n\nMethods: Interviews with 152 TNGO CEOs identified through Charity Navigator, selected on complete information provided in profile then by size, stability, etc.\n\nStrengths: \n\nWeaknesses: Limitations - relies on accountability perceptiosn of leaders only, views of accountability may vary depending on the level of the organization but leadership are important in balancing stakeholder demands and key decision makers. The sample is US absed, room for comparative studies.","author":[{"family":"Schmitz","given":"Hans"},{"family":"Raggo","given":"Paloma"},{"family":"Bruno-van Vijfeijken","given":"Tosca"}],"issued":{"date-parts":[["2012"]]}}}],"schema":"https://github.com/citation-style-language/schema/raw/master/csl-citation.json"} </w:instrText>
      </w:r>
      <w:r>
        <w:rPr>
          <w:szCs w:val="24"/>
        </w:rPr>
        <w:fldChar w:fldCharType="separate"/>
      </w:r>
      <w:r w:rsidRPr="00836DDB">
        <w:rPr>
          <w:szCs w:val="24"/>
        </w:rPr>
        <w:t>(Schmitz, Raggo, and Bruno-van Vijfeijken 2012)</w:t>
      </w:r>
      <w:r>
        <w:rPr>
          <w:szCs w:val="24"/>
        </w:rPr>
        <w:fldChar w:fldCharType="end"/>
      </w:r>
      <w:r w:rsidRPr="00836DDB">
        <w:rPr>
          <w:szCs w:val="24"/>
        </w:rPr>
        <w:t>, but also the value of i</w:t>
      </w:r>
      <w:r w:rsidR="00605315">
        <w:rPr>
          <w:szCs w:val="24"/>
        </w:rPr>
        <w:t>ndividuals to the success of a T</w:t>
      </w:r>
      <w:r w:rsidRPr="00836DDB">
        <w:rPr>
          <w:szCs w:val="24"/>
        </w:rPr>
        <w:t xml:space="preserve">NGO’s mission. Accordingly, internal as well as external factors may influence location. </w:t>
      </w:r>
    </w:p>
    <w:p w:rsidR="00E67B1D" w:rsidRDefault="00E67B1D" w:rsidP="00E67B1D">
      <w:pPr>
        <w:spacing w:line="480" w:lineRule="auto"/>
        <w:rPr>
          <w:szCs w:val="24"/>
        </w:rPr>
      </w:pPr>
    </w:p>
    <w:p w:rsidR="009944D4" w:rsidRPr="00836DDB" w:rsidRDefault="009944D4" w:rsidP="00E67B1D">
      <w:pPr>
        <w:spacing w:line="480" w:lineRule="auto"/>
        <w:jc w:val="center"/>
        <w:rPr>
          <w:i/>
          <w:szCs w:val="24"/>
        </w:rPr>
      </w:pPr>
      <w:r w:rsidRPr="00836DDB">
        <w:rPr>
          <w:i/>
          <w:szCs w:val="24"/>
        </w:rPr>
        <w:t>Decision-making</w:t>
      </w:r>
    </w:p>
    <w:p w:rsidR="009944D4" w:rsidRPr="00836DDB" w:rsidRDefault="009944D4" w:rsidP="009944D4">
      <w:pPr>
        <w:spacing w:line="480" w:lineRule="auto"/>
        <w:rPr>
          <w:szCs w:val="24"/>
        </w:rPr>
      </w:pPr>
      <w:r w:rsidRPr="00836DDB">
        <w:rPr>
          <w:szCs w:val="24"/>
        </w:rPr>
        <w:tab/>
        <w:t xml:space="preserve">Essential to the location choices of </w:t>
      </w:r>
      <w:r w:rsidR="00605315">
        <w:rPr>
          <w:szCs w:val="24"/>
        </w:rPr>
        <w:t>T</w:t>
      </w:r>
      <w:r w:rsidRPr="00836DDB">
        <w:rPr>
          <w:szCs w:val="24"/>
        </w:rPr>
        <w:t xml:space="preserve">NGOs is the decision-making process. </w:t>
      </w:r>
      <w:r w:rsidR="006D3608">
        <w:rPr>
          <w:szCs w:val="24"/>
        </w:rPr>
        <w:t>Central to studies of decision-making is</w:t>
      </w:r>
      <w:r w:rsidRPr="00836DDB">
        <w:rPr>
          <w:szCs w:val="24"/>
        </w:rPr>
        <w:t xml:space="preserve"> </w:t>
      </w:r>
      <w:r>
        <w:rPr>
          <w:szCs w:val="24"/>
        </w:rPr>
        <w:fldChar w:fldCharType="begin"/>
      </w:r>
      <w:r>
        <w:rPr>
          <w:szCs w:val="24"/>
        </w:rPr>
        <w:instrText xml:space="preserve"> ADDIN ZOTERO_ITEM CSL_CITATION {"citationID":"q8egJG2z","properties":{"formattedCitation":"(Taylor 1912)","plainCitation":"(Taylor 1912)"},"citationItems":[{"id":3222,"uris":["http://zotero.org/users/381007/items/UG2A82D6"],"uri":["http://zotero.org/users/381007/items/UG2A82D6"],"itemData":{"id":3222,"type":"chapter","title":"Scientific Management","container-title":"Classics of Public Administration","publisher":"Wadsworth","publisher-place":"Boston","page":"37-39","edition":"7th","event-place":"Boston","author":[{"family":"Taylor","given":"Frederick W."}],"editor":[{"family":"Shafritz","given":"Jay M."},{"family":"Hyde","given":"Albert C."}],"issued":{"date-parts":[["1912"]]}}}],"schema":"https://github.com/citation-style-language/schema/raw/master/csl-citation.json"} </w:instrText>
      </w:r>
      <w:r>
        <w:rPr>
          <w:szCs w:val="24"/>
        </w:rPr>
        <w:fldChar w:fldCharType="separate"/>
      </w:r>
      <w:r>
        <w:rPr>
          <w:szCs w:val="24"/>
        </w:rPr>
        <w:t>Taylor's (1912</w:t>
      </w:r>
      <w:r w:rsidRPr="00836DDB">
        <w:rPr>
          <w:szCs w:val="24"/>
        </w:rPr>
        <w:t>)</w:t>
      </w:r>
      <w:r>
        <w:rPr>
          <w:szCs w:val="24"/>
        </w:rPr>
        <w:fldChar w:fldCharType="end"/>
      </w:r>
      <w:r w:rsidRPr="00836DDB">
        <w:rPr>
          <w:szCs w:val="24"/>
        </w:rPr>
        <w:t xml:space="preserve"> rationalist scientific management</w:t>
      </w:r>
      <w:r w:rsidR="006D3608">
        <w:rPr>
          <w:szCs w:val="24"/>
        </w:rPr>
        <w:t xml:space="preserve"> scholarship</w:t>
      </w:r>
      <w:r w:rsidRPr="00836DDB">
        <w:rPr>
          <w:szCs w:val="24"/>
        </w:rPr>
        <w:t xml:space="preserve">. The study of decision-making is a key area in the field of public administration. </w:t>
      </w:r>
      <w:r w:rsidRPr="003A183B">
        <w:rPr>
          <w:szCs w:val="24"/>
        </w:rPr>
        <w:t>Simon</w:t>
      </w:r>
      <w:r>
        <w:rPr>
          <w:szCs w:val="24"/>
        </w:rPr>
        <w:t xml:space="preserve"> </w:t>
      </w:r>
      <w:r>
        <w:rPr>
          <w:szCs w:val="24"/>
        </w:rPr>
        <w:fldChar w:fldCharType="begin"/>
      </w:r>
      <w:r>
        <w:rPr>
          <w:szCs w:val="24"/>
        </w:rPr>
        <w:instrText xml:space="preserve"> ADDIN ZOTERO_ITEM CSL_CITATION {"citationID":"sLRefpfC","properties":{"formattedCitation":"(Simon, Herbert A. 1946)","plainCitation":"(Simon, Herbert A. 1946)"},"citationItems":[{"id":1290,"uris":["http://zotero.org/users/381007/items/SC2TWK3R"],"uri":["http://zotero.org/users/381007/items/SC2TWK3R"],"itemData":{"id":1290,"type":"article-journal","title":"The Proverbs of Administration","container-title":"Public Administration Review","page":"53-67","volume":"6","issue":"1","abstract":"Proverbs of administration not only conflict, they do not provide any indication of when/where they should be applied nor are they measurable, taking into account the bounds of rationality and ways to isolate noise in studies that may also influence organizational behavior.","author":[{"family":"Simon, Herbert A.","given":""}],"issued":{"date-parts":[["1946"]],"season":"Winter"},"accessed":{"date-parts":[["2011",5,8]]}}}],"schema":"https://github.com/citation-style-language/schema/raw/master/csl-citation.json"} </w:instrText>
      </w:r>
      <w:r>
        <w:rPr>
          <w:szCs w:val="24"/>
        </w:rPr>
        <w:fldChar w:fldCharType="separate"/>
      </w:r>
      <w:r>
        <w:t>(</w:t>
      </w:r>
      <w:r w:rsidRPr="003A183B">
        <w:t>1946)</w:t>
      </w:r>
      <w:r>
        <w:rPr>
          <w:szCs w:val="24"/>
        </w:rPr>
        <w:fldChar w:fldCharType="end"/>
      </w:r>
      <w:r w:rsidRPr="00836DDB">
        <w:rPr>
          <w:szCs w:val="24"/>
        </w:rPr>
        <w:t xml:space="preserve"> maintains a distinction between public and private organizations and challenges those who view decision-makers as rational beings. When decision makers are rational, there are more similarities than differences between public and private organizations</w:t>
      </w:r>
      <w:r>
        <w:rPr>
          <w:szCs w:val="24"/>
        </w:rPr>
        <w:t xml:space="preserve"> </w:t>
      </w:r>
      <w:r>
        <w:rPr>
          <w:szCs w:val="24"/>
        </w:rPr>
        <w:fldChar w:fldCharType="begin"/>
      </w:r>
      <w:r>
        <w:rPr>
          <w:szCs w:val="24"/>
        </w:rPr>
        <w:instrText xml:space="preserve"> ADDIN ZOTERO_ITEM CSL_CITATION {"citationID":"cFoyhBsp","properties":{"formattedCitation":"(Rainey, Ronquillo, and Avellaneda 2010)","plainCitation":"(Rainey, Ronquillo, and Avellaneda 2010)"},"citationItems":[{"id":3683,"uris":["http://zotero.org/users/381007/items/73884VWP"],"uri":["http://zotero.org/users/381007/items/73884VWP"],"itemData":{"id":3683,"type":"chapter","title":"Decision making in public organizations","container-title":"Handbook of Decision Making","publisher":"John Wiley &amp; Sons","publisher-place":"Chichester","page":"349-378","event-place":"Chichester","author":[{"family":"Rainey","given":"Hal"},{"family":"Ronquillo","given":"John C."},{"family":"Avellaneda","given":"Claudia N."}],"issued":{"date-parts":[["2010"]]}}}],"schema":"https://github.com/citation-style-language/schema/raw/master/csl-citation.json"} </w:instrText>
      </w:r>
      <w:r>
        <w:rPr>
          <w:szCs w:val="24"/>
        </w:rPr>
        <w:fldChar w:fldCharType="separate"/>
      </w:r>
      <w:r w:rsidRPr="003A183B">
        <w:t>(Rainey, Ronquillo, and Avellaneda 2010)</w:t>
      </w:r>
      <w:r>
        <w:rPr>
          <w:szCs w:val="24"/>
        </w:rPr>
        <w:fldChar w:fldCharType="end"/>
      </w:r>
      <w:r w:rsidRPr="00836DDB">
        <w:rPr>
          <w:szCs w:val="24"/>
        </w:rPr>
        <w:t xml:space="preserve">. Simon’s bounded rationality is juxtaposed with Lindblom’s “muddling through”, or incremental decision-making </w:t>
      </w:r>
      <w:r>
        <w:rPr>
          <w:szCs w:val="24"/>
        </w:rPr>
        <w:fldChar w:fldCharType="begin"/>
      </w:r>
      <w:r>
        <w:rPr>
          <w:szCs w:val="24"/>
        </w:rPr>
        <w:instrText xml:space="preserve"> ADDIN ZOTERO_ITEM CSL_CITATION {"citationID":"wnN9TdAl","properties":{"formattedCitation":"(Lindblom, Charles E. 1959)","plainCitation":"(Lindblom, Charles E. 1959)"},"citationItems":[{"id":1292,"uris":["http://zotero.org/users/381007/items/SCWW5DT2"],"uri":["http://zotero.org/users/381007/items/SCWW5DT2"],"itemData":{"id":1292,"type":"article-journal","title":"The Science of \"Muddling Through\"","container-title":"Public Administration Review","page":"79-88","volume":"19","issue":"2","abstract":"Branch Theory reflects how administrators and policy-makers make decisions in reality; there is a need to formalize this theory in the literature to advance knowledge about the policy-making process, over Root Theory, which the literature gives preference to despite its limitations.\n\nRoot Theory = starting from fundamentals anew each time, buidling on past experiences embodied in theory and always prepared to start from ground up.  Comprehensive examination of all options, but this is limted by human capacity to consider/know about all alternatives.  Exclusions in this model are therefore inadvertant and a flaw.\n\nBranch Theory = continually building out from current situation in small degrees steop by step.  Incremental changes.  Only examines alternative policies that differ marginally from the status quo in differences in consequences.  Helpful because flaws are more easily remedied and practitioners can use previous experience to build knowledge.  Lindholm prefers this because it reflects how policy-making is actually practiced.","author":[{"family":"Lindblom, Charles E.","given":""}],"issued":{"date-parts":[["1959"]],"season":"Spring"},"accessed":{"date-parts":[["2011",5,8]]}}}],"schema":"https://github.com/citation-style-language/schema/raw/master/csl-citation.json"} </w:instrText>
      </w:r>
      <w:r>
        <w:rPr>
          <w:szCs w:val="24"/>
        </w:rPr>
        <w:fldChar w:fldCharType="separate"/>
      </w:r>
      <w:r w:rsidRPr="00836DDB">
        <w:rPr>
          <w:szCs w:val="24"/>
        </w:rPr>
        <w:t>(Lindblom 1959)</w:t>
      </w:r>
      <w:r>
        <w:rPr>
          <w:szCs w:val="24"/>
        </w:rPr>
        <w:fldChar w:fldCharType="end"/>
      </w:r>
      <w:r w:rsidRPr="00836DDB">
        <w:rPr>
          <w:szCs w:val="24"/>
        </w:rPr>
        <w:t xml:space="preserve">. This approach to decision-making proposes that bureaucrats make successive and limited comparisons. In this manner, Lindblom’s approach is similar to that of Simon, but the actors are able to curtail mistakes by making decisions incrementally. </w:t>
      </w:r>
    </w:p>
    <w:p w:rsidR="009944D4" w:rsidRPr="00836DDB" w:rsidRDefault="009944D4" w:rsidP="009944D4">
      <w:pPr>
        <w:spacing w:line="480" w:lineRule="auto"/>
        <w:ind w:firstLine="720"/>
        <w:rPr>
          <w:szCs w:val="24"/>
        </w:rPr>
      </w:pPr>
      <w:r>
        <w:rPr>
          <w:szCs w:val="24"/>
        </w:rPr>
        <w:t>Alternate</w:t>
      </w:r>
      <w:r w:rsidRPr="00836DDB">
        <w:rPr>
          <w:szCs w:val="24"/>
        </w:rPr>
        <w:t xml:space="preserve"> approaches to decision-making include participator</w:t>
      </w:r>
      <w:r>
        <w:rPr>
          <w:szCs w:val="24"/>
        </w:rPr>
        <w:t xml:space="preserve">y, contingent, and garbage can </w:t>
      </w:r>
      <w:r>
        <w:rPr>
          <w:szCs w:val="24"/>
        </w:rPr>
        <w:fldChar w:fldCharType="begin"/>
      </w:r>
      <w:r>
        <w:rPr>
          <w:szCs w:val="24"/>
        </w:rPr>
        <w:instrText xml:space="preserve"> ADDIN ZOTERO_ITEM CSL_CITATION {"citationID":"CB8m1XtQ","properties":{"formattedCitation":"(Child 1975; Cohen, Michael D., James G. March, and Jonah P. Olsen 1972)","plainCitation":"(Child 1975; Cohen, Michael D., James G. March, and Jonah P. Olsen 1972)"},"citationItems":[{"id":3661,"uris":["http://zotero.org/users/381007/items/C93GGGZT"],"uri":["http://zotero.org/users/381007/items/C93GGGZT"],"itemData":{"id":3661,"type":"article-journal","title":"Managerial and Organizational Factors Associated with Company Performance - Part II. A Contingency Analysis","container-title":"The Journal of Management Studies","page":"12-27","volume":"12","issue":"1-2","author":[{"family":"Child","given":"JOhn"}],"issued":{"date-parts":[["1975"]]}}},{"id":743,"uris":["http://zotero.org/users/381007/items/BQ8EN6TJ"],"uri":["http://zotero.org/users/381007/items/BQ8EN6TJ"],"itemData":{"id":743,"type":"article-journal","title":"A Garbage Can Model of Organizational Choice","container-title":"Administrative Science Quarterly","page":"1-25","author":[{"family":"Cohen, Michael D.","given":""},{"family":"James G. March","given":""},{"family":"Jonah P. Olsen","given":""}],"issued":{"date-parts":[["1972"]]}}}],"schema":"https://github.com/citation-style-language/schema/raw/master/csl-citation.json"} </w:instrText>
      </w:r>
      <w:r>
        <w:rPr>
          <w:szCs w:val="24"/>
        </w:rPr>
        <w:fldChar w:fldCharType="separate"/>
      </w:r>
      <w:r w:rsidRPr="003A183B">
        <w:t xml:space="preserve">(Child 1975; Cohen, </w:t>
      </w:r>
      <w:r>
        <w:t xml:space="preserve">March, and </w:t>
      </w:r>
      <w:r w:rsidRPr="003A183B">
        <w:t>Olsen 1972)</w:t>
      </w:r>
      <w:r>
        <w:rPr>
          <w:szCs w:val="24"/>
        </w:rPr>
        <w:fldChar w:fldCharType="end"/>
      </w:r>
      <w:r w:rsidRPr="00836DDB">
        <w:rPr>
          <w:szCs w:val="24"/>
        </w:rPr>
        <w:t>. These are shaped in part by preferences for differ</w:t>
      </w:r>
      <w:r>
        <w:rPr>
          <w:szCs w:val="24"/>
        </w:rPr>
        <w:t xml:space="preserve">ent methodological approaches. </w:t>
      </w:r>
      <w:r w:rsidRPr="00836DDB">
        <w:rPr>
          <w:szCs w:val="24"/>
        </w:rPr>
        <w:t>Interpretivists rely on tools such as case studies and content analysis to examine decision-ma</w:t>
      </w:r>
      <w:r>
        <w:rPr>
          <w:szCs w:val="24"/>
        </w:rPr>
        <w:t>king in legal, judicial, and bureaucratic dimensions</w:t>
      </w:r>
      <w:r w:rsidRPr="00836DDB">
        <w:rPr>
          <w:szCs w:val="24"/>
        </w:rPr>
        <w:t>. Rationalists address many of the same bodies, yet take a markedly different perspective using logic and mathematics to exami</w:t>
      </w:r>
      <w:r>
        <w:rPr>
          <w:szCs w:val="24"/>
        </w:rPr>
        <w:t>ne the decision-making process</w:t>
      </w:r>
      <w:r w:rsidRPr="00836DDB">
        <w:rPr>
          <w:szCs w:val="24"/>
        </w:rPr>
        <w:t xml:space="preserve">. </w:t>
      </w:r>
    </w:p>
    <w:p w:rsidR="009944D4" w:rsidRPr="00836DDB" w:rsidRDefault="009944D4" w:rsidP="009944D4">
      <w:pPr>
        <w:spacing w:line="480" w:lineRule="auto"/>
        <w:rPr>
          <w:szCs w:val="24"/>
        </w:rPr>
      </w:pPr>
      <w:r w:rsidRPr="00836DDB">
        <w:rPr>
          <w:szCs w:val="24"/>
        </w:rPr>
        <w:tab/>
        <w:t xml:space="preserve">Scholarship within public administration, and more specifically public management, has grown as the public-private distinction persists. </w:t>
      </w:r>
      <w:r w:rsidRPr="003A183B">
        <w:rPr>
          <w:szCs w:val="24"/>
        </w:rPr>
        <w:t xml:space="preserve">Nutt </w:t>
      </w:r>
      <w:r w:rsidRPr="003A183B">
        <w:rPr>
          <w:szCs w:val="24"/>
        </w:rPr>
        <w:fldChar w:fldCharType="begin"/>
      </w:r>
      <w:r w:rsidRPr="003A183B">
        <w:rPr>
          <w:szCs w:val="24"/>
        </w:rPr>
        <w:instrText xml:space="preserve"> ADDIN ZOTERO_ITEM CSL_CITATION {"citationID":"gl902NNz","properties":{"formattedCitation":"(Nutt 2005)","plainCitation":"(Nutt 2005)"},"citationItems":[{"id":3573,"uris":["http://zotero.org/users/381007/items/EMG6UZ92"],"uri":["http://zotero.org/users/381007/items/EMG6UZ92"],"itemData":{"id":3573,"type":"article-journal","title":"Comparing Public and Private Sector Decision-Making Practices","container-title":"Journal of Public Administration Research and Theory","page":"289-318","volume":"16","issue":"2","source":"CrossRef","abstract":"Public and private sector decision making is studied with an experiment. The study compares\ndecision making in a tax-supported general purpose governmental agency with that done\nby a business firm selling to a market, using a simulation to capture differences in the\npreferences and practices of mid-level managers working in the two sectors. The simulation\ncalls for participating managers to assess the risk and prospect of adopting budgets tailored\nto match each sector. A cognitive culture that stresses analysis, speculation, bargaining, or\nnetworking is employed to fashion a budget appropriate for a public and a private sector\norganization, each with a controversial and a noncontroversial budget amount. The literature\non public/private differences was consulted to make predictions, suggesting that public\nsector managers would favor bargaining and networking and private sector managers would\nfavor analysis and speculation. The cognitive style literature suggests that managers favor\nbudgets constructed with an approach that is consistent with their preferred cognitive style\nand see less risk in the choice, except in a public setting where risk would be unaffected. The\nstudy finds that private sector managers are more apt to support budget decisions made with\nanalysis and less likely to support them when bargaining is applied. Public sector managers\nare less likely to support budget decisions backed by analysis and more likely to support\nthose that are derived from bargaining with agency people","DOI":"10.1093/jopart/mui041","ISSN":"1053-1858, 1477-9803","language":"en","author":[{"family":"Nutt","given":"P. C."}],"issued":{"date-parts":[["2005",3,30]]},"accessed":{"date-parts":[["2016",2,5]]}}}],"schema":"https://github.com/citation-style-language/schema/raw/master/csl-citation.json"} </w:instrText>
      </w:r>
      <w:r w:rsidRPr="003A183B">
        <w:rPr>
          <w:szCs w:val="24"/>
        </w:rPr>
        <w:fldChar w:fldCharType="separate"/>
      </w:r>
      <w:r w:rsidRPr="003A183B">
        <w:t>(2005)</w:t>
      </w:r>
      <w:r w:rsidRPr="003A183B">
        <w:rPr>
          <w:szCs w:val="24"/>
        </w:rPr>
        <w:fldChar w:fldCharType="end"/>
      </w:r>
      <w:r w:rsidRPr="00836DDB">
        <w:rPr>
          <w:szCs w:val="24"/>
        </w:rPr>
        <w:t xml:space="preserve"> takes a comparative approach, examining the claim that decision-making approaches should be context-specific and dependent on the demands placed on the institution. The divergent demands lead to different decision-making processes. While the private sector </w:t>
      </w:r>
      <w:r w:rsidR="006D3608">
        <w:rPr>
          <w:szCs w:val="24"/>
        </w:rPr>
        <w:t xml:space="preserve">is </w:t>
      </w:r>
      <w:r w:rsidRPr="00836DDB">
        <w:rPr>
          <w:szCs w:val="24"/>
        </w:rPr>
        <w:t>more likely utilize</w:t>
      </w:r>
      <w:r>
        <w:rPr>
          <w:szCs w:val="24"/>
        </w:rPr>
        <w:t>s</w:t>
      </w:r>
      <w:r w:rsidRPr="00836DDB">
        <w:rPr>
          <w:szCs w:val="24"/>
        </w:rPr>
        <w:t xml:space="preserve"> analytical or subjective interpretations, the private sector is more inclined to employ user-based assessments and judgment tactics. Still, the nonprofit sector preferred to solicit views of professionals and possessed the greatest latitude in terms of decision-making tactics. This underlines the question of publicness and the grey area that the nonprofit sector occupies. Such flexibility highlights the grey space between public and </w:t>
      </w:r>
      <w:r>
        <w:rPr>
          <w:szCs w:val="24"/>
        </w:rPr>
        <w:t xml:space="preserve">private occupied by nonprofits. In this space, nonprofits </w:t>
      </w:r>
      <w:r w:rsidRPr="00836DDB">
        <w:rPr>
          <w:szCs w:val="24"/>
        </w:rPr>
        <w:t>uphold the concept</w:t>
      </w:r>
      <w:r>
        <w:rPr>
          <w:szCs w:val="24"/>
        </w:rPr>
        <w:t xml:space="preserve"> of publicness and public value, both of which underpin </w:t>
      </w:r>
      <w:r w:rsidRPr="00836DDB">
        <w:rPr>
          <w:szCs w:val="24"/>
        </w:rPr>
        <w:t xml:space="preserve">the growth of nonprofits. Nonprofit organizations are viewed as more efficient, subject to less red tape, yet still subject to political authority </w:t>
      </w:r>
      <w:r>
        <w:rPr>
          <w:szCs w:val="24"/>
        </w:rPr>
        <w:fldChar w:fldCharType="begin"/>
      </w:r>
      <w:r>
        <w:rPr>
          <w:szCs w:val="24"/>
        </w:rPr>
        <w:instrText xml:space="preserve"> ADDIN ZOTERO_ITEM CSL_CITATION {"citationID":"VUFod3KE","properties":{"formattedCitation":"(Bozeman, Reed, and Scott 1992; Bozeman and Bretschneider 1994)","plainCitation":"(Bozeman, Reed, and Scott 1992; Bozeman and Bretschneider 1994)"},"citationItems":[{"id":3218,"uris":["http://zotero.org/users/381007/items/SG3PVVQ2"],"uri":["http://zotero.org/users/381007/items/SG3PVVQ2"],"itemData":{"id":3218,"type":"article-journal","title":"Red Tape and Task Delays in Public and Private Organizations","container-title":"Administration &amp; Society","page":"290-322","volume":"24","issue":"3","abstract":"Using a measure of red tape based on the amount of time required for the performance of core organizational tasks, hypotheses are tested as to why some organizations have more red tape than others. Among the explanations considered are organizational size, sector, \"publicness\" defined in terms of governmental interaction and influence independent of sector, and external constraint defined in terms of interorganizational agreements and percentage of time devoted to external activities. The data for the study come from a national study of more than 900 research-intensive organizations. The focus on these organizations assures that the core tasks performed are similar to one another and reduces the likelihood that findings are simply a function of differences in organizational mission. Results indicate that it is useful to think of red tape in terms of diverse dimensions related to key organizational tasks. Both sector and publicness are positively associated with measures of red tape, with publicness providing a somewhat more robust explanation along some dimensions of red tape. Contrary to previous studies, organizational size seems to have little bearing on differences in red tape.","author":[{"family":"Bozeman","given":"Barry"},{"family":"Reed","given":"Pamela N."},{"family":"Scott","given":"Patrick"}],"issued":{"date-parts":[["1992"]]}}},{"id":3241,"uris":["http://zotero.org/users/381007/items/ZRFAQJGJ"],"uri":["http://zotero.org/users/381007/items/ZRFAQJGJ"],"itemData":{"id":3241,"type":"article-journal","title":"The \"Publicness Puzzle\" in Organization Theory: A Test of Alternative Explanations of Differences between Public and Private Organiations","container-title":"Journal of Public Administration Research and Theory","page":"197-223","volume":"4","issue":"2","abstract":"“Publicness” is defined as a characteristic of an organization which reflects the extent the organization is influenced by political authority. The concept, operationalized as a series of interval measures, is placed in direct competition with the traditional core definition of publicness as ownership (i.e., formal legal status). Using a sample of research and development laboratories, the two approaches are compared in terms of their ability to explain organizational outputs and process in the context of an explanatory model. The results suggest that both approaches tap unique characteristics of publicness and contribute to a more complete understanding of the role of publicness in the study of organizations.","author":[{"family":"Bozeman","given":"Barry"},{"family":"Bretschneider","given":"Stuart"}],"issued":{"date-parts":[["1994"]]}}}],"schema":"https://github.com/citation-style-language/schema/raw/master/csl-citation.json"} </w:instrText>
      </w:r>
      <w:r>
        <w:rPr>
          <w:szCs w:val="24"/>
        </w:rPr>
        <w:fldChar w:fldCharType="separate"/>
      </w:r>
      <w:r w:rsidRPr="00836DDB">
        <w:rPr>
          <w:szCs w:val="24"/>
        </w:rPr>
        <w:t>(Bozeman, Reed, and Scott 1992; Bozeman and Bretschneider 1994)</w:t>
      </w:r>
      <w:r>
        <w:rPr>
          <w:szCs w:val="24"/>
        </w:rPr>
        <w:fldChar w:fldCharType="end"/>
      </w:r>
      <w:r w:rsidRPr="00836DDB">
        <w:rPr>
          <w:szCs w:val="24"/>
        </w:rPr>
        <w:t xml:space="preserve">. </w:t>
      </w:r>
    </w:p>
    <w:p w:rsidR="009944D4" w:rsidRPr="00836DDB" w:rsidRDefault="009944D4" w:rsidP="009944D4">
      <w:pPr>
        <w:spacing w:line="480" w:lineRule="auto"/>
        <w:rPr>
          <w:szCs w:val="24"/>
        </w:rPr>
      </w:pPr>
      <w:r w:rsidRPr="00836DDB">
        <w:rPr>
          <w:szCs w:val="24"/>
        </w:rPr>
        <w:tab/>
      </w:r>
      <w:r>
        <w:rPr>
          <w:szCs w:val="24"/>
        </w:rPr>
        <w:t>Other approaches focus on</w:t>
      </w:r>
      <w:r w:rsidRPr="00836DDB">
        <w:rPr>
          <w:szCs w:val="24"/>
        </w:rPr>
        <w:t xml:space="preserve"> how organizational characteristics influence the participation by specialists in the decision process. The subject at hand may also influence participation. </w:t>
      </w:r>
      <w:r w:rsidRPr="00B87BF0">
        <w:rPr>
          <w:szCs w:val="24"/>
        </w:rPr>
        <w:t xml:space="preserve">Bozeman and Pandey </w:t>
      </w:r>
      <w:r w:rsidRPr="00B87BF0">
        <w:rPr>
          <w:szCs w:val="24"/>
        </w:rPr>
        <w:fldChar w:fldCharType="begin"/>
      </w:r>
      <w:r w:rsidRPr="00B87BF0">
        <w:rPr>
          <w:szCs w:val="24"/>
        </w:rPr>
        <w:instrText xml:space="preserve"> ADDIN ZOTERO_ITEM CSL_CITATION {"citationID":"gXVeY0LO","properties":{"formattedCitation":"(Bozeman and Pandey 2004)","plainCitation":"(Bozeman and Pandey 2004)"},"citationItems":[{"id":3684,"uris":["http://zotero.org/users/381007/items/2MNB9DEP"],"uri":["http://zotero.org/users/381007/items/2MNB9DEP"],"itemData":{"id":3684,"type":"article-journal","title":"Public Management Decision Making: Effects of Decision Content","container-title":"Public Administration Review","page":"553-535","volume":"64","issue":"5","author":[{"family":"Bozeman","given":"Barry"},{"family":"Pandey","given":"Sanjay K."}],"issued":{"date-parts":[["2004"]]}}}],"schema":"https://github.com/citation-style-language/schema/raw/master/csl-citation.json"} </w:instrText>
      </w:r>
      <w:r w:rsidRPr="00B87BF0">
        <w:rPr>
          <w:szCs w:val="24"/>
        </w:rPr>
        <w:fldChar w:fldCharType="separate"/>
      </w:r>
      <w:r w:rsidRPr="00B87BF0">
        <w:t>(2004)</w:t>
      </w:r>
      <w:r w:rsidRPr="00B87BF0">
        <w:rPr>
          <w:szCs w:val="24"/>
        </w:rPr>
        <w:fldChar w:fldCharType="end"/>
      </w:r>
      <w:r w:rsidRPr="00836DDB">
        <w:rPr>
          <w:szCs w:val="24"/>
        </w:rPr>
        <w:t xml:space="preserve"> find that content influences the decision process, including the information quality, the length of time, the red tape involved, and the flow and criteria for making the decision. Their focus is on internal decision-making, but decisions sometimes involve externalities. Content also matters for the process in these cases. Communication and stakeholder i</w:t>
      </w:r>
      <w:r>
        <w:rPr>
          <w:szCs w:val="24"/>
        </w:rPr>
        <w:t>nvolvement remain key, however</w:t>
      </w:r>
      <w:r w:rsidRPr="00836DDB">
        <w:rPr>
          <w:szCs w:val="24"/>
        </w:rPr>
        <w:t xml:space="preserve">. Such content frameworks overlook the variability of professionalization among nonprofits though, which may impact the structure centralization of decision-making as well as the process. As a result, content as well as organization scholars’ emphasis on more measurable factors (organization size, budget, personnel) should be combined in analyses of decision-making processes, more specifically operational decision-making and location. </w:t>
      </w:r>
    </w:p>
    <w:p w:rsidR="009944D4" w:rsidRPr="00836DDB" w:rsidRDefault="009944D4" w:rsidP="009944D4">
      <w:pPr>
        <w:spacing w:line="480" w:lineRule="auto"/>
        <w:ind w:firstLine="720"/>
        <w:rPr>
          <w:szCs w:val="24"/>
        </w:rPr>
      </w:pPr>
      <w:r w:rsidRPr="00836DDB">
        <w:rPr>
          <w:szCs w:val="24"/>
        </w:rPr>
        <w:t xml:space="preserve">Decision-making is never a simple process. As situations become more complex and dynamic the information available may overwhelm ordered analysis of alternative choices. Bounded rationality and incremental decision-making may emerge where limited changes are made </w:t>
      </w:r>
      <w:r>
        <w:rPr>
          <w:szCs w:val="24"/>
        </w:rPr>
        <w:fldChar w:fldCharType="begin"/>
      </w:r>
      <w:r>
        <w:rPr>
          <w:szCs w:val="24"/>
        </w:rPr>
        <w:instrText xml:space="preserve"> ADDIN ZOTERO_ITEM CSL_CITATION {"citationID":"DdFwDzIB","properties":{"formattedCitation":"(Rainey, Ronquillo, and Avellaneda 2010)","plainCitation":"(Rainey, Ronquillo, and Avellaneda 2010)"},"citationItems":[{"id":3683,"uris":["http://zotero.org/users/381007/items/73884VWP"],"uri":["http://zotero.org/users/381007/items/73884VWP"],"itemData":{"id":3683,"type":"chapter","title":"Decision making in public organizations","container-title":"Handbook of Decision Making","publisher":"John Wiley &amp; Sons","publisher-place":"Chichester","page":"349-378","event-place":"Chichester","author":[{"family":"Rainey","given":"Hal"},{"family":"Ronquillo","given":"John C."},{"family":"Avellaneda","given":"Claudia N."}],"issued":{"date-parts":[["2010"]]}}}],"schema":"https://github.com/citation-style-language/schema/raw/master/csl-citation.json"} </w:instrText>
      </w:r>
      <w:r>
        <w:rPr>
          <w:szCs w:val="24"/>
        </w:rPr>
        <w:fldChar w:fldCharType="separate"/>
      </w:r>
      <w:r w:rsidRPr="00B87BF0">
        <w:t>(Rainey, Ronquillo, and Avellaneda 2010)</w:t>
      </w:r>
      <w:r>
        <w:rPr>
          <w:szCs w:val="24"/>
        </w:rPr>
        <w:fldChar w:fldCharType="end"/>
      </w:r>
      <w:r w:rsidR="00653503">
        <w:rPr>
          <w:szCs w:val="24"/>
        </w:rPr>
        <w:t>, for example a</w:t>
      </w:r>
      <w:r w:rsidRPr="00836DDB">
        <w:rPr>
          <w:szCs w:val="24"/>
        </w:rPr>
        <w:t xml:space="preserve"> </w:t>
      </w:r>
      <w:r w:rsidR="00653503">
        <w:rPr>
          <w:szCs w:val="24"/>
        </w:rPr>
        <w:t>T</w:t>
      </w:r>
      <w:r w:rsidRPr="00836DDB">
        <w:rPr>
          <w:szCs w:val="24"/>
        </w:rPr>
        <w:t xml:space="preserve">NGO expanding existing programming within a country versus a new country, or perhaps expansion to a country with similar cultural traits. Decisions may also be based on identified characteristics or goals, including the level of need or project feasibility (resources, staffing, infrastructure, etc.). </w:t>
      </w:r>
      <w:r w:rsidRPr="00B87BF0">
        <w:rPr>
          <w:szCs w:val="24"/>
        </w:rPr>
        <w:t>Markham et al</w:t>
      </w:r>
      <w:r>
        <w:rPr>
          <w:szCs w:val="24"/>
        </w:rPr>
        <w:t xml:space="preserve">. </w:t>
      </w:r>
      <w:r>
        <w:rPr>
          <w:szCs w:val="24"/>
        </w:rPr>
        <w:fldChar w:fldCharType="begin"/>
      </w:r>
      <w:r>
        <w:rPr>
          <w:szCs w:val="24"/>
        </w:rPr>
        <w:instrText xml:space="preserve"> ADDIN ZOTERO_ITEM CSL_CITATION {"citationID":"xznUm8Nk","properties":{"formattedCitation":"(Markham, Johnson, and Bonjean 1999)","plainCitation":"(Markham, Johnson, and Bonjean 1999)"},"citationItems":[{"id":3685,"uris":["http://zotero.org/users/381007/items/WS8UIMJV"],"uri":["http://zotero.org/users/381007/items/WS8UIMJV"],"itemData":{"id":3685,"type":"article-journal","title":"Nonprofit decision making and resource allocation: The importance of membership preferences, community needs, and interorganizational ties","container-title":"Nonprofit and Voluntary Sector Quarterly","page":"152-184","volume":"28","issue":"2","author":[{"family":"Markham","given":"William T."},{"family":"Johnson","given":"Margaret A."},{"family":"Bonjean","given":"Charles M."}],"issued":{"date-parts":[["1999"]]}}}],"schema":"https://github.com/citation-style-language/schema/raw/master/csl-citation.json"} </w:instrText>
      </w:r>
      <w:r>
        <w:rPr>
          <w:szCs w:val="24"/>
        </w:rPr>
        <w:fldChar w:fldCharType="separate"/>
      </w:r>
      <w:r>
        <w:t>(</w:t>
      </w:r>
      <w:r w:rsidRPr="00B87BF0">
        <w:t>1999)</w:t>
      </w:r>
      <w:r>
        <w:rPr>
          <w:szCs w:val="24"/>
        </w:rPr>
        <w:fldChar w:fldCharType="end"/>
      </w:r>
      <w:r>
        <w:rPr>
          <w:szCs w:val="24"/>
        </w:rPr>
        <w:t xml:space="preserve"> find evidence to </w:t>
      </w:r>
      <w:r w:rsidRPr="00836DDB">
        <w:rPr>
          <w:szCs w:val="24"/>
        </w:rPr>
        <w:t xml:space="preserve">support this </w:t>
      </w:r>
      <w:r>
        <w:rPr>
          <w:szCs w:val="24"/>
        </w:rPr>
        <w:t>in</w:t>
      </w:r>
      <w:r w:rsidRPr="00836DDB">
        <w:rPr>
          <w:szCs w:val="24"/>
        </w:rPr>
        <w:t xml:space="preserve"> their case study on women’s organizations, the majority of which allocate the bulk of their resources to programs with a high degree of goal congruence and mission compatibility. Mission, consequently, serves as a guide through a nonprofits entire planning process and represents </w:t>
      </w:r>
      <w:r>
        <w:rPr>
          <w:szCs w:val="24"/>
        </w:rPr>
        <w:t>the role of identity</w:t>
      </w:r>
      <w:r w:rsidRPr="00836DDB">
        <w:rPr>
          <w:szCs w:val="24"/>
        </w:rPr>
        <w:t xml:space="preserve"> </w:t>
      </w:r>
      <w:r>
        <w:rPr>
          <w:szCs w:val="24"/>
        </w:rPr>
        <w:t>in</w:t>
      </w:r>
      <w:r w:rsidRPr="00836DDB">
        <w:rPr>
          <w:szCs w:val="24"/>
        </w:rPr>
        <w:t xml:space="preserve"> decision-making. In addition, organizations also consider community needs and networks. These elements are equally important to domestic and international organizations. In the case of </w:t>
      </w:r>
      <w:r w:rsidR="00653503">
        <w:rPr>
          <w:szCs w:val="24"/>
        </w:rPr>
        <w:t>TNGO</w:t>
      </w:r>
      <w:r w:rsidRPr="00836DDB">
        <w:rPr>
          <w:szCs w:val="24"/>
        </w:rPr>
        <w:t xml:space="preserve">s, the level of need and networks are both important aspects of location decisions. A greater exchange of information between a country office or chapter and headquarters may translate to more support for programming in that country, echoing previous findings </w:t>
      </w:r>
      <w:r>
        <w:rPr>
          <w:szCs w:val="24"/>
        </w:rPr>
        <w:fldChar w:fldCharType="begin"/>
      </w:r>
      <w:r>
        <w:rPr>
          <w:szCs w:val="24"/>
        </w:rPr>
        <w:instrText xml:space="preserve"> ADDIN ZOTERO_ITEM CSL_CITATION {"citationID":"ailHHbLJ","properties":{"formattedCitation":"(Bozeman and Pandey 2004; Brass 2012b)","plainCitation":"(Bozeman and Pandey 2004; Brass 2012b)"},"citationItems":[{"id":3684,"uris":["http://zotero.org/users/381007/items/2MNB9DEP"],"uri":["http://zotero.org/users/381007/items/2MNB9DEP"],"itemData":{"id":3684,"type":"article-journal","title":"Public Management Decision Making: Effects of Decision Content","container-title":"Public Administration Review","page":"553-535","volume":"64","issue":"5","author":[{"family":"Bozeman","given":"Barry"},{"family":"Pandey","given":"Sanjay K."}],"issued":{"date-parts":[["2004"]]}}},{"id":949,"uris":["http://zotero.org/users/381007/items/HCQ4K4HC"],"uri":["http://zotero.org/users/381007/items/HCQ4K4HC"],"itemData":{"id":949,"type":"article-journal","title":"Why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B87BF0">
        <w:t>(Bozeman and Pandey 2004; Brass 2012b)</w:t>
      </w:r>
      <w:r>
        <w:rPr>
          <w:szCs w:val="24"/>
        </w:rPr>
        <w:fldChar w:fldCharType="end"/>
      </w:r>
      <w:r>
        <w:rPr>
          <w:szCs w:val="24"/>
        </w:rPr>
        <w:t>,</w:t>
      </w:r>
      <w:r w:rsidRPr="00836DDB">
        <w:rPr>
          <w:szCs w:val="24"/>
        </w:rPr>
        <w:t xml:space="preserve"> </w:t>
      </w:r>
    </w:p>
    <w:p w:rsidR="009944D4" w:rsidRPr="00836DDB" w:rsidRDefault="009944D4" w:rsidP="009944D4">
      <w:pPr>
        <w:spacing w:line="480" w:lineRule="auto"/>
        <w:ind w:firstLine="720"/>
        <w:rPr>
          <w:szCs w:val="24"/>
        </w:rPr>
      </w:pPr>
      <w:r w:rsidRPr="00836DDB">
        <w:rPr>
          <w:szCs w:val="24"/>
        </w:rPr>
        <w:t xml:space="preserve">Leadership style is also critical to the decision-making process. Decisions cascade throughout the organization </w:t>
      </w:r>
      <w:r>
        <w:rPr>
          <w:szCs w:val="24"/>
        </w:rPr>
        <w:fldChar w:fldCharType="begin"/>
      </w:r>
      <w:r>
        <w:rPr>
          <w:szCs w:val="24"/>
        </w:rPr>
        <w:instrText xml:space="preserve"> ADDIN ZOTERO_ITEM CSL_CITATION {"citationID":"GCQ2lCJB","properties":{"formattedCitation":"(R. James 2008; Hailey and James 2004)","plainCitation":"(R. James 2008; Hailey and James 2004)"},"citationItems":[{"id":1218,"uris":["http://zotero.org/users/381007/items/QE7E7NVB"],"uri":["http://zotero.org/users/381007/items/QE7E7NVB"],"itemData":{"id":1218,"type":"article-journal","title":"Leadership Development Inside-Out in Africa","container-title":"Nonprofit Management &amp; Leadership","page":"359-375","volume":"18","issue":"3","abstract":"Changes in leadership style are individual and complex, but follow a pattern.  External events catalyzed inside-out change processes while effective leadership development requires in-depth understanding and application of local contextual and cultural issues.  The process of leadership development is tied to deeper universal principles of human behavior though. Most NGOs in the 3 countries survive at a hand-to-mouth subsistence level, making them highly risk averse and threatened by change. Leadership change was found to not be a linear, planned process but rather a cascade of events.  For most, it was a gradual and somewhat discontinuous process that was not linked to a specific event but a series of discussions/events/trainings/exposures/sharing of experiences. Traditional leadership development inputs like training courses were just one piece of a complex and dynamic puzzle.  Change included leaders' values and beliefs as well as training and were directly applied to orgnaizational context.","author":[{"family":"James","given":"Rick"}],"issued":{"date-parts":[["2008"]]}}},{"id":1127,"uris":["http://zotero.org/users/381007/items/N7KRZUBI"],"uri":["http://zotero.org/users/381007/items/N7KRZUBI"],"itemData":{"id":1127,"type":"article-journal","title":"\"Trees Die From the Top\": International Perspectives on NGO Leadership Development","container-title":"Voluntas: International Journal of Voluntary and Nonprofit Organizations","page":"343-353","volume":"15","issue":"4","abstract":"Paper examines the role of leadership development in NGO capacity-buidling. Effective NGO leaders are able to balance a range of competing pressures from different stakeholders (donors, beneficiaries, staff, etc.) in ways that do not compromise their individual identity and values.  Leadership programs soudl focus on both values and identity of leaders, but also assist them in responding to their external environment (adaptation). Leadership development is integral to capacity buiding of NGOs.","author":[{"family":"Hailey","given":"John"},{"family":"James","given":"Rick"}],"issued":{"date-parts":[["2004"]]}}}],"schema":"https://github.com/citation-style-language/schema/raw/master/csl-citation.json"} </w:instrText>
      </w:r>
      <w:r>
        <w:rPr>
          <w:szCs w:val="24"/>
        </w:rPr>
        <w:fldChar w:fldCharType="separate"/>
      </w:r>
      <w:r w:rsidRPr="00836DDB">
        <w:rPr>
          <w:szCs w:val="24"/>
        </w:rPr>
        <w:t>(James 2008; Hailey and James 2004)</w:t>
      </w:r>
      <w:r>
        <w:rPr>
          <w:szCs w:val="24"/>
        </w:rPr>
        <w:fldChar w:fldCharType="end"/>
      </w:r>
      <w:r w:rsidRPr="00836DDB">
        <w:rPr>
          <w:szCs w:val="24"/>
        </w:rPr>
        <w:t>, changing the</w:t>
      </w:r>
      <w:r>
        <w:rPr>
          <w:szCs w:val="24"/>
        </w:rPr>
        <w:t xml:space="preserve"> overarching</w:t>
      </w:r>
      <w:r w:rsidRPr="00836DDB">
        <w:rPr>
          <w:szCs w:val="24"/>
        </w:rPr>
        <w:t xml:space="preserve"> goals and structure of an organization. </w:t>
      </w:r>
      <w:r>
        <w:rPr>
          <w:szCs w:val="24"/>
        </w:rPr>
        <w:t>Decisions related to revenue are more likely to be anticipatory, incorporating budgeting and strategic planning tools. Reactive decision-making takes up the remaining space, influenced by both time and content (Bozeman and Pandey 2004)</w:t>
      </w:r>
      <w:r w:rsidRPr="00836DDB">
        <w:rPr>
          <w:szCs w:val="24"/>
        </w:rPr>
        <w:t xml:space="preserve">. </w:t>
      </w:r>
      <w:r>
        <w:rPr>
          <w:szCs w:val="24"/>
        </w:rPr>
        <w:t xml:space="preserve">TNGOs face a distinct set of spatial challenges that highlight the importance of internal communication and communication with donors, host governments, and beneficiaries </w:t>
      </w:r>
      <w:r>
        <w:rPr>
          <w:szCs w:val="24"/>
        </w:rPr>
        <w:fldChar w:fldCharType="begin"/>
      </w:r>
      <w:r>
        <w:rPr>
          <w:szCs w:val="24"/>
        </w:rPr>
        <w:instrText xml:space="preserve"> ADDIN ZOTERO_ITEM CSL_CITATION {"citationID":"SpTpFNUp","properties":{"formattedCitation":"(B. Roberts 2000)","plainCitation":"(B. Roberts 2000)"},"citationItems":[{"id":958,"uris":["http://zotero.org/users/381007/items/HQ9N8RZU"],"uri":["http://zotero.org/users/381007/items/HQ9N8RZU"],"itemData":{"id":958,"type":"article-journal","title":"NGO Leadership, Success, and Growth in Senegal: Lessons From Ground Level","container-title":"Urban Anthropology and Studies of Cultural Systems and World Economic Development","page":"143-180","volume":"29","issue":"2","abstract":"Under pressure from structural adjustment and unable to reverse environmental degradation trends, the government and farmers were receptive to innovations presented by the NGO in the areas of education, communication and information exchange, collaborative applied research, and participatory community development. The ability of staff to foster participation at multiple levels (int'l community and Senegalese society) contributed to their recognition (legitimacy) as an NGO leader.  Contributing factors included NGO philosophy to use local physical and sociocultural resources with appropriate external inputs to improve productive capacity; the quality of the organizations staff (recruitment and socialization); visible and measurable results within the first few years; image as an organizational leader (staff as leaders in individual domains contributed to overall image of NGO as a leader); effective communication made work highly visible within Senegal and internationally w/ assistance of parent organization.","author":[{"family":"Roberts","given":"Bill"}],"issued":{"date-parts":[["2000"]]}}}],"schema":"https://github.com/citation-style-language/schema/raw/master/csl-citation.json"} </w:instrText>
      </w:r>
      <w:r>
        <w:rPr>
          <w:szCs w:val="24"/>
        </w:rPr>
        <w:fldChar w:fldCharType="separate"/>
      </w:r>
      <w:r w:rsidRPr="00836DDB">
        <w:rPr>
          <w:szCs w:val="24"/>
        </w:rPr>
        <w:t>(Roberts 2000)</w:t>
      </w:r>
      <w:r>
        <w:rPr>
          <w:szCs w:val="24"/>
        </w:rPr>
        <w:fldChar w:fldCharType="end"/>
      </w:r>
      <w:r w:rsidRPr="00836DDB">
        <w:rPr>
          <w:szCs w:val="24"/>
        </w:rPr>
        <w:t xml:space="preserve">. </w:t>
      </w:r>
    </w:p>
    <w:p w:rsidR="009944D4" w:rsidRPr="00836DDB" w:rsidRDefault="009944D4" w:rsidP="009944D4">
      <w:pPr>
        <w:spacing w:line="480" w:lineRule="auto"/>
        <w:ind w:firstLine="720"/>
        <w:rPr>
          <w:szCs w:val="24"/>
        </w:rPr>
      </w:pPr>
      <w:r w:rsidRPr="00836DDB">
        <w:rPr>
          <w:szCs w:val="24"/>
        </w:rPr>
        <w:t xml:space="preserve">Leadership decision-makers include </w:t>
      </w:r>
      <w:r>
        <w:rPr>
          <w:szCs w:val="24"/>
        </w:rPr>
        <w:t xml:space="preserve">the chief executive, </w:t>
      </w:r>
      <w:r w:rsidRPr="00836DDB">
        <w:rPr>
          <w:szCs w:val="24"/>
        </w:rPr>
        <w:t>the Board of Directors</w:t>
      </w:r>
      <w:r>
        <w:rPr>
          <w:szCs w:val="24"/>
        </w:rPr>
        <w:t>, and others</w:t>
      </w:r>
      <w:r w:rsidRPr="00836DDB">
        <w:rPr>
          <w:szCs w:val="24"/>
        </w:rPr>
        <w:t>. Although they are not involved in implementation or day-to-day decision-making, they are important actor</w:t>
      </w:r>
      <w:r>
        <w:rPr>
          <w:szCs w:val="24"/>
        </w:rPr>
        <w:t xml:space="preserve">s in strategic decision-making. </w:t>
      </w:r>
      <w:r w:rsidRPr="00836DDB">
        <w:rPr>
          <w:szCs w:val="24"/>
        </w:rPr>
        <w:t>Boards make strategic decisions about where to invest resources, ensure that the organization’s mission is being upheld, and may be involved in location choices in nonprofits where countries are identified as target goals in strategic plans. Whether programs fit within an organization</w:t>
      </w:r>
      <w:r w:rsidR="00DA4797">
        <w:rPr>
          <w:szCs w:val="24"/>
        </w:rPr>
        <w:t>’</w:t>
      </w:r>
      <w:r w:rsidRPr="00836DDB">
        <w:rPr>
          <w:szCs w:val="24"/>
        </w:rPr>
        <w:t>s purview is subject to interpretations and the knowledge board members possess about an organiz</w:t>
      </w:r>
      <w:r w:rsidR="00DA4797">
        <w:rPr>
          <w:szCs w:val="24"/>
        </w:rPr>
        <w:t>ations substantive work or cost</w:t>
      </w:r>
      <w:r w:rsidRPr="00836DDB">
        <w:rPr>
          <w:szCs w:val="24"/>
        </w:rPr>
        <w:t xml:space="preserve"> is variable. However, organizations utilizing mission in management decision-making appear to have </w:t>
      </w:r>
      <w:r>
        <w:rPr>
          <w:szCs w:val="24"/>
        </w:rPr>
        <w:t xml:space="preserve">increased performance outcomes </w:t>
      </w:r>
      <w:r>
        <w:rPr>
          <w:szCs w:val="24"/>
        </w:rPr>
        <w:fldChar w:fldCharType="begin"/>
      </w:r>
      <w:r>
        <w:rPr>
          <w:szCs w:val="24"/>
        </w:rPr>
        <w:instrText xml:space="preserve"> ADDIN ZOTERO_ITEM CSL_CITATION {"citationID":"eGnKwisA","properties":{"formattedCitation":"(Kirk and Nolan 2010)","plainCitation":"(Kirk and Nolan 2010)"},"citationItems":[{"id":3686,"uris":["http://zotero.org/users/381007/items/79449VNW"],"uri":["http://zotero.org/users/381007/items/79449VNW"],"itemData":{"id":3686,"type":"article-journal","title":"Nonprofit Mission Statement Focus and Financial Performance","container-title":"Nonporfit Management &amp; Leadership","page":"473-490","volume":"20","issue":"4","author":[{"family":"Kirk","given":"G."},{"family":"Nolan","given":"S. Beth"}],"issued":{"date-parts":[["2010"]]}}}],"schema":"https://github.com/citation-style-language/schema/raw/master/csl-citation.json"} </w:instrText>
      </w:r>
      <w:r>
        <w:rPr>
          <w:szCs w:val="24"/>
        </w:rPr>
        <w:fldChar w:fldCharType="separate"/>
      </w:r>
      <w:r w:rsidRPr="00206CC2">
        <w:t>(Kirk and Nolan 2010)</w:t>
      </w:r>
      <w:r>
        <w:rPr>
          <w:szCs w:val="24"/>
        </w:rPr>
        <w:fldChar w:fldCharType="end"/>
      </w:r>
      <w:r>
        <w:rPr>
          <w:szCs w:val="24"/>
        </w:rPr>
        <w:t xml:space="preserve"> </w:t>
      </w:r>
      <w:r w:rsidRPr="00836DDB">
        <w:rPr>
          <w:szCs w:val="24"/>
        </w:rPr>
        <w:t xml:space="preserve">while performance measures also assist in strategic decision-making </w:t>
      </w:r>
      <w:r>
        <w:rPr>
          <w:szCs w:val="24"/>
        </w:rPr>
        <w:fldChar w:fldCharType="begin"/>
      </w:r>
      <w:r>
        <w:rPr>
          <w:szCs w:val="24"/>
        </w:rPr>
        <w:instrText xml:space="preserve"> ADDIN ZOTERO_ITEM CSL_CITATION {"citationID":"egjApt4l","properties":{"formattedCitation":"(LeRoux and Wright 2010)","plainCitation":"(LeRoux and Wright 2010)"},"citationItems":[{"id":3687,"uris":["http://zotero.org/users/381007/items/DK3J4ZEN"],"uri":["http://zotero.org/users/381007/items/DK3J4ZEN"],"itemData":{"id":3687,"type":"article-journal","title":"Findings from a national survey of nonprofit social service agencies, does performance measurement improve strategic decision making?","container-title":"Nonprofit and Voluntary Sector Quarterly","page":"571-587","volume":"39","issue":"4","author":[{"family":"LeRoux","given":"Kelly"},{"family":"Wright","given":"N.S."}],"issued":{"date-parts":[["2010"]]}}}],"schema":"https://github.com/citation-style-language/schema/raw/master/csl-citation.json"} </w:instrText>
      </w:r>
      <w:r>
        <w:rPr>
          <w:szCs w:val="24"/>
        </w:rPr>
        <w:fldChar w:fldCharType="separate"/>
      </w:r>
      <w:r w:rsidRPr="00206CC2">
        <w:t>(LeRoux and Wright 2010)</w:t>
      </w:r>
      <w:r>
        <w:rPr>
          <w:szCs w:val="24"/>
        </w:rPr>
        <w:fldChar w:fldCharType="end"/>
      </w:r>
      <w:r w:rsidRPr="00836DDB">
        <w:rPr>
          <w:szCs w:val="24"/>
        </w:rPr>
        <w:t xml:space="preserve">. </w:t>
      </w:r>
    </w:p>
    <w:p w:rsidR="009944D4" w:rsidRDefault="009944D4" w:rsidP="009944D4">
      <w:pPr>
        <w:spacing w:line="480" w:lineRule="auto"/>
        <w:ind w:firstLine="720"/>
        <w:rPr>
          <w:szCs w:val="24"/>
        </w:rPr>
      </w:pPr>
      <w:r w:rsidRPr="00836DDB">
        <w:rPr>
          <w:szCs w:val="24"/>
        </w:rPr>
        <w:t xml:space="preserve">Decision-making is central to studies of organizational performance. </w:t>
      </w:r>
      <w:r w:rsidR="002D13C7">
        <w:rPr>
          <w:szCs w:val="24"/>
        </w:rPr>
        <w:t xml:space="preserve">While the structure of an organization </w:t>
      </w:r>
      <w:r w:rsidR="009D0BC0">
        <w:rPr>
          <w:szCs w:val="24"/>
        </w:rPr>
        <w:t>shapes</w:t>
      </w:r>
      <w:r w:rsidR="002D13C7">
        <w:rPr>
          <w:szCs w:val="24"/>
        </w:rPr>
        <w:t xml:space="preserve"> the decision-making processes, the scope of work in which an organization is engaged is also influential</w:t>
      </w:r>
      <w:r>
        <w:rPr>
          <w:szCs w:val="24"/>
        </w:rPr>
        <w:t>. The scope of work a</w:t>
      </w:r>
      <w:r w:rsidR="009D0BC0">
        <w:rPr>
          <w:szCs w:val="24"/>
        </w:rPr>
        <w:t xml:space="preserve">nd organizational structure may be </w:t>
      </w:r>
      <w:r>
        <w:rPr>
          <w:szCs w:val="24"/>
        </w:rPr>
        <w:t>subject to isomorphism, a phenomenon in which similar organizations resemble each other. This may further define the menu of choices available to any single organization</w:t>
      </w:r>
      <w:r w:rsidRPr="00836DDB">
        <w:rPr>
          <w:szCs w:val="24"/>
        </w:rPr>
        <w:t>. External forces also influence location and decisions. Donor preferences may create windfalls for some sectors, but not for others. They may also unduly influence what an organization does and where it does it via resource dependency. Lastly, the political and operating environments are also integral to location choices, shaping program feasibility and need.</w:t>
      </w:r>
    </w:p>
    <w:p w:rsidR="00E67B1D" w:rsidRDefault="00E67B1D" w:rsidP="00E67B1D">
      <w:pPr>
        <w:spacing w:line="480" w:lineRule="auto"/>
        <w:rPr>
          <w:szCs w:val="24"/>
        </w:rPr>
      </w:pPr>
    </w:p>
    <w:p w:rsidR="009944D4" w:rsidRDefault="009944D4" w:rsidP="00CB4ECA">
      <w:pPr>
        <w:pStyle w:val="Heading2"/>
        <w:numPr>
          <w:ilvl w:val="0"/>
          <w:numId w:val="0"/>
        </w:numPr>
        <w:jc w:val="center"/>
        <w:rPr>
          <w:b/>
          <w:color w:val="auto"/>
          <w:sz w:val="24"/>
          <w:szCs w:val="24"/>
        </w:rPr>
      </w:pPr>
      <w:bookmarkStart w:id="7" w:name="_Toc450079081"/>
      <w:r>
        <w:rPr>
          <w:b/>
          <w:color w:val="auto"/>
          <w:sz w:val="24"/>
          <w:szCs w:val="24"/>
        </w:rPr>
        <w:t>1.3</w:t>
      </w:r>
      <w:r w:rsidRPr="00A279DA">
        <w:rPr>
          <w:b/>
          <w:color w:val="auto"/>
          <w:sz w:val="24"/>
          <w:szCs w:val="24"/>
        </w:rPr>
        <w:t xml:space="preserve">: Perspectives on </w:t>
      </w:r>
      <w:r w:rsidR="00DA4797">
        <w:rPr>
          <w:b/>
          <w:color w:val="auto"/>
          <w:sz w:val="24"/>
          <w:szCs w:val="24"/>
        </w:rPr>
        <w:t>T</w:t>
      </w:r>
      <w:r w:rsidRPr="00A279DA">
        <w:rPr>
          <w:b/>
          <w:color w:val="auto"/>
          <w:sz w:val="24"/>
          <w:szCs w:val="24"/>
        </w:rPr>
        <w:t>NGOs and Soft Spots</w:t>
      </w:r>
      <w:bookmarkEnd w:id="7"/>
    </w:p>
    <w:p w:rsidR="00CB4ECA" w:rsidRPr="00CB4ECA" w:rsidRDefault="00CB4ECA" w:rsidP="00CB4ECA"/>
    <w:p w:rsidR="009944D4" w:rsidRDefault="00DA4797" w:rsidP="009944D4">
      <w:pPr>
        <w:spacing w:line="480" w:lineRule="auto"/>
        <w:ind w:firstLine="720"/>
        <w:rPr>
          <w:szCs w:val="24"/>
        </w:rPr>
      </w:pPr>
      <w:r>
        <w:rPr>
          <w:szCs w:val="24"/>
        </w:rPr>
        <w:t>One stream of r</w:t>
      </w:r>
      <w:r w:rsidR="009944D4">
        <w:rPr>
          <w:szCs w:val="24"/>
        </w:rPr>
        <w:t xml:space="preserve">esearch on </w:t>
      </w:r>
      <w:r>
        <w:rPr>
          <w:szCs w:val="24"/>
        </w:rPr>
        <w:t xml:space="preserve">TNGOs focuses on </w:t>
      </w:r>
      <w:r w:rsidR="009944D4">
        <w:rPr>
          <w:szCs w:val="24"/>
        </w:rPr>
        <w:t xml:space="preserve">the internal and administrative aspects of organizations and the element of public service. This approach relies on domestic case studies and examines questions ranging from accountability to human resources to collaborative propensity and efficiency. The approach emphasizes the interaction between organizations, government, and international institutions. The scholarship related to this dissertation is presented along four themes to represent an interdisciplinary review of the literature: institutions and the state; development; globalization and TNGOs; and finally, decision-making. </w:t>
      </w:r>
    </w:p>
    <w:p w:rsidR="009944D4" w:rsidRPr="00836DDB" w:rsidRDefault="009944D4" w:rsidP="009944D4">
      <w:pPr>
        <w:spacing w:line="480" w:lineRule="auto"/>
        <w:ind w:firstLine="720"/>
        <w:rPr>
          <w:szCs w:val="24"/>
        </w:rPr>
      </w:pPr>
      <w:r w:rsidRPr="00836DDB">
        <w:rPr>
          <w:szCs w:val="24"/>
        </w:rPr>
        <w:t xml:space="preserve">There is little research on </w:t>
      </w:r>
      <w:r w:rsidR="00653503">
        <w:rPr>
          <w:szCs w:val="24"/>
        </w:rPr>
        <w:t>T</w:t>
      </w:r>
      <w:r w:rsidRPr="00836DDB">
        <w:rPr>
          <w:szCs w:val="24"/>
        </w:rPr>
        <w:t xml:space="preserve">NGO or nonprofit location, and even less conducted in a comparative context. Instead, much of the scholarship focuses on the size of a single sector or one large organization </w:t>
      </w:r>
      <w:r>
        <w:rPr>
          <w:szCs w:val="24"/>
        </w:rPr>
        <w:fldChar w:fldCharType="begin"/>
      </w:r>
      <w:r>
        <w:rPr>
          <w:szCs w:val="24"/>
        </w:rPr>
        <w:instrText xml:space="preserve"> ADDIN ZOTERO_ITEM CSL_CITATION {"citationID":"bkC1vV70","properties":{"formattedCitation":"(Corbin 1999; E. James 1989; Rogers 2011)","plainCitation":"(Corbin 1999; E. James 1989; Rogers 2011)"},"citationItems":[{"id":3688,"uris":["http://zotero.org/users/381007/items/Z833KEHV"],"uri":["http://zotero.org/users/381007/items/Z833KEHV"],"itemData":{"id":3688,"type":"article-journal","title":"A study of factors influencing the growth of nonprofits in social services","container-title":"Nonprofit and Voluntary Sector Quarterly","page":"296-314","volume":"28","issue":"3","author":[{"family":"Corbin","given":"John J."}],"issued":{"date-parts":[["1999"]]}}},{"id":3171,"uris":["http://zotero.org/users/381007/items/FVKADD36"],"uri":["http://zotero.org/users/381007/items/FVKADD36"],"itemData":{"id":3171,"type":"chapter","title":"The Nonprofit Sector in Developing Countries: The Case of Sri Lanka","container-title":"The Nonprofit Sector in International Perspective: Studies in Comparative Culture and Policy","publisher":"Oxford University Press","publisher-place":"New York","page":"289-318","event-place":"New York","abstract":"Asks whether there is a nonporfit sector in Sri Lanka and how it difers from the NPO sector in the US.  Finds that most funding for NPOs in Sri Lanka comes from foreign donors (87%) while domestically time and labor were more likely to be volunteered.  The two sectors are similar in that they both are serviced oriented, but Sri Lankan NGOs also engage in provision of impure public goods like roads, wells, and canals.  The author suspects this is not uncommon among developing countries.  NPOs are divded into two categories, those able to secure government funding are more likel to flourish (another similarity with the US&gt;","editor":[{"family":"James","given":"Estelle"}],"author":[{"family":"James","given":"Estelle"}],"issued":{"date-parts":[["1989"]]}}},{"id":1452,"uris":["http://zotero.org/users/381007/items/V3GXPUV9"],"uri":["http://zotero.org/users/381007/items/V3GXPUV9"],"itemData":{"id":1452,"type":"chapter","title":"Soft Power, NGOs, and Climate Change: The Case of The Nature Conservancy","container-title":"Climate Change and Environmental Ethics","publisher":"Transaction Publishers","publisher-place":"New Brunswick","page":"217-235","event-place":"New Brunswick","author":[{"family":"Rogers","given":"Katrina S."}],"editor":[{"family":"Nanda","given":"Ved P."}],"issued":{"date-parts":[["2011"]]}}}],"schema":"https://github.com/citation-style-language/schema/raw/master/csl-citation.json"} </w:instrText>
      </w:r>
      <w:r>
        <w:rPr>
          <w:szCs w:val="24"/>
        </w:rPr>
        <w:fldChar w:fldCharType="separate"/>
      </w:r>
      <w:r w:rsidRPr="00206CC2">
        <w:t>(Corbin 1999; James 1989; Rogers 2011)</w:t>
      </w:r>
      <w:r>
        <w:rPr>
          <w:szCs w:val="24"/>
        </w:rPr>
        <w:fldChar w:fldCharType="end"/>
      </w:r>
      <w:r w:rsidRPr="00836DDB">
        <w:rPr>
          <w:szCs w:val="24"/>
        </w:rPr>
        <w:t xml:space="preserve">. Where location is addressed, it is done so indirectly. </w:t>
      </w:r>
      <w:r>
        <w:rPr>
          <w:szCs w:val="24"/>
        </w:rPr>
        <w:t>This</w:t>
      </w:r>
      <w:r w:rsidRPr="00836DDB">
        <w:rPr>
          <w:szCs w:val="24"/>
        </w:rPr>
        <w:t xml:space="preserve"> introduction highlight</w:t>
      </w:r>
      <w:r>
        <w:rPr>
          <w:szCs w:val="24"/>
        </w:rPr>
        <w:t>s</w:t>
      </w:r>
      <w:r w:rsidRPr="00836DDB">
        <w:rPr>
          <w:szCs w:val="24"/>
        </w:rPr>
        <w:t xml:space="preserve"> the perspectives on location, </w:t>
      </w:r>
      <w:r>
        <w:rPr>
          <w:szCs w:val="24"/>
        </w:rPr>
        <w:t>its</w:t>
      </w:r>
      <w:r w:rsidRPr="00836DDB">
        <w:rPr>
          <w:szCs w:val="24"/>
        </w:rPr>
        <w:t xml:space="preserve"> significance or lack thereof, and its place within</w:t>
      </w:r>
      <w:r w:rsidR="009D0BC0">
        <w:rPr>
          <w:szCs w:val="24"/>
        </w:rPr>
        <w:t xml:space="preserve"> the decision-making framework; f</w:t>
      </w:r>
      <w:r>
        <w:rPr>
          <w:szCs w:val="24"/>
        </w:rPr>
        <w:t xml:space="preserve">or example, the role of regulatory environments in deterring TNGOs and the presence of other TNGOs in attracting other TNGOs. </w:t>
      </w:r>
      <w:r w:rsidRPr="00836DDB">
        <w:rPr>
          <w:szCs w:val="24"/>
        </w:rPr>
        <w:t xml:space="preserve">It is worth noting, however, several influential pieces that directly address location and that were influential in shaping this research question. </w:t>
      </w:r>
    </w:p>
    <w:p w:rsidR="009944D4" w:rsidRPr="00836DDB" w:rsidRDefault="009944D4" w:rsidP="009944D4">
      <w:pPr>
        <w:spacing w:line="480" w:lineRule="auto"/>
        <w:ind w:firstLine="720"/>
        <w:rPr>
          <w:szCs w:val="24"/>
        </w:rPr>
      </w:pPr>
      <w:r w:rsidRPr="00836DDB">
        <w:rPr>
          <w:szCs w:val="24"/>
        </w:rPr>
        <w:t xml:space="preserve">Brass </w:t>
      </w:r>
      <w:r w:rsidR="0051128C">
        <w:rPr>
          <w:szCs w:val="24"/>
        </w:rPr>
        <w:t>(2012b</w:t>
      </w:r>
      <w:r w:rsidR="00DA4797">
        <w:rPr>
          <w:szCs w:val="24"/>
        </w:rPr>
        <w:t xml:space="preserve">) </w:t>
      </w:r>
      <w:r w:rsidRPr="00836DDB">
        <w:rPr>
          <w:szCs w:val="24"/>
        </w:rPr>
        <w:t xml:space="preserve">provides a framework that helped to shape this project. Her research focuses on three explanations for district-level </w:t>
      </w:r>
      <w:r w:rsidR="00DA4797">
        <w:rPr>
          <w:szCs w:val="24"/>
        </w:rPr>
        <w:t>T</w:t>
      </w:r>
      <w:r w:rsidRPr="00836DDB">
        <w:rPr>
          <w:szCs w:val="24"/>
        </w:rPr>
        <w:t xml:space="preserve">NGO location in Kenya, using variables including the level of need, population density, urbanization, and political patronage. In her work, Brass finds support for the level of need and convenience (population density and urbanization), but not for political patronage. This finding is especially interesting for research on location in sub-Saharan Africa given the persistence of client-patron systems in the post-colonial period there. Brass adds a caveat to the convenience finding, noting that while the number of </w:t>
      </w:r>
      <w:r w:rsidR="00DA4797">
        <w:rPr>
          <w:szCs w:val="24"/>
        </w:rPr>
        <w:t>T</w:t>
      </w:r>
      <w:r w:rsidRPr="00836DDB">
        <w:rPr>
          <w:szCs w:val="24"/>
        </w:rPr>
        <w:t xml:space="preserve">NGOs in urban areas is higher, the density or number of </w:t>
      </w:r>
      <w:r w:rsidR="00DA4797">
        <w:rPr>
          <w:szCs w:val="24"/>
        </w:rPr>
        <w:t>T</w:t>
      </w:r>
      <w:r w:rsidRPr="00836DDB">
        <w:rPr>
          <w:szCs w:val="24"/>
        </w:rPr>
        <w:t xml:space="preserve">NGOs per capita is greater in rural areas </w:t>
      </w:r>
      <w:r>
        <w:rPr>
          <w:szCs w:val="24"/>
        </w:rPr>
        <w:fldChar w:fldCharType="begin"/>
      </w:r>
      <w:r>
        <w:rPr>
          <w:szCs w:val="24"/>
        </w:rPr>
        <w:instrText xml:space="preserve"> ADDIN ZOTERO_ITEM CSL_CITATION {"citationID":"mTNzy7OK","properties":{"formattedCitation":"(Brass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Pr>
          <w:szCs w:val="24"/>
        </w:rPr>
        <w:t>(Brass 2012b</w:t>
      </w:r>
      <w:r w:rsidRPr="00836DDB">
        <w:rPr>
          <w:szCs w:val="24"/>
        </w:rPr>
        <w:t>)</w:t>
      </w:r>
      <w:r>
        <w:rPr>
          <w:szCs w:val="24"/>
        </w:rPr>
        <w:fldChar w:fldCharType="end"/>
      </w:r>
      <w:r w:rsidRPr="00836DDB">
        <w:rPr>
          <w:szCs w:val="24"/>
        </w:rPr>
        <w:t xml:space="preserve">. </w:t>
      </w:r>
    </w:p>
    <w:p w:rsidR="009944D4" w:rsidRPr="00836DDB" w:rsidRDefault="009944D4" w:rsidP="009944D4">
      <w:pPr>
        <w:spacing w:line="480" w:lineRule="auto"/>
        <w:ind w:firstLine="720"/>
        <w:rPr>
          <w:szCs w:val="24"/>
        </w:rPr>
      </w:pPr>
      <w:r w:rsidRPr="00836DDB">
        <w:rPr>
          <w:szCs w:val="24"/>
        </w:rPr>
        <w:t xml:space="preserve">Equally thought-provoking is her observation that beneficiaries in rural areas make </w:t>
      </w:r>
      <w:r w:rsidR="0051128C">
        <w:rPr>
          <w:szCs w:val="24"/>
        </w:rPr>
        <w:t>no</w:t>
      </w:r>
      <w:r w:rsidRPr="00836DDB">
        <w:rPr>
          <w:szCs w:val="24"/>
        </w:rPr>
        <w:t xml:space="preserve"> differentiation between </w:t>
      </w:r>
      <w:r w:rsidR="00653503">
        <w:rPr>
          <w:szCs w:val="24"/>
        </w:rPr>
        <w:t>TNGO</w:t>
      </w:r>
      <w:r w:rsidRPr="00836DDB">
        <w:rPr>
          <w:szCs w:val="24"/>
        </w:rPr>
        <w:t xml:space="preserve"> service providers and the Kenyan government </w:t>
      </w:r>
      <w:r>
        <w:rPr>
          <w:szCs w:val="24"/>
        </w:rPr>
        <w:fldChar w:fldCharType="begin"/>
      </w:r>
      <w:r>
        <w:rPr>
          <w:szCs w:val="24"/>
        </w:rPr>
        <w:instrText xml:space="preserve"> ADDIN ZOTERO_ITEM CSL_CITATION {"citationID":"QbeIS0wc","properties":{"formattedCitation":"(Brass 2012a)","plainCitation":"(Brass 2012a)"},"citationItems":[{"id":439,"uris":["http://zotero.org/users/381007/items/35TGSIDC"],"uri":["http://zotero.org/users/381007/items/35TGSIDC"],"itemData":{"id":439,"type":"article-journal","title":"Blurring Boundaries: The Integration of NGOs into Governance in Kenya","container-title":"Governance","page":"209-235","volume":"25","issue":"2","abstract":"This article examines the impact of the proliferation of nongovernmental\norganizations (NGOs) on governance in Kenya. Looking specifically at\nservice provision, it analyzes how the growth of NGOs has begun to change\nthe way decisions are made and policy is formulated. In so doing, the article\nexplores shifting NGO–government relations over time. The governance\nof service provision has become a complex, intertwined affair in whichNGOs\nsit on national policymaking committees, government integratesNGOplans\nand budgets into national policy, and government actors learn from and copy\nNGOs’ participatory, accountable approach. Through (1) the integration of\nformer NGO leaders in government, (2) increasing the variety of voices\nheard in government decision making, (3) lobbying by NGOs, and (4)\nmimicry of NGOs by government, governance of Kenyan service provision\nhas begun to become more democratic. Through such changes, developing\ncountries are witnessing a blurring of the line between public and private.","author":[{"family":"Brass","given":"Jennifer N."}],"issued":{"date-parts":[["2012"]]}}}],"schema":"https://github.com/citation-style-language/schema/raw/master/csl-citation.json"} </w:instrText>
      </w:r>
      <w:r>
        <w:rPr>
          <w:szCs w:val="24"/>
        </w:rPr>
        <w:fldChar w:fldCharType="separate"/>
      </w:r>
      <w:r>
        <w:rPr>
          <w:szCs w:val="24"/>
        </w:rPr>
        <w:t>(Brass 2012a</w:t>
      </w:r>
      <w:r w:rsidRPr="00836DDB">
        <w:rPr>
          <w:szCs w:val="24"/>
        </w:rPr>
        <w:t>)</w:t>
      </w:r>
      <w:r>
        <w:rPr>
          <w:szCs w:val="24"/>
        </w:rPr>
        <w:fldChar w:fldCharType="end"/>
      </w:r>
      <w:r w:rsidRPr="00836DDB">
        <w:rPr>
          <w:szCs w:val="24"/>
        </w:rPr>
        <w:t xml:space="preserve">. This in turn may provide a necessary but not sufficient condition for the convenience argument and also provide further support for the need argument.  </w:t>
      </w:r>
      <w:r>
        <w:rPr>
          <w:szCs w:val="24"/>
        </w:rPr>
        <w:fldChar w:fldCharType="begin"/>
      </w:r>
      <w:r>
        <w:rPr>
          <w:szCs w:val="24"/>
        </w:rPr>
        <w:instrText xml:space="preserve"> ADDIN ZOTERO_ITEM CSL_CITATION {"citationID":"jQRqnrCk","properties":{"formattedCitation":"(Galway, Corbett, and Zeng 2012)","plainCitation":"(Galway, Corbett, and Zeng 2012)"},"citationItems":[{"id":801,"uris":["http://zotero.org/users/381007/items/HTA3ACB7"],"uri":["http://zotero.org/users/381007/items/HTA3ACB7"],"itemData":{"id":801,"type":"article-journal","title":"Where are the NGOs and why? The distribution of health and development NGOs in Bolivia","container-title":"Globalization and health","page":"38","volume":"8","issue":"1","source":"Google Scholar","shortTitle":"Where are the NGOs and why?","author":[{"family":"Galway","given":"Lindsay P."},{"family":"Corbett","given":"Kitty K."},{"family":"Zeng","given":"Leilei"}],"issued":{"date-parts":[["2012"]]},"accessed":{"date-parts":[["2015",1,12]],"season":"17:44:23"}}}],"schema":"https://github.com/citation-style-language/schema/raw/master/csl-citation.json"} </w:instrText>
      </w:r>
      <w:r>
        <w:rPr>
          <w:szCs w:val="24"/>
        </w:rPr>
        <w:fldChar w:fldCharType="separate"/>
      </w:r>
      <w:r w:rsidRPr="00836DDB">
        <w:rPr>
          <w:szCs w:val="24"/>
        </w:rPr>
        <w:t>Galway, Corbett, and Zeng (2012)</w:t>
      </w:r>
      <w:r>
        <w:rPr>
          <w:szCs w:val="24"/>
        </w:rPr>
        <w:fldChar w:fldCharType="end"/>
      </w:r>
      <w:r w:rsidRPr="00836DDB">
        <w:rPr>
          <w:szCs w:val="24"/>
        </w:rPr>
        <w:t xml:space="preserve"> examine location from a public health perspective, yet also pinpoint the level of need as a driving factor of location in Bolivia while </w:t>
      </w:r>
      <w:r>
        <w:rPr>
          <w:szCs w:val="24"/>
        </w:rPr>
        <w:fldChar w:fldCharType="begin"/>
      </w:r>
      <w:r>
        <w:rPr>
          <w:szCs w:val="24"/>
        </w:rPr>
        <w:instrText xml:space="preserve"> ADDIN ZOTERO_ITEM CSL_CITATION {"citationID":"UfQpUV0U","properties":{"formattedCitation":"(Appe 2013)","plainCitation":"(Appe 2013)"},"citationItems":[{"id":979,"uris":["http://zotero.org/users/381007/items/G4EMPN2A"],"uri":["http://zotero.org/users/381007/items/G4EMPN2A"],"itemData":{"id":979,"type":"article-journal","title":"Deconstructing Civil Society \"Maps\": The Case of Ecuador","container-title":"Administrative Theory &amp; Praxis","page":"63-80","volume":"35","issue":"1","source":"CrossRef","DOI":"10.2753/ATP1084-1806350105","ISSN":"1084-1806","shortTitle":"Deconstructing Civil Society \"Maps\"","author":[{"family":"Appe","given":"Susan"}],"issued":{"date-parts":[["2013",3,1]]},"accessed":{"date-parts":[["2015",1,12]],"season":"18:12:13"}}}],"schema":"https://github.com/citation-style-language/schema/raw/master/csl-citation.json"} </w:instrText>
      </w:r>
      <w:r>
        <w:rPr>
          <w:szCs w:val="24"/>
        </w:rPr>
        <w:fldChar w:fldCharType="separate"/>
      </w:r>
      <w:r w:rsidRPr="00836DDB">
        <w:rPr>
          <w:szCs w:val="24"/>
        </w:rPr>
        <w:t>Appe (2013)</w:t>
      </w:r>
      <w:r>
        <w:rPr>
          <w:szCs w:val="24"/>
        </w:rPr>
        <w:fldChar w:fldCharType="end"/>
      </w:r>
      <w:r w:rsidRPr="00836DDB">
        <w:rPr>
          <w:szCs w:val="24"/>
        </w:rPr>
        <w:t xml:space="preserve"> uses the case of Ecuador and location to examine interpretations of civil society and the scholarly discourse surrounding definitions of and what constitutes civil society. </w:t>
      </w:r>
    </w:p>
    <w:p w:rsidR="009944D4" w:rsidRPr="00836DDB" w:rsidRDefault="009944D4" w:rsidP="009944D4">
      <w:pPr>
        <w:spacing w:line="480" w:lineRule="auto"/>
        <w:ind w:firstLine="720"/>
        <w:rPr>
          <w:szCs w:val="24"/>
        </w:rPr>
      </w:pPr>
      <w:r>
        <w:rPr>
          <w:szCs w:val="24"/>
        </w:rPr>
        <w:fldChar w:fldCharType="begin"/>
      </w:r>
      <w:r>
        <w:rPr>
          <w:szCs w:val="24"/>
        </w:rPr>
        <w:instrText xml:space="preserve"> ADDIN ZOTERO_ITEM CSL_CITATION {"citationID":"CQ1hyW3U","properties":{"formattedCitation":"(Mitchell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Pr>
          <w:szCs w:val="24"/>
        </w:rPr>
        <w:fldChar w:fldCharType="separate"/>
      </w:r>
      <w:r w:rsidRPr="00836DDB">
        <w:rPr>
          <w:szCs w:val="24"/>
        </w:rPr>
        <w:t>Mitchell (2013)</w:t>
      </w:r>
      <w:r>
        <w:rPr>
          <w:szCs w:val="24"/>
        </w:rPr>
        <w:fldChar w:fldCharType="end"/>
      </w:r>
      <w:r w:rsidRPr="00836DDB">
        <w:rPr>
          <w:szCs w:val="24"/>
        </w:rPr>
        <w:t xml:space="preserve"> does not examine location per se, yet his analysis of co</w:t>
      </w:r>
      <w:r>
        <w:rPr>
          <w:szCs w:val="24"/>
        </w:rPr>
        <w:t>llaborative propensities among T</w:t>
      </w:r>
      <w:r w:rsidRPr="00836DDB">
        <w:rPr>
          <w:szCs w:val="24"/>
        </w:rPr>
        <w:t xml:space="preserve">NGOs provides further evidence for the convenience argument. While </w:t>
      </w:r>
      <w:r>
        <w:rPr>
          <w:szCs w:val="24"/>
        </w:rPr>
        <w:fldChar w:fldCharType="begin"/>
      </w:r>
      <w:r>
        <w:rPr>
          <w:szCs w:val="24"/>
        </w:rPr>
        <w:instrText xml:space="preserve"> ADDIN ZOTERO_ITEM CSL_CITATION {"citationID":"EwApJQ8B","properties":{"formattedCitation":"(Brass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836DDB">
        <w:rPr>
          <w:szCs w:val="24"/>
        </w:rPr>
        <w:t>Brass (2012b)</w:t>
      </w:r>
      <w:r>
        <w:rPr>
          <w:szCs w:val="24"/>
        </w:rPr>
        <w:fldChar w:fldCharType="end"/>
      </w:r>
      <w:r w:rsidRPr="00836DDB">
        <w:rPr>
          <w:szCs w:val="24"/>
        </w:rPr>
        <w:t xml:space="preserve"> conceptualizes convenience in terms of amenities to assist in personnel retention as well as the possibility of gaining good personnel from other </w:t>
      </w:r>
      <w:r>
        <w:rPr>
          <w:szCs w:val="24"/>
        </w:rPr>
        <w:t>T</w:t>
      </w:r>
      <w:r w:rsidRPr="00836DDB">
        <w:rPr>
          <w:szCs w:val="24"/>
        </w:rPr>
        <w:t xml:space="preserve">NGOs in the area, Mitchell’s research question centers on collaboration. He finds that human rights and faith-based organizations are less likely to work with others while development and humanitarian organizations are more likely to collaborate. Notably, organizations that collaborate are likely to see certain benefits including increased government funding, greater efficiency, and improved recognition and access </w:t>
      </w:r>
      <w:r>
        <w:rPr>
          <w:szCs w:val="24"/>
        </w:rPr>
        <w:fldChar w:fldCharType="begin"/>
      </w:r>
      <w:r>
        <w:rPr>
          <w:szCs w:val="24"/>
        </w:rPr>
        <w:instrText xml:space="preserve"> ADDIN ZOTERO_ITEM CSL_CITATION {"citationID":"iwtac5ZJ","properties":{"formattedCitation":"(Mitchell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Pr>
          <w:szCs w:val="24"/>
        </w:rPr>
        <w:fldChar w:fldCharType="separate"/>
      </w:r>
      <w:r w:rsidRPr="00836DDB">
        <w:rPr>
          <w:szCs w:val="24"/>
        </w:rPr>
        <w:t>(Mitchell 2013)</w:t>
      </w:r>
      <w:r>
        <w:rPr>
          <w:szCs w:val="24"/>
        </w:rPr>
        <w:fldChar w:fldCharType="end"/>
      </w:r>
      <w:r w:rsidRPr="00836DDB">
        <w:rPr>
          <w:szCs w:val="24"/>
        </w:rPr>
        <w:t xml:space="preserve">. Should these findings hold true, it adds more complexity to the convenience argument presented by Brass if </w:t>
      </w:r>
      <w:r>
        <w:rPr>
          <w:szCs w:val="24"/>
        </w:rPr>
        <w:t>T</w:t>
      </w:r>
      <w:r w:rsidRPr="00836DDB">
        <w:rPr>
          <w:szCs w:val="24"/>
        </w:rPr>
        <w:t xml:space="preserve">NGOs make location decisions based on collaborative partnerships. At the same time, other research shows that </w:t>
      </w:r>
      <w:r>
        <w:rPr>
          <w:szCs w:val="24"/>
        </w:rPr>
        <w:t>T</w:t>
      </w:r>
      <w:r w:rsidRPr="00836DDB">
        <w:rPr>
          <w:szCs w:val="24"/>
        </w:rPr>
        <w:t xml:space="preserve">NGOs are duplicative in location, seeking to cover as much territory as possible despite replicating the work of others </w:t>
      </w:r>
      <w:r>
        <w:rPr>
          <w:szCs w:val="24"/>
        </w:rPr>
        <w:fldChar w:fldCharType="begin"/>
      </w:r>
      <w:r>
        <w:rPr>
          <w:szCs w:val="24"/>
        </w:rPr>
        <w:instrText xml:space="preserve"> ADDIN ZOTERO_ITEM CSL_CITATION {"citationID":"bh6m51qz","properties":{"formattedCitation":"(Fruttero and Gauri 2005)","plainCitation":"(Fruttero and Gauri 2005)"},"citationItems":[{"id":1311,"uris":["http://zotero.org/users/381007/items/STMX9W64"],"uri":["http://zotero.org/users/381007/items/STMX9W64"],"itemData":{"id":1311,"type":"article-journal","title":"The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community.","author":[{"family":"Fruttero","given":"Anna"},{"family":"Gauri","given":"Varun"}],"issued":{"date-parts":[["2005"]]}}}],"schema":"https://github.com/citation-style-language/schema/raw/master/csl-citation.json"} </w:instrText>
      </w:r>
      <w:r>
        <w:rPr>
          <w:szCs w:val="24"/>
        </w:rPr>
        <w:fldChar w:fldCharType="separate"/>
      </w:r>
      <w:r w:rsidRPr="00836DDB">
        <w:rPr>
          <w:szCs w:val="24"/>
        </w:rPr>
        <w:t>(Fruttero and Gauri 2005)</w:t>
      </w:r>
      <w:r>
        <w:rPr>
          <w:szCs w:val="24"/>
        </w:rPr>
        <w:fldChar w:fldCharType="end"/>
      </w:r>
      <w:r w:rsidRPr="00836DDB">
        <w:rPr>
          <w:szCs w:val="24"/>
        </w:rPr>
        <w:t xml:space="preserve">. Therefore, collaboration and location may possess further qualifications than those already identified by Mitchell. </w:t>
      </w:r>
    </w:p>
    <w:p w:rsidR="009944D4" w:rsidRPr="00836DDB" w:rsidRDefault="009944D4" w:rsidP="009944D4">
      <w:pPr>
        <w:spacing w:line="480" w:lineRule="auto"/>
        <w:ind w:firstLine="720"/>
        <w:rPr>
          <w:szCs w:val="24"/>
        </w:rPr>
      </w:pPr>
      <w:r w:rsidRPr="00836DDB">
        <w:rPr>
          <w:szCs w:val="24"/>
        </w:rPr>
        <w:t xml:space="preserve">Collaboration is a discussion of resources and capacity, whether monetary, capital, services, or otherwise. Resources of course are an integral piece in </w:t>
      </w:r>
      <w:r>
        <w:rPr>
          <w:szCs w:val="24"/>
        </w:rPr>
        <w:t>T</w:t>
      </w:r>
      <w:r w:rsidRPr="00836DDB">
        <w:rPr>
          <w:szCs w:val="24"/>
        </w:rPr>
        <w:t xml:space="preserve">NGO decision-making. If there is no money to support a program, organizational capacity is absent no matter how great the need. </w:t>
      </w:r>
      <w:r>
        <w:rPr>
          <w:szCs w:val="24"/>
        </w:rPr>
        <w:fldChar w:fldCharType="begin"/>
      </w:r>
      <w:r>
        <w:rPr>
          <w:szCs w:val="24"/>
        </w:rPr>
        <w:instrText xml:space="preserve"> ADDIN ZOTERO_ITEM CSL_CITATION {"citationID":"Ai5e73Rt","properties":{"formattedCitation":"(Stater 2010)","plainCitation":"(Stater 2010)"},"citationItems":[{"id":3143,"uris":["http://zotero.org/users/381007/items/9XN6UK3I"],"uri":["http://zotero.org/users/381007/items/9XN6UK3I"],"itemData":{"id":3143,"type":"article-journal","title":"How permeable is the Nonprofit Sector? Linking Resources, Demand, and Government Provision to the Distribution of Organizations Across Nonprofit Mission-Based Fields","container-title":"Nonprofit and Voluntary Sector Quarterly","page":"674-695","volume":"39","issue":"4","author":[{"family":"Stater","given":"Keeley Jones"}],"issued":{"date-parts":[["2010"]]}}}],"schema":"https://github.com/citation-style-language/schema/raw/master/csl-citation.json"} </w:instrText>
      </w:r>
      <w:r>
        <w:rPr>
          <w:szCs w:val="24"/>
        </w:rPr>
        <w:fldChar w:fldCharType="separate"/>
      </w:r>
      <w:r w:rsidRPr="00836DDB">
        <w:rPr>
          <w:szCs w:val="24"/>
        </w:rPr>
        <w:t xml:space="preserve">Stater </w:t>
      </w:r>
      <w:r>
        <w:rPr>
          <w:szCs w:val="24"/>
        </w:rPr>
        <w:t>(</w:t>
      </w:r>
      <w:r w:rsidRPr="00836DDB">
        <w:rPr>
          <w:szCs w:val="24"/>
        </w:rPr>
        <w:t>2010)</w:t>
      </w:r>
      <w:r>
        <w:rPr>
          <w:szCs w:val="24"/>
        </w:rPr>
        <w:fldChar w:fldCharType="end"/>
      </w:r>
      <w:r w:rsidRPr="00836DDB">
        <w:rPr>
          <w:szCs w:val="24"/>
        </w:rPr>
        <w:t xml:space="preserve"> combines the question of resourc</w:t>
      </w:r>
      <w:r>
        <w:rPr>
          <w:szCs w:val="24"/>
        </w:rPr>
        <w:t>es with population heterogeneity</w:t>
      </w:r>
      <w:r w:rsidRPr="00836DDB">
        <w:rPr>
          <w:szCs w:val="24"/>
        </w:rPr>
        <w:t xml:space="preserve">. Contrary to </w:t>
      </w:r>
      <w:r>
        <w:rPr>
          <w:szCs w:val="24"/>
        </w:rPr>
        <w:fldChar w:fldCharType="begin"/>
      </w:r>
      <w:r>
        <w:rPr>
          <w:szCs w:val="24"/>
        </w:rPr>
        <w:instrText xml:space="preserve"> ADDIN ZOTERO_ITEM CSL_CITATION {"citationID":"ujrdg8M2","properties":{"formattedCitation":"(Brass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836DDB">
        <w:rPr>
          <w:szCs w:val="24"/>
        </w:rPr>
        <w:t>Brass (2012b)</w:t>
      </w:r>
      <w:r>
        <w:rPr>
          <w:szCs w:val="24"/>
        </w:rPr>
        <w:fldChar w:fldCharType="end"/>
      </w:r>
      <w:r w:rsidRPr="00836DDB">
        <w:rPr>
          <w:szCs w:val="24"/>
        </w:rPr>
        <w:t xml:space="preserve">, </w:t>
      </w:r>
      <w:r>
        <w:rPr>
          <w:szCs w:val="24"/>
        </w:rPr>
        <w:t>Stater</w:t>
      </w:r>
      <w:r w:rsidRPr="00836DDB">
        <w:rPr>
          <w:szCs w:val="24"/>
        </w:rPr>
        <w:t xml:space="preserve"> finds that a greater number of nonprofits operate in communities with a higher population density and more diverse demands. Demographic characteristics influence both the number and type of nonprofits</w:t>
      </w:r>
      <w:r>
        <w:rPr>
          <w:szCs w:val="24"/>
        </w:rPr>
        <w:t xml:space="preserve"> </w:t>
      </w:r>
      <w:r>
        <w:rPr>
          <w:szCs w:val="24"/>
        </w:rPr>
        <w:fldChar w:fldCharType="begin"/>
      </w:r>
      <w:r>
        <w:rPr>
          <w:szCs w:val="24"/>
        </w:rPr>
        <w:instrText xml:space="preserve"> ADDIN ZOTERO_ITEM CSL_CITATION {"citationID":"GZ4szm6R","properties":{"formattedCitation":"(Lecy and Van Slyke 2012; McDougle 2015)","plainCitation":"(Lecy and Van Slyke 2012; McDougle 2015)"},"citationItems":[{"id":1474,"uris":["http://zotero.org/users/381007/items/VSBUJRVU"],"uri":["http://zotero.org/users/381007/items/VSBUJRVU"],"itemData":{"id":1474,"type":"article-journal","title":"Nonprofit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M."}],"issued":{"date-parts":[["2012"]]}}},{"id":3689,"uris":["http://zotero.org/users/381007/items/7NF3WF4K"],"uri":["http://zotero.org/users/381007/items/7NF3WF4K"],"itemData":{"id":3689,"type":"article-journal","title":"The accuracy of the core files for studying nonprofit location: How many nonprofits are there?","container-title":"Nonprofit and Voluntary Sector Quarterly","volume":"44","issue":"3","author":[{"family":"McDougle","given":"Lindsey"}],"issued":{"date-parts":[["2015"]]}}}],"schema":"https://github.com/citation-style-language/schema/raw/master/csl-citation.json"} </w:instrText>
      </w:r>
      <w:r>
        <w:rPr>
          <w:szCs w:val="24"/>
        </w:rPr>
        <w:fldChar w:fldCharType="separate"/>
      </w:r>
      <w:r w:rsidRPr="00877559">
        <w:t>(Lecy and Van Slyke 2012; McDougle 2015)</w:t>
      </w:r>
      <w:r>
        <w:rPr>
          <w:szCs w:val="24"/>
        </w:rPr>
        <w:fldChar w:fldCharType="end"/>
      </w:r>
      <w:r>
        <w:rPr>
          <w:szCs w:val="24"/>
        </w:rPr>
        <w:fldChar w:fldCharType="begin"/>
      </w:r>
      <w:r>
        <w:rPr>
          <w:szCs w:val="24"/>
        </w:rPr>
        <w:instrText xml:space="preserve"> ADDIN ZOTERO_ITEM CSL_CITATION {"citationID":"TEXuGp2W","properties":{"formattedCitation":"(Lecy and Van Slyke 2012; McDougle, n.d.)","plainCitation":"(Lecy and Van Slyke 2012; McDougle, n.d.)"},"citationItems":[{"id":1474,"uris":["http://zotero.org/users/381007/items/VSBUJRVU"],"uri":["http://zotero.org/users/381007/items/VSBUJRVU"],"itemData":{"id":1474,"type":"article-journal","title":"Nonprofit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M."}],"issued":{"date-parts":[["2012"]]}}},{"id":3689,"uris":["http://zotero.org/users/381007/items/7NF3WF4K"],"uri":["http://zotero.org/users/381007/items/7NF3WF4K"],"itemData":{"id":3689,"type":"article-journal","title":"The accuracy of the core files for studying nonprofit location: How many nonprofits are there?","container-title":"Nonprofit and Voluntary Sector Quarterly","volume":"44","issue":"3","author":[{"family":"McDougle","given":"Lindsey"}]}}],"schema":"https://github.com/citation-style-language/schema/raw/master/csl-citation.json"} </w:instrText>
      </w:r>
      <w:r>
        <w:rPr>
          <w:szCs w:val="24"/>
        </w:rPr>
        <w:fldChar w:fldCharType="end"/>
      </w:r>
      <w:r>
        <w:rPr>
          <w:szCs w:val="24"/>
        </w:rPr>
        <w:fldChar w:fldCharType="begin"/>
      </w:r>
      <w:r>
        <w:rPr>
          <w:szCs w:val="24"/>
        </w:rPr>
        <w:instrText xml:space="preserve"> ADDIN ZOTERO_ITEM CSL_CITATION {"citationID":"TT13pQfF","properties":{"formattedCitation":"(Lecy and Van Slyke 2012)","plainCitation":"(Lecy and Van Slyke 2012)"},"citationItems":[{"id":1474,"uris":["http://zotero.org/users/381007/items/VSBUJRVU"],"uri":["http://zotero.org/users/381007/items/VSBUJRVU"],"itemData":{"id":1474,"type":"article-journal","title":"Nonprofit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M."}],"issued":{"date-parts":[["2012"]]}}}],"schema":"https://github.com/citation-style-language/schema/raw/master/csl-citation.json"} </w:instrText>
      </w:r>
      <w:r>
        <w:rPr>
          <w:szCs w:val="24"/>
        </w:rPr>
        <w:fldChar w:fldCharType="end"/>
      </w:r>
      <w:r w:rsidR="001D1DAE">
        <w:rPr>
          <w:szCs w:val="24"/>
        </w:rPr>
        <w:t>.</w:t>
      </w:r>
      <w:r w:rsidRPr="00836DDB">
        <w:rPr>
          <w:szCs w:val="24"/>
        </w:rPr>
        <w:t xml:space="preserve"> Thus, one can expect service providers in poorer areas and nonprofits more in line with </w:t>
      </w:r>
      <w:r>
        <w:rPr>
          <w:szCs w:val="24"/>
        </w:rPr>
        <w:fldChar w:fldCharType="begin"/>
      </w:r>
      <w:r>
        <w:rPr>
          <w:szCs w:val="24"/>
        </w:rPr>
        <w:instrText xml:space="preserve"> ADDIN ZOTERO_ITEM CSL_CITATION {"citationID":"3FrGN78F","properties":{"formattedCitation":"(Inglehart 1997)","plainCitation":"(Inglehart 1997)"},"citationItems":[{"id":1126,"uris":["http://zotero.org/users/381007/items/N7DBGI5B"],"uri":["http://zotero.org/users/381007/items/N7DBGI5B"],"itemData":{"id":1126,"type":"book","title":"Modernization and Postmodernization: Cultural, Economic, and Political Change in 43 Societies","publisher":"Princeton University Press","publisher-place":"Princeton, NJ","number-of-pages":"453","event-place":"Princeton, NJ","ISBN":"0-691-01180-X","call-number":"HM 101.I554 1997","author":[{"family":"Inglehart","given":"Ronald"}],"issued":{"date-parts":[["1997"]]}}}],"schema":"https://github.com/citation-style-language/schema/raw/master/csl-citation.json"} </w:instrText>
      </w:r>
      <w:r>
        <w:rPr>
          <w:szCs w:val="24"/>
        </w:rPr>
        <w:fldChar w:fldCharType="separate"/>
      </w:r>
      <w:r w:rsidRPr="00836DDB">
        <w:rPr>
          <w:szCs w:val="24"/>
        </w:rPr>
        <w:t>Inglehart's (1997)</w:t>
      </w:r>
      <w:r>
        <w:rPr>
          <w:szCs w:val="24"/>
        </w:rPr>
        <w:fldChar w:fldCharType="end"/>
      </w:r>
      <w:r w:rsidRPr="00836DDB">
        <w:rPr>
          <w:szCs w:val="24"/>
        </w:rPr>
        <w:t xml:space="preserve"> leisure social values in as economies advance and become more affluent areas. Others take a more direct approach to resources and location. Disaster and government attention may create opportunities for </w:t>
      </w:r>
      <w:r w:rsidR="00F72C99">
        <w:rPr>
          <w:szCs w:val="24"/>
        </w:rPr>
        <w:t>T</w:t>
      </w:r>
      <w:r w:rsidRPr="00836DDB">
        <w:rPr>
          <w:szCs w:val="24"/>
        </w:rPr>
        <w:t xml:space="preserve">NGO response </w:t>
      </w:r>
      <w:r>
        <w:rPr>
          <w:szCs w:val="24"/>
        </w:rPr>
        <w:fldChar w:fldCharType="begin"/>
      </w:r>
      <w:r>
        <w:rPr>
          <w:szCs w:val="24"/>
        </w:rPr>
        <w:instrText xml:space="preserve"> ADDIN ZOTERO_ITEM CSL_CITATION {"citationID":"dBTppLH0","properties":{"formattedCitation":"(Kerlin 2006; Kerlin 2013)","plainCitation":"(Kerlin 2006; Kerlin 2013)"},"citationItems":[{"id":3156,"uris":["http://zotero.org/users/381007/items/DPCUX2MV"],"uri":["http://zotero.org/users/381007/items/DPCUX2MV"],"itemData":{"id":3156,"type":"chapter","title":"U.S.-Based International NGOs and Federal Government Foreign Assistance: Out of Alignment?","container-title":"Nonprofits &amp; Government: Collaboration &amp; Conflict","publisher":"The Urban Institute Press","publisher-place":"Washington","page":"373-398","edition":"2","event-place":"Washington","author":[{"family":"Kerlin","given":"Janelle A."}],"editor":[{"family":"Boris","given":"Elizabeth T."},{"family":"Steuerie","given":"C. Eugene"}],"issued":{"date-parts":[["2006"]]}}},{"id":3194,"uris":["http://zotero.org/users/381007/items/MT64P3DQ"],"uri":["http://zotero.org/users/381007/items/MT64P3DQ"],"itemData":{"id":3194,"type":"article-journal","title":"Predicting Variation in Funding for International Nongovernmental Organizations Following Three External Events","container-title":"Nonprofit Management and Leadership","page":"473-490","volume":"23","issue":"4","source":"CrossRef","DOI":"10.1002/nml.21075","ISSN":"10486682","language":"en","author":[{"family":"Kerlin","given":"Janelle A."}],"issued":{"date-parts":[["2013",6]]},"accessed":{"date-parts":[["2014",4,20]]}}}],"schema":"https://github.com/citation-style-language/schema/raw/master/csl-citation.json"} </w:instrText>
      </w:r>
      <w:r>
        <w:rPr>
          <w:szCs w:val="24"/>
        </w:rPr>
        <w:fldChar w:fldCharType="separate"/>
      </w:r>
      <w:r>
        <w:rPr>
          <w:szCs w:val="24"/>
        </w:rPr>
        <w:t>(Kerlin 2006,</w:t>
      </w:r>
      <w:r w:rsidRPr="00836DDB">
        <w:rPr>
          <w:szCs w:val="24"/>
        </w:rPr>
        <w:t xml:space="preserve"> 2013)</w:t>
      </w:r>
      <w:r>
        <w:rPr>
          <w:szCs w:val="24"/>
        </w:rPr>
        <w:fldChar w:fldCharType="end"/>
      </w:r>
      <w:r w:rsidRPr="00836DDB">
        <w:rPr>
          <w:szCs w:val="24"/>
        </w:rPr>
        <w:t xml:space="preserve"> whereas in other cases location may </w:t>
      </w:r>
      <w:r w:rsidR="00F72C99">
        <w:rPr>
          <w:szCs w:val="24"/>
        </w:rPr>
        <w:t>serve a signal to donors that a</w:t>
      </w:r>
      <w:r w:rsidRPr="00836DDB">
        <w:rPr>
          <w:szCs w:val="24"/>
        </w:rPr>
        <w:t xml:space="preserve"> </w:t>
      </w:r>
      <w:r w:rsidR="001D1DAE">
        <w:rPr>
          <w:szCs w:val="24"/>
        </w:rPr>
        <w:t>T</w:t>
      </w:r>
      <w:r w:rsidRPr="00836DDB">
        <w:rPr>
          <w:szCs w:val="24"/>
        </w:rPr>
        <w:t xml:space="preserve">NGO is a good fit </w:t>
      </w:r>
      <w:r>
        <w:rPr>
          <w:szCs w:val="24"/>
        </w:rPr>
        <w:fldChar w:fldCharType="begin"/>
      </w:r>
      <w:r>
        <w:rPr>
          <w:szCs w:val="24"/>
        </w:rPr>
        <w:instrText xml:space="preserve"> ADDIN ZOTERO_ITEM CSL_CITATION {"citationID":"u4s3up96","properties":{"formattedCitation":"(Koch et al. 2009; Reinhardt 2009)","plainCitation":"(Koch et al. 2009; Reinhardt 2009)"},"citationItems":[{"id":961,"uris":["http://zotero.org/users/381007/items/HT6W88M6"],"uri":["http://zotero.org/users/381007/items/HT6W88M6"],"itemData":{"id":961,"type":"article-journal","title":"Keeping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id":3177,"uris":["http://zotero.org/users/381007/items/I2VQAC4P"],"uri":["http://zotero.org/users/381007/items/I2VQAC4P"],"itemData":{"id":3177,"type":"article-journal","title":"Matching Donors and NGOs: The Importance of Signaling in Funding Awards","container-title":"Journal of Theoretical Politics","page":"283-309","volume":"21","issue":"3","abstract":"The topic of nonprofit reform has sparked a debate on the battle between efficiency\nand effectiveness. Why do ineffective nonprofits survive? Prospective\ndonors favor applicants likely to fulfill donor priorities. Donors with limited\ntime and energy look for signals that reveal recipients’ true capabilities.\nKnowing this, recipients attempt to send the right signals to prospective\ndonors. If the process of sending and reading signals is efficient, funding decisions\nwill tend toward an optimal outcome in which only effective agencies\nsurvive. What signals do donors consider the most helpful? Are organizations\nthat send such signals receiving the highest payoffs? What is the financial yield\nof each signal to recipients? This article uses a signaling game to sharpen our\nunderstanding of nonprofit fundraising and derive the conditions under which\nsignals will be credible. Interview and survey evidence gathered in Brazil indicate\nthat signals of accessibility, reliability, and credibility attract the highest\npayoffs.","author":[{"family":"Reinhardt","given":"Gina Yannitell"}],"issued":{"date-parts":[["2009"]]}}}],"schema":"https://github.com/citation-style-language/schema/raw/master/csl-citation.json"} </w:instrText>
      </w:r>
      <w:r>
        <w:rPr>
          <w:szCs w:val="24"/>
        </w:rPr>
        <w:fldChar w:fldCharType="separate"/>
      </w:r>
      <w:r w:rsidRPr="00836DDB">
        <w:rPr>
          <w:szCs w:val="24"/>
        </w:rPr>
        <w:t>(Koch et al. 2009; Reinhardt 2009)</w:t>
      </w:r>
      <w:r>
        <w:rPr>
          <w:szCs w:val="24"/>
        </w:rPr>
        <w:fldChar w:fldCharType="end"/>
      </w:r>
      <w:r w:rsidRPr="00836DDB">
        <w:rPr>
          <w:szCs w:val="24"/>
        </w:rPr>
        <w:t>.</w:t>
      </w:r>
    </w:p>
    <w:p w:rsidR="009944D4" w:rsidRPr="00836DDB" w:rsidRDefault="009944D4" w:rsidP="009944D4">
      <w:pPr>
        <w:spacing w:line="480" w:lineRule="auto"/>
        <w:ind w:firstLine="720"/>
        <w:rPr>
          <w:szCs w:val="24"/>
        </w:rPr>
      </w:pPr>
      <w:r w:rsidRPr="00836DDB">
        <w:rPr>
          <w:szCs w:val="24"/>
        </w:rPr>
        <w:t xml:space="preserve">Finally, </w:t>
      </w:r>
      <w:r>
        <w:rPr>
          <w:szCs w:val="24"/>
        </w:rPr>
        <w:fldChar w:fldCharType="begin"/>
      </w:r>
      <w:r>
        <w:rPr>
          <w:szCs w:val="24"/>
        </w:rPr>
        <w:instrText xml:space="preserve"> ADDIN ZOTERO_ITEM CSL_CITATION {"citationID":"g5U4vPcQ","properties":{"formattedCitation":"(Acheson, James M. and Roy Gardner 2005)","plainCitation":"(Acheson, James M. and Roy Gardner 2005)"},"citationItems":[{"id":992,"uris":["http://zotero.org/users/381007/items/IHZZJQNF"],"uri":["http://zotero.org/users/381007/items/IHZZJQNF"],"itemData":{"id":992,"type":"article-journal","title":"Spatial Strategies and Territoriality in the Maine Lobster Industry","container-title":"Rationality and Society","page":"309-341","volume":"17","issue":"3","abstract":"Uses game theory and rational choice to examine territorial systems and the evolution of institutional arrangements in Maine lobster fishing. Identifies 3 stages that are the result of decisions to defend/invade territory that has changed over the course of time due to technology, transportation, law enforcement, and environmental factors. As it has evolved, the lobster industry has been influenced by norms, rules, and strategies (IAD). It is characterized by 3 territorial systems that exist at different scales and involve different rules and principles: local and informal systems whose rules are enforced by fishermen; at the state-level where laws have been based to conserve the resource with enforcement by the Marine Patrol, this is the result of lobbying by the industry; and the federal system, which was established after the 1977 Fisheries Conservation and Management Act, which extended federal rights to manage fisheries by 200 miles. On the surface, the local and state systems appear entirely separate, but they have evolved in tandem – the local system is encompassed by the formal state system (a system within a system); the local territorial system could not exist if laws against tampering with gear were not enforced. This example shows how rules and norms emerge, and the way in which action arenas are linked/actors cross arenas.","author":[{"family":"Acheson, James M.","given":""},{"family":"Roy Gardner","given":""}],"issued":{"date-parts":[["2005"]]}}}],"schema":"https://github.com/citation-style-language/schema/raw/master/csl-citation.json"} </w:instrText>
      </w:r>
      <w:r>
        <w:rPr>
          <w:szCs w:val="24"/>
        </w:rPr>
        <w:fldChar w:fldCharType="separate"/>
      </w:r>
      <w:r w:rsidRPr="00836DDB">
        <w:rPr>
          <w:szCs w:val="24"/>
        </w:rPr>
        <w:t>Acheson and Gardner (2005)</w:t>
      </w:r>
      <w:r>
        <w:rPr>
          <w:szCs w:val="24"/>
        </w:rPr>
        <w:fldChar w:fldCharType="end"/>
      </w:r>
      <w:r w:rsidR="009D0BC0">
        <w:rPr>
          <w:szCs w:val="24"/>
        </w:rPr>
        <w:t xml:space="preserve"> explore</w:t>
      </w:r>
      <w:r w:rsidRPr="00836DDB">
        <w:rPr>
          <w:szCs w:val="24"/>
        </w:rPr>
        <w:t xml:space="preserve"> the question of territoriality, </w:t>
      </w:r>
      <w:r w:rsidR="00092B91">
        <w:rPr>
          <w:szCs w:val="24"/>
        </w:rPr>
        <w:t>through the frame of the regulatory environment.</w:t>
      </w:r>
      <w:r w:rsidRPr="00836DDB">
        <w:rPr>
          <w:szCs w:val="24"/>
        </w:rPr>
        <w:t xml:space="preserve"> </w:t>
      </w:r>
      <w:r w:rsidR="00092B91">
        <w:rPr>
          <w:szCs w:val="24"/>
        </w:rPr>
        <w:t xml:space="preserve">Agents </w:t>
      </w:r>
      <w:r w:rsidRPr="00836DDB">
        <w:rPr>
          <w:szCs w:val="24"/>
        </w:rPr>
        <w:t>face multiple principals</w:t>
      </w:r>
      <w:r w:rsidR="00092B91">
        <w:rPr>
          <w:szCs w:val="24"/>
        </w:rPr>
        <w:t xml:space="preserve"> in their study, as do TNGOs. However, instead of a domestic context, </w:t>
      </w:r>
      <w:r w:rsidR="00F72C99">
        <w:rPr>
          <w:szCs w:val="24"/>
        </w:rPr>
        <w:t>T</w:t>
      </w:r>
      <w:r w:rsidRPr="00836DDB">
        <w:rPr>
          <w:szCs w:val="24"/>
        </w:rPr>
        <w:t>NGO</w:t>
      </w:r>
      <w:r w:rsidR="00092B91">
        <w:rPr>
          <w:szCs w:val="24"/>
        </w:rPr>
        <w:t xml:space="preserve"> face</w:t>
      </w:r>
      <w:r w:rsidRPr="00836DDB">
        <w:rPr>
          <w:szCs w:val="24"/>
        </w:rPr>
        <w:t xml:space="preserve"> host government legislation </w:t>
      </w:r>
      <w:r w:rsidR="00AF475C">
        <w:rPr>
          <w:szCs w:val="24"/>
        </w:rPr>
        <w:t xml:space="preserve">that shapes the </w:t>
      </w:r>
      <w:r w:rsidRPr="00836DDB">
        <w:rPr>
          <w:szCs w:val="24"/>
        </w:rPr>
        <w:t xml:space="preserve">operating environment </w:t>
      </w:r>
      <w:r w:rsidR="00AF475C">
        <w:rPr>
          <w:szCs w:val="24"/>
        </w:rPr>
        <w:t>into a more</w:t>
      </w:r>
      <w:r w:rsidRPr="00836DDB">
        <w:rPr>
          <w:szCs w:val="24"/>
        </w:rPr>
        <w:t xml:space="preserve"> or less inviting</w:t>
      </w:r>
      <w:r w:rsidR="00AF475C">
        <w:rPr>
          <w:szCs w:val="24"/>
        </w:rPr>
        <w:t xml:space="preserve"> one while also contending with U.S. regulations.</w:t>
      </w:r>
      <w:r w:rsidRPr="00836DDB">
        <w:rPr>
          <w:szCs w:val="24"/>
        </w:rPr>
        <w:t xml:space="preserve"> </w:t>
      </w:r>
    </w:p>
    <w:p w:rsidR="009944D4" w:rsidRDefault="009944D4" w:rsidP="009944D4">
      <w:pPr>
        <w:spacing w:line="480" w:lineRule="auto"/>
        <w:rPr>
          <w:szCs w:val="24"/>
        </w:rPr>
      </w:pPr>
      <w:r w:rsidRPr="00836DDB">
        <w:rPr>
          <w:szCs w:val="24"/>
        </w:rPr>
        <w:tab/>
        <w:t xml:space="preserve">Although the nonprofit and </w:t>
      </w:r>
      <w:r w:rsidR="00F72C99">
        <w:rPr>
          <w:szCs w:val="24"/>
        </w:rPr>
        <w:t>T</w:t>
      </w:r>
      <w:r w:rsidRPr="00836DDB">
        <w:rPr>
          <w:szCs w:val="24"/>
        </w:rPr>
        <w:t xml:space="preserve">NGO literature provides insight into location in some ways, it does so most often in an indirect manner. I argue in this dissertation that existing scholarship oversimplifies how and why </w:t>
      </w:r>
      <w:r w:rsidR="00F72C99">
        <w:rPr>
          <w:szCs w:val="24"/>
        </w:rPr>
        <w:t>T</w:t>
      </w:r>
      <w:r w:rsidRPr="00836DDB">
        <w:rPr>
          <w:szCs w:val="24"/>
        </w:rPr>
        <w:t xml:space="preserve">NGOs go where they go. At present, explanations omit environmental and organizational factors that </w:t>
      </w:r>
      <w:r w:rsidR="00F72C99">
        <w:rPr>
          <w:szCs w:val="24"/>
        </w:rPr>
        <w:t>T</w:t>
      </w:r>
      <w:r w:rsidRPr="00836DDB">
        <w:rPr>
          <w:szCs w:val="24"/>
        </w:rPr>
        <w:t xml:space="preserve">NGOs consider in their calculations. Is it possible, for example, that some </w:t>
      </w:r>
      <w:r w:rsidR="00F72C99">
        <w:rPr>
          <w:szCs w:val="24"/>
        </w:rPr>
        <w:t>T</w:t>
      </w:r>
      <w:r w:rsidRPr="00836DDB">
        <w:rPr>
          <w:szCs w:val="24"/>
        </w:rPr>
        <w:t>NGOs are more risk averse than others and if so, is there a threshold for risk toleration that helps us understand who helps whom, when, and how we can better reach those in need?</w:t>
      </w:r>
      <w:r w:rsidRPr="00836DDB">
        <w:rPr>
          <w:rStyle w:val="FootnoteReference"/>
          <w:szCs w:val="24"/>
        </w:rPr>
        <w:footnoteReference w:id="7"/>
      </w:r>
      <w:r w:rsidRPr="00836DDB">
        <w:rPr>
          <w:szCs w:val="24"/>
        </w:rPr>
        <w:t xml:space="preserve">  Beyond donor demands, what about the demands that host governments also make of organizations and the barriers that they throw up in their political maneuvering? Add these to the economic reality of the charitable sector and the story of why </w:t>
      </w:r>
      <w:r w:rsidR="00F72C99">
        <w:rPr>
          <w:szCs w:val="24"/>
        </w:rPr>
        <w:t>T</w:t>
      </w:r>
      <w:r w:rsidRPr="00836DDB">
        <w:rPr>
          <w:szCs w:val="24"/>
        </w:rPr>
        <w:t xml:space="preserve">NGOs go where they go begins to unfold with greater nuance and descriptive power. </w:t>
      </w:r>
    </w:p>
    <w:p w:rsidR="00E67B1D" w:rsidRDefault="00E67B1D" w:rsidP="00E67B1D">
      <w:pPr>
        <w:spacing w:line="480" w:lineRule="auto"/>
        <w:rPr>
          <w:szCs w:val="24"/>
        </w:rPr>
      </w:pPr>
    </w:p>
    <w:p w:rsidR="009944D4" w:rsidRPr="00A279DA" w:rsidRDefault="009944D4" w:rsidP="00E67B1D">
      <w:pPr>
        <w:pStyle w:val="Heading2"/>
        <w:numPr>
          <w:ilvl w:val="0"/>
          <w:numId w:val="0"/>
        </w:numPr>
        <w:jc w:val="center"/>
        <w:rPr>
          <w:b/>
          <w:color w:val="auto"/>
          <w:sz w:val="24"/>
          <w:szCs w:val="24"/>
        </w:rPr>
      </w:pPr>
      <w:bookmarkStart w:id="8" w:name="_Toc450079082"/>
      <w:r w:rsidRPr="00A279DA">
        <w:rPr>
          <w:b/>
          <w:color w:val="auto"/>
          <w:sz w:val="24"/>
          <w:szCs w:val="24"/>
        </w:rPr>
        <w:t>1.4: Overview of the dissertation</w:t>
      </w:r>
      <w:bookmarkEnd w:id="8"/>
    </w:p>
    <w:p w:rsidR="009944D4" w:rsidRPr="00836DDB" w:rsidRDefault="009944D4" w:rsidP="009944D4">
      <w:pPr>
        <w:jc w:val="center"/>
        <w:rPr>
          <w:b/>
          <w:sz w:val="28"/>
        </w:rPr>
      </w:pPr>
    </w:p>
    <w:p w:rsidR="009944D4" w:rsidRPr="00836DDB" w:rsidRDefault="009944D4" w:rsidP="009944D4">
      <w:pPr>
        <w:spacing w:line="480" w:lineRule="auto"/>
        <w:ind w:firstLine="720"/>
        <w:rPr>
          <w:szCs w:val="24"/>
        </w:rPr>
      </w:pPr>
      <w:r w:rsidRPr="00836DDB">
        <w:rPr>
          <w:szCs w:val="24"/>
        </w:rPr>
        <w:t xml:space="preserve">This dissertation seeks to explain the country-level drivers that explain the presence of </w:t>
      </w:r>
      <w:r w:rsidR="00F72C99">
        <w:rPr>
          <w:szCs w:val="24"/>
        </w:rPr>
        <w:t>T</w:t>
      </w:r>
      <w:r w:rsidRPr="00836DDB">
        <w:rPr>
          <w:szCs w:val="24"/>
        </w:rPr>
        <w:t xml:space="preserve">NGOs in a country. To accomplish this, I analyze data for 554 </w:t>
      </w:r>
      <w:r>
        <w:rPr>
          <w:szCs w:val="24"/>
        </w:rPr>
        <w:t>U.S.-based</w:t>
      </w:r>
      <w:r w:rsidRPr="00836DDB">
        <w:rPr>
          <w:szCs w:val="24"/>
        </w:rPr>
        <w:t xml:space="preserve"> </w:t>
      </w:r>
      <w:r w:rsidR="00F72C99">
        <w:rPr>
          <w:szCs w:val="24"/>
        </w:rPr>
        <w:t>T</w:t>
      </w:r>
      <w:r w:rsidRPr="00836DDB">
        <w:rPr>
          <w:szCs w:val="24"/>
        </w:rPr>
        <w:t xml:space="preserve">NGOs with in-country programming over a five year period between 2008 and 2012. Chapter 1 provides an overarching introduction to the dissertation and an introduction to related research on TNGOs. In </w:t>
      </w:r>
      <w:r w:rsidRPr="00877559">
        <w:rPr>
          <w:szCs w:val="24"/>
        </w:rPr>
        <w:t>Chapter 2,</w:t>
      </w:r>
      <w:r w:rsidRPr="00836DDB">
        <w:rPr>
          <w:szCs w:val="24"/>
        </w:rPr>
        <w:t xml:space="preserve"> I draw on research from </w:t>
      </w:r>
      <w:r w:rsidRPr="00877559">
        <w:rPr>
          <w:szCs w:val="24"/>
        </w:rPr>
        <w:fldChar w:fldCharType="begin"/>
      </w:r>
      <w:r w:rsidRPr="00877559">
        <w:rPr>
          <w:szCs w:val="24"/>
        </w:rPr>
        <w:instrText xml:space="preserve"> ADDIN ZOTERO_ITEM CSL_CITATION {"citationID":"Xgh14tdz","properties":{"formattedCitation":"(Brass 2012b; Brass 2012a)","plainCitation":"(Brass 2012b; Brass 2012a)"},"citationItems":[{"id":949,"uris":["http://zotero.org/users/381007/items/HCQ4K4HC"],"uri":["http://zotero.org/users/381007/items/HCQ4K4HC"],"itemData":{"id":949,"type":"article-journal","title":"Why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N."}],"issued":{"date-parts":[["2012"]]}}},{"id":439,"uris":["http://zotero.org/users/381007/items/35TGSIDC"],"uri":["http://zotero.org/users/381007/items/35TGSIDC"],"itemData":{"id":439,"type":"article-journal","title":"Blurring Boundaries: The Integration of NGOs into Governance in Kenya","container-title":"Governance","page":"209-235","volume":"25","issue":"2","abstract":"This article examines the impact of the proliferation of nongovernmental\norganizations (NGOs) on governance in Kenya. Looking specifically at\nservice provision, it analyzes how the growth of NGOs has begun to change\nthe way decisions are made and policy is formulated. In so doing, the article\nexplores shifting NGO–government relations over time. The governance\nof service provision has become a complex, intertwined affair in whichNGOs\nsit on national policymaking committees, government integratesNGOplans\nand budgets into national policy, and government actors learn from and copy\nNGOs’ participatory, accountable approach. Through (1) the integration of\nformer NGO leaders in government, (2) increasing the variety of voices\nheard in government decision making, (3) lobbying by NGOs, and (4)\nmimicry of NGOs by government, governance of Kenyan service provision\nhas begun to become more democratic. Through such changes, developing\ncountries are witnessing a blurring of the line between public and private.","author":[{"family":"Brass","given":"Jennifer N."}],"issued":{"date-parts":[["2012"]]}}}],"schema":"https://github.com/citation-style-language/schema/raw/master/csl-citation.json"} </w:instrText>
      </w:r>
      <w:r w:rsidRPr="00877559">
        <w:rPr>
          <w:szCs w:val="24"/>
        </w:rPr>
        <w:fldChar w:fldCharType="separate"/>
      </w:r>
      <w:r w:rsidRPr="00877559">
        <w:rPr>
          <w:szCs w:val="24"/>
        </w:rPr>
        <w:t>Brass (2012b; 2012a)</w:t>
      </w:r>
      <w:r w:rsidRPr="00877559">
        <w:rPr>
          <w:szCs w:val="24"/>
        </w:rPr>
        <w:fldChar w:fldCharType="end"/>
      </w:r>
      <w:r w:rsidRPr="00877559">
        <w:rPr>
          <w:szCs w:val="24"/>
        </w:rPr>
        <w:t xml:space="preserve">, </w:t>
      </w:r>
      <w:r w:rsidRPr="00877559">
        <w:rPr>
          <w:szCs w:val="24"/>
        </w:rPr>
        <w:fldChar w:fldCharType="begin"/>
      </w:r>
      <w:r w:rsidRPr="00877559">
        <w:rPr>
          <w:szCs w:val="24"/>
        </w:rPr>
        <w:instrText xml:space="preserve"> ADDIN ZOTERO_ITEM CSL_CITATION {"citationID":"x9fcw4cS","properties":{"formattedCitation":"(Fruttero and Gauri 2005)","plainCitation":"(Fruttero and Gauri 2005)"},"citationItems":[{"id":1311,"uris":["http://zotero.org/users/381007/items/STMX9W64"],"uri":["http://zotero.org/users/381007/items/STMX9W64"],"itemData":{"id":1311,"type":"article-journal","title":"The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community.","author":[{"family":"Fruttero","given":"Anna"},{"family":"Gauri","given":"Varun"}],"issued":{"date-parts":[["2005"]]}}}],"schema":"https://github.com/citation-style-language/schema/raw/master/csl-citation.json"} </w:instrText>
      </w:r>
      <w:r w:rsidRPr="00877559">
        <w:rPr>
          <w:szCs w:val="24"/>
        </w:rPr>
        <w:fldChar w:fldCharType="separate"/>
      </w:r>
      <w:r w:rsidRPr="00877559">
        <w:rPr>
          <w:szCs w:val="24"/>
        </w:rPr>
        <w:t>Fruttero and Gauri (2005)</w:t>
      </w:r>
      <w:r w:rsidRPr="00877559">
        <w:rPr>
          <w:szCs w:val="24"/>
        </w:rPr>
        <w:fldChar w:fldCharType="end"/>
      </w:r>
      <w:r w:rsidRPr="00877559">
        <w:rPr>
          <w:szCs w:val="24"/>
        </w:rPr>
        <w:t xml:space="preserve">, </w:t>
      </w:r>
      <w:r w:rsidRPr="00877559">
        <w:rPr>
          <w:szCs w:val="24"/>
        </w:rPr>
        <w:fldChar w:fldCharType="begin"/>
      </w:r>
      <w:r w:rsidRPr="00877559">
        <w:rPr>
          <w:szCs w:val="24"/>
        </w:rPr>
        <w:instrText xml:space="preserve"> ADDIN ZOTERO_ITEM CSL_CITATION {"citationID":"fDLH5vWk","properties":{"formattedCitation":"(Lecy and Van Slyke 2012)","plainCitation":"(Lecy and Van Slyke 2012)"},"citationItems":[{"id":1474,"uris":["http://zotero.org/users/381007/items/VSBUJRVU"],"uri":["http://zotero.org/users/381007/items/VSBUJRVU"],"itemData":{"id":1474,"type":"article-journal","title":"Nonprofit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M."}],"issued":{"date-parts":[["2012"]]}}}],"schema":"https://github.com/citation-style-language/schema/raw/master/csl-citation.json"} </w:instrText>
      </w:r>
      <w:r w:rsidRPr="00877559">
        <w:rPr>
          <w:szCs w:val="24"/>
        </w:rPr>
        <w:fldChar w:fldCharType="separate"/>
      </w:r>
      <w:r w:rsidRPr="00877559">
        <w:rPr>
          <w:szCs w:val="24"/>
        </w:rPr>
        <w:t>Lecy and Van Slyke (2012)</w:t>
      </w:r>
      <w:r w:rsidRPr="00877559">
        <w:rPr>
          <w:szCs w:val="24"/>
        </w:rPr>
        <w:fldChar w:fldCharType="end"/>
      </w:r>
      <w:r w:rsidRPr="00877559">
        <w:rPr>
          <w:szCs w:val="24"/>
        </w:rPr>
        <w:t>, the TNGO project at Syracuse University, and</w:t>
      </w:r>
      <w:r w:rsidRPr="00877559">
        <w:rPr>
          <w:szCs w:val="24"/>
        </w:rPr>
        <w:fldChar w:fldCharType="begin"/>
      </w:r>
      <w:r w:rsidRPr="00877559">
        <w:rPr>
          <w:szCs w:val="24"/>
        </w:rPr>
        <w:instrText xml:space="preserve"> ADDIN ZOTERO_ITEM CSL_CITATION {"citationID":"UwjJfrHn","properties":{"formattedCitation":"(Keck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sidRPr="00877559">
        <w:rPr>
          <w:szCs w:val="24"/>
        </w:rPr>
        <w:fldChar w:fldCharType="separate"/>
      </w:r>
      <w:r w:rsidRPr="00877559">
        <w:rPr>
          <w:szCs w:val="24"/>
        </w:rPr>
        <w:t xml:space="preserve"> Keck and Sikkink (1998)</w:t>
      </w:r>
      <w:r w:rsidRPr="00877559">
        <w:rPr>
          <w:szCs w:val="24"/>
        </w:rPr>
        <w:fldChar w:fldCharType="end"/>
      </w:r>
      <w:r w:rsidR="00AF475C">
        <w:rPr>
          <w:szCs w:val="24"/>
        </w:rPr>
        <w:t xml:space="preserve"> </w:t>
      </w:r>
      <w:r w:rsidRPr="00877559">
        <w:rPr>
          <w:szCs w:val="24"/>
        </w:rPr>
        <w:t xml:space="preserve">to underscore the progress of scholars in other disciplines and synthesize their findings with their domestic counterparts. Based on discussions surrounding the role of </w:t>
      </w:r>
      <w:r w:rsidR="00653503">
        <w:rPr>
          <w:szCs w:val="24"/>
        </w:rPr>
        <w:t>TNGO</w:t>
      </w:r>
      <w:r w:rsidRPr="00877559">
        <w:rPr>
          <w:szCs w:val="24"/>
        </w:rPr>
        <w:t xml:space="preserve">s in development and the more commonly studied area of service provision, I propose a more complete model of </w:t>
      </w:r>
      <w:r w:rsidR="00653503">
        <w:rPr>
          <w:szCs w:val="24"/>
        </w:rPr>
        <w:t>TNGO</w:t>
      </w:r>
      <w:r w:rsidRPr="00877559">
        <w:rPr>
          <w:szCs w:val="24"/>
        </w:rPr>
        <w:t xml:space="preserve"> decision-making pertaining location through the incorporation of political-structural, economic, and operational dimensions that influence such choices. Chapter 3</w:t>
      </w:r>
      <w:r w:rsidRPr="00836DDB">
        <w:rPr>
          <w:szCs w:val="24"/>
        </w:rPr>
        <w:t xml:space="preserve"> is motivated by a follow-up question </w:t>
      </w:r>
      <w:r w:rsidR="00724CC8">
        <w:rPr>
          <w:szCs w:val="24"/>
        </w:rPr>
        <w:t>centered on resource dependency:</w:t>
      </w:r>
      <w:r w:rsidRPr="00836DDB">
        <w:rPr>
          <w:szCs w:val="24"/>
        </w:rPr>
        <w:t xml:space="preserve"> does the U.S. government influence the location of </w:t>
      </w:r>
      <w:r>
        <w:rPr>
          <w:szCs w:val="24"/>
        </w:rPr>
        <w:t>U.S.-based</w:t>
      </w:r>
      <w:r w:rsidRPr="00836DDB">
        <w:rPr>
          <w:szCs w:val="24"/>
        </w:rPr>
        <w:t xml:space="preserve"> </w:t>
      </w:r>
      <w:r w:rsidR="00653503">
        <w:rPr>
          <w:szCs w:val="24"/>
        </w:rPr>
        <w:t>TNGO</w:t>
      </w:r>
      <w:r w:rsidRPr="00836DDB">
        <w:rPr>
          <w:szCs w:val="24"/>
        </w:rPr>
        <w:t xml:space="preserve">s? Empirical observations show that </w:t>
      </w:r>
      <w:r>
        <w:rPr>
          <w:szCs w:val="24"/>
        </w:rPr>
        <w:t>U.S.-based</w:t>
      </w:r>
      <w:r w:rsidRPr="00836DDB">
        <w:rPr>
          <w:szCs w:val="24"/>
        </w:rPr>
        <w:t xml:space="preserve"> </w:t>
      </w:r>
      <w:r w:rsidR="00653503">
        <w:rPr>
          <w:szCs w:val="24"/>
        </w:rPr>
        <w:t>TNGO</w:t>
      </w:r>
      <w:r w:rsidRPr="00836DDB">
        <w:rPr>
          <w:szCs w:val="24"/>
        </w:rPr>
        <w:t xml:space="preserve">s tend to be very active in areas of U.S. government strategic initiative. International relations literature notes the phenomenon of delegation of authority while scholarship on transnational networks observe how </w:t>
      </w:r>
      <w:r w:rsidR="00653503">
        <w:rPr>
          <w:szCs w:val="24"/>
        </w:rPr>
        <w:t>TNGO</w:t>
      </w:r>
      <w:r w:rsidRPr="00836DDB">
        <w:rPr>
          <w:szCs w:val="24"/>
        </w:rPr>
        <w:t xml:space="preserve">s engage in collaborative advocacy efforts to influence government </w:t>
      </w:r>
      <w:r>
        <w:rPr>
          <w:szCs w:val="24"/>
        </w:rPr>
        <w:fldChar w:fldCharType="begin"/>
      </w:r>
      <w:r>
        <w:rPr>
          <w:szCs w:val="24"/>
        </w:rPr>
        <w:instrText xml:space="preserve"> ADDIN ZOTERO_ITEM CSL_CITATION {"citationID":"GReoMI2I","properties":{"formattedCitation":"(Stroup 2012; Keck and Sikkink 1998)","plainCitation":"(Stroup 2012; Keck and Sikkink 1998)"},"citationItems":[{"id":3109,"uris":["http://zotero.org/users/381007/items/49Q6M98X"],"uri":["http://zotero.org/users/381007/items/49Q6M98X"],"itemData":{"id":3109,"type":"book","title":"Borders Among Activists: International NGOs in the United States, Britain, and France","publisher":"Cornell University Press","publisher-place":"Ithaca","event-place":"Ithaca","abstract":"Many iNGOs are increasingly active in int'l arenas, but Stroup argues that actual organizational structures and strategies are deeply tied to national environments. Example: CARE, Oxfam, and MSF resemble charities from their home countries more than they do humanitarian relief groups around the world. As a result, durable transnational campaigns are unlikely.  Uses dimensions of professionalization/management; fundraising; and government relations/issue selection.","author":[{"family":"Stroup","given":"Sarah S."}],"issued":{"date-parts":[["2012"]]}}},{"id":3216,"uris":["http://zotero.org/users/381007/items/S3PFUTDP"],"uri":["http://zotero.org/users/381007/items/S3PFUTDP"],"itemData":{"id":3216,"type":"book","title":"Activists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rPr>
          <w:szCs w:val="24"/>
        </w:rPr>
        <w:fldChar w:fldCharType="separate"/>
      </w:r>
      <w:r w:rsidRPr="00836DDB">
        <w:rPr>
          <w:szCs w:val="24"/>
        </w:rPr>
        <w:t>(Stroup 2012; Keck and Sikkink 1998)</w:t>
      </w:r>
      <w:r>
        <w:rPr>
          <w:szCs w:val="24"/>
        </w:rPr>
        <w:fldChar w:fldCharType="end"/>
      </w:r>
      <w:r w:rsidRPr="00836DDB">
        <w:rPr>
          <w:szCs w:val="24"/>
        </w:rPr>
        <w:t xml:space="preserve">, leading to the question of whether </w:t>
      </w:r>
      <w:r>
        <w:rPr>
          <w:szCs w:val="24"/>
        </w:rPr>
        <w:t>U.S.-based</w:t>
      </w:r>
      <w:r w:rsidRPr="00836DDB">
        <w:rPr>
          <w:szCs w:val="24"/>
        </w:rPr>
        <w:t xml:space="preserve"> </w:t>
      </w:r>
      <w:r w:rsidR="00653503">
        <w:rPr>
          <w:szCs w:val="24"/>
        </w:rPr>
        <w:t>TNGO</w:t>
      </w:r>
      <w:r w:rsidRPr="00836DDB">
        <w:rPr>
          <w:szCs w:val="24"/>
        </w:rPr>
        <w:t xml:space="preserve">s follow government or vice versa. Chapter 4 focuses on an important yet underexplored question in the literature on domestic and international cases: how do the internal dynamics of an organization, including its structure and the manner in which it communicates, influence resource allocation and program prioritization? </w:t>
      </w:r>
      <w:r>
        <w:rPr>
          <w:szCs w:val="24"/>
        </w:rPr>
        <w:t>Chapter 5 c</w:t>
      </w:r>
      <w:r w:rsidRPr="00877559">
        <w:rPr>
          <w:szCs w:val="24"/>
        </w:rPr>
        <w:t>oncludes</w:t>
      </w:r>
      <w:r w:rsidRPr="00836DDB">
        <w:rPr>
          <w:szCs w:val="24"/>
        </w:rPr>
        <w:t xml:space="preserve"> the dissertation with a summary of my findings, a discussion about the theoretical and practical implications of this work, and directions for future research. </w:t>
      </w:r>
    </w:p>
    <w:p w:rsidR="009944D4" w:rsidRDefault="009944D4" w:rsidP="009944D4">
      <w:pPr>
        <w:spacing w:line="480" w:lineRule="auto"/>
        <w:ind w:firstLine="720"/>
        <w:rPr>
          <w:szCs w:val="24"/>
        </w:rPr>
      </w:pPr>
      <w:r w:rsidRPr="00836DDB">
        <w:rPr>
          <w:szCs w:val="24"/>
        </w:rPr>
        <w:t xml:space="preserve">The ultimate goal of this dissertation is to improve the scholarly and practitioner communities understanding of “why </w:t>
      </w:r>
      <w:r w:rsidR="00653503">
        <w:rPr>
          <w:szCs w:val="24"/>
        </w:rPr>
        <w:t>NGO</w:t>
      </w:r>
      <w:r w:rsidRPr="00836DDB">
        <w:rPr>
          <w:szCs w:val="24"/>
        </w:rPr>
        <w:t xml:space="preserve">s go where they go” </w:t>
      </w:r>
      <w:r>
        <w:rPr>
          <w:szCs w:val="24"/>
        </w:rPr>
        <w:fldChar w:fldCharType="begin"/>
      </w:r>
      <w:r>
        <w:rPr>
          <w:szCs w:val="24"/>
        </w:rPr>
        <w:instrText xml:space="preserve"> ADDIN ZOTERO_ITEM CSL_CITATION {"citationID":"s9DhzG1k","properties":{"formattedCitation":"(Brass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rPr>
          <w:szCs w:val="24"/>
        </w:rPr>
        <w:fldChar w:fldCharType="separate"/>
      </w:r>
      <w:r w:rsidRPr="00836DDB">
        <w:rPr>
          <w:szCs w:val="24"/>
        </w:rPr>
        <w:t>(Brass 2012b)</w:t>
      </w:r>
      <w:r>
        <w:rPr>
          <w:szCs w:val="24"/>
        </w:rPr>
        <w:fldChar w:fldCharType="end"/>
      </w:r>
      <w:r w:rsidRPr="00836DDB">
        <w:rPr>
          <w:szCs w:val="24"/>
        </w:rPr>
        <w:t xml:space="preserve"> and how such efforts are targeted. As an intermediate step, this research serves the purpose of cross-field pollination, drawing from a range of disciplines to build on existing knowledge about </w:t>
      </w:r>
      <w:r w:rsidR="00653503">
        <w:rPr>
          <w:szCs w:val="24"/>
        </w:rPr>
        <w:t>TNGO</w:t>
      </w:r>
      <w:r w:rsidRPr="00836DDB">
        <w:rPr>
          <w:szCs w:val="24"/>
        </w:rPr>
        <w:t xml:space="preserve">s as well as expand its scope and the way we think about such institutions. As mentioned, location is often overlooked in lieu of institutional relationships and networks, aid effectiveness, and the North-South dynamic. Nonetheless, this dissertation’s approach is firmly rooted in the interdisciplinary field of </w:t>
      </w:r>
      <w:r w:rsidRPr="00877559">
        <w:rPr>
          <w:szCs w:val="24"/>
        </w:rPr>
        <w:t>public administration and policy, which</w:t>
      </w:r>
      <w:r w:rsidRPr="00836DDB">
        <w:rPr>
          <w:szCs w:val="24"/>
        </w:rPr>
        <w:t xml:space="preserve"> aims to improve the public benefit of organizations working on such endeavors in complex environments. </w:t>
      </w:r>
    </w:p>
    <w:p w:rsidR="001630DC" w:rsidRPr="00453D8D" w:rsidRDefault="009944D4" w:rsidP="00453D8D">
      <w:pPr>
        <w:pStyle w:val="Heading2"/>
        <w:jc w:val="center"/>
        <w:rPr>
          <w:b/>
          <w:color w:val="auto"/>
          <w:sz w:val="24"/>
          <w:szCs w:val="24"/>
        </w:rPr>
      </w:pPr>
      <w:r w:rsidRPr="00453D8D">
        <w:rPr>
          <w:b/>
          <w:color w:val="auto"/>
          <w:sz w:val="24"/>
          <w:szCs w:val="24"/>
        </w:rPr>
        <w:br w:type="page"/>
      </w:r>
      <w:bookmarkStart w:id="9" w:name="_Toc450078733"/>
      <w:bookmarkStart w:id="10" w:name="_Toc450079083"/>
      <w:r w:rsidR="001630DC" w:rsidRPr="00453D8D">
        <w:rPr>
          <w:b/>
          <w:color w:val="auto"/>
          <w:sz w:val="24"/>
          <w:szCs w:val="24"/>
        </w:rPr>
        <w:t>1.5: Works Cited</w:t>
      </w:r>
      <w:bookmarkEnd w:id="5"/>
      <w:bookmarkEnd w:id="9"/>
      <w:bookmarkEnd w:id="10"/>
    </w:p>
    <w:p w:rsidR="00DD20E7" w:rsidRPr="00C8644A" w:rsidRDefault="00DD20E7" w:rsidP="00DD20E7">
      <w:pPr>
        <w:pStyle w:val="GridTable21"/>
        <w:spacing w:before="240" w:after="240"/>
        <w:ind w:left="0" w:firstLine="0"/>
        <w:outlineLvl w:val="0"/>
      </w:pPr>
      <w:bookmarkStart w:id="11" w:name="_Toc450078734"/>
      <w:bookmarkStart w:id="12" w:name="_Toc450079084"/>
      <w:r w:rsidRPr="00C8644A">
        <w:t xml:space="preserve">AbouAssi, Khaldoun. 2012. “Mercurial Donors: </w:t>
      </w:r>
      <w:r>
        <w:t>NGO</w:t>
      </w:r>
      <w:r w:rsidRPr="00C8644A">
        <w:t xml:space="preserve"> Response to Shifting Funding Priorities.” </w:t>
      </w:r>
      <w:r w:rsidRPr="00C8644A">
        <w:rPr>
          <w:i/>
          <w:iCs/>
        </w:rPr>
        <w:t>Nonprofit and Voluntary Sector Quarterly</w:t>
      </w:r>
      <w:r w:rsidRPr="00C8644A">
        <w:t xml:space="preserve"> 42 (3): 584–602.</w:t>
      </w:r>
      <w:bookmarkEnd w:id="11"/>
      <w:bookmarkEnd w:id="12"/>
    </w:p>
    <w:p w:rsidR="00DD20E7" w:rsidRPr="00C8644A" w:rsidRDefault="00DD20E7" w:rsidP="00DD20E7">
      <w:pPr>
        <w:pStyle w:val="GridTable21"/>
        <w:spacing w:before="240" w:after="240"/>
        <w:outlineLvl w:val="0"/>
      </w:pPr>
      <w:bookmarkStart w:id="13" w:name="_Toc450078735"/>
      <w:bookmarkStart w:id="14" w:name="_Toc450079085"/>
      <w:r w:rsidRPr="00C8644A">
        <w:t xml:space="preserve">Acheson, James M., and Roy Gardner. 2005. “Spatial Strategies and Territoriality in the Maine Lobster Industry.” </w:t>
      </w:r>
      <w:r w:rsidRPr="00C8644A">
        <w:rPr>
          <w:i/>
          <w:iCs/>
        </w:rPr>
        <w:t>Rationality and Society</w:t>
      </w:r>
      <w:r w:rsidRPr="00C8644A">
        <w:t xml:space="preserve"> 17 (3): 309–41.</w:t>
      </w:r>
      <w:bookmarkEnd w:id="13"/>
      <w:bookmarkEnd w:id="14"/>
    </w:p>
    <w:p w:rsidR="00DD20E7" w:rsidRDefault="00DD20E7" w:rsidP="00DD20E7">
      <w:pPr>
        <w:pStyle w:val="GridTable21"/>
        <w:spacing w:before="240" w:after="240"/>
        <w:outlineLvl w:val="0"/>
      </w:pPr>
      <w:bookmarkStart w:id="15" w:name="_Toc450078736"/>
      <w:bookmarkStart w:id="16" w:name="_Toc450079086"/>
      <w:r w:rsidRPr="00C8644A">
        <w:t xml:space="preserve">Appe, Susan. 2013. “Deconstructing Civil Society ‘Maps’: The Case of Ecuador.” </w:t>
      </w:r>
      <w:r w:rsidRPr="00C8644A">
        <w:rPr>
          <w:i/>
          <w:iCs/>
        </w:rPr>
        <w:t>Administrative Theory &amp; Praxis</w:t>
      </w:r>
      <w:r w:rsidRPr="00C8644A">
        <w:t xml:space="preserve"> 35 (1): 63–80.</w:t>
      </w:r>
      <w:bookmarkEnd w:id="15"/>
      <w:bookmarkEnd w:id="16"/>
      <w:r w:rsidRPr="00C8644A">
        <w:t xml:space="preserve"> </w:t>
      </w:r>
    </w:p>
    <w:p w:rsidR="00DD20E7" w:rsidRPr="00C8644A" w:rsidRDefault="00DD20E7" w:rsidP="00DD20E7">
      <w:pPr>
        <w:pStyle w:val="GridTable21"/>
        <w:spacing w:before="240" w:after="240"/>
        <w:outlineLvl w:val="0"/>
      </w:pPr>
      <w:bookmarkStart w:id="17" w:name="_Toc450078737"/>
      <w:bookmarkStart w:id="18" w:name="_Toc450079087"/>
      <w:r w:rsidRPr="00C8644A">
        <w:t xml:space="preserve">Bates, Robert H. 1981. </w:t>
      </w:r>
      <w:r w:rsidRPr="00C8644A">
        <w:rPr>
          <w:i/>
          <w:iCs/>
        </w:rPr>
        <w:t>Markets and States in Tropical Africa: The Political Basis of Agricultural Policies</w:t>
      </w:r>
      <w:r w:rsidRPr="00C8644A">
        <w:t>. Berkeley: University of California Press.</w:t>
      </w:r>
      <w:bookmarkEnd w:id="17"/>
      <w:bookmarkEnd w:id="18"/>
    </w:p>
    <w:p w:rsidR="00DD20E7" w:rsidRPr="00C8644A" w:rsidRDefault="00DD20E7" w:rsidP="00DD20E7">
      <w:pPr>
        <w:pStyle w:val="GridTable21"/>
        <w:spacing w:before="240" w:after="240"/>
        <w:outlineLvl w:val="0"/>
      </w:pPr>
      <w:bookmarkStart w:id="19" w:name="_Toc450078738"/>
      <w:bookmarkStart w:id="20" w:name="_Toc450079088"/>
      <w:r w:rsidRPr="00C8644A">
        <w:t xml:space="preserve">Bayart, Jean-Francois. 1986. “Civil Society in Africa.” In </w:t>
      </w:r>
      <w:r w:rsidRPr="00C8644A">
        <w:rPr>
          <w:i/>
          <w:iCs/>
        </w:rPr>
        <w:t>Political Domination in Africa</w:t>
      </w:r>
      <w:r w:rsidRPr="00C8644A">
        <w:t>, edited by Patrick Chabal, 109–22. Cambridge: Cambridge University Press.</w:t>
      </w:r>
      <w:bookmarkEnd w:id="19"/>
      <w:bookmarkEnd w:id="20"/>
    </w:p>
    <w:p w:rsidR="00DD20E7" w:rsidRDefault="00DD20E7" w:rsidP="00DD20E7">
      <w:pPr>
        <w:pStyle w:val="GridTable21"/>
        <w:spacing w:before="240" w:after="240"/>
        <w:outlineLvl w:val="0"/>
      </w:pPr>
      <w:bookmarkStart w:id="21" w:name="_Toc450078739"/>
      <w:bookmarkStart w:id="22" w:name="_Toc450079089"/>
      <w:r w:rsidRPr="00C8644A">
        <w:t xml:space="preserve">Berlan, David, and Tosca Bruno-van Vijfeijken. 2013. “The Planned Close of an </w:t>
      </w:r>
      <w:r>
        <w:t>NGO</w:t>
      </w:r>
      <w:r w:rsidRPr="00C8644A">
        <w:t xml:space="preserve">: Evidence for a New Organizational Form?” </w:t>
      </w:r>
      <w:r w:rsidRPr="00C8644A">
        <w:rPr>
          <w:i/>
          <w:iCs/>
        </w:rPr>
        <w:t>VOLUNTAS: International Journal of Voluntary and Nonprofit Organizations</w:t>
      </w:r>
      <w:r w:rsidRPr="00C8644A">
        <w:t xml:space="preserve"> 24 (1): 262–75.</w:t>
      </w:r>
      <w:bookmarkEnd w:id="21"/>
      <w:bookmarkEnd w:id="22"/>
      <w:r w:rsidRPr="00C8644A">
        <w:t xml:space="preserve"> </w:t>
      </w:r>
    </w:p>
    <w:p w:rsidR="00DD20E7" w:rsidRPr="00C8644A" w:rsidRDefault="00DD20E7" w:rsidP="00DD20E7">
      <w:pPr>
        <w:pStyle w:val="GridTable21"/>
        <w:spacing w:before="240" w:after="240"/>
        <w:outlineLvl w:val="0"/>
      </w:pPr>
      <w:bookmarkStart w:id="23" w:name="_Toc450078740"/>
      <w:bookmarkStart w:id="24" w:name="_Toc450079090"/>
      <w:r w:rsidRPr="00C8644A">
        <w:t xml:space="preserve">Blanton, Robert, T. David Mason, and Brian Athow. 2001. “Colonial Style and Post-Colonial Ethnic Conflict in Africa.” </w:t>
      </w:r>
      <w:r w:rsidRPr="00C8644A">
        <w:rPr>
          <w:i/>
          <w:iCs/>
        </w:rPr>
        <w:t>Journal of Peace Research</w:t>
      </w:r>
      <w:r w:rsidRPr="00C8644A">
        <w:t xml:space="preserve"> 38 (4): 473–91.</w:t>
      </w:r>
      <w:bookmarkEnd w:id="23"/>
      <w:bookmarkEnd w:id="24"/>
    </w:p>
    <w:p w:rsidR="00DD20E7" w:rsidRPr="00C8644A" w:rsidRDefault="00DD20E7" w:rsidP="00DD20E7">
      <w:pPr>
        <w:pStyle w:val="GridTable21"/>
        <w:spacing w:before="240" w:after="240"/>
        <w:outlineLvl w:val="0"/>
      </w:pPr>
      <w:bookmarkStart w:id="25" w:name="_Toc450078741"/>
      <w:bookmarkStart w:id="26" w:name="_Toc450079091"/>
      <w:r w:rsidRPr="00C8644A">
        <w:t>Bloodgood, E.A., and J. Tremblay-Boire. 2014. “Explaining Non-Governmental Organizations in the OECD and Beyond: The Role of Political Parties.” Washington: APSA.</w:t>
      </w:r>
      <w:bookmarkEnd w:id="25"/>
      <w:bookmarkEnd w:id="26"/>
    </w:p>
    <w:p w:rsidR="00DD20E7" w:rsidRPr="00C8644A" w:rsidRDefault="00DD20E7" w:rsidP="00DD20E7">
      <w:pPr>
        <w:pStyle w:val="GridTable21"/>
        <w:spacing w:before="240" w:after="240"/>
        <w:outlineLvl w:val="0"/>
      </w:pPr>
      <w:bookmarkStart w:id="27" w:name="_Toc450078742"/>
      <w:bookmarkStart w:id="28" w:name="_Toc450079092"/>
      <w:r w:rsidRPr="00C8644A">
        <w:t xml:space="preserve">Boix, Carles, and Stokes, Susan C. 2003. “Endogenous Democratization.” </w:t>
      </w:r>
      <w:r w:rsidRPr="00C8644A">
        <w:rPr>
          <w:i/>
          <w:iCs/>
        </w:rPr>
        <w:t>World Politics</w:t>
      </w:r>
      <w:r w:rsidRPr="00C8644A">
        <w:t xml:space="preserve"> 55 (4): 517–49.</w:t>
      </w:r>
      <w:bookmarkEnd w:id="27"/>
      <w:bookmarkEnd w:id="28"/>
    </w:p>
    <w:p w:rsidR="00DD20E7" w:rsidRPr="00C8644A" w:rsidRDefault="00DD20E7" w:rsidP="00DD20E7">
      <w:pPr>
        <w:pStyle w:val="GridTable21"/>
        <w:spacing w:before="240" w:after="240"/>
        <w:outlineLvl w:val="0"/>
      </w:pPr>
      <w:bookmarkStart w:id="29" w:name="_Toc450078743"/>
      <w:bookmarkStart w:id="30" w:name="_Toc450079093"/>
      <w:r w:rsidRPr="00C8644A">
        <w:t xml:space="preserve">Boone, Catherine. 2003. </w:t>
      </w:r>
      <w:r w:rsidRPr="00C8644A">
        <w:rPr>
          <w:i/>
          <w:iCs/>
        </w:rPr>
        <w:t>The Political Topographies of the African State: Territorial Authority and Institutional Choice</w:t>
      </w:r>
      <w:r w:rsidRPr="00C8644A">
        <w:t>. Cambridge: Cambridge University Press.</w:t>
      </w:r>
      <w:bookmarkEnd w:id="29"/>
      <w:bookmarkEnd w:id="30"/>
    </w:p>
    <w:p w:rsidR="00DD20E7" w:rsidRPr="00C8644A" w:rsidRDefault="00DD20E7" w:rsidP="00DD20E7">
      <w:pPr>
        <w:pStyle w:val="GridTable21"/>
        <w:spacing w:before="240" w:after="240"/>
        <w:outlineLvl w:val="0"/>
      </w:pPr>
      <w:bookmarkStart w:id="31" w:name="_Toc450078744"/>
      <w:bookmarkStart w:id="32" w:name="_Toc450079094"/>
      <w:r w:rsidRPr="00C8644A">
        <w:t xml:space="preserve">Bozeman, Barry, and Stuart Bretschneider. 1994. “The ‘Publicness Puzzle’ in Organization Theory: A Test of Alternative Explanations of Differences between Public and Private Organizations.” </w:t>
      </w:r>
      <w:r w:rsidRPr="00C8644A">
        <w:rPr>
          <w:i/>
          <w:iCs/>
        </w:rPr>
        <w:t>Journal of Public Administration Research and Theory</w:t>
      </w:r>
      <w:r w:rsidRPr="00C8644A">
        <w:t xml:space="preserve"> 4 (2): 197–223.</w:t>
      </w:r>
      <w:bookmarkEnd w:id="31"/>
      <w:bookmarkEnd w:id="32"/>
    </w:p>
    <w:p w:rsidR="00DD20E7" w:rsidRPr="00C8644A" w:rsidRDefault="00DD20E7" w:rsidP="00DD20E7">
      <w:pPr>
        <w:pStyle w:val="GridTable21"/>
        <w:spacing w:before="240" w:after="240"/>
        <w:outlineLvl w:val="0"/>
      </w:pPr>
      <w:bookmarkStart w:id="33" w:name="_Toc450078745"/>
      <w:bookmarkStart w:id="34" w:name="_Toc450079095"/>
      <w:r w:rsidRPr="00C8644A">
        <w:t xml:space="preserve">Bozeman, Barry, and Sanjay K. Pandey. 2004. “Public Management Decision Making: Effects of Decision Content.” </w:t>
      </w:r>
      <w:r w:rsidRPr="00C8644A">
        <w:rPr>
          <w:i/>
          <w:iCs/>
        </w:rPr>
        <w:t>Public Administration Review</w:t>
      </w:r>
      <w:r w:rsidRPr="00C8644A">
        <w:t xml:space="preserve"> 64 (5): 553–535.</w:t>
      </w:r>
      <w:bookmarkEnd w:id="33"/>
      <w:bookmarkEnd w:id="34"/>
    </w:p>
    <w:p w:rsidR="00DD20E7" w:rsidRPr="00C8644A" w:rsidRDefault="00DD20E7" w:rsidP="00DD20E7">
      <w:pPr>
        <w:pStyle w:val="GridTable21"/>
        <w:spacing w:before="240" w:after="240"/>
        <w:outlineLvl w:val="0"/>
      </w:pPr>
      <w:bookmarkStart w:id="35" w:name="_Toc450078746"/>
      <w:bookmarkStart w:id="36" w:name="_Toc450079096"/>
      <w:r w:rsidRPr="00C8644A">
        <w:t xml:space="preserve">Bozeman, Barry, Pamela N. Reed, and Patrick Scott. 1992. “Red Tape and Task Delays in Public and Private Organizations.” </w:t>
      </w:r>
      <w:r w:rsidRPr="00C8644A">
        <w:rPr>
          <w:i/>
          <w:iCs/>
        </w:rPr>
        <w:t>Administration &amp; Society</w:t>
      </w:r>
      <w:r w:rsidRPr="00C8644A">
        <w:t xml:space="preserve"> 24 (3): 290–322.</w:t>
      </w:r>
      <w:bookmarkEnd w:id="35"/>
      <w:bookmarkEnd w:id="36"/>
    </w:p>
    <w:p w:rsidR="00DD20E7" w:rsidRPr="00C8644A" w:rsidRDefault="00DD20E7" w:rsidP="00DD20E7">
      <w:pPr>
        <w:pStyle w:val="GridTable21"/>
        <w:spacing w:before="240" w:after="240"/>
        <w:outlineLvl w:val="0"/>
      </w:pPr>
      <w:bookmarkStart w:id="37" w:name="_Toc450078747"/>
      <w:bookmarkStart w:id="38" w:name="_Toc450079097"/>
      <w:r w:rsidRPr="00C8644A">
        <w:t xml:space="preserve">Brass, Jennifer N. 2012a. “Blurring Boundaries: The Integration of </w:t>
      </w:r>
      <w:r>
        <w:t>NGO</w:t>
      </w:r>
      <w:r w:rsidRPr="00C8644A">
        <w:t xml:space="preserve">s into Governance in Kenya.” </w:t>
      </w:r>
      <w:r w:rsidRPr="00C8644A">
        <w:rPr>
          <w:i/>
          <w:iCs/>
        </w:rPr>
        <w:t>Governance</w:t>
      </w:r>
      <w:r w:rsidRPr="00C8644A">
        <w:t xml:space="preserve"> 25 (2): 209–35.</w:t>
      </w:r>
      <w:bookmarkEnd w:id="37"/>
      <w:bookmarkEnd w:id="38"/>
    </w:p>
    <w:p w:rsidR="00DD20E7" w:rsidRPr="00C8644A" w:rsidRDefault="00DD20E7" w:rsidP="00DD20E7">
      <w:pPr>
        <w:pStyle w:val="GridTable21"/>
        <w:spacing w:before="240" w:after="240"/>
        <w:outlineLvl w:val="0"/>
      </w:pPr>
      <w:bookmarkStart w:id="39" w:name="_Toc450078748"/>
      <w:bookmarkStart w:id="40" w:name="_Toc450079098"/>
      <w:r w:rsidRPr="00C8644A">
        <w:t xml:space="preserve">———. 2012b. “Why Do </w:t>
      </w:r>
      <w:r>
        <w:t>NGO</w:t>
      </w:r>
      <w:r w:rsidRPr="00C8644A">
        <w:t xml:space="preserve">s Go Where They Go?  Evidence from Kenya.” </w:t>
      </w:r>
      <w:r w:rsidRPr="00C8644A">
        <w:rPr>
          <w:i/>
          <w:iCs/>
        </w:rPr>
        <w:t>World Development</w:t>
      </w:r>
      <w:r w:rsidRPr="00C8644A">
        <w:t xml:space="preserve"> 40 (2): 387–401.</w:t>
      </w:r>
      <w:bookmarkEnd w:id="39"/>
      <w:bookmarkEnd w:id="40"/>
    </w:p>
    <w:p w:rsidR="00DD20E7" w:rsidRPr="00C8644A" w:rsidRDefault="00DD20E7" w:rsidP="00DD20E7">
      <w:pPr>
        <w:pStyle w:val="GridTable21"/>
        <w:spacing w:before="240" w:after="240"/>
        <w:outlineLvl w:val="0"/>
      </w:pPr>
      <w:bookmarkStart w:id="41" w:name="_Toc450078749"/>
      <w:bookmarkStart w:id="42" w:name="_Toc450079099"/>
      <w:r w:rsidRPr="00C8644A">
        <w:t xml:space="preserve">Bratton, Michael. 1989a. “Beyond the State: Civil Society and Associational Life in Africa.” </w:t>
      </w:r>
      <w:r w:rsidRPr="00C8644A">
        <w:rPr>
          <w:i/>
          <w:iCs/>
        </w:rPr>
        <w:t>World Politics</w:t>
      </w:r>
      <w:r w:rsidRPr="00C8644A">
        <w:t xml:space="preserve"> 41 (3): 407–30.</w:t>
      </w:r>
      <w:bookmarkEnd w:id="41"/>
      <w:bookmarkEnd w:id="42"/>
    </w:p>
    <w:p w:rsidR="00DD20E7" w:rsidRPr="00C8644A" w:rsidRDefault="00DD20E7" w:rsidP="00DD20E7">
      <w:pPr>
        <w:pStyle w:val="GridTable21"/>
        <w:spacing w:before="240" w:after="240"/>
        <w:outlineLvl w:val="0"/>
      </w:pPr>
      <w:bookmarkStart w:id="43" w:name="_Toc450078750"/>
      <w:bookmarkStart w:id="44" w:name="_Toc450079100"/>
      <w:r w:rsidRPr="00C8644A">
        <w:t>———. 1989b. “The Politics of Government-</w:t>
      </w:r>
      <w:r>
        <w:t>NGO</w:t>
      </w:r>
      <w:r w:rsidRPr="00C8644A">
        <w:t xml:space="preserve"> Relations in Africa.” </w:t>
      </w:r>
      <w:r w:rsidRPr="00C8644A">
        <w:rPr>
          <w:i/>
          <w:iCs/>
        </w:rPr>
        <w:t>World Development</w:t>
      </w:r>
      <w:r w:rsidRPr="00C8644A">
        <w:t xml:space="preserve"> 17 (4): 569–87.</w:t>
      </w:r>
      <w:bookmarkEnd w:id="43"/>
      <w:bookmarkEnd w:id="44"/>
    </w:p>
    <w:p w:rsidR="00DD20E7" w:rsidRPr="00C8644A" w:rsidRDefault="00DD20E7" w:rsidP="00DD20E7">
      <w:pPr>
        <w:pStyle w:val="GridTable21"/>
        <w:spacing w:before="240" w:after="240"/>
        <w:outlineLvl w:val="0"/>
      </w:pPr>
      <w:bookmarkStart w:id="45" w:name="_Toc450078751"/>
      <w:bookmarkStart w:id="46" w:name="_Toc450079101"/>
      <w:r w:rsidRPr="00C8644A">
        <w:t xml:space="preserve">Bratton, Michael. 1990. “Non-Governmental Organizations in Africa: Can They Influence Public Policy?” </w:t>
      </w:r>
      <w:r w:rsidRPr="00C8644A">
        <w:rPr>
          <w:i/>
          <w:iCs/>
        </w:rPr>
        <w:t>Development and Change</w:t>
      </w:r>
      <w:r w:rsidRPr="00C8644A">
        <w:t xml:space="preserve"> 21: 87–118.</w:t>
      </w:r>
      <w:bookmarkEnd w:id="45"/>
      <w:bookmarkEnd w:id="46"/>
    </w:p>
    <w:p w:rsidR="00DD20E7" w:rsidRPr="00C8644A" w:rsidRDefault="00DD20E7" w:rsidP="00DD20E7">
      <w:pPr>
        <w:pStyle w:val="GridTable21"/>
        <w:spacing w:before="240" w:after="240"/>
        <w:outlineLvl w:val="0"/>
      </w:pPr>
      <w:bookmarkStart w:id="47" w:name="_Toc450078752"/>
      <w:bookmarkStart w:id="48" w:name="_Toc450079102"/>
      <w:r w:rsidRPr="00C8644A">
        <w:t xml:space="preserve">Brooks, Jeremy, Kerry Ann Waylen, and Monique Borgerhoff Mulder. 2013. “Assessing Community-Based Conservation Projects: A Systematic Review and Multilevel Analysis of Attitudinal, Behavioral, Ecological, and Economic Outcome.” </w:t>
      </w:r>
      <w:r w:rsidRPr="00C8644A">
        <w:rPr>
          <w:i/>
          <w:iCs/>
        </w:rPr>
        <w:t>Environmental Evidence</w:t>
      </w:r>
      <w:r w:rsidRPr="00C8644A">
        <w:t xml:space="preserve"> 2 (2): 1–34.</w:t>
      </w:r>
      <w:bookmarkEnd w:id="47"/>
      <w:bookmarkEnd w:id="48"/>
    </w:p>
    <w:p w:rsidR="00DD20E7" w:rsidRPr="00C8644A" w:rsidRDefault="00DD20E7" w:rsidP="00DD20E7">
      <w:pPr>
        <w:pStyle w:val="GridTable21"/>
        <w:spacing w:before="240" w:after="240"/>
        <w:outlineLvl w:val="0"/>
      </w:pPr>
      <w:bookmarkStart w:id="49" w:name="_Toc450078753"/>
      <w:bookmarkStart w:id="50" w:name="_Toc450079103"/>
      <w:r w:rsidRPr="00C8644A">
        <w:t xml:space="preserve">Bryce, Herrington J. 2005. </w:t>
      </w:r>
      <w:r w:rsidRPr="00C8644A">
        <w:rPr>
          <w:i/>
          <w:iCs/>
        </w:rPr>
        <w:t>Players in the Public Policy Process: Nonprofits as Social Capital Agents</w:t>
      </w:r>
      <w:r w:rsidRPr="00C8644A">
        <w:t>. New York: Palgrave Macmillan.</w:t>
      </w:r>
      <w:bookmarkEnd w:id="49"/>
      <w:bookmarkEnd w:id="50"/>
    </w:p>
    <w:p w:rsidR="00DD20E7" w:rsidRPr="00C8644A" w:rsidRDefault="00DD20E7" w:rsidP="00DD20E7">
      <w:pPr>
        <w:pStyle w:val="GridTable21"/>
        <w:spacing w:before="240" w:after="240"/>
        <w:outlineLvl w:val="0"/>
      </w:pPr>
      <w:bookmarkStart w:id="51" w:name="_Toc450078754"/>
      <w:bookmarkStart w:id="52" w:name="_Toc450079104"/>
      <w:r w:rsidRPr="00C8644A">
        <w:t xml:space="preserve">Busby, Joshua. 2007. “Bono Made Jesse Helms Cry: Jubilee 2000, Debt Relief, and Moral Action in International Politics.” </w:t>
      </w:r>
      <w:r w:rsidRPr="00C8644A">
        <w:rPr>
          <w:i/>
          <w:iCs/>
        </w:rPr>
        <w:t>International Studies Quarterly</w:t>
      </w:r>
      <w:r w:rsidRPr="00C8644A">
        <w:t xml:space="preserve"> 51 (3): 247–75.</w:t>
      </w:r>
      <w:bookmarkEnd w:id="51"/>
      <w:bookmarkEnd w:id="52"/>
    </w:p>
    <w:p w:rsidR="00DD20E7" w:rsidRPr="00C8644A" w:rsidRDefault="00DD20E7" w:rsidP="00DD20E7">
      <w:pPr>
        <w:pStyle w:val="GridTable21"/>
        <w:spacing w:before="240" w:after="240"/>
        <w:outlineLvl w:val="0"/>
      </w:pPr>
      <w:bookmarkStart w:id="53" w:name="_Toc450078755"/>
      <w:bookmarkStart w:id="54" w:name="_Toc450079105"/>
      <w:r w:rsidRPr="00C8644A">
        <w:t xml:space="preserve">Carbonnier, Gilles. 2013. “Religion and Development: Reconsidering Secularism as the Norm.” In </w:t>
      </w:r>
      <w:r w:rsidRPr="00C8644A">
        <w:rPr>
          <w:i/>
          <w:iCs/>
        </w:rPr>
        <w:t>International Development Policy: Religion and Development</w:t>
      </w:r>
      <w:r w:rsidRPr="00C8644A">
        <w:t>, edited by Gilles Carbonnier, 1–5. New York: Palgrave Macmillan.</w:t>
      </w:r>
      <w:bookmarkEnd w:id="53"/>
      <w:bookmarkEnd w:id="54"/>
    </w:p>
    <w:p w:rsidR="00DD20E7" w:rsidRPr="00C8644A" w:rsidRDefault="00DD20E7" w:rsidP="00DD20E7">
      <w:pPr>
        <w:pStyle w:val="GridTable21"/>
        <w:spacing w:before="240" w:after="240"/>
        <w:outlineLvl w:val="0"/>
      </w:pPr>
      <w:bookmarkStart w:id="55" w:name="_Toc450078756"/>
      <w:bookmarkStart w:id="56" w:name="_Toc450079106"/>
      <w:r w:rsidRPr="00C8644A">
        <w:t xml:space="preserve">Carothers, Thomas. 2002. “The End of the Transition Paradigm.” </w:t>
      </w:r>
      <w:r w:rsidRPr="00C8644A">
        <w:rPr>
          <w:i/>
          <w:iCs/>
        </w:rPr>
        <w:t>Journal of Democracy</w:t>
      </w:r>
      <w:r w:rsidRPr="00C8644A">
        <w:t xml:space="preserve"> 13 (1): 5–21.</w:t>
      </w:r>
      <w:bookmarkEnd w:id="55"/>
      <w:bookmarkEnd w:id="56"/>
    </w:p>
    <w:p w:rsidR="00DD20E7" w:rsidRPr="00C8644A" w:rsidRDefault="00DD20E7" w:rsidP="00DD20E7">
      <w:pPr>
        <w:pStyle w:val="GridTable21"/>
        <w:spacing w:before="240" w:after="240"/>
        <w:outlineLvl w:val="0"/>
      </w:pPr>
      <w:bookmarkStart w:id="57" w:name="_Toc450078757"/>
      <w:bookmarkStart w:id="58" w:name="_Toc450079107"/>
      <w:r w:rsidRPr="00C8644A">
        <w:t>Chahim, Dean, and Aseem Prakash. 2014. “</w:t>
      </w:r>
      <w:r>
        <w:t>NGO</w:t>
      </w:r>
      <w:r w:rsidRPr="00C8644A">
        <w:t xml:space="preserve">ization, Foreign Funding, and the Nicaraguan Civil Society.” </w:t>
      </w:r>
      <w:r w:rsidRPr="00C8644A">
        <w:rPr>
          <w:i/>
          <w:iCs/>
        </w:rPr>
        <w:t>VOLUNTAS: International Journal of Voluntary and Nonprofit Organizations</w:t>
      </w:r>
      <w:r w:rsidRPr="00C8644A">
        <w:t xml:space="preserve"> 25 (2): 487–513.</w:t>
      </w:r>
      <w:bookmarkEnd w:id="57"/>
      <w:bookmarkEnd w:id="58"/>
    </w:p>
    <w:p w:rsidR="00DD20E7" w:rsidRPr="00C8644A" w:rsidRDefault="00DD20E7" w:rsidP="00DD20E7">
      <w:pPr>
        <w:pStyle w:val="GridTable21"/>
        <w:spacing w:before="240" w:after="240"/>
        <w:outlineLvl w:val="0"/>
      </w:pPr>
      <w:bookmarkStart w:id="59" w:name="_Toc450078758"/>
      <w:bookmarkStart w:id="60" w:name="_Toc450079108"/>
      <w:r w:rsidRPr="00C8644A">
        <w:t xml:space="preserve">Child, John. 1975. “Managerial and Organizational Factors Associated with Company Performance - Part II. A Contingency Analysis.” </w:t>
      </w:r>
      <w:r w:rsidRPr="00C8644A">
        <w:rPr>
          <w:i/>
          <w:iCs/>
        </w:rPr>
        <w:t>The Journal of Management Studies</w:t>
      </w:r>
      <w:r w:rsidRPr="00C8644A">
        <w:t xml:space="preserve"> 12 (1-2): 12–27.</w:t>
      </w:r>
      <w:bookmarkEnd w:id="59"/>
      <w:bookmarkEnd w:id="60"/>
    </w:p>
    <w:p w:rsidR="00DD20E7" w:rsidRPr="00C8644A" w:rsidRDefault="00DD20E7" w:rsidP="00DD20E7">
      <w:pPr>
        <w:pStyle w:val="GridTable21"/>
        <w:spacing w:before="240" w:after="240"/>
        <w:outlineLvl w:val="0"/>
      </w:pPr>
      <w:bookmarkStart w:id="61" w:name="_Toc450078759"/>
      <w:bookmarkStart w:id="62" w:name="_Toc450079109"/>
      <w:r w:rsidRPr="00C8644A">
        <w:t xml:space="preserve">Clark, John. 1995. “The State, Popular Participation, and the Voluntary Sector.” </w:t>
      </w:r>
      <w:r w:rsidRPr="00C8644A">
        <w:rPr>
          <w:i/>
          <w:iCs/>
        </w:rPr>
        <w:t>World Development</w:t>
      </w:r>
      <w:r w:rsidRPr="00C8644A">
        <w:t xml:space="preserve"> 23 (4): 593–601.</w:t>
      </w:r>
      <w:bookmarkEnd w:id="61"/>
      <w:bookmarkEnd w:id="62"/>
    </w:p>
    <w:p w:rsidR="00DD20E7" w:rsidRPr="00C8644A" w:rsidRDefault="00DD20E7" w:rsidP="00DD20E7">
      <w:pPr>
        <w:pStyle w:val="GridTable21"/>
        <w:spacing w:before="240" w:after="240"/>
        <w:outlineLvl w:val="0"/>
      </w:pPr>
      <w:bookmarkStart w:id="63" w:name="_Toc450078760"/>
      <w:bookmarkStart w:id="64" w:name="_Toc450079110"/>
      <w:r w:rsidRPr="00C8644A">
        <w:t xml:space="preserve">Cohen, Michael D., James G. March, and Jonah P. Olsen. 1972. “A Garbage Can Model of Organizational Choice.” </w:t>
      </w:r>
      <w:r w:rsidRPr="00C8644A">
        <w:rPr>
          <w:i/>
          <w:iCs/>
        </w:rPr>
        <w:t>Administrative Science Quarterly</w:t>
      </w:r>
      <w:r w:rsidRPr="00C8644A">
        <w:t>, 1–25.</w:t>
      </w:r>
      <w:bookmarkEnd w:id="63"/>
      <w:bookmarkEnd w:id="64"/>
    </w:p>
    <w:p w:rsidR="00DD20E7" w:rsidRPr="00C8644A" w:rsidRDefault="00DD20E7" w:rsidP="00DD20E7">
      <w:pPr>
        <w:pStyle w:val="GridTable21"/>
        <w:spacing w:before="240" w:after="240"/>
        <w:outlineLvl w:val="0"/>
      </w:pPr>
      <w:bookmarkStart w:id="65" w:name="_Toc450078761"/>
      <w:bookmarkStart w:id="66" w:name="_Toc450079111"/>
      <w:r w:rsidRPr="00C8644A">
        <w:t xml:space="preserve">Comaroff, John L., and Jean Comaroff. 2009. </w:t>
      </w:r>
      <w:r w:rsidRPr="00C8644A">
        <w:rPr>
          <w:i/>
          <w:iCs/>
        </w:rPr>
        <w:t>Ethnicity, Inc.</w:t>
      </w:r>
      <w:r w:rsidRPr="00C8644A">
        <w:t xml:space="preserve"> Chicago: University of Chicago Press.</w:t>
      </w:r>
      <w:bookmarkEnd w:id="65"/>
      <w:bookmarkEnd w:id="66"/>
    </w:p>
    <w:p w:rsidR="00DD20E7" w:rsidRPr="00C8644A" w:rsidRDefault="00DD20E7" w:rsidP="00DD20E7">
      <w:pPr>
        <w:pStyle w:val="GridTable21"/>
        <w:spacing w:before="240" w:after="240"/>
        <w:outlineLvl w:val="0"/>
      </w:pPr>
      <w:bookmarkStart w:id="67" w:name="_Toc450078762"/>
      <w:bookmarkStart w:id="68" w:name="_Toc450079112"/>
      <w:r w:rsidRPr="00C8644A">
        <w:t xml:space="preserve">Corbin, John J. 1999. “A Study of Factors Influencing the Growth of Nonprofits in Social Services.” </w:t>
      </w:r>
      <w:r w:rsidRPr="00C8644A">
        <w:rPr>
          <w:i/>
          <w:iCs/>
        </w:rPr>
        <w:t>Nonprofit and Voluntary Sector Quarterly</w:t>
      </w:r>
      <w:r w:rsidRPr="00C8644A">
        <w:t xml:space="preserve"> 28 (3): 296–314.</w:t>
      </w:r>
      <w:bookmarkEnd w:id="67"/>
      <w:bookmarkEnd w:id="68"/>
    </w:p>
    <w:p w:rsidR="00DD20E7" w:rsidRPr="00C8644A" w:rsidRDefault="00DD20E7" w:rsidP="00DD20E7">
      <w:pPr>
        <w:pStyle w:val="GridTable21"/>
        <w:spacing w:before="240" w:after="240"/>
        <w:outlineLvl w:val="0"/>
      </w:pPr>
      <w:bookmarkStart w:id="69" w:name="_Toc450078763"/>
      <w:bookmarkStart w:id="70" w:name="_Toc450079113"/>
      <w:r w:rsidRPr="00C8644A">
        <w:t xml:space="preserve">DeMars, William E. 2005. </w:t>
      </w:r>
      <w:r>
        <w:rPr>
          <w:i/>
          <w:iCs/>
        </w:rPr>
        <w:t>NGO</w:t>
      </w:r>
      <w:r w:rsidRPr="00C8644A">
        <w:rPr>
          <w:i/>
          <w:iCs/>
        </w:rPr>
        <w:t>s and Transnational Networks: Wild Cards in World Politics</w:t>
      </w:r>
      <w:r w:rsidRPr="00C8644A">
        <w:t>. London: Pluto Press.</w:t>
      </w:r>
      <w:bookmarkEnd w:id="69"/>
      <w:bookmarkEnd w:id="70"/>
    </w:p>
    <w:p w:rsidR="00DD20E7" w:rsidRPr="00C8644A" w:rsidRDefault="00DD20E7" w:rsidP="00DD20E7">
      <w:pPr>
        <w:pStyle w:val="GridTable21"/>
        <w:spacing w:before="240" w:after="240"/>
        <w:outlineLvl w:val="0"/>
      </w:pPr>
      <w:bookmarkStart w:id="71" w:name="_Toc450078764"/>
      <w:bookmarkStart w:id="72" w:name="_Toc450079114"/>
      <w:r w:rsidRPr="00C8644A">
        <w:t xml:space="preserve">Dupuy, Kendra, James Ron, and Aseem Prakash. 2015. “Who Survived? Ethiopia’s Regulatory Crackdown on Foreign-Funded </w:t>
      </w:r>
      <w:r>
        <w:t>NGO</w:t>
      </w:r>
      <w:r w:rsidRPr="00C8644A">
        <w:t xml:space="preserve">s.” </w:t>
      </w:r>
      <w:r w:rsidRPr="00C8644A">
        <w:rPr>
          <w:i/>
          <w:iCs/>
        </w:rPr>
        <w:t>Review in International Political Economy</w:t>
      </w:r>
      <w:r w:rsidRPr="00C8644A">
        <w:t xml:space="preserve"> 22 (2): 419–56.</w:t>
      </w:r>
      <w:bookmarkEnd w:id="71"/>
      <w:bookmarkEnd w:id="72"/>
    </w:p>
    <w:p w:rsidR="00DD20E7" w:rsidRPr="00C8644A" w:rsidRDefault="00DD20E7" w:rsidP="00DD20E7">
      <w:pPr>
        <w:pStyle w:val="GridTable21"/>
        <w:spacing w:before="240" w:after="240"/>
        <w:outlineLvl w:val="0"/>
      </w:pPr>
      <w:bookmarkStart w:id="73" w:name="_Toc450078765"/>
      <w:bookmarkStart w:id="74" w:name="_Toc450079115"/>
      <w:r w:rsidRPr="00C8644A">
        <w:t xml:space="preserve">Easterly, William. 2009. “Can the West Save Africa?” </w:t>
      </w:r>
      <w:r w:rsidRPr="00C8644A">
        <w:rPr>
          <w:i/>
          <w:iCs/>
        </w:rPr>
        <w:t>Journal of Economic Literature</w:t>
      </w:r>
      <w:r w:rsidRPr="00C8644A">
        <w:t xml:space="preserve"> 47 (2): 373–447.</w:t>
      </w:r>
      <w:bookmarkEnd w:id="73"/>
      <w:bookmarkEnd w:id="74"/>
    </w:p>
    <w:p w:rsidR="00DD20E7" w:rsidRPr="00C8644A" w:rsidRDefault="00DD20E7" w:rsidP="00DD20E7">
      <w:pPr>
        <w:pStyle w:val="GridTable21"/>
        <w:spacing w:before="240" w:after="240"/>
        <w:outlineLvl w:val="0"/>
      </w:pPr>
      <w:bookmarkStart w:id="75" w:name="_Toc450078766"/>
      <w:bookmarkStart w:id="76" w:name="_Toc450079116"/>
      <w:r w:rsidRPr="00C8644A">
        <w:t xml:space="preserve">Ebrahim, A. 2002. “Information Struggles: The Role of Information in the Reproduction of </w:t>
      </w:r>
      <w:r>
        <w:t>TNGO</w:t>
      </w:r>
      <w:r w:rsidRPr="00C8644A">
        <w:t xml:space="preserve">-Funder Relationships.” </w:t>
      </w:r>
      <w:r w:rsidRPr="00C8644A">
        <w:rPr>
          <w:i/>
          <w:iCs/>
        </w:rPr>
        <w:t>Nonprofit and Voluntary Sector Quarterly</w:t>
      </w:r>
      <w:r w:rsidRPr="00C8644A">
        <w:t xml:space="preserve"> 31 (1): 84–114.</w:t>
      </w:r>
      <w:bookmarkEnd w:id="75"/>
      <w:bookmarkEnd w:id="76"/>
    </w:p>
    <w:p w:rsidR="00DD20E7" w:rsidRPr="00C8644A" w:rsidRDefault="00DD20E7" w:rsidP="00DD20E7">
      <w:pPr>
        <w:pStyle w:val="GridTable21"/>
        <w:spacing w:before="240" w:after="240"/>
        <w:outlineLvl w:val="0"/>
      </w:pPr>
      <w:bookmarkStart w:id="77" w:name="_Toc450078767"/>
      <w:bookmarkStart w:id="78" w:name="_Toc450079117"/>
      <w:r w:rsidRPr="00C8644A">
        <w:t>Edwards, Michael, and David Hulme. 1</w:t>
      </w:r>
      <w:r>
        <w:t xml:space="preserve">996. “Beyond the Magic Bullet? </w:t>
      </w:r>
      <w:r w:rsidRPr="00C8644A">
        <w:t xml:space="preserve">Lessons and Conclusions.” In </w:t>
      </w:r>
      <w:r w:rsidRPr="00C8644A">
        <w:rPr>
          <w:i/>
          <w:iCs/>
        </w:rPr>
        <w:t xml:space="preserve">Beyond the Magic Bullet: </w:t>
      </w:r>
      <w:r>
        <w:rPr>
          <w:i/>
          <w:iCs/>
        </w:rPr>
        <w:t>NGO</w:t>
      </w:r>
      <w:r w:rsidRPr="00C8644A">
        <w:rPr>
          <w:i/>
          <w:iCs/>
        </w:rPr>
        <w:t xml:space="preserve"> Performance and Accountability in the Post-Cold War World</w:t>
      </w:r>
      <w:r w:rsidRPr="00C8644A">
        <w:t>, edited by Michael Edwards and David Hulme, 254–66. Kumarian Press.</w:t>
      </w:r>
      <w:bookmarkEnd w:id="77"/>
      <w:bookmarkEnd w:id="78"/>
    </w:p>
    <w:p w:rsidR="00DD20E7" w:rsidRPr="00C8644A" w:rsidRDefault="00DD20E7" w:rsidP="00DD20E7">
      <w:pPr>
        <w:pStyle w:val="GridTable21"/>
        <w:spacing w:before="240" w:after="240"/>
        <w:outlineLvl w:val="0"/>
      </w:pPr>
      <w:bookmarkStart w:id="79" w:name="_Toc450078768"/>
      <w:bookmarkStart w:id="80" w:name="_Toc450079118"/>
      <w:r w:rsidRPr="00C8644A">
        <w:t xml:space="preserve">Elliott, Charles. 1987. “Some Aspects of Relations Between the North and South in the </w:t>
      </w:r>
      <w:r>
        <w:t>NGO</w:t>
      </w:r>
      <w:r w:rsidRPr="00C8644A">
        <w:t xml:space="preserve"> Sector.” </w:t>
      </w:r>
      <w:r w:rsidRPr="00C8644A">
        <w:rPr>
          <w:i/>
          <w:iCs/>
        </w:rPr>
        <w:t>World Development</w:t>
      </w:r>
      <w:r w:rsidRPr="00C8644A">
        <w:t xml:space="preserve"> 15 (Supplement): 57–68.</w:t>
      </w:r>
      <w:bookmarkEnd w:id="79"/>
      <w:bookmarkEnd w:id="80"/>
    </w:p>
    <w:p w:rsidR="00DD20E7" w:rsidRPr="00C8644A" w:rsidRDefault="00DD20E7" w:rsidP="00DD20E7">
      <w:pPr>
        <w:pStyle w:val="GridTable21"/>
        <w:spacing w:before="240" w:after="240"/>
        <w:outlineLvl w:val="0"/>
      </w:pPr>
      <w:bookmarkStart w:id="81" w:name="_Toc450078769"/>
      <w:bookmarkStart w:id="82" w:name="_Toc450079119"/>
      <w:r w:rsidRPr="00C8644A">
        <w:t xml:space="preserve">Englebert, Pierre. 2000. </w:t>
      </w:r>
      <w:r w:rsidRPr="00C8644A">
        <w:rPr>
          <w:i/>
          <w:iCs/>
        </w:rPr>
        <w:t>State Legitimacy and Development in Africa</w:t>
      </w:r>
      <w:r w:rsidRPr="00C8644A">
        <w:t>. Boulder: Lynne Rienner Publishers.</w:t>
      </w:r>
      <w:bookmarkEnd w:id="81"/>
      <w:bookmarkEnd w:id="82"/>
    </w:p>
    <w:p w:rsidR="00DD20E7" w:rsidRPr="00C8644A" w:rsidRDefault="00DD20E7" w:rsidP="00DD20E7">
      <w:pPr>
        <w:pStyle w:val="GridTable21"/>
        <w:spacing w:before="240" w:after="240"/>
        <w:outlineLvl w:val="0"/>
      </w:pPr>
      <w:bookmarkStart w:id="83" w:name="_Toc450078770"/>
      <w:bookmarkStart w:id="84" w:name="_Toc450079120"/>
      <w:r w:rsidRPr="00C8644A">
        <w:t xml:space="preserve">Esping-Andersen, Gosta. 1990. </w:t>
      </w:r>
      <w:r w:rsidRPr="00C8644A">
        <w:rPr>
          <w:i/>
          <w:iCs/>
        </w:rPr>
        <w:t>The Three Worlds of Welfare Capitalism</w:t>
      </w:r>
      <w:r w:rsidRPr="00C8644A">
        <w:t>. Princeton: Princeton University Press.</w:t>
      </w:r>
      <w:bookmarkEnd w:id="83"/>
      <w:bookmarkEnd w:id="84"/>
    </w:p>
    <w:p w:rsidR="00DD20E7" w:rsidRPr="00C8644A" w:rsidRDefault="00DD20E7" w:rsidP="00DD20E7">
      <w:pPr>
        <w:pStyle w:val="GridTable21"/>
        <w:spacing w:before="240" w:after="240"/>
        <w:outlineLvl w:val="0"/>
      </w:pPr>
      <w:bookmarkStart w:id="85" w:name="_Toc450078771"/>
      <w:bookmarkStart w:id="86" w:name="_Toc450079121"/>
      <w:r w:rsidRPr="00C8644A">
        <w:t xml:space="preserve">Fearon, James D., and David D. Laitin. 2003. “Ethnicity, Insurgency, and Civil War.” </w:t>
      </w:r>
      <w:r w:rsidRPr="00C8644A">
        <w:rPr>
          <w:i/>
          <w:iCs/>
        </w:rPr>
        <w:t>The American Political Science Review</w:t>
      </w:r>
      <w:r w:rsidRPr="00C8644A">
        <w:t xml:space="preserve"> 97 (1): 75–90.</w:t>
      </w:r>
      <w:bookmarkEnd w:id="85"/>
      <w:bookmarkEnd w:id="86"/>
    </w:p>
    <w:p w:rsidR="00DD20E7" w:rsidRPr="00C8644A" w:rsidRDefault="00DD20E7" w:rsidP="00DD20E7">
      <w:pPr>
        <w:pStyle w:val="GridTable21"/>
        <w:spacing w:before="240" w:after="240"/>
        <w:outlineLvl w:val="0"/>
      </w:pPr>
      <w:bookmarkStart w:id="87" w:name="_Toc450078772"/>
      <w:bookmarkStart w:id="88" w:name="_Toc450079122"/>
      <w:r w:rsidRPr="00C8644A">
        <w:t xml:space="preserve">Fearon, James D., and David D. Laitin. 1996. “Explaining Interethnic Cooperation.” </w:t>
      </w:r>
      <w:r w:rsidRPr="00C8644A">
        <w:rPr>
          <w:i/>
          <w:iCs/>
        </w:rPr>
        <w:t>The American Political Science Review</w:t>
      </w:r>
      <w:r w:rsidRPr="00C8644A">
        <w:t xml:space="preserve"> 90 (4): 715–35.</w:t>
      </w:r>
      <w:bookmarkEnd w:id="87"/>
      <w:bookmarkEnd w:id="88"/>
    </w:p>
    <w:p w:rsidR="00DD20E7" w:rsidRPr="00C8644A" w:rsidRDefault="00DD20E7" w:rsidP="00DD20E7">
      <w:pPr>
        <w:pStyle w:val="GridTable21"/>
        <w:spacing w:before="240" w:after="240"/>
        <w:outlineLvl w:val="0"/>
      </w:pPr>
      <w:bookmarkStart w:id="89" w:name="_Toc450078773"/>
      <w:bookmarkStart w:id="90" w:name="_Toc450079123"/>
      <w:r w:rsidRPr="00C8644A">
        <w:t xml:space="preserve">Fisher, Julie. 1998. </w:t>
      </w:r>
      <w:r w:rsidRPr="00C8644A">
        <w:rPr>
          <w:i/>
          <w:iCs/>
        </w:rPr>
        <w:t>No</w:t>
      </w:r>
      <w:r>
        <w:rPr>
          <w:i/>
          <w:iCs/>
        </w:rPr>
        <w:t>ngov</w:t>
      </w:r>
      <w:r w:rsidRPr="00C8644A">
        <w:rPr>
          <w:i/>
          <w:iCs/>
        </w:rPr>
        <w:t xml:space="preserve">ernment: </w:t>
      </w:r>
      <w:r>
        <w:rPr>
          <w:i/>
          <w:iCs/>
        </w:rPr>
        <w:t>NGO</w:t>
      </w:r>
      <w:r w:rsidRPr="00C8644A">
        <w:rPr>
          <w:i/>
          <w:iCs/>
        </w:rPr>
        <w:t>s and the Political Development of the Third World</w:t>
      </w:r>
      <w:r w:rsidRPr="00C8644A">
        <w:t>. West Hartford: Kumarian press.</w:t>
      </w:r>
      <w:bookmarkEnd w:id="89"/>
      <w:bookmarkEnd w:id="90"/>
    </w:p>
    <w:p w:rsidR="00DD20E7" w:rsidRPr="00C8644A" w:rsidRDefault="00DD20E7" w:rsidP="00DD20E7">
      <w:pPr>
        <w:pStyle w:val="GridTable21"/>
        <w:spacing w:before="240" w:after="240"/>
        <w:outlineLvl w:val="0"/>
      </w:pPr>
      <w:bookmarkStart w:id="91" w:name="_Toc450078774"/>
      <w:bookmarkStart w:id="92" w:name="_Toc450079124"/>
      <w:r w:rsidRPr="00C8644A">
        <w:t xml:space="preserve">Forje, John W. 2008. “Political Leadership, State-Civil Society Relations and the Search for Development Alternatives.” In </w:t>
      </w:r>
      <w:r w:rsidRPr="00C8644A">
        <w:rPr>
          <w:i/>
          <w:iCs/>
        </w:rPr>
        <w:t>Civil Society and the Search for Development Alternatives in Cameroon</w:t>
      </w:r>
      <w:r w:rsidRPr="00C8644A">
        <w:t>, edited by Emmanuel Yenshu Vubo, 191–205. Dakar: CODESRIA.</w:t>
      </w:r>
      <w:bookmarkEnd w:id="91"/>
      <w:bookmarkEnd w:id="92"/>
    </w:p>
    <w:p w:rsidR="00DD20E7" w:rsidRPr="00C8644A" w:rsidRDefault="00DD20E7" w:rsidP="00DD20E7">
      <w:pPr>
        <w:pStyle w:val="GridTable21"/>
        <w:spacing w:before="240" w:after="240"/>
        <w:outlineLvl w:val="0"/>
      </w:pPr>
      <w:bookmarkStart w:id="93" w:name="_Toc450078775"/>
      <w:bookmarkStart w:id="94" w:name="_Toc450079125"/>
      <w:r w:rsidRPr="00C8644A">
        <w:t xml:space="preserve">Frederickson, David G., and H. George Frederickson. 2006. </w:t>
      </w:r>
      <w:r w:rsidRPr="00C8644A">
        <w:rPr>
          <w:i/>
          <w:iCs/>
        </w:rPr>
        <w:t>Measuring the Performance of the Hollow State</w:t>
      </w:r>
      <w:r w:rsidRPr="00C8644A">
        <w:t>. Washington: Georgetown University Press.</w:t>
      </w:r>
      <w:bookmarkEnd w:id="93"/>
      <w:bookmarkEnd w:id="94"/>
    </w:p>
    <w:p w:rsidR="00DD20E7" w:rsidRPr="00C8644A" w:rsidRDefault="00DD20E7" w:rsidP="00DD20E7">
      <w:pPr>
        <w:pStyle w:val="GridTable21"/>
        <w:spacing w:before="240" w:after="240"/>
        <w:outlineLvl w:val="0"/>
      </w:pPr>
      <w:bookmarkStart w:id="95" w:name="_Toc450078776"/>
      <w:bookmarkStart w:id="96" w:name="_Toc450079126"/>
      <w:r w:rsidRPr="00C8644A">
        <w:t xml:space="preserve">Fruttero, Anna, and Varun Gauri. 2005. “The Strategic Choices of </w:t>
      </w:r>
      <w:r>
        <w:t>NGO</w:t>
      </w:r>
      <w:r w:rsidRPr="00C8644A">
        <w:t xml:space="preserve">s: Location Decisions in Rural Bangladesh.” </w:t>
      </w:r>
      <w:r w:rsidRPr="00C8644A">
        <w:rPr>
          <w:i/>
          <w:iCs/>
        </w:rPr>
        <w:t>The Journal of Development Studies</w:t>
      </w:r>
      <w:r w:rsidRPr="00C8644A">
        <w:t xml:space="preserve"> 41 (5): 759–87.</w:t>
      </w:r>
      <w:bookmarkEnd w:id="95"/>
      <w:bookmarkEnd w:id="96"/>
    </w:p>
    <w:p w:rsidR="00DD20E7" w:rsidRPr="00C8644A" w:rsidRDefault="00DD20E7" w:rsidP="00DD20E7">
      <w:pPr>
        <w:pStyle w:val="GridTable21"/>
        <w:spacing w:before="240" w:after="240"/>
        <w:outlineLvl w:val="0"/>
      </w:pPr>
      <w:bookmarkStart w:id="97" w:name="_Toc450078777"/>
      <w:bookmarkStart w:id="98" w:name="_Toc450079127"/>
      <w:r w:rsidRPr="00C8644A">
        <w:t xml:space="preserve">Galway, Lindsay P., Kitty K. Corbett, and Leilei Zeng. 2012. “Where Are the </w:t>
      </w:r>
      <w:r>
        <w:t>NGO</w:t>
      </w:r>
      <w:r w:rsidRPr="00C8644A">
        <w:t xml:space="preserve">s and Why? The Distribution of Health and Development </w:t>
      </w:r>
      <w:r>
        <w:t>NGO</w:t>
      </w:r>
      <w:r w:rsidRPr="00C8644A">
        <w:t xml:space="preserve">s in Bolivia.” </w:t>
      </w:r>
      <w:r w:rsidRPr="00C8644A">
        <w:rPr>
          <w:i/>
          <w:iCs/>
        </w:rPr>
        <w:t>Globalization and Health</w:t>
      </w:r>
      <w:r w:rsidRPr="00C8644A">
        <w:t xml:space="preserve"> 8 (1): 38.</w:t>
      </w:r>
      <w:bookmarkEnd w:id="97"/>
      <w:bookmarkEnd w:id="98"/>
    </w:p>
    <w:p w:rsidR="00DD20E7" w:rsidRPr="00C8644A" w:rsidRDefault="00DD20E7" w:rsidP="00DD20E7">
      <w:pPr>
        <w:pStyle w:val="GridTable21"/>
        <w:spacing w:before="240" w:after="240"/>
        <w:outlineLvl w:val="0"/>
      </w:pPr>
      <w:bookmarkStart w:id="99" w:name="_Toc450078778"/>
      <w:bookmarkStart w:id="100" w:name="_Toc450079128"/>
      <w:r w:rsidRPr="00C8644A">
        <w:t xml:space="preserve">Garrow, Eve E. 2010. “Receipt of Government Revenue among Human Service Organizations.” </w:t>
      </w:r>
      <w:r w:rsidRPr="00C8644A">
        <w:rPr>
          <w:i/>
          <w:iCs/>
        </w:rPr>
        <w:t>Journal of Public Administration Research and Theory</w:t>
      </w:r>
      <w:r w:rsidRPr="00C8644A">
        <w:t xml:space="preserve"> 21 (3): 445–71.</w:t>
      </w:r>
      <w:bookmarkEnd w:id="99"/>
      <w:bookmarkEnd w:id="100"/>
    </w:p>
    <w:p w:rsidR="00DD20E7" w:rsidRPr="00C8644A" w:rsidRDefault="00DD20E7" w:rsidP="00DD20E7">
      <w:pPr>
        <w:pStyle w:val="GridTable21"/>
        <w:spacing w:before="240" w:after="240"/>
        <w:outlineLvl w:val="0"/>
      </w:pPr>
      <w:bookmarkStart w:id="101" w:name="_Toc450078779"/>
      <w:bookmarkStart w:id="102" w:name="_Toc450079129"/>
      <w:r w:rsidRPr="00C8644A">
        <w:t xml:space="preserve">Gazley, Beth. 2008. “Beyond the Contract: The Scope and Nature of Informal Government-Nonprofit Partnerships.” </w:t>
      </w:r>
      <w:r w:rsidRPr="00C8644A">
        <w:rPr>
          <w:i/>
          <w:iCs/>
        </w:rPr>
        <w:t>Public Administration Review</w:t>
      </w:r>
      <w:r w:rsidRPr="00C8644A">
        <w:t xml:space="preserve"> 68 (1): 141–54.</w:t>
      </w:r>
      <w:bookmarkEnd w:id="101"/>
      <w:bookmarkEnd w:id="102"/>
    </w:p>
    <w:p w:rsidR="00DD20E7" w:rsidRPr="00C8644A" w:rsidRDefault="00DD20E7" w:rsidP="00DD20E7">
      <w:pPr>
        <w:pStyle w:val="GridTable21"/>
        <w:spacing w:before="240" w:after="240"/>
        <w:outlineLvl w:val="0"/>
      </w:pPr>
      <w:bookmarkStart w:id="103" w:name="_Toc450078780"/>
      <w:bookmarkStart w:id="104" w:name="_Toc450079130"/>
      <w:r w:rsidRPr="00C8644A">
        <w:t xml:space="preserve">Gibelman, Margaret, and Sheldon R. Gelman. 2004. “A Loss of Credibility: Patterns of Wrongdoing Among </w:t>
      </w:r>
      <w:r>
        <w:t>Nongovernmental</w:t>
      </w:r>
      <w:r w:rsidRPr="00C8644A">
        <w:t xml:space="preserve"> Organizations.” </w:t>
      </w:r>
      <w:r w:rsidRPr="00C8644A">
        <w:rPr>
          <w:i/>
          <w:iCs/>
        </w:rPr>
        <w:t>Voluntas: International Journal of Voluntary and Nonprofit Organizations</w:t>
      </w:r>
      <w:r w:rsidRPr="00C8644A">
        <w:t xml:space="preserve"> 15 (4): 355–81.</w:t>
      </w:r>
      <w:bookmarkEnd w:id="103"/>
      <w:bookmarkEnd w:id="104"/>
    </w:p>
    <w:p w:rsidR="00DD20E7" w:rsidRPr="00C8644A" w:rsidRDefault="00DD20E7" w:rsidP="00DD20E7">
      <w:pPr>
        <w:pStyle w:val="GridTable21"/>
        <w:spacing w:before="240" w:after="240"/>
        <w:outlineLvl w:val="0"/>
      </w:pPr>
      <w:bookmarkStart w:id="105" w:name="_Toc450078781"/>
      <w:bookmarkStart w:id="106" w:name="_Toc450079131"/>
      <w:r w:rsidRPr="00C8644A">
        <w:t xml:space="preserve">Green, Maia. 2012. “Anticipatory Development: Mobilizing Civil Society in Tanzania.” </w:t>
      </w:r>
      <w:r w:rsidRPr="00C8644A">
        <w:rPr>
          <w:i/>
          <w:iCs/>
        </w:rPr>
        <w:t>Critique of Anthropology</w:t>
      </w:r>
      <w:r w:rsidRPr="00C8644A">
        <w:t xml:space="preserve"> 32 (3): 309–33.</w:t>
      </w:r>
      <w:bookmarkEnd w:id="105"/>
      <w:bookmarkEnd w:id="106"/>
    </w:p>
    <w:p w:rsidR="00DD20E7" w:rsidRPr="00C8644A" w:rsidRDefault="00DD20E7" w:rsidP="00DD20E7">
      <w:pPr>
        <w:pStyle w:val="GridTable21"/>
        <w:spacing w:before="240" w:after="240"/>
        <w:outlineLvl w:val="0"/>
      </w:pPr>
      <w:bookmarkStart w:id="107" w:name="_Toc450078782"/>
      <w:bookmarkStart w:id="108" w:name="_Toc450079132"/>
      <w:r w:rsidRPr="00C8644A">
        <w:t xml:space="preserve">Gronbjerg, Kristen A. 2003. “Nonprofit Management Education: Taking Advantage of the Public Administration Setting.” </w:t>
      </w:r>
      <w:r w:rsidRPr="00C8644A">
        <w:rPr>
          <w:i/>
          <w:iCs/>
        </w:rPr>
        <w:t>Journal of Public Affairs</w:t>
      </w:r>
      <w:r w:rsidRPr="00C8644A">
        <w:t xml:space="preserve"> 9 (3): 165–68.</w:t>
      </w:r>
      <w:bookmarkEnd w:id="107"/>
      <w:bookmarkEnd w:id="108"/>
    </w:p>
    <w:p w:rsidR="00DD20E7" w:rsidRPr="00C8644A" w:rsidRDefault="00DD20E7" w:rsidP="00DD20E7">
      <w:pPr>
        <w:pStyle w:val="GridTable21"/>
        <w:spacing w:before="240" w:after="240"/>
        <w:outlineLvl w:val="0"/>
      </w:pPr>
      <w:bookmarkStart w:id="109" w:name="_Toc450078783"/>
      <w:bookmarkStart w:id="110" w:name="_Toc450079133"/>
      <w:r w:rsidRPr="00C8644A">
        <w:t xml:space="preserve">Guo, Chao. 2007. “When Government Becomes the Principal Philanthropist: The Effects of Public Funding on Patterns of Nonprofit Governance.” </w:t>
      </w:r>
      <w:r w:rsidRPr="00C8644A">
        <w:rPr>
          <w:i/>
          <w:iCs/>
        </w:rPr>
        <w:t>Public Administration Review</w:t>
      </w:r>
      <w:r w:rsidRPr="00C8644A">
        <w:t xml:space="preserve"> 67 (3): 458–73.</w:t>
      </w:r>
      <w:bookmarkEnd w:id="109"/>
      <w:bookmarkEnd w:id="110"/>
    </w:p>
    <w:p w:rsidR="00DD20E7" w:rsidRPr="00C8644A" w:rsidRDefault="00DD20E7" w:rsidP="00DD20E7">
      <w:pPr>
        <w:pStyle w:val="GridTable21"/>
        <w:spacing w:before="240" w:after="240"/>
        <w:outlineLvl w:val="0"/>
      </w:pPr>
      <w:bookmarkStart w:id="111" w:name="_Toc450078784"/>
      <w:bookmarkStart w:id="112" w:name="_Toc450079134"/>
      <w:r w:rsidRPr="00C8644A">
        <w:t xml:space="preserve">Habyarimana, James, Macartan Humphreys, Daniel N. Posner, and Jeremy M. Weinstein. 2007. “Why Does Ethnic Diversity Undermine Public Goods Provision?” </w:t>
      </w:r>
      <w:r w:rsidRPr="00C8644A">
        <w:rPr>
          <w:i/>
          <w:iCs/>
        </w:rPr>
        <w:t>American Political Science Review</w:t>
      </w:r>
      <w:r w:rsidRPr="00C8644A">
        <w:t xml:space="preserve"> 101 (04): 709–25.</w:t>
      </w:r>
      <w:bookmarkEnd w:id="111"/>
      <w:bookmarkEnd w:id="112"/>
    </w:p>
    <w:p w:rsidR="00DD20E7" w:rsidRPr="00C8644A" w:rsidRDefault="00DD20E7" w:rsidP="00DD20E7">
      <w:pPr>
        <w:pStyle w:val="GridTable21"/>
        <w:spacing w:before="240" w:after="240"/>
        <w:outlineLvl w:val="0"/>
      </w:pPr>
      <w:bookmarkStart w:id="113" w:name="_Toc450078785"/>
      <w:bookmarkStart w:id="114" w:name="_Toc450079135"/>
      <w:r w:rsidRPr="00C8644A">
        <w:t xml:space="preserve">Hailey, John, and Rick James. 2004. “‘Trees Die From the Top’: International Perspectives on </w:t>
      </w:r>
      <w:r>
        <w:t>NGO</w:t>
      </w:r>
      <w:r w:rsidRPr="00C8644A">
        <w:t xml:space="preserve"> Leadership Development.” </w:t>
      </w:r>
      <w:r w:rsidRPr="00C8644A">
        <w:rPr>
          <w:i/>
          <w:iCs/>
        </w:rPr>
        <w:t>Voluntas: International Journal of Voluntary and Nonprofit Organizations</w:t>
      </w:r>
      <w:r w:rsidRPr="00C8644A">
        <w:t xml:space="preserve"> 15 (4): 343–53.</w:t>
      </w:r>
      <w:bookmarkEnd w:id="113"/>
      <w:bookmarkEnd w:id="114"/>
    </w:p>
    <w:p w:rsidR="00DD20E7" w:rsidRPr="00C8644A" w:rsidRDefault="00DD20E7" w:rsidP="00DD20E7">
      <w:pPr>
        <w:pStyle w:val="GridTable21"/>
        <w:spacing w:before="240" w:after="240"/>
        <w:outlineLvl w:val="0"/>
      </w:pPr>
      <w:bookmarkStart w:id="115" w:name="_Toc450078786"/>
      <w:bookmarkStart w:id="116" w:name="_Toc450079136"/>
      <w:r w:rsidRPr="00C8644A">
        <w:t xml:space="preserve">Hann, Chris. 1996. “Introduction: Political Society and Civil Anthropology.” In </w:t>
      </w:r>
      <w:r w:rsidRPr="00C8644A">
        <w:rPr>
          <w:i/>
          <w:iCs/>
        </w:rPr>
        <w:t>Civil Society: Challenging Western Models</w:t>
      </w:r>
      <w:r w:rsidRPr="00C8644A">
        <w:t>, edited by Chris Hann and Dunn, 1–26. London: Routledge.</w:t>
      </w:r>
      <w:bookmarkEnd w:id="115"/>
      <w:bookmarkEnd w:id="116"/>
    </w:p>
    <w:p w:rsidR="00DD20E7" w:rsidRPr="00C8644A" w:rsidRDefault="00DD20E7" w:rsidP="00DD20E7">
      <w:pPr>
        <w:pStyle w:val="GridTable21"/>
        <w:spacing w:before="240" w:after="240"/>
        <w:outlineLvl w:val="0"/>
      </w:pPr>
      <w:bookmarkStart w:id="117" w:name="_Toc450078787"/>
      <w:bookmarkStart w:id="118" w:name="_Toc450079137"/>
      <w:r w:rsidRPr="00C8644A">
        <w:t xml:space="preserve">Hearn, Julie. 2007. “African </w:t>
      </w:r>
      <w:r>
        <w:t>NGO</w:t>
      </w:r>
      <w:r w:rsidRPr="00C8644A">
        <w:t xml:space="preserve">s: The New Compradors?” </w:t>
      </w:r>
      <w:r w:rsidRPr="00C8644A">
        <w:rPr>
          <w:i/>
          <w:iCs/>
        </w:rPr>
        <w:t>Development &amp; Change</w:t>
      </w:r>
      <w:r w:rsidRPr="00C8644A">
        <w:t xml:space="preserve"> 38 (6): 1095–1110.</w:t>
      </w:r>
      <w:bookmarkEnd w:id="117"/>
      <w:bookmarkEnd w:id="118"/>
    </w:p>
    <w:p w:rsidR="00DD20E7" w:rsidRPr="00C8644A" w:rsidRDefault="00DD20E7" w:rsidP="00DD20E7">
      <w:pPr>
        <w:pStyle w:val="GridTable21"/>
        <w:spacing w:before="240" w:after="240"/>
        <w:outlineLvl w:val="0"/>
      </w:pPr>
      <w:bookmarkStart w:id="119" w:name="_Toc450078788"/>
      <w:bookmarkStart w:id="120" w:name="_Toc450079138"/>
      <w:r w:rsidRPr="00C8644A">
        <w:t xml:space="preserve">Heinrich, Carolyn J., Laurence E. Jr. Lynn, and H. Brinton Milward. 2010. “A State of Agents? Sharpening the Debate and Evidence over the Extent and Impact of the Transformation of Governance.” </w:t>
      </w:r>
      <w:r w:rsidRPr="00C8644A">
        <w:rPr>
          <w:i/>
          <w:iCs/>
        </w:rPr>
        <w:t>Journal of Public Administration Research and Theory</w:t>
      </w:r>
      <w:r w:rsidRPr="00C8644A">
        <w:t xml:space="preserve"> 20 (Supplemental 1): i3–19.</w:t>
      </w:r>
      <w:bookmarkEnd w:id="119"/>
      <w:bookmarkEnd w:id="120"/>
    </w:p>
    <w:p w:rsidR="00DD20E7" w:rsidRPr="00C8644A" w:rsidRDefault="00DD20E7" w:rsidP="00DD20E7">
      <w:pPr>
        <w:pStyle w:val="GridTable21"/>
        <w:spacing w:before="240" w:after="240"/>
        <w:outlineLvl w:val="0"/>
      </w:pPr>
      <w:bookmarkStart w:id="121" w:name="_Toc450078789"/>
      <w:bookmarkStart w:id="122" w:name="_Toc450079139"/>
      <w:r w:rsidRPr="00C8644A">
        <w:t xml:space="preserve">Heinze, E.A. 2007. “The Rhetoric of Genocide in US Foreign Policy: Rwanda and Darfur Compared.” </w:t>
      </w:r>
      <w:r w:rsidRPr="00C8644A">
        <w:rPr>
          <w:i/>
          <w:iCs/>
        </w:rPr>
        <w:t>Political Science Quarterly</w:t>
      </w:r>
      <w:r w:rsidRPr="00C8644A">
        <w:t xml:space="preserve"> 122 (3): 359–83.</w:t>
      </w:r>
      <w:bookmarkEnd w:id="121"/>
      <w:bookmarkEnd w:id="122"/>
    </w:p>
    <w:p w:rsidR="00DD20E7" w:rsidRPr="00C8644A" w:rsidRDefault="00DD20E7" w:rsidP="00DD20E7">
      <w:pPr>
        <w:pStyle w:val="GridTable21"/>
        <w:spacing w:before="240" w:after="240"/>
        <w:outlineLvl w:val="0"/>
      </w:pPr>
      <w:bookmarkStart w:id="123" w:name="_Toc450078790"/>
      <w:bookmarkStart w:id="124" w:name="_Toc450079140"/>
      <w:r w:rsidRPr="00C8644A">
        <w:t xml:space="preserve">Herbst, Jeffery. 1990. “The Structural Adjustment of Politics in Africa.” </w:t>
      </w:r>
      <w:r w:rsidRPr="00C8644A">
        <w:rPr>
          <w:i/>
          <w:iCs/>
        </w:rPr>
        <w:t>World Development</w:t>
      </w:r>
      <w:r w:rsidRPr="00C8644A">
        <w:t xml:space="preserve"> 18 (7): 949–58.</w:t>
      </w:r>
      <w:bookmarkEnd w:id="123"/>
      <w:bookmarkEnd w:id="124"/>
    </w:p>
    <w:p w:rsidR="00DD20E7" w:rsidRPr="00C8644A" w:rsidRDefault="00DD20E7" w:rsidP="00DD20E7">
      <w:pPr>
        <w:pStyle w:val="GridTable21"/>
        <w:spacing w:before="240" w:after="240"/>
        <w:outlineLvl w:val="0"/>
      </w:pPr>
      <w:bookmarkStart w:id="125" w:name="_Toc450078791"/>
      <w:bookmarkStart w:id="126" w:name="_Toc450079141"/>
      <w:r w:rsidRPr="00C8644A">
        <w:t xml:space="preserve">Herbst, Jeffrey. 2000. </w:t>
      </w:r>
      <w:r w:rsidRPr="00C8644A">
        <w:rPr>
          <w:i/>
          <w:iCs/>
        </w:rPr>
        <w:t>States and Power in Africa: Comparative Lessons in Authority and Control</w:t>
      </w:r>
      <w:r w:rsidRPr="00C8644A">
        <w:t>. Princeton: Princeton University Press.</w:t>
      </w:r>
      <w:bookmarkEnd w:id="125"/>
      <w:bookmarkEnd w:id="126"/>
    </w:p>
    <w:p w:rsidR="00DD20E7" w:rsidRPr="00C8644A" w:rsidRDefault="00DD20E7" w:rsidP="00DD20E7">
      <w:pPr>
        <w:pStyle w:val="GridTable21"/>
        <w:spacing w:before="240" w:after="240"/>
        <w:outlineLvl w:val="0"/>
      </w:pPr>
      <w:bookmarkStart w:id="127" w:name="_Toc450078792"/>
      <w:bookmarkStart w:id="128" w:name="_Toc450079142"/>
      <w:r w:rsidRPr="00C8644A">
        <w:t xml:space="preserve">Hertzke, Allen. 2004. </w:t>
      </w:r>
      <w:r w:rsidRPr="00C8644A">
        <w:rPr>
          <w:i/>
          <w:iCs/>
        </w:rPr>
        <w:t>Freeing God’s Children: The Unlikely Alliance for Global Human Rights</w:t>
      </w:r>
      <w:r w:rsidRPr="00C8644A">
        <w:t>. New York: Rowman &amp; Littlefield Publishers Inc.</w:t>
      </w:r>
      <w:bookmarkEnd w:id="127"/>
      <w:bookmarkEnd w:id="128"/>
    </w:p>
    <w:p w:rsidR="00DD20E7" w:rsidRPr="00C8644A" w:rsidRDefault="00DD20E7" w:rsidP="00DD20E7">
      <w:pPr>
        <w:pStyle w:val="GridTable21"/>
        <w:spacing w:before="240" w:after="240"/>
        <w:outlineLvl w:val="0"/>
      </w:pPr>
      <w:bookmarkStart w:id="129" w:name="_Toc450078793"/>
      <w:bookmarkStart w:id="130" w:name="_Toc450079143"/>
      <w:r w:rsidRPr="00C8644A">
        <w:t xml:space="preserve">Hicklin, Alisa, and Erik Godwin. 2009. “Agents of Change: The Role of Public Managers in Public Policy.” </w:t>
      </w:r>
      <w:r w:rsidRPr="00C8644A">
        <w:rPr>
          <w:i/>
          <w:iCs/>
        </w:rPr>
        <w:t>The Policy Studies Journal</w:t>
      </w:r>
      <w:r w:rsidRPr="00C8644A">
        <w:t xml:space="preserve"> 37 (1): 13–20.</w:t>
      </w:r>
      <w:bookmarkEnd w:id="129"/>
      <w:bookmarkEnd w:id="130"/>
    </w:p>
    <w:p w:rsidR="00DD20E7" w:rsidRPr="00C8644A" w:rsidRDefault="00DD20E7" w:rsidP="00DD20E7">
      <w:pPr>
        <w:pStyle w:val="GridTable21"/>
        <w:spacing w:before="240" w:after="240"/>
        <w:outlineLvl w:val="0"/>
      </w:pPr>
      <w:bookmarkStart w:id="131" w:name="_Toc450078794"/>
      <w:bookmarkStart w:id="132" w:name="_Toc450079144"/>
      <w:r w:rsidRPr="00C8644A">
        <w:t xml:space="preserve">Hyden, Goran. 2000. “The Governance Challenge in Africa.” In </w:t>
      </w:r>
      <w:r w:rsidRPr="00C8644A">
        <w:rPr>
          <w:i/>
          <w:iCs/>
        </w:rPr>
        <w:t>African Perspectives on Governance</w:t>
      </w:r>
      <w:r w:rsidRPr="00C8644A">
        <w:t>, edited by Goran Hyden, Hastings W.O. Okoth-Ogendo, and Bamidele Olowu, 1–32. Trenton: Africa World Press, Inc.</w:t>
      </w:r>
      <w:bookmarkEnd w:id="131"/>
      <w:bookmarkEnd w:id="132"/>
    </w:p>
    <w:p w:rsidR="00DD20E7" w:rsidRPr="00C8644A" w:rsidRDefault="00DD20E7" w:rsidP="00DD20E7">
      <w:pPr>
        <w:pStyle w:val="GridTable21"/>
        <w:spacing w:before="240" w:after="240"/>
        <w:outlineLvl w:val="0"/>
      </w:pPr>
      <w:bookmarkStart w:id="133" w:name="_Toc450078795"/>
      <w:bookmarkStart w:id="134" w:name="_Toc450079145"/>
      <w:r w:rsidRPr="00C8644A">
        <w:t>ICNL. 2015. “Country Reports: Sub-Saharan Africa.” http://www.icnl.org/research.</w:t>
      </w:r>
      <w:bookmarkEnd w:id="133"/>
      <w:bookmarkEnd w:id="134"/>
    </w:p>
    <w:p w:rsidR="00DD20E7" w:rsidRPr="00C8644A" w:rsidRDefault="00DD20E7" w:rsidP="00DD20E7">
      <w:pPr>
        <w:pStyle w:val="GridTable21"/>
        <w:spacing w:before="240" w:after="240"/>
        <w:outlineLvl w:val="0"/>
      </w:pPr>
      <w:bookmarkStart w:id="135" w:name="_Toc450078796"/>
      <w:bookmarkStart w:id="136" w:name="_Toc450079146"/>
      <w:r w:rsidRPr="00C8644A">
        <w:t xml:space="preserve">Igoe, Jim, and Tim Kelsall. 2005. “Introduction: Between a Rock and a Hard Place.” In </w:t>
      </w:r>
      <w:r w:rsidRPr="00C8644A">
        <w:rPr>
          <w:i/>
          <w:iCs/>
        </w:rPr>
        <w:t xml:space="preserve">Between a Rock and a Hard Place: African </w:t>
      </w:r>
      <w:r>
        <w:rPr>
          <w:i/>
          <w:iCs/>
        </w:rPr>
        <w:t>NGO</w:t>
      </w:r>
      <w:r w:rsidRPr="00C8644A">
        <w:rPr>
          <w:i/>
          <w:iCs/>
        </w:rPr>
        <w:t>s, Donors, and the State</w:t>
      </w:r>
      <w:r w:rsidRPr="00C8644A">
        <w:t>, edited by Jim Igoe and Tim Kelsall, 1–33. Durham: Carolina Academic Press.</w:t>
      </w:r>
      <w:bookmarkEnd w:id="135"/>
      <w:bookmarkEnd w:id="136"/>
    </w:p>
    <w:p w:rsidR="00DD20E7" w:rsidRPr="00C8644A" w:rsidRDefault="00DD20E7" w:rsidP="00DD20E7">
      <w:pPr>
        <w:pStyle w:val="GridTable21"/>
        <w:spacing w:before="240" w:after="240"/>
        <w:outlineLvl w:val="0"/>
      </w:pPr>
      <w:bookmarkStart w:id="137" w:name="_Toc450078797"/>
      <w:bookmarkStart w:id="138" w:name="_Toc450079147"/>
      <w:r w:rsidRPr="00C8644A">
        <w:t xml:space="preserve">Inglehart, Ronald. 1997. </w:t>
      </w:r>
      <w:r w:rsidRPr="00C8644A">
        <w:rPr>
          <w:i/>
          <w:iCs/>
        </w:rPr>
        <w:t>Modernization and Postmodernization: Cultural, Economic, and Political Change in 43 Societies</w:t>
      </w:r>
      <w:r w:rsidRPr="00C8644A">
        <w:t>. Princeton, NJ: Princeton University Press.</w:t>
      </w:r>
      <w:bookmarkEnd w:id="137"/>
      <w:bookmarkEnd w:id="138"/>
    </w:p>
    <w:p w:rsidR="00DD20E7" w:rsidRPr="00C8644A" w:rsidRDefault="00DD20E7" w:rsidP="00DD20E7">
      <w:pPr>
        <w:pStyle w:val="GridTable21"/>
        <w:spacing w:before="240" w:after="240"/>
        <w:outlineLvl w:val="0"/>
      </w:pPr>
      <w:bookmarkStart w:id="139" w:name="_Toc450078798"/>
      <w:bookmarkStart w:id="140" w:name="_Toc450079148"/>
      <w:r w:rsidRPr="00C8644A">
        <w:t xml:space="preserve">Jackson, Terrence. 2009. “A Critical Cross-Cultural Perspective for Developing Nonprofit International Management Capacity.” </w:t>
      </w:r>
      <w:r w:rsidRPr="00C8644A">
        <w:rPr>
          <w:i/>
          <w:iCs/>
        </w:rPr>
        <w:t>Nonprofit Management &amp; Leadership</w:t>
      </w:r>
      <w:r w:rsidRPr="00C8644A">
        <w:t xml:space="preserve"> 19 (4): 443–66.</w:t>
      </w:r>
      <w:bookmarkEnd w:id="139"/>
      <w:bookmarkEnd w:id="140"/>
    </w:p>
    <w:p w:rsidR="00DD20E7" w:rsidRPr="00C8644A" w:rsidRDefault="00DD20E7" w:rsidP="00DD20E7">
      <w:pPr>
        <w:pStyle w:val="GridTable21"/>
        <w:spacing w:before="240" w:after="240"/>
        <w:outlineLvl w:val="0"/>
      </w:pPr>
      <w:bookmarkStart w:id="141" w:name="_Toc450078799"/>
      <w:bookmarkStart w:id="142" w:name="_Toc450079149"/>
      <w:r w:rsidRPr="00C8644A">
        <w:t xml:space="preserve">Jackson, Terrence, and Richard Haines. 2007. “Cross-Cultural Management in South African </w:t>
      </w:r>
      <w:r>
        <w:t>NGO</w:t>
      </w:r>
      <w:r w:rsidRPr="00C8644A">
        <w:t xml:space="preserve">s.” </w:t>
      </w:r>
      <w:r w:rsidRPr="00C8644A">
        <w:rPr>
          <w:i/>
          <w:iCs/>
        </w:rPr>
        <w:t>South African Review of Sociology</w:t>
      </w:r>
      <w:r w:rsidRPr="00C8644A">
        <w:t xml:space="preserve"> 38 (1): 85–98.</w:t>
      </w:r>
      <w:bookmarkEnd w:id="141"/>
      <w:bookmarkEnd w:id="142"/>
    </w:p>
    <w:p w:rsidR="00DD20E7" w:rsidRPr="00C8644A" w:rsidRDefault="00DD20E7" w:rsidP="00DD20E7">
      <w:pPr>
        <w:pStyle w:val="GridTable21"/>
        <w:spacing w:before="240" w:after="240"/>
        <w:outlineLvl w:val="0"/>
      </w:pPr>
      <w:bookmarkStart w:id="143" w:name="_Toc450078800"/>
      <w:bookmarkStart w:id="144" w:name="_Toc450079150"/>
      <w:r w:rsidRPr="00C8644A">
        <w:t xml:space="preserve">James, Estelle. 1989. “The Nonprofit Sector in Developing Countries: The Case of Sri Lanka.” In </w:t>
      </w:r>
      <w:r w:rsidRPr="00C8644A">
        <w:rPr>
          <w:i/>
          <w:iCs/>
        </w:rPr>
        <w:t>The Nonprofit Sector in International Perspective: Studies in Comparative Culture and Policy</w:t>
      </w:r>
      <w:r w:rsidRPr="00C8644A">
        <w:t>, edited by Estelle James, 289–318. New York: Oxford University Press.</w:t>
      </w:r>
      <w:bookmarkEnd w:id="143"/>
      <w:bookmarkEnd w:id="144"/>
    </w:p>
    <w:p w:rsidR="00DD20E7" w:rsidRPr="00C8644A" w:rsidRDefault="00DD20E7" w:rsidP="00DD20E7">
      <w:pPr>
        <w:pStyle w:val="GridTable21"/>
        <w:spacing w:before="240" w:after="240"/>
        <w:outlineLvl w:val="0"/>
      </w:pPr>
      <w:bookmarkStart w:id="145" w:name="_Toc450078801"/>
      <w:bookmarkStart w:id="146" w:name="_Toc450079151"/>
      <w:r w:rsidRPr="00C8644A">
        <w:t xml:space="preserve">James, Rick. 2008. “Leadership Development Inside-Out in Africa.” </w:t>
      </w:r>
      <w:r w:rsidRPr="00C8644A">
        <w:rPr>
          <w:i/>
          <w:iCs/>
        </w:rPr>
        <w:t>Nonprofit Management &amp; Leadership</w:t>
      </w:r>
      <w:r w:rsidRPr="00C8644A">
        <w:t xml:space="preserve"> 18 (3): 359–75.</w:t>
      </w:r>
      <w:bookmarkEnd w:id="145"/>
      <w:bookmarkEnd w:id="146"/>
    </w:p>
    <w:p w:rsidR="00DD20E7" w:rsidRPr="00C8644A" w:rsidRDefault="00DD20E7" w:rsidP="00DD20E7">
      <w:pPr>
        <w:pStyle w:val="GridTable21"/>
        <w:spacing w:before="240" w:after="240"/>
        <w:outlineLvl w:val="0"/>
      </w:pPr>
      <w:bookmarkStart w:id="147" w:name="_Toc450078802"/>
      <w:bookmarkStart w:id="148" w:name="_Toc450079152"/>
      <w:r w:rsidRPr="00C8644A">
        <w:t xml:space="preserve">Jenkins-Smith, Hank C., and Paul A. Sabatier. 1993. “The Study of the Public Policy Process.” In </w:t>
      </w:r>
      <w:r w:rsidRPr="00C8644A">
        <w:rPr>
          <w:i/>
          <w:iCs/>
        </w:rPr>
        <w:t>Policy Change and Learning: An Advocacy Coalition Approach</w:t>
      </w:r>
      <w:r w:rsidRPr="00C8644A">
        <w:t>, edited by Paul A. Sabatier and Hank C. Jenkins-Smith, 1–9. Boulder: Westview Press.</w:t>
      </w:r>
      <w:bookmarkEnd w:id="147"/>
      <w:bookmarkEnd w:id="148"/>
    </w:p>
    <w:p w:rsidR="00DD20E7" w:rsidRPr="00C8644A" w:rsidRDefault="00DD20E7" w:rsidP="00DD20E7">
      <w:pPr>
        <w:pStyle w:val="GridTable21"/>
        <w:spacing w:before="240" w:after="240"/>
        <w:outlineLvl w:val="0"/>
      </w:pPr>
      <w:bookmarkStart w:id="149" w:name="_Toc450078803"/>
      <w:bookmarkStart w:id="150" w:name="_Toc450079153"/>
      <w:r w:rsidRPr="00C8644A">
        <w:t xml:space="preserve">Kamruzzaman, Palash. 2013. “Civil Society or ‘Comprador Class’, Participation or Parroting?.” </w:t>
      </w:r>
      <w:r w:rsidRPr="00C8644A">
        <w:rPr>
          <w:i/>
          <w:iCs/>
        </w:rPr>
        <w:t>Progress in Development Studies</w:t>
      </w:r>
      <w:r w:rsidRPr="00C8644A">
        <w:t xml:space="preserve"> 13 (1): 31–49.</w:t>
      </w:r>
      <w:bookmarkEnd w:id="149"/>
      <w:bookmarkEnd w:id="150"/>
    </w:p>
    <w:p w:rsidR="00DD20E7" w:rsidRPr="00C8644A" w:rsidRDefault="00DD20E7" w:rsidP="00DD20E7">
      <w:pPr>
        <w:pStyle w:val="GridTable21"/>
        <w:spacing w:before="240" w:after="240"/>
        <w:outlineLvl w:val="0"/>
      </w:pPr>
      <w:bookmarkStart w:id="151" w:name="_Toc450078804"/>
      <w:bookmarkStart w:id="152" w:name="_Toc450079154"/>
      <w:r w:rsidRPr="00C8644A">
        <w:t xml:space="preserve">Keck, Margaret E., and Kathryn Sikkink. 1998. </w:t>
      </w:r>
      <w:r w:rsidRPr="00C8644A">
        <w:rPr>
          <w:i/>
          <w:iCs/>
        </w:rPr>
        <w:t>Activists Beyond Borders: Advocacy Networks in International Politics</w:t>
      </w:r>
      <w:r w:rsidRPr="00C8644A">
        <w:t>. Ithaca: Cornell University Press.</w:t>
      </w:r>
      <w:bookmarkEnd w:id="151"/>
      <w:bookmarkEnd w:id="152"/>
    </w:p>
    <w:p w:rsidR="00DD20E7" w:rsidRPr="00C8644A" w:rsidRDefault="00DD20E7" w:rsidP="00DD20E7">
      <w:pPr>
        <w:pStyle w:val="GridTable21"/>
        <w:spacing w:before="240" w:after="240"/>
        <w:outlineLvl w:val="0"/>
      </w:pPr>
      <w:bookmarkStart w:id="153" w:name="_Toc450078805"/>
      <w:bookmarkStart w:id="154" w:name="_Toc450079155"/>
      <w:r w:rsidRPr="00C8644A">
        <w:t xml:space="preserve">Kerlin, Janelle A. 2006. “U.S.-Based International </w:t>
      </w:r>
      <w:r>
        <w:t>NGO</w:t>
      </w:r>
      <w:r w:rsidRPr="00C8644A">
        <w:t xml:space="preserve">s and Federal Government Foreign Assistance: Out of Alignment?” In </w:t>
      </w:r>
      <w:r w:rsidRPr="00C8644A">
        <w:rPr>
          <w:i/>
          <w:iCs/>
        </w:rPr>
        <w:t>Nonprofits &amp; Government: Collaboration &amp; Conflict</w:t>
      </w:r>
      <w:r w:rsidRPr="00C8644A">
        <w:t>, edited by Elizabeth T. Boris and C. Eugene Steuerie, 2nd ed., 373–98. Washington: The Urban Institute Press.</w:t>
      </w:r>
      <w:bookmarkEnd w:id="153"/>
      <w:bookmarkEnd w:id="154"/>
    </w:p>
    <w:p w:rsidR="00DD20E7" w:rsidRPr="00C8644A" w:rsidRDefault="00DD20E7" w:rsidP="00DD20E7">
      <w:pPr>
        <w:pStyle w:val="GridTable21"/>
        <w:spacing w:before="240" w:after="240"/>
        <w:outlineLvl w:val="0"/>
      </w:pPr>
      <w:bookmarkStart w:id="155" w:name="_Toc450078806"/>
      <w:bookmarkStart w:id="156" w:name="_Toc450079156"/>
      <w:r w:rsidRPr="00C8644A">
        <w:t xml:space="preserve">———. 2013. “Predicting Variation in Funding for International </w:t>
      </w:r>
      <w:r>
        <w:t>Nongovernmental</w:t>
      </w:r>
      <w:r w:rsidRPr="00C8644A">
        <w:t xml:space="preserve"> Organizations Following Three External Events.” </w:t>
      </w:r>
      <w:r w:rsidRPr="00C8644A">
        <w:rPr>
          <w:i/>
          <w:iCs/>
        </w:rPr>
        <w:t>Nonprofit Management and Leadership</w:t>
      </w:r>
      <w:r>
        <w:t xml:space="preserve"> 23 (4): 473–90</w:t>
      </w:r>
      <w:r w:rsidRPr="00C8644A">
        <w:t>.</w:t>
      </w:r>
      <w:bookmarkEnd w:id="155"/>
      <w:bookmarkEnd w:id="156"/>
    </w:p>
    <w:p w:rsidR="00DD20E7" w:rsidRPr="00C8644A" w:rsidRDefault="00DD20E7" w:rsidP="00DD20E7">
      <w:pPr>
        <w:pStyle w:val="GridTable21"/>
        <w:spacing w:before="240" w:after="240"/>
        <w:outlineLvl w:val="0"/>
      </w:pPr>
      <w:bookmarkStart w:id="157" w:name="_Toc450078807"/>
      <w:bookmarkStart w:id="158" w:name="_Toc450079157"/>
      <w:r w:rsidRPr="00C8644A">
        <w:t xml:space="preserve">Khilnani, Sunil. 2001. “The Development of Civil Society.” In </w:t>
      </w:r>
      <w:r w:rsidRPr="00C8644A">
        <w:rPr>
          <w:i/>
          <w:iCs/>
        </w:rPr>
        <w:t>Civil Society: History and Possibilities</w:t>
      </w:r>
      <w:r w:rsidRPr="00C8644A">
        <w:t>, edited by Sudipta Kaviraj and Sunil Khilnani, 11–32. Cambridge: Cambridge University Press.</w:t>
      </w:r>
      <w:bookmarkEnd w:id="157"/>
      <w:bookmarkEnd w:id="158"/>
    </w:p>
    <w:p w:rsidR="00DD20E7" w:rsidRPr="00C8644A" w:rsidRDefault="00DD20E7" w:rsidP="00DD20E7">
      <w:pPr>
        <w:pStyle w:val="GridTable21"/>
        <w:spacing w:before="240" w:after="240"/>
        <w:outlineLvl w:val="0"/>
      </w:pPr>
      <w:bookmarkStart w:id="159" w:name="_Toc450078808"/>
      <w:bookmarkStart w:id="160" w:name="_Toc450079158"/>
      <w:r w:rsidRPr="00C8644A">
        <w:t xml:space="preserve">Kirk, G., and S. Beth Nolan. 2010. “Nonprofit Mission Statement Focus and Financial Performance.” </w:t>
      </w:r>
      <w:r w:rsidRPr="00C8644A">
        <w:rPr>
          <w:i/>
          <w:iCs/>
        </w:rPr>
        <w:t>Nonprofit Management &amp; Leadership</w:t>
      </w:r>
      <w:r w:rsidRPr="00C8644A">
        <w:t xml:space="preserve"> 20 (4): 473–90.</w:t>
      </w:r>
      <w:bookmarkEnd w:id="159"/>
      <w:bookmarkEnd w:id="160"/>
    </w:p>
    <w:p w:rsidR="00DD20E7" w:rsidRPr="00C8644A" w:rsidRDefault="00DD20E7" w:rsidP="00DD20E7">
      <w:pPr>
        <w:pStyle w:val="GridTable21"/>
        <w:spacing w:before="240" w:after="240"/>
        <w:outlineLvl w:val="0"/>
      </w:pPr>
      <w:bookmarkStart w:id="161" w:name="_Toc450078809"/>
      <w:bookmarkStart w:id="162" w:name="_Toc450079159"/>
      <w:r w:rsidRPr="00C8644A">
        <w:t xml:space="preserve">Koch, Dirk-Jan, Axel Dreher, Peter Nunnenkamp, and Rainer Thiele. 2009. “Keeping a Low Profile: What Determines the Allocation of Aid by Non-Governmental Organizations?” </w:t>
      </w:r>
      <w:r w:rsidRPr="00C8644A">
        <w:rPr>
          <w:i/>
          <w:iCs/>
        </w:rPr>
        <w:t>World Development</w:t>
      </w:r>
      <w:r w:rsidRPr="00C8644A">
        <w:t xml:space="preserve"> 37 (5): 902–18.</w:t>
      </w:r>
      <w:bookmarkEnd w:id="161"/>
      <w:bookmarkEnd w:id="162"/>
    </w:p>
    <w:p w:rsidR="00DD20E7" w:rsidRPr="00C8644A" w:rsidRDefault="00DD20E7" w:rsidP="00DD20E7">
      <w:pPr>
        <w:pStyle w:val="GridTable21"/>
        <w:spacing w:before="240" w:after="240"/>
        <w:outlineLvl w:val="0"/>
      </w:pPr>
      <w:bookmarkStart w:id="163" w:name="_Toc450078810"/>
      <w:bookmarkStart w:id="164" w:name="_Toc450079160"/>
      <w:r w:rsidRPr="00C8644A">
        <w:t xml:space="preserve">Lecy, Jesse D., and David M. Van Slyke. 2012. “Nonprofit Sector Growth and Density: Testing Theories of Government Support.” </w:t>
      </w:r>
      <w:r w:rsidRPr="00C8644A">
        <w:rPr>
          <w:i/>
          <w:iCs/>
        </w:rPr>
        <w:t>Journal of Public Administration Research and Theory</w:t>
      </w:r>
      <w:r w:rsidRPr="00C8644A">
        <w:t xml:space="preserve"> 23: 189–214.</w:t>
      </w:r>
      <w:bookmarkEnd w:id="163"/>
      <w:bookmarkEnd w:id="164"/>
      <w:r w:rsidRPr="00C8644A">
        <w:t xml:space="preserve"> </w:t>
      </w:r>
    </w:p>
    <w:p w:rsidR="00DD20E7" w:rsidRPr="00C8644A" w:rsidRDefault="00DD20E7" w:rsidP="00DD20E7">
      <w:pPr>
        <w:pStyle w:val="GridTable21"/>
        <w:spacing w:before="240" w:after="240"/>
        <w:outlineLvl w:val="0"/>
      </w:pPr>
      <w:bookmarkStart w:id="165" w:name="_Toc450078811"/>
      <w:bookmarkStart w:id="166" w:name="_Toc450079161"/>
      <w:r w:rsidRPr="00C8644A">
        <w:t xml:space="preserve">Leonard, David K., and Scott Straus. 2003. </w:t>
      </w:r>
      <w:r w:rsidRPr="00C8644A">
        <w:rPr>
          <w:i/>
          <w:iCs/>
        </w:rPr>
        <w:t>Africa’s Stalled Development: International Causes and Cures</w:t>
      </w:r>
      <w:r w:rsidRPr="00C8644A">
        <w:t>. Boulder: Lynne Rienner Publishers.</w:t>
      </w:r>
      <w:bookmarkEnd w:id="165"/>
      <w:bookmarkEnd w:id="166"/>
    </w:p>
    <w:p w:rsidR="00DD20E7" w:rsidRPr="00C8644A" w:rsidRDefault="00DD20E7" w:rsidP="00DD20E7">
      <w:pPr>
        <w:pStyle w:val="GridTable21"/>
        <w:spacing w:before="240" w:after="240"/>
        <w:outlineLvl w:val="0"/>
      </w:pPr>
      <w:bookmarkStart w:id="167" w:name="_Toc450078812"/>
      <w:bookmarkStart w:id="168" w:name="_Toc450079162"/>
      <w:r w:rsidRPr="00C8644A">
        <w:t xml:space="preserve">LeRoux, Kelly, and N.S. Wright. 2010. “Findings from a National Survey of Nonprofit Social Service Agencies, Does Performance Measurement Improve Strategic Decision Making?” </w:t>
      </w:r>
      <w:r w:rsidRPr="00C8644A">
        <w:rPr>
          <w:i/>
          <w:iCs/>
        </w:rPr>
        <w:t>Nonprofit and Voluntary Sector Quarterly</w:t>
      </w:r>
      <w:r w:rsidRPr="00C8644A">
        <w:t xml:space="preserve"> 39 (4): 571–87.</w:t>
      </w:r>
      <w:bookmarkEnd w:id="167"/>
      <w:bookmarkEnd w:id="168"/>
    </w:p>
    <w:p w:rsidR="00DD20E7" w:rsidRPr="00C8644A" w:rsidRDefault="00DD20E7" w:rsidP="00DD20E7">
      <w:pPr>
        <w:pStyle w:val="GridTable21"/>
        <w:spacing w:before="240" w:after="240"/>
        <w:outlineLvl w:val="0"/>
      </w:pPr>
      <w:bookmarkStart w:id="169" w:name="_Toc450078813"/>
      <w:bookmarkStart w:id="170" w:name="_Toc450079163"/>
      <w:r w:rsidRPr="00C8644A">
        <w:t xml:space="preserve">Lewis, David. 2002. “Civil Society in African Contexts: Reflections on the ‘Usefulness’ of a Concept.” </w:t>
      </w:r>
      <w:r w:rsidRPr="00C8644A">
        <w:rPr>
          <w:i/>
          <w:iCs/>
        </w:rPr>
        <w:t>Development and Change</w:t>
      </w:r>
      <w:r w:rsidRPr="00C8644A">
        <w:t xml:space="preserve"> 33 (4): 569–86.</w:t>
      </w:r>
      <w:bookmarkEnd w:id="169"/>
      <w:bookmarkEnd w:id="170"/>
    </w:p>
    <w:p w:rsidR="00DD20E7" w:rsidRPr="00C8644A" w:rsidRDefault="00DD20E7" w:rsidP="00DD20E7">
      <w:pPr>
        <w:pStyle w:val="GridTable21"/>
        <w:spacing w:before="240" w:after="240"/>
        <w:outlineLvl w:val="0"/>
      </w:pPr>
      <w:bookmarkStart w:id="171" w:name="_Toc450078814"/>
      <w:bookmarkStart w:id="172" w:name="_Toc450079164"/>
      <w:r w:rsidRPr="00C8644A">
        <w:t xml:space="preserve">Lieberman, Evan S. 2009. </w:t>
      </w:r>
      <w:r w:rsidRPr="00C8644A">
        <w:rPr>
          <w:i/>
          <w:iCs/>
        </w:rPr>
        <w:t>Boundaries of Contagion: How Ethnic Politics Have Shaped Government Responses to AIDS</w:t>
      </w:r>
      <w:r w:rsidRPr="00C8644A">
        <w:t>. Princeton: Princeton University Press.</w:t>
      </w:r>
      <w:bookmarkEnd w:id="171"/>
      <w:bookmarkEnd w:id="172"/>
    </w:p>
    <w:p w:rsidR="00DD20E7" w:rsidRPr="00C8644A" w:rsidRDefault="00DD20E7" w:rsidP="00DD20E7">
      <w:pPr>
        <w:pStyle w:val="GridTable21"/>
        <w:spacing w:before="240" w:after="240"/>
        <w:outlineLvl w:val="0"/>
      </w:pPr>
      <w:bookmarkStart w:id="173" w:name="_Toc450078815"/>
      <w:bookmarkStart w:id="174" w:name="_Toc450079165"/>
      <w:r w:rsidRPr="00C8644A">
        <w:t xml:space="preserve">Lindblom, Charles E. 1959. “The Science of ‘Muddling Through.’” </w:t>
      </w:r>
      <w:r w:rsidRPr="00C8644A">
        <w:rPr>
          <w:i/>
          <w:iCs/>
        </w:rPr>
        <w:t>Public Administration Review</w:t>
      </w:r>
      <w:r w:rsidRPr="00C8644A">
        <w:t xml:space="preserve"> 19 (2): 79–88.</w:t>
      </w:r>
      <w:bookmarkEnd w:id="173"/>
      <w:bookmarkEnd w:id="174"/>
    </w:p>
    <w:p w:rsidR="00DD20E7" w:rsidRPr="00C8644A" w:rsidRDefault="00DD20E7" w:rsidP="00DD20E7">
      <w:pPr>
        <w:pStyle w:val="GridTable21"/>
        <w:spacing w:before="240" w:after="240"/>
        <w:outlineLvl w:val="0"/>
      </w:pPr>
      <w:bookmarkStart w:id="175" w:name="_Toc450078816"/>
      <w:bookmarkStart w:id="176" w:name="_Toc450079166"/>
      <w:r w:rsidRPr="00C8644A">
        <w:t xml:space="preserve">Lindenberg, Marc, and J. Patrick Dobel. 1999. “The Challenges of Globalization for Northern International Relief and Development </w:t>
      </w:r>
      <w:r>
        <w:t>NGO</w:t>
      </w:r>
      <w:r w:rsidRPr="00C8644A">
        <w:t xml:space="preserve">s.” </w:t>
      </w:r>
      <w:r w:rsidRPr="00C8644A">
        <w:rPr>
          <w:i/>
          <w:iCs/>
        </w:rPr>
        <w:t>Nonprofit and Voluntary Sector Quarterly</w:t>
      </w:r>
      <w:r w:rsidRPr="00C8644A">
        <w:t xml:space="preserve"> 28 (4): 4–24.</w:t>
      </w:r>
      <w:bookmarkEnd w:id="175"/>
      <w:bookmarkEnd w:id="176"/>
    </w:p>
    <w:p w:rsidR="00DD20E7" w:rsidRPr="00C8644A" w:rsidRDefault="00DD20E7" w:rsidP="00DD20E7">
      <w:pPr>
        <w:pStyle w:val="GridTable21"/>
        <w:spacing w:before="240" w:after="240"/>
        <w:outlineLvl w:val="0"/>
      </w:pPr>
      <w:bookmarkStart w:id="177" w:name="_Toc450078817"/>
      <w:bookmarkStart w:id="178" w:name="_Toc450079167"/>
      <w:r w:rsidRPr="00C8644A">
        <w:t xml:space="preserve">Lipsky, Michael. 1980. </w:t>
      </w:r>
      <w:r w:rsidRPr="00C8644A">
        <w:rPr>
          <w:i/>
          <w:iCs/>
        </w:rPr>
        <w:t>Street-Level Bureaucracy: Dilemmas of the Individual in Public Services</w:t>
      </w:r>
      <w:r w:rsidRPr="00C8644A">
        <w:t>. New York: Russell Sage Foundation.</w:t>
      </w:r>
      <w:bookmarkEnd w:id="177"/>
      <w:bookmarkEnd w:id="178"/>
    </w:p>
    <w:p w:rsidR="00DD20E7" w:rsidRPr="00C8644A" w:rsidRDefault="00DD20E7" w:rsidP="00DD20E7">
      <w:pPr>
        <w:pStyle w:val="GridTable21"/>
        <w:spacing w:before="240" w:after="240"/>
        <w:outlineLvl w:val="0"/>
      </w:pPr>
      <w:bookmarkStart w:id="179" w:name="_Toc450078818"/>
      <w:bookmarkStart w:id="180" w:name="_Toc450079168"/>
      <w:r w:rsidRPr="00C8644A">
        <w:t>Lussier, Danielle N., and M. Steven Fish. 2012. “Indonesia: The Benefits of Civic Engagement.”</w:t>
      </w:r>
      <w:bookmarkEnd w:id="179"/>
      <w:bookmarkEnd w:id="180"/>
    </w:p>
    <w:p w:rsidR="00DD20E7" w:rsidRPr="00C8644A" w:rsidRDefault="00DD20E7" w:rsidP="00DD20E7">
      <w:pPr>
        <w:pStyle w:val="GridTable21"/>
        <w:spacing w:before="240" w:after="240"/>
        <w:outlineLvl w:val="0"/>
      </w:pPr>
      <w:bookmarkStart w:id="181" w:name="_Toc450078819"/>
      <w:bookmarkStart w:id="182" w:name="_Toc450079169"/>
      <w:r w:rsidRPr="00C8644A">
        <w:t xml:space="preserve">Lynn, Laurence E. Jr., Carolyn J. Heinrich, and Carolyn J. Hill. 2001. “A Logic for Governance Research.” In </w:t>
      </w:r>
      <w:r>
        <w:rPr>
          <w:i/>
          <w:iCs/>
        </w:rPr>
        <w:t xml:space="preserve">Improving Governance: </w:t>
      </w:r>
      <w:r w:rsidRPr="00C8644A">
        <w:rPr>
          <w:i/>
          <w:iCs/>
        </w:rPr>
        <w:t>A New Logic for Empirical Research</w:t>
      </w:r>
      <w:r w:rsidRPr="00C8644A">
        <w:t>. Washington: Georgetown University Press.</w:t>
      </w:r>
      <w:bookmarkEnd w:id="181"/>
      <w:bookmarkEnd w:id="182"/>
    </w:p>
    <w:p w:rsidR="00DD20E7" w:rsidRPr="00C8644A" w:rsidRDefault="00DD20E7" w:rsidP="00DD20E7">
      <w:pPr>
        <w:pStyle w:val="GridTable21"/>
        <w:spacing w:before="240" w:after="240"/>
        <w:outlineLvl w:val="0"/>
      </w:pPr>
      <w:bookmarkStart w:id="183" w:name="_Toc450078820"/>
      <w:bookmarkStart w:id="184" w:name="_Toc450079170"/>
      <w:r w:rsidRPr="00C8644A">
        <w:t>Marcussen, Henrik Secher. 1996. “</w:t>
      </w:r>
      <w:r>
        <w:t>NGO</w:t>
      </w:r>
      <w:r w:rsidRPr="00C8644A">
        <w:t xml:space="preserve">s, the State and Civil Society.” </w:t>
      </w:r>
      <w:r w:rsidRPr="00C8644A">
        <w:rPr>
          <w:i/>
          <w:iCs/>
        </w:rPr>
        <w:t>Review of African Political Economy</w:t>
      </w:r>
      <w:r w:rsidRPr="00C8644A">
        <w:t xml:space="preserve"> 23 (69): 405–23.</w:t>
      </w:r>
      <w:bookmarkEnd w:id="183"/>
      <w:bookmarkEnd w:id="184"/>
    </w:p>
    <w:p w:rsidR="00DD20E7" w:rsidRPr="00C8644A" w:rsidRDefault="00DD20E7" w:rsidP="00DD20E7">
      <w:pPr>
        <w:pStyle w:val="GridTable21"/>
        <w:spacing w:before="240" w:after="240"/>
        <w:outlineLvl w:val="0"/>
      </w:pPr>
      <w:bookmarkStart w:id="185" w:name="_Toc450078821"/>
      <w:bookmarkStart w:id="186" w:name="_Toc450079171"/>
      <w:r w:rsidRPr="00C8644A">
        <w:t xml:space="preserve">Markham, William T., Margaret A. Johnson, and Charles M. Bonjean. 1999. “Nonprofit Decision Making and Resource Allocation: The Importance of Membership Preferences, Community Needs, and Interorganizational Ties.” </w:t>
      </w:r>
      <w:r w:rsidRPr="00C8644A">
        <w:rPr>
          <w:i/>
          <w:iCs/>
        </w:rPr>
        <w:t>Nonprofit and Voluntary Sector Quarterly</w:t>
      </w:r>
      <w:r w:rsidRPr="00C8644A">
        <w:t xml:space="preserve"> 28 (2): 152–84.</w:t>
      </w:r>
      <w:bookmarkEnd w:id="185"/>
      <w:bookmarkEnd w:id="186"/>
    </w:p>
    <w:p w:rsidR="00DD20E7" w:rsidRPr="00C8644A" w:rsidRDefault="00DD20E7" w:rsidP="00DD20E7">
      <w:pPr>
        <w:pStyle w:val="GridTable21"/>
        <w:spacing w:before="240" w:after="240"/>
        <w:outlineLvl w:val="0"/>
      </w:pPr>
      <w:bookmarkStart w:id="187" w:name="_Toc450078822"/>
      <w:bookmarkStart w:id="188" w:name="_Toc450079172"/>
      <w:r w:rsidRPr="00C8644A">
        <w:t xml:space="preserve">McDougle, Lindsey. 2015. “The Accuracy of the Core Files for Studying Nonprofit Location: How Many Nonprofits Are There?” </w:t>
      </w:r>
      <w:r w:rsidRPr="00C8644A">
        <w:rPr>
          <w:i/>
          <w:iCs/>
        </w:rPr>
        <w:t>Nonprofit and Voluntary Sector Quarterly</w:t>
      </w:r>
      <w:r w:rsidRPr="00C8644A">
        <w:t xml:space="preserve"> 44 (3).</w:t>
      </w:r>
      <w:bookmarkEnd w:id="187"/>
      <w:bookmarkEnd w:id="188"/>
    </w:p>
    <w:p w:rsidR="00DD20E7" w:rsidRPr="00C8644A" w:rsidRDefault="00DD20E7" w:rsidP="00DD20E7">
      <w:pPr>
        <w:pStyle w:val="GridTable21"/>
        <w:spacing w:before="240" w:after="240"/>
        <w:outlineLvl w:val="0"/>
      </w:pPr>
      <w:bookmarkStart w:id="189" w:name="_Toc450078823"/>
      <w:bookmarkStart w:id="190" w:name="_Toc450079173"/>
      <w:r w:rsidRPr="00C8644A">
        <w:t xml:space="preserve">McKeever, Brice S., and Sarah L. Pettijohn. 2014. “The Nonprofit Sector in Brief 2014.” </w:t>
      </w:r>
      <w:r w:rsidRPr="00C8644A">
        <w:rPr>
          <w:i/>
          <w:iCs/>
        </w:rPr>
        <w:t>Washington, DC: Urban Institute</w:t>
      </w:r>
      <w:r w:rsidRPr="00C8644A">
        <w:t>. http://www.urban.org/sites/default/files/alfresco/publication-pdfs/413277-The-Nonprofit-Sector-in-Brief--.PDF?RSSFeed=UI_CenteronNonprofitsandPhilanthropy.xml.</w:t>
      </w:r>
      <w:bookmarkEnd w:id="189"/>
      <w:bookmarkEnd w:id="190"/>
    </w:p>
    <w:p w:rsidR="00DD20E7" w:rsidRPr="00C8644A" w:rsidRDefault="00DD20E7" w:rsidP="00DD20E7">
      <w:pPr>
        <w:pStyle w:val="GridTable21"/>
        <w:spacing w:before="240" w:after="240"/>
        <w:outlineLvl w:val="0"/>
      </w:pPr>
      <w:bookmarkStart w:id="191" w:name="_Toc450078824"/>
      <w:bookmarkStart w:id="192" w:name="_Toc450079174"/>
      <w:r w:rsidRPr="00C8644A">
        <w:t>Mercer, Claire. 2002. “</w:t>
      </w:r>
      <w:r>
        <w:t>NGO</w:t>
      </w:r>
      <w:r w:rsidRPr="00C8644A">
        <w:t xml:space="preserve">s, Civil Society and Democratization: A Critical Review of the Literature.” </w:t>
      </w:r>
      <w:r w:rsidRPr="00C8644A">
        <w:rPr>
          <w:i/>
          <w:iCs/>
        </w:rPr>
        <w:t>Progress in Development Studies</w:t>
      </w:r>
      <w:r w:rsidRPr="00C8644A">
        <w:t xml:space="preserve"> 2 (1): 5–22.</w:t>
      </w:r>
      <w:bookmarkEnd w:id="191"/>
      <w:bookmarkEnd w:id="192"/>
    </w:p>
    <w:p w:rsidR="00DD20E7" w:rsidRPr="00C8644A" w:rsidRDefault="00DD20E7" w:rsidP="00DD20E7">
      <w:pPr>
        <w:pStyle w:val="GridTable21"/>
        <w:spacing w:before="240" w:after="240"/>
        <w:outlineLvl w:val="0"/>
      </w:pPr>
      <w:bookmarkStart w:id="193" w:name="_Toc450078825"/>
      <w:bookmarkStart w:id="194" w:name="_Toc450079175"/>
      <w:r w:rsidRPr="00C8644A">
        <w:t xml:space="preserve">Mitchell, George E. 2012. “The Construct of Organizational Effectiveness: Perspectives From Leaders of International Nonprofits in the United States.” </w:t>
      </w:r>
      <w:r w:rsidRPr="00C8644A">
        <w:rPr>
          <w:i/>
          <w:iCs/>
        </w:rPr>
        <w:t>Nonprofit and Voluntary Sector Quarterly</w:t>
      </w:r>
      <w:r w:rsidRPr="00C8644A">
        <w:t xml:space="preserve"> 42 (2): 324–45.</w:t>
      </w:r>
      <w:bookmarkEnd w:id="193"/>
      <w:bookmarkEnd w:id="194"/>
    </w:p>
    <w:p w:rsidR="00DD20E7" w:rsidRPr="00C8644A" w:rsidRDefault="00DD20E7" w:rsidP="00DD20E7">
      <w:pPr>
        <w:pStyle w:val="GridTable21"/>
        <w:spacing w:before="240" w:after="240"/>
        <w:outlineLvl w:val="0"/>
      </w:pPr>
      <w:bookmarkStart w:id="195" w:name="_Toc450078826"/>
      <w:bookmarkStart w:id="196" w:name="_Toc450079176"/>
      <w:r w:rsidRPr="00C8644A">
        <w:t xml:space="preserve">———. 2013. “Collaborative Propensities Among Transnational </w:t>
      </w:r>
      <w:r>
        <w:t>NGO</w:t>
      </w:r>
      <w:r w:rsidRPr="00C8644A">
        <w:t xml:space="preserve">s Registered in the United States.” </w:t>
      </w:r>
      <w:r w:rsidRPr="00C8644A">
        <w:rPr>
          <w:i/>
          <w:iCs/>
        </w:rPr>
        <w:t>American Review of Public Administration</w:t>
      </w:r>
      <w:r w:rsidRPr="00C8644A">
        <w:t xml:space="preserve"> XX (X): 1–25.</w:t>
      </w:r>
      <w:bookmarkEnd w:id="195"/>
      <w:bookmarkEnd w:id="196"/>
    </w:p>
    <w:p w:rsidR="00DD20E7" w:rsidRPr="00C8644A" w:rsidRDefault="00DD20E7" w:rsidP="00DD20E7">
      <w:pPr>
        <w:pStyle w:val="GridTable21"/>
        <w:spacing w:before="240" w:after="240"/>
        <w:outlineLvl w:val="0"/>
      </w:pPr>
      <w:bookmarkStart w:id="197" w:name="_Toc450078827"/>
      <w:bookmarkStart w:id="198" w:name="_Toc450079177"/>
      <w:r w:rsidRPr="00C8644A">
        <w:t xml:space="preserve">Mitlin, Diana, Sam Hickey, and Anthony Bebbington. 2007. “Reclaiming Development? </w:t>
      </w:r>
      <w:r>
        <w:t>NGO</w:t>
      </w:r>
      <w:r w:rsidRPr="00C8644A">
        <w:t xml:space="preserve">s and the Challenge of Alternatives.” </w:t>
      </w:r>
      <w:r w:rsidRPr="00C8644A">
        <w:rPr>
          <w:i/>
          <w:iCs/>
        </w:rPr>
        <w:t>World Development</w:t>
      </w:r>
      <w:r w:rsidRPr="00C8644A">
        <w:t xml:space="preserve"> 35 (10): 1699–1720.</w:t>
      </w:r>
      <w:bookmarkEnd w:id="197"/>
      <w:bookmarkEnd w:id="198"/>
    </w:p>
    <w:p w:rsidR="00DD20E7" w:rsidRPr="00C8644A" w:rsidRDefault="00DD20E7" w:rsidP="00DD20E7">
      <w:pPr>
        <w:pStyle w:val="GridTable21"/>
        <w:spacing w:before="240" w:after="240"/>
        <w:outlineLvl w:val="0"/>
      </w:pPr>
      <w:bookmarkStart w:id="199" w:name="_Toc450078828"/>
      <w:bookmarkStart w:id="200" w:name="_Toc450079178"/>
      <w:r w:rsidRPr="00C8644A">
        <w:t xml:space="preserve">Moe, Terry M. 1984. “The New Economics of Organization.” </w:t>
      </w:r>
      <w:r w:rsidRPr="00C8644A">
        <w:rPr>
          <w:i/>
          <w:iCs/>
        </w:rPr>
        <w:t>American Journal of Political Science</w:t>
      </w:r>
      <w:r w:rsidRPr="00C8644A">
        <w:t xml:space="preserve"> 28 (4): 739–77.</w:t>
      </w:r>
      <w:bookmarkEnd w:id="199"/>
      <w:bookmarkEnd w:id="200"/>
    </w:p>
    <w:p w:rsidR="00DD20E7" w:rsidRDefault="00DD20E7" w:rsidP="00DD20E7">
      <w:pPr>
        <w:pStyle w:val="GridTable21"/>
        <w:spacing w:before="240" w:after="240"/>
        <w:outlineLvl w:val="0"/>
      </w:pPr>
      <w:bookmarkStart w:id="201" w:name="_Toc450078829"/>
      <w:bookmarkStart w:id="202" w:name="_Toc450079179"/>
      <w:r w:rsidRPr="00C8644A">
        <w:t xml:space="preserve">Mosley, Jennifer E. 2012. “Keeping the Lights On: How Government Funding Concerns Drive the Advocacy Agendas of Nonprofit Homeless Providers.” </w:t>
      </w:r>
      <w:r w:rsidRPr="00C8644A">
        <w:rPr>
          <w:i/>
          <w:iCs/>
        </w:rPr>
        <w:t>Journal of Public Administration Research and Theory</w:t>
      </w:r>
      <w:r w:rsidRPr="00C8644A">
        <w:t xml:space="preserve"> 22: 841–66.</w:t>
      </w:r>
      <w:bookmarkEnd w:id="201"/>
      <w:bookmarkEnd w:id="202"/>
      <w:r w:rsidRPr="00C8644A">
        <w:t xml:space="preserve"> </w:t>
      </w:r>
    </w:p>
    <w:p w:rsidR="00DD20E7" w:rsidRPr="00C8644A" w:rsidRDefault="00DD20E7" w:rsidP="00DD20E7">
      <w:pPr>
        <w:pStyle w:val="GridTable21"/>
        <w:spacing w:before="240" w:after="240"/>
        <w:outlineLvl w:val="0"/>
      </w:pPr>
      <w:bookmarkStart w:id="203" w:name="_Toc450078830"/>
      <w:bookmarkStart w:id="204" w:name="_Toc450079180"/>
      <w:r w:rsidRPr="00C8644A">
        <w:t xml:space="preserve">Moyo, Dambisa. 2009. </w:t>
      </w:r>
      <w:r w:rsidRPr="00C8644A">
        <w:rPr>
          <w:i/>
          <w:iCs/>
        </w:rPr>
        <w:t>Dead Aid: Why Aid Is Not Working And How There Is Better Way For Africa</w:t>
      </w:r>
      <w:r w:rsidRPr="00C8644A">
        <w:t>. New York: Farrar, Straus and Giroux.</w:t>
      </w:r>
      <w:bookmarkEnd w:id="203"/>
      <w:bookmarkEnd w:id="204"/>
    </w:p>
    <w:p w:rsidR="00DD20E7" w:rsidRPr="00C8644A" w:rsidRDefault="00DD20E7" w:rsidP="00DD20E7">
      <w:pPr>
        <w:pStyle w:val="GridTable21"/>
        <w:spacing w:before="240" w:after="240"/>
        <w:outlineLvl w:val="0"/>
      </w:pPr>
      <w:bookmarkStart w:id="205" w:name="_Toc450078831"/>
      <w:bookmarkStart w:id="206" w:name="_Toc450079181"/>
      <w:r w:rsidRPr="00C8644A">
        <w:t xml:space="preserve">North, Douglass C. 1990. </w:t>
      </w:r>
      <w:r w:rsidRPr="00C8644A">
        <w:rPr>
          <w:i/>
          <w:iCs/>
        </w:rPr>
        <w:t>Institutions, Institutional Change and Economic Performance</w:t>
      </w:r>
      <w:r w:rsidRPr="00C8644A">
        <w:t>. Cambridge: Cambridge University Press.</w:t>
      </w:r>
      <w:bookmarkEnd w:id="205"/>
      <w:bookmarkEnd w:id="206"/>
    </w:p>
    <w:p w:rsidR="00DD20E7" w:rsidRPr="00C8644A" w:rsidRDefault="00DD20E7" w:rsidP="00DD20E7">
      <w:pPr>
        <w:pStyle w:val="GridTable21"/>
        <w:spacing w:before="240" w:after="240"/>
        <w:outlineLvl w:val="0"/>
      </w:pPr>
      <w:bookmarkStart w:id="207" w:name="_Toc450078832"/>
      <w:bookmarkStart w:id="208" w:name="_Toc450079182"/>
      <w:r w:rsidRPr="00C8644A">
        <w:t xml:space="preserve">Nunnenkamp, Peter, Janina Weingarth, and Johannes Weisser. 2009. “Is </w:t>
      </w:r>
      <w:r>
        <w:t>NGO</w:t>
      </w:r>
      <w:r w:rsidRPr="00C8644A">
        <w:t xml:space="preserve"> Aid Not so Different after All? Comparing the Allocation of Swiss Aid by Private and Official Donors.” </w:t>
      </w:r>
      <w:r w:rsidRPr="00C8644A">
        <w:rPr>
          <w:i/>
          <w:iCs/>
        </w:rPr>
        <w:t>European Journal of Political Economy</w:t>
      </w:r>
      <w:r w:rsidRPr="00C8644A">
        <w:t xml:space="preserve"> 25: 422–38.</w:t>
      </w:r>
      <w:bookmarkEnd w:id="207"/>
      <w:bookmarkEnd w:id="208"/>
    </w:p>
    <w:p w:rsidR="00DD20E7" w:rsidRPr="00C8644A" w:rsidRDefault="00DD20E7" w:rsidP="00DD20E7">
      <w:pPr>
        <w:pStyle w:val="GridTable21"/>
        <w:spacing w:before="240" w:after="240"/>
        <w:outlineLvl w:val="0"/>
      </w:pPr>
      <w:bookmarkStart w:id="209" w:name="_Toc450078833"/>
      <w:bookmarkStart w:id="210" w:name="_Toc450079183"/>
      <w:r w:rsidRPr="00C8644A">
        <w:t xml:space="preserve">Nutt, P. C. 2005. “Comparing Public and Private Sector Decision-Making Practices.” </w:t>
      </w:r>
      <w:r w:rsidRPr="00C8644A">
        <w:rPr>
          <w:i/>
          <w:iCs/>
        </w:rPr>
        <w:t>Journal of Public Administration Research and Theory</w:t>
      </w:r>
      <w:r w:rsidRPr="00C8644A">
        <w:t xml:space="preserve"> 16 (2): 289–318. doi:10.1093/jopart/mui041.</w:t>
      </w:r>
      <w:bookmarkEnd w:id="209"/>
      <w:bookmarkEnd w:id="210"/>
    </w:p>
    <w:p w:rsidR="00DD20E7" w:rsidRPr="00C8644A" w:rsidRDefault="00DD20E7" w:rsidP="00DD20E7">
      <w:pPr>
        <w:pStyle w:val="GridTable21"/>
        <w:spacing w:before="240" w:after="240"/>
        <w:outlineLvl w:val="0"/>
      </w:pPr>
      <w:bookmarkStart w:id="211" w:name="_Toc450078834"/>
      <w:bookmarkStart w:id="212" w:name="_Toc450079184"/>
      <w:r w:rsidRPr="00C8644A">
        <w:t xml:space="preserve">Nye, J.S. 2008. “Public Diplomacy and Soft Power.” </w:t>
      </w:r>
      <w:r w:rsidRPr="00C8644A">
        <w:rPr>
          <w:i/>
          <w:iCs/>
        </w:rPr>
        <w:t>The Annals of the American Academy of Political and Social Science</w:t>
      </w:r>
      <w:r w:rsidRPr="00C8644A">
        <w:t xml:space="preserve"> 616 (1): 94–109.</w:t>
      </w:r>
      <w:bookmarkEnd w:id="211"/>
      <w:bookmarkEnd w:id="212"/>
    </w:p>
    <w:p w:rsidR="00DD20E7" w:rsidRPr="00C8644A" w:rsidRDefault="00DD20E7" w:rsidP="00DD20E7">
      <w:pPr>
        <w:pStyle w:val="GridTable21"/>
        <w:spacing w:before="240" w:after="240"/>
        <w:outlineLvl w:val="0"/>
      </w:pPr>
      <w:bookmarkStart w:id="213" w:name="_Toc450078835"/>
      <w:bookmarkStart w:id="214" w:name="_Toc450079185"/>
      <w:r w:rsidRPr="00C8644A">
        <w:t xml:space="preserve">Obadare, Ebenezer. 2011. “Civil Society in Sub-Saharan Africa.” In </w:t>
      </w:r>
      <w:r w:rsidRPr="00C8644A">
        <w:rPr>
          <w:i/>
          <w:iCs/>
        </w:rPr>
        <w:t>The Oxford Handbook of Civil Society</w:t>
      </w:r>
      <w:r w:rsidRPr="00C8644A">
        <w:t>, edited by Michael Edwards, 183–219. Oxford: Oxford University Press.</w:t>
      </w:r>
      <w:bookmarkEnd w:id="213"/>
      <w:bookmarkEnd w:id="214"/>
    </w:p>
    <w:p w:rsidR="00DD20E7" w:rsidRPr="00C8644A" w:rsidRDefault="00DD20E7" w:rsidP="00DD20E7">
      <w:pPr>
        <w:pStyle w:val="GridTable21"/>
        <w:spacing w:before="240" w:after="240"/>
        <w:outlineLvl w:val="0"/>
      </w:pPr>
      <w:bookmarkStart w:id="215" w:name="_Toc450078836"/>
      <w:bookmarkStart w:id="216" w:name="_Toc450079186"/>
      <w:r w:rsidRPr="00C8644A">
        <w:t xml:space="preserve">Okuku, Juma Anthony. 2002. “Civil Society and Democratisation Processes in Kenya and Uganda: A Comparative Analysis of the Contribution of the Church and </w:t>
      </w:r>
      <w:r>
        <w:t>NGO</w:t>
      </w:r>
      <w:r w:rsidRPr="00C8644A">
        <w:t xml:space="preserve">s.” </w:t>
      </w:r>
      <w:r w:rsidRPr="00C8644A">
        <w:rPr>
          <w:i/>
          <w:iCs/>
        </w:rPr>
        <w:t>African Journal of Political Science</w:t>
      </w:r>
      <w:r w:rsidRPr="00C8644A">
        <w:t xml:space="preserve"> 7 (2): 81–97.</w:t>
      </w:r>
      <w:bookmarkEnd w:id="215"/>
      <w:bookmarkEnd w:id="216"/>
    </w:p>
    <w:p w:rsidR="00DD20E7" w:rsidRPr="00C8644A" w:rsidRDefault="00DD20E7" w:rsidP="00DD20E7">
      <w:pPr>
        <w:pStyle w:val="GridTable21"/>
        <w:spacing w:before="240" w:after="240"/>
        <w:outlineLvl w:val="0"/>
      </w:pPr>
      <w:bookmarkStart w:id="217" w:name="_Toc450078837"/>
      <w:bookmarkStart w:id="218" w:name="_Toc450079187"/>
      <w:r w:rsidRPr="00C8644A">
        <w:t xml:space="preserve">Olzak, Susan. 2011. “Does Globalization Breed Ethnic Discontent?” </w:t>
      </w:r>
      <w:r w:rsidRPr="00C8644A">
        <w:rPr>
          <w:i/>
          <w:iCs/>
        </w:rPr>
        <w:t>Journal of Conflict Resolution</w:t>
      </w:r>
      <w:r w:rsidRPr="00C8644A">
        <w:t xml:space="preserve"> 55 (3): 3–32.</w:t>
      </w:r>
      <w:bookmarkEnd w:id="217"/>
      <w:bookmarkEnd w:id="218"/>
    </w:p>
    <w:p w:rsidR="00DD20E7" w:rsidRPr="00C8644A" w:rsidRDefault="00DD20E7" w:rsidP="00DD20E7">
      <w:pPr>
        <w:pStyle w:val="GridTable21"/>
        <w:spacing w:before="240" w:after="240"/>
        <w:outlineLvl w:val="0"/>
      </w:pPr>
      <w:bookmarkStart w:id="219" w:name="_Toc450078838"/>
      <w:bookmarkStart w:id="220" w:name="_Toc450079188"/>
      <w:r w:rsidRPr="00C8644A">
        <w:t xml:space="preserve">Ostrom, Elinor. 1990. </w:t>
      </w:r>
      <w:r w:rsidRPr="00C8644A">
        <w:rPr>
          <w:i/>
          <w:iCs/>
        </w:rPr>
        <w:t>Governing the Commons: The Evolution of Institutions for Collective Action</w:t>
      </w:r>
      <w:r w:rsidRPr="00C8644A">
        <w:t>. Cambridge: Cambridge University Press.</w:t>
      </w:r>
      <w:bookmarkEnd w:id="219"/>
      <w:bookmarkEnd w:id="220"/>
    </w:p>
    <w:p w:rsidR="00DD20E7" w:rsidRPr="00C8644A" w:rsidRDefault="00DD20E7" w:rsidP="00DD20E7">
      <w:pPr>
        <w:pStyle w:val="GridTable21"/>
        <w:spacing w:before="240" w:after="240"/>
        <w:outlineLvl w:val="0"/>
      </w:pPr>
      <w:bookmarkStart w:id="221" w:name="_Toc450078839"/>
      <w:bookmarkStart w:id="222" w:name="_Toc450079189"/>
      <w:r w:rsidRPr="00C8644A">
        <w:t xml:space="preserve">Pfeffer, Jeffrey, and Gerald R. Salancik. 2003. </w:t>
      </w:r>
      <w:r w:rsidRPr="00C8644A">
        <w:rPr>
          <w:i/>
          <w:iCs/>
        </w:rPr>
        <w:t>The External Control of Organizations</w:t>
      </w:r>
      <w:r w:rsidRPr="00C8644A">
        <w:t>. Stanford: Stanford University Press.</w:t>
      </w:r>
      <w:bookmarkEnd w:id="221"/>
      <w:bookmarkEnd w:id="222"/>
    </w:p>
    <w:p w:rsidR="00DD20E7" w:rsidRPr="00C8644A" w:rsidRDefault="00DD20E7" w:rsidP="00DD20E7">
      <w:pPr>
        <w:pStyle w:val="GridTable21"/>
        <w:spacing w:before="240" w:after="240"/>
        <w:outlineLvl w:val="0"/>
      </w:pPr>
      <w:bookmarkStart w:id="223" w:name="_Toc450078840"/>
      <w:bookmarkStart w:id="224" w:name="_Toc450079190"/>
      <w:r w:rsidRPr="00C8644A">
        <w:t xml:space="preserve">Przeworski, Adam. 2000. “Economic Development and Political Regimes.” In </w:t>
      </w:r>
      <w:r w:rsidRPr="00C8644A">
        <w:rPr>
          <w:i/>
          <w:iCs/>
        </w:rPr>
        <w:t>Development and Democracy</w:t>
      </w:r>
      <w:r w:rsidRPr="00C8644A">
        <w:t>.</w:t>
      </w:r>
      <w:bookmarkEnd w:id="223"/>
      <w:bookmarkEnd w:id="224"/>
    </w:p>
    <w:p w:rsidR="00DD20E7" w:rsidRPr="00C8644A" w:rsidRDefault="00DD20E7" w:rsidP="00DD20E7">
      <w:pPr>
        <w:pStyle w:val="GridTable21"/>
        <w:spacing w:before="240" w:after="240"/>
        <w:outlineLvl w:val="0"/>
      </w:pPr>
      <w:bookmarkStart w:id="225" w:name="_Toc450078841"/>
      <w:bookmarkStart w:id="226" w:name="_Toc450079191"/>
      <w:r w:rsidRPr="00C8644A">
        <w:t xml:space="preserve">Przeworski, Adam, and Fernando Limongi. 1993. “Political Regimes and Economic Growth.” </w:t>
      </w:r>
      <w:r w:rsidRPr="00C8644A">
        <w:rPr>
          <w:i/>
          <w:iCs/>
        </w:rPr>
        <w:t>The Journal of Economic Perspectives</w:t>
      </w:r>
      <w:r w:rsidRPr="00C8644A">
        <w:t xml:space="preserve"> 7 (3): 51–69.</w:t>
      </w:r>
      <w:bookmarkEnd w:id="225"/>
      <w:bookmarkEnd w:id="226"/>
    </w:p>
    <w:p w:rsidR="00DD20E7" w:rsidRPr="00C8644A" w:rsidRDefault="00DD20E7" w:rsidP="00DD20E7">
      <w:pPr>
        <w:pStyle w:val="GridTable21"/>
        <w:spacing w:before="240" w:after="240"/>
        <w:outlineLvl w:val="0"/>
      </w:pPr>
      <w:bookmarkStart w:id="227" w:name="_Toc450078842"/>
      <w:bookmarkStart w:id="228" w:name="_Toc450079192"/>
      <w:r w:rsidRPr="00C8644A">
        <w:t xml:space="preserve">Putnam, Robert. 1993. </w:t>
      </w:r>
      <w:r w:rsidRPr="00C8644A">
        <w:rPr>
          <w:i/>
          <w:iCs/>
        </w:rPr>
        <w:t>Making Democracy Work: Civic Traditions in Modern Italy</w:t>
      </w:r>
      <w:r w:rsidRPr="00C8644A">
        <w:t>. Princeton: Princeton University Press.</w:t>
      </w:r>
      <w:bookmarkEnd w:id="227"/>
      <w:bookmarkEnd w:id="228"/>
    </w:p>
    <w:p w:rsidR="00DD20E7" w:rsidRPr="00C8644A" w:rsidRDefault="00DD20E7" w:rsidP="00DD20E7">
      <w:pPr>
        <w:pStyle w:val="GridTable21"/>
        <w:spacing w:before="240" w:after="240"/>
        <w:outlineLvl w:val="0"/>
      </w:pPr>
      <w:bookmarkStart w:id="229" w:name="_Toc450078843"/>
      <w:bookmarkStart w:id="230" w:name="_Toc450079193"/>
      <w:r w:rsidRPr="00C8644A">
        <w:t xml:space="preserve">Rainey, Hal, John C. Ronquillo, and Claudia N. Avellaneda. 2010. “Decision Making in Public Organizations.” In </w:t>
      </w:r>
      <w:r w:rsidRPr="00C8644A">
        <w:rPr>
          <w:i/>
          <w:iCs/>
        </w:rPr>
        <w:t>Handbook of Decision Making</w:t>
      </w:r>
      <w:r w:rsidRPr="00C8644A">
        <w:t>, 349–78. Chichester: John Wiley &amp; Sons.</w:t>
      </w:r>
      <w:bookmarkEnd w:id="229"/>
      <w:bookmarkEnd w:id="230"/>
    </w:p>
    <w:p w:rsidR="00DD20E7" w:rsidRPr="00C8644A" w:rsidRDefault="00DD20E7" w:rsidP="00DD20E7">
      <w:pPr>
        <w:pStyle w:val="GridTable21"/>
        <w:spacing w:before="240" w:after="240"/>
        <w:outlineLvl w:val="0"/>
      </w:pPr>
      <w:bookmarkStart w:id="231" w:name="_Toc450078844"/>
      <w:bookmarkStart w:id="232" w:name="_Toc450079194"/>
      <w:r w:rsidRPr="00C8644A">
        <w:t xml:space="preserve">Reinhardt, Gina Yannitell. 2009. “Matching Donors and </w:t>
      </w:r>
      <w:r>
        <w:t>NGO</w:t>
      </w:r>
      <w:r w:rsidRPr="00C8644A">
        <w:t xml:space="preserve">s: The Importance of Signaling in Funding Awards.” </w:t>
      </w:r>
      <w:r w:rsidRPr="00C8644A">
        <w:rPr>
          <w:i/>
          <w:iCs/>
        </w:rPr>
        <w:t>Journal of Theoretical Politics</w:t>
      </w:r>
      <w:r w:rsidRPr="00C8644A">
        <w:t xml:space="preserve"> 21 (3): 283–309.</w:t>
      </w:r>
      <w:bookmarkEnd w:id="231"/>
      <w:bookmarkEnd w:id="232"/>
    </w:p>
    <w:p w:rsidR="00DD20E7" w:rsidRPr="00C8644A" w:rsidRDefault="00DD20E7" w:rsidP="00DD20E7">
      <w:pPr>
        <w:pStyle w:val="GridTable21"/>
        <w:spacing w:before="240" w:after="240"/>
        <w:outlineLvl w:val="0"/>
      </w:pPr>
      <w:bookmarkStart w:id="233" w:name="_Toc450078845"/>
      <w:bookmarkStart w:id="234" w:name="_Toc450079195"/>
      <w:r w:rsidRPr="00C8644A">
        <w:t xml:space="preserve">Riddell, J. Barry. 1992. “Things Fall Apart Again: Structural Adjustment Programmes in Sub-Saharan Africa.” </w:t>
      </w:r>
      <w:r w:rsidRPr="00C8644A">
        <w:rPr>
          <w:i/>
          <w:iCs/>
        </w:rPr>
        <w:t>The Journal of Modern African Studies</w:t>
      </w:r>
      <w:r w:rsidRPr="00C8644A">
        <w:t xml:space="preserve"> 30 (1): 53–68.</w:t>
      </w:r>
      <w:bookmarkEnd w:id="233"/>
      <w:bookmarkEnd w:id="234"/>
    </w:p>
    <w:p w:rsidR="00DD20E7" w:rsidRPr="00C8644A" w:rsidRDefault="00DD20E7" w:rsidP="00DD20E7">
      <w:pPr>
        <w:pStyle w:val="GridTable21"/>
        <w:spacing w:before="240" w:after="240"/>
        <w:outlineLvl w:val="0"/>
      </w:pPr>
      <w:bookmarkStart w:id="235" w:name="_Toc450078846"/>
      <w:bookmarkStart w:id="236" w:name="_Toc450079196"/>
      <w:r w:rsidRPr="00C8644A">
        <w:t>Roberts, Bill. 2000. “</w:t>
      </w:r>
      <w:r>
        <w:t>NGO</w:t>
      </w:r>
      <w:r w:rsidRPr="00C8644A">
        <w:t xml:space="preserve"> Leadership, Success, and Growth in Senegal: Lessons From Ground Level.” </w:t>
      </w:r>
      <w:r w:rsidRPr="00C8644A">
        <w:rPr>
          <w:i/>
          <w:iCs/>
        </w:rPr>
        <w:t>Urban Anthropology and Studies of Cultural Systems and World Economic Development</w:t>
      </w:r>
      <w:r w:rsidRPr="00C8644A">
        <w:t xml:space="preserve"> 29 (2): 143–80.</w:t>
      </w:r>
      <w:bookmarkEnd w:id="235"/>
      <w:bookmarkEnd w:id="236"/>
    </w:p>
    <w:p w:rsidR="00DD20E7" w:rsidRPr="00C8644A" w:rsidRDefault="00DD20E7" w:rsidP="00DD20E7">
      <w:pPr>
        <w:pStyle w:val="GridTable21"/>
        <w:spacing w:before="240" w:after="240"/>
        <w:outlineLvl w:val="0"/>
      </w:pPr>
      <w:bookmarkStart w:id="237" w:name="_Toc450078847"/>
      <w:bookmarkStart w:id="238" w:name="_Toc450079197"/>
      <w:r w:rsidRPr="00C8644A">
        <w:t>Roberts, Susan M., John Paul III Jones, and Oliver Frohling. 2005. “</w:t>
      </w:r>
      <w:r>
        <w:t>NGO</w:t>
      </w:r>
      <w:r w:rsidRPr="00C8644A">
        <w:t xml:space="preserve">s and the Globalization of Managerialism: A Research Framework.” </w:t>
      </w:r>
      <w:r w:rsidRPr="00C8644A">
        <w:rPr>
          <w:i/>
          <w:iCs/>
        </w:rPr>
        <w:t>World Development</w:t>
      </w:r>
      <w:r w:rsidRPr="00C8644A">
        <w:t xml:space="preserve"> 33 (11): 1845–64.</w:t>
      </w:r>
      <w:bookmarkEnd w:id="237"/>
      <w:bookmarkEnd w:id="238"/>
    </w:p>
    <w:p w:rsidR="00DD20E7" w:rsidRPr="00C8644A" w:rsidRDefault="00DD20E7" w:rsidP="00DD20E7">
      <w:pPr>
        <w:pStyle w:val="GridTable21"/>
        <w:spacing w:before="240" w:after="240"/>
        <w:outlineLvl w:val="0"/>
      </w:pPr>
      <w:bookmarkStart w:id="239" w:name="_Toc450078848"/>
      <w:bookmarkStart w:id="240" w:name="_Toc450079198"/>
      <w:r w:rsidRPr="00C8644A">
        <w:t xml:space="preserve">Rogers, Katrina S. 2011. “Soft Power, </w:t>
      </w:r>
      <w:r>
        <w:t>NGO</w:t>
      </w:r>
      <w:r w:rsidRPr="00C8644A">
        <w:t xml:space="preserve">s, and Climate Change: The Case of The Nature Conservancy.” In </w:t>
      </w:r>
      <w:r w:rsidRPr="00C8644A">
        <w:rPr>
          <w:i/>
          <w:iCs/>
        </w:rPr>
        <w:t>Climate Change and Environmental Ethics</w:t>
      </w:r>
      <w:r w:rsidRPr="00C8644A">
        <w:t>, edited by Ved P. Nanda, 217–35. New Brunswick: Transaction Publishers.</w:t>
      </w:r>
      <w:bookmarkEnd w:id="239"/>
      <w:bookmarkEnd w:id="240"/>
    </w:p>
    <w:p w:rsidR="00DD20E7" w:rsidRPr="00C8644A" w:rsidRDefault="00DD20E7" w:rsidP="00DD20E7">
      <w:pPr>
        <w:pStyle w:val="GridTable21"/>
        <w:spacing w:before="240" w:after="240"/>
        <w:outlineLvl w:val="0"/>
      </w:pPr>
      <w:bookmarkStart w:id="241" w:name="_Toc450078849"/>
      <w:bookmarkStart w:id="242" w:name="_Toc450079199"/>
      <w:r w:rsidRPr="00C8644A">
        <w:t xml:space="preserve">Rohrschneider, Robert, and Russell J. Dalton. 2002. “A Global Network? Transnational Cooperation among Environmental Groups.” </w:t>
      </w:r>
      <w:r w:rsidRPr="00C8644A">
        <w:rPr>
          <w:i/>
          <w:iCs/>
        </w:rPr>
        <w:t>The Journal of Politics</w:t>
      </w:r>
      <w:r w:rsidRPr="00C8644A">
        <w:t xml:space="preserve"> 64 (2): 510–33.</w:t>
      </w:r>
      <w:bookmarkEnd w:id="241"/>
      <w:bookmarkEnd w:id="242"/>
    </w:p>
    <w:p w:rsidR="00DD20E7" w:rsidRPr="00C8644A" w:rsidRDefault="00DD20E7" w:rsidP="00DD20E7">
      <w:pPr>
        <w:pStyle w:val="GridTable21"/>
        <w:spacing w:before="240" w:after="240"/>
        <w:outlineLvl w:val="0"/>
      </w:pPr>
      <w:bookmarkStart w:id="243" w:name="_Toc450078850"/>
      <w:bookmarkStart w:id="244" w:name="_Toc450079200"/>
      <w:r w:rsidRPr="00C8644A">
        <w:t xml:space="preserve">Salamon, Lester M. 1994. “The Rise of the Nonprofit Sector.” </w:t>
      </w:r>
      <w:r w:rsidRPr="00C8644A">
        <w:rPr>
          <w:i/>
          <w:iCs/>
        </w:rPr>
        <w:t>Foreign Affairs</w:t>
      </w:r>
      <w:r w:rsidRPr="00C8644A">
        <w:t xml:space="preserve"> 73: 109–109.</w:t>
      </w:r>
      <w:bookmarkEnd w:id="243"/>
      <w:bookmarkEnd w:id="244"/>
    </w:p>
    <w:p w:rsidR="00DD20E7" w:rsidRPr="00C8644A" w:rsidRDefault="00DD20E7" w:rsidP="00DD20E7">
      <w:pPr>
        <w:pStyle w:val="GridTable21"/>
        <w:spacing w:before="240" w:after="240"/>
        <w:outlineLvl w:val="0"/>
      </w:pPr>
      <w:bookmarkStart w:id="245" w:name="_Toc450078851"/>
      <w:bookmarkStart w:id="246" w:name="_Toc450079201"/>
      <w:r w:rsidRPr="00C8644A">
        <w:t xml:space="preserve">Schmitz, Hans, Paloma Raggo, and Tosca Bruno-van Vijfeijken. 2012. “Accountability of Transnational </w:t>
      </w:r>
      <w:r>
        <w:t>NGO</w:t>
      </w:r>
      <w:r w:rsidRPr="00C8644A">
        <w:t xml:space="preserve">s: Aspiration vs. Practice.” </w:t>
      </w:r>
      <w:r w:rsidRPr="00C8644A">
        <w:rPr>
          <w:i/>
          <w:iCs/>
        </w:rPr>
        <w:t>Nonprofit and Voluntary Sector Quarterly</w:t>
      </w:r>
      <w:r w:rsidRPr="00C8644A">
        <w:t xml:space="preserve"> 41 (6): 1175–94.</w:t>
      </w:r>
      <w:bookmarkEnd w:id="245"/>
      <w:bookmarkEnd w:id="246"/>
    </w:p>
    <w:p w:rsidR="00DD20E7" w:rsidRPr="00C8644A" w:rsidRDefault="00DD20E7" w:rsidP="00DD20E7">
      <w:pPr>
        <w:pStyle w:val="GridTable21"/>
        <w:spacing w:before="240" w:after="240"/>
        <w:outlineLvl w:val="0"/>
      </w:pPr>
      <w:bookmarkStart w:id="247" w:name="_Toc450078852"/>
      <w:bookmarkStart w:id="248" w:name="_Toc450079202"/>
      <w:r w:rsidRPr="00C8644A">
        <w:t xml:space="preserve">Simon, Herbert A. 1946. “The Proverbs of Administration.” </w:t>
      </w:r>
      <w:r w:rsidRPr="00C8644A">
        <w:rPr>
          <w:i/>
          <w:iCs/>
        </w:rPr>
        <w:t>Public Administration Review</w:t>
      </w:r>
      <w:r w:rsidRPr="00C8644A">
        <w:t xml:space="preserve"> 6 (1): 53–67.</w:t>
      </w:r>
      <w:bookmarkEnd w:id="247"/>
      <w:bookmarkEnd w:id="248"/>
    </w:p>
    <w:p w:rsidR="00DD20E7" w:rsidRPr="00C8644A" w:rsidRDefault="00DD20E7" w:rsidP="00DD20E7">
      <w:pPr>
        <w:pStyle w:val="GridTable21"/>
        <w:spacing w:before="240" w:after="240"/>
        <w:outlineLvl w:val="0"/>
      </w:pPr>
      <w:bookmarkStart w:id="249" w:name="_Toc450078853"/>
      <w:bookmarkStart w:id="250" w:name="_Toc450079203"/>
      <w:r w:rsidRPr="00C8644A">
        <w:t xml:space="preserve">Smillie, Ian. 1995. </w:t>
      </w:r>
      <w:r w:rsidRPr="00C8644A">
        <w:rPr>
          <w:i/>
          <w:iCs/>
        </w:rPr>
        <w:t>The Alms Bazaar: Altruism Under Fire - Non-Profit Organizations And International Development</w:t>
      </w:r>
      <w:r w:rsidRPr="00C8644A">
        <w:t>. London: Intermediate Technology Publications Ltd.</w:t>
      </w:r>
      <w:bookmarkEnd w:id="249"/>
      <w:bookmarkEnd w:id="250"/>
    </w:p>
    <w:p w:rsidR="00DD20E7" w:rsidRPr="00C8644A" w:rsidRDefault="00DD20E7" w:rsidP="00DD20E7">
      <w:pPr>
        <w:pStyle w:val="GridTable21"/>
        <w:spacing w:before="240" w:after="240"/>
        <w:outlineLvl w:val="0"/>
      </w:pPr>
      <w:bookmarkStart w:id="251" w:name="_Toc450078854"/>
      <w:bookmarkStart w:id="252" w:name="_Toc450079204"/>
      <w:r w:rsidRPr="00C8644A">
        <w:t xml:space="preserve">Stater, Keeley Jones. 2010. “How Permeable Is the Nonprofit Sector? Linking Resources, Demand, and Government Provision to the Distribution of Organizations Across Nonprofit Mission-Based Fields.” </w:t>
      </w:r>
      <w:r w:rsidRPr="00C8644A">
        <w:rPr>
          <w:i/>
          <w:iCs/>
        </w:rPr>
        <w:t>Nonprofit and Voluntary Sector Quarterly</w:t>
      </w:r>
      <w:r w:rsidRPr="00C8644A">
        <w:t xml:space="preserve"> 39 (4): 674–95.</w:t>
      </w:r>
      <w:bookmarkEnd w:id="251"/>
      <w:bookmarkEnd w:id="252"/>
    </w:p>
    <w:p w:rsidR="00DD20E7" w:rsidRPr="00C8644A" w:rsidRDefault="00DD20E7" w:rsidP="00DD20E7">
      <w:pPr>
        <w:pStyle w:val="GridTable21"/>
        <w:spacing w:before="240" w:after="240"/>
        <w:outlineLvl w:val="0"/>
      </w:pPr>
      <w:bookmarkStart w:id="253" w:name="_Toc450078855"/>
      <w:bookmarkStart w:id="254" w:name="_Toc450079205"/>
      <w:r w:rsidRPr="00C8644A">
        <w:t xml:space="preserve">Stroup, Sarah S. 2012. </w:t>
      </w:r>
      <w:r w:rsidRPr="00C8644A">
        <w:rPr>
          <w:i/>
          <w:iCs/>
        </w:rPr>
        <w:t xml:space="preserve">Borders Among Activists: International </w:t>
      </w:r>
      <w:r>
        <w:rPr>
          <w:i/>
          <w:iCs/>
        </w:rPr>
        <w:t>NGO</w:t>
      </w:r>
      <w:r w:rsidRPr="00C8644A">
        <w:rPr>
          <w:i/>
          <w:iCs/>
        </w:rPr>
        <w:t>s in the United States, Britain, and France</w:t>
      </w:r>
      <w:r w:rsidRPr="00C8644A">
        <w:t>. Ithaca: Cornell University Press.</w:t>
      </w:r>
      <w:bookmarkEnd w:id="253"/>
      <w:bookmarkEnd w:id="254"/>
    </w:p>
    <w:p w:rsidR="00DD20E7" w:rsidRPr="00C8644A" w:rsidRDefault="00DD20E7" w:rsidP="00DD20E7">
      <w:pPr>
        <w:pStyle w:val="GridTable21"/>
        <w:spacing w:before="240" w:after="240"/>
        <w:outlineLvl w:val="0"/>
      </w:pPr>
      <w:bookmarkStart w:id="255" w:name="_Toc450078856"/>
      <w:bookmarkStart w:id="256" w:name="_Toc450079206"/>
      <w:r w:rsidRPr="00C8644A">
        <w:t xml:space="preserve">Taylor, Frederick W. 1912. “Scientific Management.” In </w:t>
      </w:r>
      <w:r w:rsidRPr="00C8644A">
        <w:rPr>
          <w:i/>
          <w:iCs/>
        </w:rPr>
        <w:t>Classics of Public Administration</w:t>
      </w:r>
      <w:r w:rsidRPr="00C8644A">
        <w:t>, edited by Jay M. Shafritz and Albert C. Hyde, 7th ed., 37–39. Boston: Wadsworth.</w:t>
      </w:r>
      <w:bookmarkEnd w:id="255"/>
      <w:bookmarkEnd w:id="256"/>
    </w:p>
    <w:p w:rsidR="00DD20E7" w:rsidRPr="00C8644A" w:rsidRDefault="00DD20E7" w:rsidP="00DD20E7">
      <w:pPr>
        <w:pStyle w:val="GridTable21"/>
        <w:spacing w:before="240" w:after="240"/>
        <w:outlineLvl w:val="0"/>
      </w:pPr>
      <w:bookmarkStart w:id="257" w:name="_Toc450078857"/>
      <w:bookmarkStart w:id="258" w:name="_Toc450079207"/>
      <w:r w:rsidRPr="00C8644A">
        <w:t xml:space="preserve">Van de Walle, Nicolas. 2001. “Decision Making in Post Colonial Africa.” In </w:t>
      </w:r>
      <w:r w:rsidRPr="00C8644A">
        <w:rPr>
          <w:i/>
          <w:iCs/>
        </w:rPr>
        <w:t>African Economies and the Politics of Permanent Crisis: 1979-1999</w:t>
      </w:r>
      <w:r w:rsidRPr="00C8644A">
        <w:t>, 113–51. Cambridge: Cambridge University Press.</w:t>
      </w:r>
      <w:bookmarkEnd w:id="257"/>
      <w:bookmarkEnd w:id="258"/>
    </w:p>
    <w:p w:rsidR="00DD20E7" w:rsidRPr="00C8644A" w:rsidRDefault="00DD20E7" w:rsidP="00DD20E7">
      <w:pPr>
        <w:pStyle w:val="GridTable21"/>
        <w:spacing w:before="240" w:after="240"/>
        <w:outlineLvl w:val="0"/>
      </w:pPr>
      <w:bookmarkStart w:id="259" w:name="_Toc450078858"/>
      <w:bookmarkStart w:id="260" w:name="_Toc450079208"/>
      <w:r w:rsidRPr="00C8644A">
        <w:t xml:space="preserve">Van Slyke, David M. 2006. “Agents or Stewards: Using Theory to Understand the Government-Nonprofit Social Service Contracting Relationship.” </w:t>
      </w:r>
      <w:r w:rsidRPr="00C8644A">
        <w:rPr>
          <w:i/>
          <w:iCs/>
        </w:rPr>
        <w:t>Journal of Public Administration Research and Theory</w:t>
      </w:r>
      <w:r w:rsidRPr="00C8644A">
        <w:t xml:space="preserve"> 17: 157–87.</w:t>
      </w:r>
      <w:bookmarkEnd w:id="259"/>
      <w:bookmarkEnd w:id="260"/>
    </w:p>
    <w:p w:rsidR="00DD20E7" w:rsidRPr="00C8644A" w:rsidRDefault="00DD20E7" w:rsidP="00DD20E7">
      <w:pPr>
        <w:pStyle w:val="GridTable21"/>
        <w:spacing w:before="240" w:after="240"/>
        <w:outlineLvl w:val="0"/>
      </w:pPr>
      <w:bookmarkStart w:id="261" w:name="_Toc450078859"/>
      <w:bookmarkStart w:id="262" w:name="_Toc450079209"/>
      <w:r w:rsidRPr="00C8644A">
        <w:t xml:space="preserve">Varshney, Ashutosh. 2001. “Ethnic Conflict and Civil Society: India and Beyond.” </w:t>
      </w:r>
      <w:r w:rsidRPr="00C8644A">
        <w:rPr>
          <w:i/>
          <w:iCs/>
        </w:rPr>
        <w:t>World Politics</w:t>
      </w:r>
      <w:r w:rsidRPr="00C8644A">
        <w:t xml:space="preserve"> 53 (3): 362–98.</w:t>
      </w:r>
      <w:bookmarkEnd w:id="261"/>
      <w:bookmarkEnd w:id="262"/>
    </w:p>
    <w:p w:rsidR="00DD20E7" w:rsidRPr="00C8644A" w:rsidRDefault="00DD20E7" w:rsidP="00DD20E7">
      <w:pPr>
        <w:pStyle w:val="GridTable21"/>
        <w:spacing w:before="240" w:after="240"/>
        <w:outlineLvl w:val="0"/>
      </w:pPr>
      <w:bookmarkStart w:id="263" w:name="_Toc450078860"/>
      <w:bookmarkStart w:id="264" w:name="_Toc450079210"/>
      <w:r w:rsidRPr="00C8644A">
        <w:t xml:space="preserve">Watkins, Susan Cotts, Ann Swidler, and Thomas Hannan. 2012. “Outsourcing Social Transformation: Development </w:t>
      </w:r>
      <w:r>
        <w:t>NGO</w:t>
      </w:r>
      <w:r w:rsidRPr="00C8644A">
        <w:t xml:space="preserve">s as Organizations.” </w:t>
      </w:r>
      <w:r w:rsidRPr="00C8644A">
        <w:rPr>
          <w:i/>
          <w:iCs/>
        </w:rPr>
        <w:t>Annual Review of Sociology</w:t>
      </w:r>
      <w:r w:rsidRPr="00C8644A">
        <w:t xml:space="preserve"> 38: 285–315.</w:t>
      </w:r>
      <w:bookmarkEnd w:id="263"/>
      <w:bookmarkEnd w:id="264"/>
    </w:p>
    <w:p w:rsidR="001630DC" w:rsidRDefault="00DD20E7" w:rsidP="00DD20E7">
      <w:r w:rsidRPr="00C8644A">
        <w:t xml:space="preserve">Wood, Geof, and Ian Gough. 2006. “A Comparative Welfare Regime Approach to Global Social Policy.” </w:t>
      </w:r>
      <w:r w:rsidRPr="00C8644A">
        <w:rPr>
          <w:i/>
          <w:iCs/>
        </w:rPr>
        <w:t>World Development</w:t>
      </w:r>
      <w:r w:rsidRPr="00C8644A">
        <w:t xml:space="preserve"> 34 (10): 1696–1712</w:t>
      </w:r>
      <w:r>
        <w:t>.</w:t>
      </w:r>
    </w:p>
    <w:p w:rsidR="00DD20E7" w:rsidRPr="00C8644A" w:rsidRDefault="001630DC" w:rsidP="00DD20E7">
      <w:pPr>
        <w:pStyle w:val="GridTable21"/>
        <w:spacing w:before="240" w:after="240"/>
        <w:ind w:left="0" w:firstLine="0"/>
        <w:outlineLvl w:val="0"/>
      </w:pPr>
      <w:r w:rsidRPr="00C2435D">
        <w:fldChar w:fldCharType="begin"/>
      </w:r>
      <w:r>
        <w:instrText xml:space="preserve"> </w:instrText>
      </w:r>
      <w:r w:rsidRPr="00DD20E7">
        <w:rPr>
          <w:u w:val="single"/>
        </w:rPr>
        <w:instrText>ADDIN</w:instrText>
      </w:r>
      <w:r>
        <w:instrText xml:space="preserve"> ZOTERO_BIBL {"custom":[]} CSL_BIBLIOGRAPHY </w:instrText>
      </w:r>
      <w:r w:rsidRPr="00C2435D">
        <w:fldChar w:fldCharType="separate"/>
      </w:r>
    </w:p>
    <w:p w:rsidR="00E67B1D" w:rsidRPr="006816F9" w:rsidRDefault="001630DC" w:rsidP="00DD20E7">
      <w:pPr>
        <w:pStyle w:val="GridTable21"/>
        <w:spacing w:before="240"/>
        <w:ind w:left="0" w:firstLine="0"/>
        <w:outlineLvl w:val="0"/>
        <w:rPr>
          <w:b/>
          <w:sz w:val="28"/>
        </w:rPr>
      </w:pPr>
      <w:r w:rsidRPr="00C8644A">
        <w:t xml:space="preserve"> </w:t>
      </w:r>
      <w:r>
        <w:br w:type="page"/>
      </w:r>
      <w:r w:rsidRPr="00C2435D">
        <w:fldChar w:fldCharType="end"/>
      </w:r>
    </w:p>
    <w:p w:rsidR="006816F9" w:rsidRDefault="006816F9" w:rsidP="006816F9">
      <w:pPr>
        <w:pStyle w:val="ChapterTitle"/>
        <w:jc w:val="left"/>
      </w:pPr>
      <w:bookmarkStart w:id="265" w:name="_Toc450079211"/>
      <w:r w:rsidRPr="006816F9">
        <w:t>: Country-level Characteristics and Operating Environment: What Attributes Attract Transnational TNGOs?</w:t>
      </w:r>
      <w:bookmarkEnd w:id="265"/>
    </w:p>
    <w:p w:rsidR="006816F9" w:rsidRPr="006816F9" w:rsidRDefault="006816F9" w:rsidP="006816F9">
      <w:pPr>
        <w:pStyle w:val="ChapterTitle"/>
        <w:numPr>
          <w:ilvl w:val="0"/>
          <w:numId w:val="0"/>
        </w:numPr>
        <w:jc w:val="left"/>
      </w:pPr>
    </w:p>
    <w:p w:rsidR="001630DC" w:rsidRPr="008D289A" w:rsidRDefault="001630DC" w:rsidP="008D289A">
      <w:pPr>
        <w:pStyle w:val="Subheading1"/>
        <w:rPr>
          <w:sz w:val="24"/>
          <w:szCs w:val="24"/>
        </w:rPr>
      </w:pPr>
      <w:bookmarkStart w:id="266" w:name="_Toc450079212"/>
      <w:r w:rsidRPr="008D289A">
        <w:rPr>
          <w:sz w:val="24"/>
          <w:szCs w:val="24"/>
        </w:rPr>
        <w:t>2.1: Introduction</w:t>
      </w:r>
      <w:bookmarkEnd w:id="266"/>
    </w:p>
    <w:p w:rsidR="00E203F8" w:rsidRPr="00E203F8" w:rsidRDefault="00E203F8" w:rsidP="00E203F8"/>
    <w:p w:rsidR="001630DC" w:rsidRPr="00692A98" w:rsidRDefault="001630DC" w:rsidP="001630DC"/>
    <w:p w:rsidR="001630DC" w:rsidRDefault="001630DC">
      <w:pPr>
        <w:spacing w:line="480" w:lineRule="auto"/>
        <w:ind w:firstLine="720"/>
      </w:pPr>
      <w:r>
        <w:t xml:space="preserve">Transnational </w:t>
      </w:r>
      <w:r w:rsidR="009944D4">
        <w:t>nongovernmental</w:t>
      </w:r>
      <w:r>
        <w:t xml:space="preserve"> organizations (TNGOs) represent one of the most dynamic and rapidly expanding nonprofit sectors. The United States is home to 13 percent of international TNGO headquarters </w:t>
      </w:r>
      <w:r>
        <w:fldChar w:fldCharType="begin"/>
      </w:r>
      <w:r>
        <w:instrText xml:space="preserve"> ADDIN ZOTERO_ITEM CSL_CITATION {"citationID":"MIQAXRdV","properties":{"formattedCitation":"(Mitchell 2012b)","plainCitation":"(Mitchell 2012b)"},"citationItems":[{"id":514,"uris":["http://zotero.org/users/381007/items/57VNBUZ6"],"uri":["http://zotero.org/users/381007/items/57VNBUZ6"],"itemData":{"id":514,"type":"article-journal","title":"The Construct of Organizational Effectiveness: Perspectives From Leaders of International Nonprofits in the United States","container-title":"Nonprofit and Voluntary Sector Quarterly","page":"324-345","volume":"42","issue":"2","abstract":"RQ: How do we best define organizational effectiveness in the nonprofit sector?\n\nFinds two main types of organizational effectiveness using latent class analysis: outcome accountability (promise-keeping, goal attainment) and overhead minimization (financial themes). Although larger orgaiations tend to identify overhead minimization as the definition of effectiveness, perhaps due to external evaluation pressure, most iNGOs (86%) in the US define organizational effectiveness in terms of outcome accountability. This is important because demonstrating effectiveness is increasingly a piece of maintaining accountability. Challenges of effectiveness must be overcome to achieve a more effective nonprofit sector, including reconciliation of multi-dimensional models of effectiveness.","author":[{"family":"Mitchell","given":"George E."}],"issued":{"date-parts":[["2012"]]}}}],"schema":"https://github.com/citation-style-language/schema/raw/master/csl-citation.json"} </w:instrText>
      </w:r>
      <w:r>
        <w:fldChar w:fldCharType="separate"/>
      </w:r>
      <w:r>
        <w:rPr>
          <w:noProof/>
        </w:rPr>
        <w:t>(Mitchell 2012b)</w:t>
      </w:r>
      <w:r>
        <w:fldChar w:fldCharType="end"/>
      </w:r>
      <w:r>
        <w:t xml:space="preserve">, a sector that grew by 25 percent between 2002 and 2012 </w:t>
      </w:r>
      <w:r>
        <w:fldChar w:fldCharType="begin"/>
      </w:r>
      <w:r>
        <w:instrText xml:space="preserve"> ADDIN ZOTERO_ITEM CSL_CITATION {"citationID":"bQQYZlcd","properties":{"formattedCitation":"(McKeever and Pettijohn 2014)","plainCitation":"(McKeever and Pettijohn 2014)"},"citationItems":[{"id":3549,"uris":["http://zotero.org/users/381007/items/FMU5MIQ3"],"uri":["http://zotero.org/users/381007/items/FMU5MIQ3"],"itemData":{"id":3549,"type":"article-journal","title":"The Nonprofit Sector in Brief 2014","container-title":"Washington, DC: Urban Institute","source":"Google Scholar","URL":"http://www.urban.org/sites/default/files/alfresco/publication-pdfs/413277-The-Nonprofit-Sector-in-Brief--.PDF?RSSFeed=UI_CenteronNonprofitsandPhilanthropy.xml","author":[{"family":"McKeever","given":"Brice S."},{"family":"Pettijohn","given":"Sarah L."}],"issued":{"date-parts":[["2014"]]},"accessed":{"date-parts":[["2015",9,16]]}}}],"schema":"https://github.com/citation-style-language/schema/raw/master/csl-citation.json"} </w:instrText>
      </w:r>
      <w:r>
        <w:fldChar w:fldCharType="separate"/>
      </w:r>
      <w:r>
        <w:rPr>
          <w:noProof/>
        </w:rPr>
        <w:t>(McKeever and Pettijohn 2014)</w:t>
      </w:r>
      <w:r>
        <w:fldChar w:fldCharType="end"/>
      </w:r>
      <w:r>
        <w:t xml:space="preserve">. By some estimates, TNGOs make up as much as 9.2 percent of nonprofits in the United States. </w:t>
      </w:r>
      <w:r w:rsidRPr="00AE3C51">
        <w:t>The</w:t>
      </w:r>
      <w:r>
        <w:t xml:space="preserve"> sector is a force both in the number of organizations and in the number of dollars flowing to the sector, accruing $290 billion USD in private donations in the United States and an estimated $2.2 trillion USD globally </w:t>
      </w:r>
      <w:r>
        <w:fldChar w:fldCharType="begin"/>
      </w:r>
      <w:r>
        <w:instrText xml:space="preserve"> ADDIN ZOTERO_ITEM CSL_CITATION {"citationID":"1kdvKoa1","properties":{"formattedCitation":"(Salamon 2010)","plainCitation":"(Salamon 2010)"},"citationItems":[{"id":3550,"uris":["http://zotero.org/users/381007/items/K62V4S6Q"],"uri":["http://zotero.org/users/381007/items/K62V4S6Q"],"itemData":{"id":3550,"type":"article-journal","title":"Putting the civil society sector on the economic map of the world","container-title":"Annals of Public and Cooperative Economics","page":"167–210","volume":"81","issue":"2","source":"Google Scholar","author":[{"family":"Salamon","given":"Lester M."}],"issued":{"date-parts":[["2010"]]},"accessed":{"date-parts":[["2015",9,16]]}}}],"schema":"https://github.com/citation-style-language/schema/raw/master/csl-citation.json"} </w:instrText>
      </w:r>
      <w:r>
        <w:fldChar w:fldCharType="separate"/>
      </w:r>
      <w:r>
        <w:rPr>
          <w:noProof/>
        </w:rPr>
        <w:t>(Salamon 2010)</w:t>
      </w:r>
      <w:r>
        <w:fldChar w:fldCharType="end"/>
      </w:r>
      <w:r>
        <w:t>. Due to the international nature of TNGO efforts, these figures can be multiplied as organizations transit political boundaries to implement, fundraise, and manage objectives. The same phenomenon also amplifies the significance of TNGOs, multiplying their impact as they engage in service provision, advocacy and policy-making, and technical support with beneficiaries, donors, and government.</w:t>
      </w:r>
    </w:p>
    <w:p w:rsidR="001630DC" w:rsidRDefault="001630DC" w:rsidP="001630DC">
      <w:pPr>
        <w:spacing w:line="480" w:lineRule="auto"/>
      </w:pPr>
      <w:r>
        <w:tab/>
        <w:t xml:space="preserve">Where TNGOs go is as important and as controversial as what they do. Understanding the internal and external drivers that shape TNGO decision-making concerning which countries they work in is important to scholars as well as practitioners. With this knowledge, policymakers and donors may better comprehend the priorities and operations of TNGOs. Doing so enables them to advance their own agendas by matching donor and TNGO expectations, understanding the challenges faced by TNGO programs and operations more broadly, and </w:t>
      </w:r>
      <w:r w:rsidR="007D7F64">
        <w:t xml:space="preserve">by </w:t>
      </w:r>
      <w:r>
        <w:t xml:space="preserve">better meeting beneficiary needs. Studying location may also aid scholars seeking to explain TNGO behavior beyond donor-centered explanations. The geographic distribution of TNGOs has primarily been explored using large organizations or single country case studies </w:t>
      </w:r>
      <w:r>
        <w:fldChar w:fldCharType="begin"/>
      </w:r>
      <w:r>
        <w:instrText xml:space="preserve"> ADDIN ZOTERO_ITEM CSL_CITATION {"citationID":"7oEOr0Yx","properties":{"formattedCitation":"(Fruttero and Gauri 2005; Rogers 2011; Brass 2012a; Galway, Corbett, and Zeng 2012)","plainCitation":"(Fruttero and Gauri 2005; Rogers 2011; Brass 2012a; Galway, Corbett, and Zeng 2012)"},"citationItems":[{"id":1311,"uris":["http://zotero.org/users/381007/items/STMX9W64"],"uri":["http://zotero.org/users/381007/items/STMX9W64"],"itemData":{"id":1311,"type":"article-journal","title":"The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id":1452,"uris":["http://zotero.org/users/381007/items/V3GXPUV9"],"uri":["http://zotero.org/users/381007/items/V3GXPUV9"],"itemData":{"id":1452,"type":"chapter","title":"Soft Power, NGOs, and Climate Change: The Case of The Nature Conservancy","container-title":"Climate Change and Environmental Ethics","publisher":"Transaction Publishers","publisher-place":"New Brunswick","page":"217-235","event-place":"New Brunswick","author":[{"family":"Rogers","given":"Katrina S."}],"editor":[{"family":"Nanda","given":"Ved P."}],"issued":{"date-parts":[["2011"]]}}},{"id":439,"uris":["http://zotero.org/users/381007/items/35TGSIDC"],"uri":["http://zotero.org/users/381007/items/35TGSIDC"],"itemData":{"id":439,"type":"article-journal","title":"Blurring Boundaries: The Integration of NGOs into Governance in Kenya","container-title":"Governance","page":"209-235","volume":"25","issue":"2","abstract":"This article examines the impact of the proliferation of nongovernmental\norganizations (NGOs) on governance in Kenya. Looking specifically at\nservice provision, it analyzes how the growth of NGOs has begun to change\nthe way decisions are made and policy is formulated. In so doing, the article\nexplores shifting NGO–government relations over time. The governance\nof service provision has become a complex, intertwined affair in whichNGOs\nsit on national policymaking committees, government integratesNGOplans\nand budgets into national policy, and government actors learn from and copy\nNGOs’ participatory, accountable approach. Through (1) the integration of\nformer NGO leaders in government, (2) increasing the variety of voices\nheard in government decision making, (3) lobbying by NGOs, and (4)\nmimicry of NGOs by government, governance of Kenyan service provision\nhas begun to become more democratic. Through such changes, developing\ncountries are witnessing a blurring of the line between public and private.","author":[{"family":"Brass","given":"Jennifer N."}],"issued":{"date-parts":[["2012"]]}}},{"id":801,"uris":["http://zotero.org/users/381007/items/HTA3ACB7"],"uri":["http://zotero.org/users/381007/items/HTA3ACB7"],"itemData":{"id":801,"type":"article-journal","title":"Where are the NGOs and why? The distribution of health and development NGOs in Bolivia","container-title":"Globalization and health","page":"38","volume":"8","issue":"1","source":"Google Scholar","shortTitle":"Where are the NGOs and why?","author":[{"family":"Galway","given":"Lindsay P."},{"family":"Corbett","given":"Kitty K."},{"family":"Zeng","given":"Leilei"}],"issued":{"date-parts":[["2012"]]},"accessed":{"date-parts":[["2015",1,12]],"season":"17:44:23"}}}],"schema":"https://github.com/citation-style-language/schema/raw/master/csl-citation.json"} </w:instrText>
      </w:r>
      <w:r>
        <w:fldChar w:fldCharType="separate"/>
      </w:r>
      <w:r>
        <w:rPr>
          <w:noProof/>
        </w:rPr>
        <w:t>(Fruttero and Gauri 2005; Rogers 2011; Brass 2012a; Galway, Corbett, and Zeng 2012)</w:t>
      </w:r>
      <w:r>
        <w:fldChar w:fldCharType="end"/>
      </w:r>
      <w:r>
        <w:t xml:space="preserve">. Few have approached TNGOs from a comparative perspective and the number of international cases within the public administration and nonprofit literatures is limited. </w:t>
      </w:r>
    </w:p>
    <w:p w:rsidR="001630DC" w:rsidRPr="007B7DF8" w:rsidRDefault="001630DC" w:rsidP="001630DC">
      <w:pPr>
        <w:spacing w:line="480" w:lineRule="auto"/>
      </w:pPr>
      <w:r>
        <w:tab/>
        <w:t>This is a missed opportunity on two counts. First, the comparative perspective frames location through a cross-sector multi-country lens that increases generalizability. Second, it expands the scope of nonprofit and public administration studies, which are dominated by domestic cases. While there are distinctions between the challenges and operations of domestic and international nonprofits</w:t>
      </w:r>
      <w:r w:rsidRPr="00011BE4">
        <w:rPr>
          <w:rStyle w:val="FootnoteReference"/>
        </w:rPr>
        <w:footnoteReference w:id="8"/>
      </w:r>
      <w:r>
        <w:t xml:space="preserve">, they share many of the same tenets and management challenges. Where overlap may seem less obvious, it may be possible for one to learn from the other. At the same time, organizations engaged in international scopes of work are important in their own right. They epitomize the nonprofit mission to help those in need and serve as a voice for the marginalized while also filling out state capacity in many cases. U.S.-based TNGOs are especially interesting as they represent a diversity of organizations and locations, models, and partnerships. It is because of this depth and breadth, as well as the rich data available, that they are ideal to study. </w:t>
      </w:r>
    </w:p>
    <w:p w:rsidR="001630DC" w:rsidRDefault="001630DC" w:rsidP="001630DC">
      <w:pPr>
        <w:spacing w:after="200" w:line="480" w:lineRule="auto"/>
      </w:pPr>
      <w:r>
        <w:tab/>
        <w:t>This chapter addresses these gaps by synthesizing nonprofit and TNGO literatures and undertakes a cross-sector multinational investigation of U.S.-based TNGOs that maintain a presence abroad through staff or infrastructure</w:t>
      </w:r>
      <w:r w:rsidR="001C255D">
        <w:t xml:space="preserve"> (roads, internet, phones, water, and so on)</w:t>
      </w:r>
      <w:r>
        <w:t xml:space="preserve">. Presence abroad is categorized at the country level and defined as staff or infrastructure in that country. By examining the country-level factors that influence TNGO location, this paper serves as the foundation to merge organizational attributes with country characteristics to see how and if these factors shape TNGO decision-making about whether or not to operate in a country. Put another way, what attributes attract U.S.-based TNGOs to certain countries? U.S.-based TNGOs provide an ideal opportunity to examine the factors that predict country-level location because of their diversity and impact </w:t>
      </w:r>
      <w:r>
        <w:fldChar w:fldCharType="begin"/>
      </w:r>
      <w:r>
        <w:instrText xml:space="preserve"> ADDIN ZOTERO_ITEM CSL_CITATION {"citationID":"t9bKOwN0","properties":{"formattedCitation":"(Schmitz, Raggo, and Bruno-van Vijfeijken 2012; Mitchell 2012a)","plainCitation":"(Schmitz, Raggo, and Bruno-van Vijfeijken 2012; Mitchell 2012a)"},"citationItems":[{"id":641,"uris":["http://zotero.org/users/381007/items/8DD22WVD"],"uri":["http://zotero.org/users/381007/items/8DD22WVD"],"itemData":{"id":641,"type":"article-journal","title":"Accountability of Transnational NGOs: Aspiration vs. Practice","container-title":"Nonprofit and Voluntary Sector Quarterly","page":"1175-1194","volume":"41","issue":"6","abstract":"RQ: How is accountability among TNGOs perceived and practiced? \nTo whom, what for, and how are transnational NGOs accountable?\n\nFindings: Examines hte issue of accountability of TNGOs, a major issue in both academia and policy circles. Most of the policy literature focuses on prescriptions, but this article emphasizes how leadership within TNGOs perceive accountability. Accountability is important because of the expansion of resources and the number of TNGOs, and also because the pressure of accountability measures can create mutally exclusive and incoherent demands that may be incompatible with TNGO efforts to strengthen \"downward accountablity.\" The study finds that smaller organizations are more likely to associate accountability with financial management compared to mid-sized and large organizations, showing that donor-driven accountability pressures are more pronounced with smaller organizations.  Accountability in this manner is often described in terms of \"concrete practices\" and is largely reactive to external demands.  Interviewees identified 3 constituents to which they feel responsible on average; most included donors, followed by the board of beneficiaries; but also included were governments, staff, the public, other NGOs, and beneficiaries.  However, there was more emphasis on some constituents over others (78% overall for donors versus 48% for beneficiaries).  There was also a strong linkage between being accountable to donors through financial management, transparency, and legal/contractual obligations and interviewees also identified related mechanisms, such as internal and external audits, when asked how they are accountable (in addtion to metrics and evaluation). \n\nMethods: Interviews with 152 TNGO CEOs identified through Charity Navigator, selected on complete information provided in profile then by size, stability, etc.\n\nStrengths: \n\nWeaknesses: Limitations - relies on accountability perceptiosn of leaders only, views of accountability may vary depending on the level of the organization but leadership are important in balancing stakeholder demands and key decision makers. The sample is US absed, room for comparative studies.","author":[{"family":"Schmitz","given":"Hans"},{"family":"Raggo","given":"Paloma"},{"family":"Bruno-van Vijfeijken","given":"Tosca"}],"issued":{"date-parts":[["2012"]]}}},{"id":1135,"uris":["http://zotero.org/users/381007/items/NDHTZMJ9"],"uri":["http://zotero.org/users/381007/items/NDHTZMJ9"],"itemData":{"id":1135,"type":"article-journal","title":"Strategic Responses to Resource Dependence Among Transnational NGOs registered in the United States","container-title":"Voluntas","abstract":"Many of the world’s largest and most impactful transnational NGOs are registered in the United States where they engage in significant fundraising activities to support their global operations. Their reliance on the external environment for financial support exposes them to resource dependence and the possibility of external control. However, as civil society organizations organized as firms, transnational NGOs attempt to maintain operational independence from the donors upon which they rely for funding. This article contributes to resource dependence theory by identifying the strategies that transnational NGOs employ in response to resource dependence, explaining the emergence of strategic response, and exploring the conditions under which NGOs are capacitated to preserve organizational autonomy. The responses transnational NGOs employ include alignment, subcontracting, perseverance, diversification, commercialization, funding liberation, geostrategic arbitrage, specialization, selectivity, donor education, and compromise. Elements of this strategic repertoire empower NGOs to resist external control, even circumventing and influencing donor preferences. Findings are based on in-depth, face-to-face interviews with top organizational leaders from a diverse sample of transnational NGOs registered in the United States.","DOI":"10.1007/s11266-012-9329-2","author":[{"family":"Mitchell","given":"George E."}],"issued":{"date-parts":[["2012"]]},"accessed":{"date-parts":[["2013",10,14]]}}}],"schema":"https://github.com/citation-style-language/schema/raw/master/csl-citation.json"} </w:instrText>
      </w:r>
      <w:r>
        <w:fldChar w:fldCharType="separate"/>
      </w:r>
      <w:r>
        <w:rPr>
          <w:noProof/>
        </w:rPr>
        <w:t>(Schmitz, Raggo, and Bruno-van Vijfeijken 2012; Mitchell 2012a)</w:t>
      </w:r>
      <w:r>
        <w:fldChar w:fldCharType="end"/>
      </w:r>
      <w:r>
        <w:t xml:space="preserve">, and the availability of data on financial and organizational features. </w:t>
      </w:r>
    </w:p>
    <w:p w:rsidR="00E67B1D" w:rsidRDefault="001630DC" w:rsidP="00E67B1D">
      <w:pPr>
        <w:spacing w:after="200" w:line="480" w:lineRule="auto"/>
      </w:pPr>
      <w:r>
        <w:tab/>
      </w:r>
      <w:r w:rsidR="00E2789E">
        <w:t>Few</w:t>
      </w:r>
      <w:r>
        <w:t xml:space="preserve"> have examined why </w:t>
      </w:r>
      <w:r w:rsidR="00E2789E">
        <w:t>TNGOs</w:t>
      </w:r>
      <w:r>
        <w:t xml:space="preserve"> go where they go. If location is included, it is discussed in an indirect manner. However, the location of a TNGO is enlightening to scholars, donors, and practitioners. Contrary to the picture of TNGOs as resource-hungry and dependent entities, mission also guides their work. Grant-seeking entities are aware that the goals of donors are also shaped by mission and that to be successful it necessary to fit within that scope. Among TNGOs, country level location tells about how TNGOs reconcile demands and prioritize programs. Examining both internal and external factors that influence the decision-making process allows us to test competing explanations of TNGO behavior and better understand when and where they go, as well as variation across sectors. Finally, approaching location from a decision-making perspective places location centrally within public management, thereby improving the decision-making and assessment processes around when to exit, enter, or withdrawal from a country. </w:t>
      </w:r>
    </w:p>
    <w:p w:rsidR="00E67B1D" w:rsidRDefault="00E67B1D" w:rsidP="00E67B1D">
      <w:pPr>
        <w:spacing w:line="480" w:lineRule="auto"/>
        <w:rPr>
          <w:szCs w:val="24"/>
        </w:rPr>
      </w:pPr>
    </w:p>
    <w:p w:rsidR="001630DC" w:rsidRDefault="001630DC" w:rsidP="008D289A">
      <w:pPr>
        <w:pStyle w:val="Subheading1"/>
        <w:rPr>
          <w:sz w:val="24"/>
          <w:szCs w:val="24"/>
        </w:rPr>
      </w:pPr>
      <w:bookmarkStart w:id="267" w:name="_Toc450079213"/>
      <w:r w:rsidRPr="008D289A">
        <w:rPr>
          <w:sz w:val="24"/>
          <w:szCs w:val="24"/>
        </w:rPr>
        <w:t>2.2: TNGOs and Location: Perspectives in the Academic Literature</w:t>
      </w:r>
      <w:bookmarkEnd w:id="267"/>
    </w:p>
    <w:p w:rsidR="008D289A" w:rsidRPr="008D289A" w:rsidRDefault="008D289A" w:rsidP="008D289A">
      <w:pPr>
        <w:pStyle w:val="Subheading1"/>
        <w:rPr>
          <w:sz w:val="24"/>
          <w:szCs w:val="24"/>
        </w:rPr>
      </w:pPr>
    </w:p>
    <w:p w:rsidR="001630DC" w:rsidRDefault="001630DC" w:rsidP="001630DC">
      <w:pPr>
        <w:spacing w:line="480" w:lineRule="auto"/>
      </w:pPr>
      <w:r>
        <w:tab/>
        <w:t xml:space="preserve">Previous research proposes that the level of need and limitations on an organization’s financial capacity influence location selection among TNGOs </w:t>
      </w:r>
      <w:r w:rsidRPr="00D57A42">
        <w:fldChar w:fldCharType="begin"/>
      </w:r>
      <w:r>
        <w:instrText xml:space="preserve"> ADDIN ZOTERO_ITEM CSL_CITATION {"citationID":"bdz9jTky","properties":{"formattedCitation":"(Froelich 1999; Koch et al. 2009; Milward 1994; Lecy and Van Slyke 2012)","plainCitation":"(Froelich 1999; Koch et al. 2009; Milward 1994; Lecy and Van Slyke 2012)"},"citationItems":[{"id":3165,"uris":["http://zotero.org/users/381007/items/ES6WPZSJ"],"uri":["http://zotero.org/users/381007/items/ES6WPZSJ"],"itemData":{"id":3165,"type":"article-journal","title":"Diversification of Revenue Strategies: Evolving Resource Dependence in Nonprofit Organizations","container-title":"Nonprofit and Voluntary Sector Quarterly","page":"246-268","volume":"28","issue":"3","author":[{"family":"Froelich","given":"Karen A."}],"issued":{"date-parts":[["1999"]]}}},{"id":961,"uris":["http://zotero.org/users/381007/items/HT6W88M6"],"uri":["http://zotero.org/users/381007/items/HT6W88M6"],"itemData":{"id":961,"type":"article-journal","title":"Keeping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id":940,"uris":["http://zotero.org/users/381007/items/GWMG3AFC"],"uri":["http://zotero.org/users/381007/items/GWMG3AFC"],"itemData":{"id":940,"type":"article-journal","title":"Non-profit Contracting and the Hollow State","container-title":"Public Administration Review","page":"73-77","volume":"54","issue":"1","author":[{"family":"Milward","given":"H. Brinton"}],"issued":{"date-parts":[["1994"]]}}},{"id":1474,"uris":["http://zotero.org/users/381007/items/VSBUJRVU"],"uri":["http://zotero.org/users/381007/items/VSBUJRVU"],"itemData":{"id":1474,"type":"article-journal","title":"Nonprofit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M."}],"issued":{"date-parts":[["2012"]]}}}],"schema":"https://github.com/citation-style-language/schema/raw/master/csl-citation.json"} </w:instrText>
      </w:r>
      <w:r w:rsidRPr="00D57A42">
        <w:fldChar w:fldCharType="separate"/>
      </w:r>
      <w:r w:rsidRPr="00D57A42">
        <w:rPr>
          <w:noProof/>
        </w:rPr>
        <w:t>(Froelich 1999; Koch et al. 2009; Milward 1994; Lecy and Van Slyke 2012)</w:t>
      </w:r>
      <w:r w:rsidRPr="00D57A42">
        <w:fldChar w:fldCharType="end"/>
      </w:r>
      <w:r>
        <w:t xml:space="preserve">. Proponents of resource dependence arguments claim that financial resources are a motivating factor for certain behaviors and a mechanism of control used by donors to influence not only the type of programming in which a TNGO is engaged, but also how it does it and where it does it </w:t>
      </w:r>
      <w:r>
        <w:fldChar w:fldCharType="begin"/>
      </w:r>
      <w:r>
        <w:instrText xml:space="preserve"> ADDIN ZOTERO_ITEM CSL_CITATION {"citationID":"YR98aCIO","properties":{"formattedCitation":"(Pfeffer and Salancik 2003)","plainCitation":"(Pfeffer and Salancik 2003)"},"citationItems":[{"id":3155,"uris":["http://zotero.org/users/381007/items/CC5TISTK"],"uri":["http://zotero.org/users/381007/items/CC5TISTK"],"itemData":{"id":3155,"type":"book","title":"The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1978"}}}],"schema":"https://github.com/citation-style-language/schema/raw/master/csl-citation.json"} </w:instrText>
      </w:r>
      <w:r>
        <w:fldChar w:fldCharType="separate"/>
      </w:r>
      <w:r w:rsidRPr="009F433A">
        <w:t>(Pfeffer and Salancik 2003)</w:t>
      </w:r>
      <w:r>
        <w:fldChar w:fldCharType="end"/>
      </w:r>
      <w:r>
        <w:t xml:space="preserve">. More recent findings support location choices at the country and sub-country levels based on collaborative opportunities, amenities, and strategic interests as determining factors of location </w:t>
      </w:r>
      <w:r>
        <w:fldChar w:fldCharType="begin"/>
      </w:r>
      <w:r>
        <w:instrText xml:space="preserve"> ADDIN ZOTERO_ITEM CSL_CITATION {"citationID":"ly7TsXDO","properties":{"formattedCitation":"(Brass 2012b; Stater 2010; Mitchell 2013)","plainCitation":"(Brass 2012b; Stater 2010; Mitchell 2013)"},"citationItems":[{"id":949,"uris":["http://zotero.org/users/381007/items/HCQ4K4HC"],"uri":["http://zotero.org/users/381007/items/HCQ4K4HC"],"itemData":{"id":949,"type":"article-journal","title":"Why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N."}],"issued":{"date-parts":[["2012"]]}}},{"id":3143,"uris":["http://zotero.org/users/381007/items/9XN6UK3I"],"uri":["http://zotero.org/users/381007/items/9XN6UK3I"],"itemData":{"id":3143,"type":"article-journal","title":"How permeable is the Nonprofit Sector? Linking Resources, Demand, and Government Provision to the Distribution of Organizations Across Nonprofit Mission-Based Fields","container-title":"Nonprofit and Voluntary Sector Quarterly","page":"674-695","volume":"39","issue":"4","author":[{"family":"Stater","given":"Keeley Jones"}],"issued":{"date-parts":[["2010"]]}}},{"id":574,"uris":["http://zotero.org/users/381007/items/6SXN9XVC"],"uri":["http://zotero.org/users/381007/items/6SXN9XVC"],"itemData":{"id":574,"type":"article-journal","title":"Collaborative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Pr>
          <w:noProof/>
        </w:rPr>
        <w:t>(Brass 2012b; Stater 2010; Mitchell 2013)</w:t>
      </w:r>
      <w:r>
        <w:fldChar w:fldCharType="end"/>
      </w:r>
      <w:r>
        <w:t xml:space="preserve">. Political and demographic characteristics also play a role in some cases </w:t>
      </w:r>
      <w:r>
        <w:fldChar w:fldCharType="begin"/>
      </w:r>
      <w:r>
        <w:instrText xml:space="preserve"> ADDIN ZOTERO_ITEM CSL_CITATION {"citationID":"sZV3wZSE","properties":{"formattedCitation":"(Raschky and Schwindt 2012; Galway, Corbett, and Zeng 2012)","plainCitation":"(Raschky and Schwindt 2012; Galway, Corbett, and Zeng 2012)"},"citationItems":[{"id":3466,"uris":["http://zotero.org/users/381007/items/Z75TNNB4"],"uri":["http://zotero.org/users/381007/items/Z75TNNB4"],"itemData":{"id":3466,"type":"article-journal","title":"On the channel and type of aid: The case of international disaster assistance","container-title":"European Journal of Political Economy","page":"119-131","volume":"28","issue":"1","source":"CrossRef","DOI":"10.1016/j.ejpoleco.2011.07.001","ISSN":"01762680","shortTitle":"On the channel and type of aid","language":"en","author":[{"family":"Raschky","given":"Paul A."},{"family":"Schwindt","given":"Manijeh"}],"issued":{"date-parts":[["2012",3]]},"accessed":{"date-parts":[["2015",4,17]]}}},{"id":801,"uris":["http://zotero.org/users/381007/items/HTA3ACB7"],"uri":["http://zotero.org/users/381007/items/HTA3ACB7"],"itemData":{"id":801,"type":"article-journal","title":"Where are the NGOs and why? The distribution of health and development NGOs in Bolivia","container-title":"Globalization and health","page":"38","volume":"8","issue":"1","source":"Google Scholar","shortTitle":"Where are the NGOs and why?","author":[{"family":"Galway","given":"Lindsay P."},{"family":"Corbett","given":"Kitty K."},{"family":"Zeng","given":"Leilei"}],"issued":{"date-parts":[["2012"]]},"accessed":{"date-parts":[["2015",1,12]],"season":"17:44:23"}}}],"schema":"https://github.com/citation-style-language/schema/raw/master/csl-citation.json"} </w:instrText>
      </w:r>
      <w:r>
        <w:fldChar w:fldCharType="separate"/>
      </w:r>
      <w:r>
        <w:rPr>
          <w:noProof/>
        </w:rPr>
        <w:t>(Raschky and Schwindt 2012; Galway, Corbett, and Zeng 2012)</w:t>
      </w:r>
      <w:r>
        <w:fldChar w:fldCharType="end"/>
      </w:r>
      <w:r>
        <w:t xml:space="preserve">. Based on the support in the existing literature, this chapter focuses on need, economic, demographic, and political themes. </w:t>
      </w:r>
    </w:p>
    <w:p w:rsidR="001630DC" w:rsidRDefault="001630DC" w:rsidP="001630DC">
      <w:pPr>
        <w:spacing w:line="480" w:lineRule="auto"/>
      </w:pPr>
      <w:r>
        <w:tab/>
      </w:r>
      <w:r w:rsidRPr="002F743B">
        <w:t xml:space="preserve">Of these themes, perhaps the most consistent predictor of </w:t>
      </w:r>
      <w:r>
        <w:t>location</w:t>
      </w:r>
      <w:r w:rsidRPr="002F743B">
        <w:t xml:space="preserve"> in </w:t>
      </w:r>
      <w:r>
        <w:t>the</w:t>
      </w:r>
      <w:r w:rsidRPr="002F743B">
        <w:t xml:space="preserve"> domestic and international contexts is the level of need in a community. Koch et al. </w:t>
      </w:r>
      <w:r w:rsidRPr="002F743B">
        <w:fldChar w:fldCharType="begin"/>
      </w:r>
      <w:r>
        <w:instrText xml:space="preserve"> ADDIN ZOTERO_ITEM CSL_CITATION {"citationID":"klJ9qTuG","properties":{"formattedCitation":"(Koch et al. 2009)","plainCitation":"(Koch et al. 2009)"},"citationItems":[{"id":961,"uris":["http://zotero.org/users/381007/items/HT6W88M6"],"uri":["http://zotero.org/users/381007/items/HT6W88M6"],"itemData":{"id":961,"type":"article-journal","title":"Keeping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rsidRPr="002F743B">
        <w:fldChar w:fldCharType="separate"/>
      </w:r>
      <w:r w:rsidRPr="002F743B">
        <w:rPr>
          <w:noProof/>
        </w:rPr>
        <w:t>(2009)</w:t>
      </w:r>
      <w:r w:rsidRPr="002F743B">
        <w:fldChar w:fldCharType="end"/>
      </w:r>
      <w:r w:rsidRPr="002F743B">
        <w:t xml:space="preserve"> show that </w:t>
      </w:r>
      <w:r>
        <w:t>TNGO</w:t>
      </w:r>
      <w:r w:rsidRPr="002F743B">
        <w:t>s are active in the neediest countries in their analysis of 61 large organizations, a finding that is reinforced by within country cases utilizing institutional coverage and development measures as indicators of need</w:t>
      </w:r>
      <w:r>
        <w:t xml:space="preserve"> </w:t>
      </w:r>
      <w:r w:rsidRPr="002F743B">
        <w:t xml:space="preserve">in sub-Saharan Africa and Latin America </w:t>
      </w:r>
      <w:r w:rsidRPr="002F743B">
        <w:fldChar w:fldCharType="begin"/>
      </w:r>
      <w:r>
        <w:instrText xml:space="preserve"> ADDIN ZOTERO_ITEM CSL_CITATION {"citationID":"j4MnyekW","properties":{"formattedCitation":"(Brass 2012b; Galway, Corbett, and Zeng 2012)","plainCitation":"(Brass 2012b; Galway, Corbett, and Zeng 2012)"},"citationItems":[{"id":949,"uris":["http://zotero.org/users/381007/items/HCQ4K4HC"],"uri":["http://zotero.org/users/381007/items/HCQ4K4HC"],"itemData":{"id":949,"type":"article-journal","title":"Why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N."}],"issued":{"date-parts":[["2012"]]}}},{"id":801,"uris":["http://zotero.org/users/381007/items/HTA3ACB7"],"uri":["http://zotero.org/users/381007/items/HTA3ACB7"],"itemData":{"id":801,"type":"article-journal","title":"Where are the NGOs and why? The distribution of health and development NGOs in Bolivia","container-title":"Globalization and health","page":"38","volume":"8","issue":"1","source":"Google Scholar","shortTitle":"Where are the NGOs and why?","author":[{"family":"Galway","given":"Lindsay P."},{"family":"Corbett","given":"Kitty K."},{"family":"Zeng","given":"Leilei"}],"issued":{"date-parts":[["2012"]]},"accessed":{"date-parts":[["2015",1,12]],"season":"17:44:23"}}}],"schema":"https://github.com/citation-style-language/schema/raw/master/csl-citation.json"} </w:instrText>
      </w:r>
      <w:r w:rsidRPr="002F743B">
        <w:fldChar w:fldCharType="separate"/>
      </w:r>
      <w:r w:rsidRPr="002F743B">
        <w:rPr>
          <w:noProof/>
        </w:rPr>
        <w:t>(Brass 2012b; Galway, Corbett, and Zeng 2012)</w:t>
      </w:r>
      <w:r w:rsidRPr="002F743B">
        <w:fldChar w:fldCharType="end"/>
      </w:r>
      <w:r w:rsidRPr="002F743B">
        <w:t>.</w:t>
      </w:r>
      <w:r w:rsidRPr="00011BE4">
        <w:rPr>
          <w:rStyle w:val="FootnoteReference"/>
        </w:rPr>
        <w:footnoteReference w:id="9"/>
      </w:r>
      <w:r w:rsidRPr="002F743B">
        <w:t xml:space="preserve"> </w:t>
      </w:r>
      <w:r>
        <w:t>On the domestic side, s</w:t>
      </w:r>
      <w:r w:rsidRPr="002F743B">
        <w:t xml:space="preserve">tudies of domestic </w:t>
      </w:r>
      <w:r>
        <w:t>nonprofits</w:t>
      </w:r>
      <w:r w:rsidRPr="002F743B">
        <w:t xml:space="preserve"> often focus on service provision à la the hollow state as well as community need, arriving at similar conclusions. Lecy and Van Slyke </w:t>
      </w:r>
      <w:r w:rsidRPr="002F743B">
        <w:fldChar w:fldCharType="begin"/>
      </w:r>
      <w:r>
        <w:instrText xml:space="preserve"> ADDIN ZOTERO_ITEM CSL_CITATION {"citationID":"TCkK4nNv","properties":{"formattedCitation":"(Lecy and Van Slyke 2012)","plainCitation":"(Lecy and Van Slyke 2012)"},"citationItems":[{"id":1474,"uris":["http://zotero.org/users/381007/items/VSBUJRVU"],"uri":["http://zotero.org/users/381007/items/VSBUJRVU"],"itemData":{"id":1474,"type":"article-journal","title":"Nonprofit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M."}],"issued":{"date-parts":[["2012"]]}}}],"schema":"https://github.com/citation-style-language/schema/raw/master/csl-citation.json"} </w:instrText>
      </w:r>
      <w:r w:rsidRPr="002F743B">
        <w:fldChar w:fldCharType="separate"/>
      </w:r>
      <w:r w:rsidRPr="002F743B">
        <w:rPr>
          <w:noProof/>
        </w:rPr>
        <w:t>(2012)</w:t>
      </w:r>
      <w:r w:rsidRPr="002F743B">
        <w:fldChar w:fldCharType="end"/>
      </w:r>
      <w:r w:rsidRPr="002F743B">
        <w:t xml:space="preserve"> </w:t>
      </w:r>
      <w:r>
        <w:t>show</w:t>
      </w:r>
      <w:r w:rsidRPr="002F743B">
        <w:t xml:space="preserve"> that the </w:t>
      </w:r>
      <w:r>
        <w:t>source</w:t>
      </w:r>
      <w:r w:rsidRPr="002F743B">
        <w:t xml:space="preserve"> of funding matters as well as the level of need </w:t>
      </w:r>
      <w:r>
        <w:t xml:space="preserve">for nonprofit density </w:t>
      </w:r>
      <w:r w:rsidRPr="002F743B">
        <w:t>while hollow state argu</w:t>
      </w:r>
      <w:r>
        <w:t>ments are centered outsourcing responsibilities to maximize efficiency and effectiveness</w:t>
      </w:r>
      <w:r w:rsidRPr="002F743B">
        <w:t xml:space="preserve"> </w:t>
      </w:r>
      <w:r w:rsidRPr="002F743B">
        <w:fldChar w:fldCharType="begin"/>
      </w:r>
      <w:r>
        <w:instrText xml:space="preserve"> ADDIN ZOTERO_ITEM CSL_CITATION {"citationID":"JPlvg7nU","properties":{"formattedCitation":"(Milward and Provan 2000)","plainCitation":"(Milward and Provan 2000)"},"citationItems":[{"id":629,"uris":["http://zotero.org/users/381007/items/83TGU8BK"],"uri":["http://zotero.org/users/381007/items/83TGU8BK"],"itemData":{"id":629,"type":"article-journal","title":"Governing the Hollow State","container-title":"Journal of Public Administration Research and Theory","page":"359-380","volume":"10","issue":"2","abstract":"The hollow state is a metaphor for the increasing use of third parties, often nonprofits, to deliver social services and generally act in the name of the state. The normative question this research has raised, but not answered, is, What effect does government contracting with third-party providers have on the perceived legitimacy of the state? Examining mental health networks, the authors synthesize 10 years of research and find that effective governance (we do not know much about how to effectively manage these networks yet) is more likely to occur when certain elements are present, including a clear principal agent relationship to increase effective governance and principals who produce some services so that they have knowledge of ths costs; infrequent rebidding of contracts to promote stability. coopeartion, and long-term investment by third parties; and resources in combination with other elements of governance (resources are important, but only in combination with other elements.. throwing money at a problem is not effective, nor is underfudning it).","author":[{"family":"Milward","given":"H. Brinton"},{"family":"Provan","given":"Keith"}],"issued":{"date-parts":[["2000"]]}}}],"schema":"https://github.com/citation-style-language/schema/raw/master/csl-citation.json"} </w:instrText>
      </w:r>
      <w:r w:rsidRPr="002F743B">
        <w:fldChar w:fldCharType="separate"/>
      </w:r>
      <w:r w:rsidRPr="002F743B">
        <w:rPr>
          <w:noProof/>
        </w:rPr>
        <w:t>(Milward and Provan 2000)</w:t>
      </w:r>
      <w:r w:rsidRPr="002F743B">
        <w:fldChar w:fldCharType="end"/>
      </w:r>
      <w:r w:rsidRPr="002F743B">
        <w:t xml:space="preserve">. </w:t>
      </w:r>
      <w:r>
        <w:t xml:space="preserve">The hollow state is one explanation for nonprofit growth in the </w:t>
      </w:r>
      <w:r w:rsidRPr="002F743B">
        <w:t xml:space="preserve">North </w:t>
      </w:r>
      <w:r>
        <w:t xml:space="preserve">where the origins of the expanding sector </w:t>
      </w:r>
      <w:r w:rsidRPr="002F743B">
        <w:t xml:space="preserve">are often described in terms of democracy, government or market failure, or philanthropic </w:t>
      </w:r>
      <w:r>
        <w:t xml:space="preserve">culture </w:t>
      </w:r>
      <w:r>
        <w:fldChar w:fldCharType="begin"/>
      </w:r>
      <w:r>
        <w:instrText xml:space="preserve"> ADDIN ZOTERO_ITEM CSL_CITATION {"citationID":"hBlaa3FU","properties":{"formattedCitation":"(Milward 1994; Moulton and Eckerd 2012)","plainCitation":"(Milward 1994; Moulton and Eckerd 2012)"},"citationItems":[{"id":940,"uris":["http://zotero.org/users/381007/items/GWMG3AFC"],"uri":["http://zotero.org/users/381007/items/GWMG3AFC"],"itemData":{"id":940,"type":"article-journal","title":"Non-profit Contracting and the Hollow State","container-title":"Public Administration Review","page":"73-77","volume":"54","issue":"1","author":[{"family":"Milward","given":"H. Brinton"}],"issued":{"date-parts":[["1994"]]}}},{"id":3141,"uris":["http://zotero.org/users/381007/items/9SHT8RS7"],"uri":["http://zotero.org/users/381007/items/9SHT8RS7"],"itemData":{"id":3141,"type":"article-journal","title":"Preserving the Publicness of the Nonprofit Sector: Resources, Roles, and Public Values","container-title":"Nonprofit and Voluntary Sector Quarterly","page":"656-685","volume":"41","issue":"4","author":[{"family":"Moulton","given":"Stephanie"},{"family":"Eckerd","given":"Adam"}],"issued":{"date-parts":[["2012"]]}}}],"schema":"https://github.com/citation-style-language/schema/raw/master/csl-citation.json"} </w:instrText>
      </w:r>
      <w:r>
        <w:fldChar w:fldCharType="separate"/>
      </w:r>
      <w:r w:rsidRPr="00500960">
        <w:t>(Milward 1994; Moulton and Eckerd 2012)</w:t>
      </w:r>
      <w:r>
        <w:fldChar w:fldCharType="end"/>
      </w:r>
      <w:r>
        <w:t>. By comparison, the presence and g</w:t>
      </w:r>
      <w:r w:rsidRPr="002F743B">
        <w:t xml:space="preserve">rowth </w:t>
      </w:r>
      <w:r>
        <w:t>of</w:t>
      </w:r>
      <w:r w:rsidRPr="002F743B">
        <w:t xml:space="preserve"> </w:t>
      </w:r>
      <w:r>
        <w:t>TNGO</w:t>
      </w:r>
      <w:r w:rsidRPr="002F743B">
        <w:t xml:space="preserve">s in the </w:t>
      </w:r>
      <w:r>
        <w:t xml:space="preserve">Global </w:t>
      </w:r>
      <w:r w:rsidRPr="002F743B">
        <w:t>South is attributed to an influx of funds from government and private sources</w:t>
      </w:r>
      <w:r>
        <w:t>. These resources are the product of ramifications of the colonial period impacting contemporary bureaucracies, resulting in weak state institutions that are either unable or unwilling to provide services to citizens</w:t>
      </w:r>
      <w:r w:rsidRPr="002F743B">
        <w:t xml:space="preserve"> in</w:t>
      </w:r>
      <w:r>
        <w:t xml:space="preserve"> their respective countries </w:t>
      </w:r>
      <w:r w:rsidRPr="002F743B">
        <w:fldChar w:fldCharType="begin"/>
      </w:r>
      <w:r>
        <w:instrText xml:space="preserve"> ADDIN ZOTERO_ITEM CSL_CITATION {"citationID":"2packcAc","properties":{"formattedCitation":"(Smillie 1995; Anheier et al. 1999)","plainCitation":"(Smillie 1995; Anheier et al. 1999)"},"citationItems":[{"id":1514,"uris":["http://zotero.org/users/381007/items/WM8HZZ76"],"uri":["http://zotero.org/users/381007/items/WM8HZZ76"],"itemData":{"id":1514,"type":"book","title":"The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evolution?","author":[{"family":"Smillie","given":"Ian"}],"issued":{"date-parts":[["1995"]]}}},{"id":540,"uris":["http://zotero.org/users/381007/items/5XNNTDUN"],"uri":["http://zotero.org/users/381007/items/5XNNTDUN"],"itemData":{"id":540,"type":"book","title":"Global Civil Society: Dimensions of the Nonprofit Sector","publisher":"The Johns Hopkins Center for Civil Society Studies","publisher-place":"Baltimore","event-place":"Baltimore","abstract":"Lester M. Salamon, Helmut K. Anheier, Regina List, Stefan Toepler, S. Wojciech Sokolowski et. al., Global Civil Society: Dimensions of the Nonprofit Sector, the Johns Hopkins Center for Civil Society Studies, 1999.","editor":[{"family":"Salamon","given":"Lester M."}],"author":[{"family":"Anheier","given":"Helmut K."},{"family":"List","given":"Regina"},{"family":"Toepler","given":"Stefan"},{"family":"Sokolowski","given":"S. Wojciech"}],"issued":{"date-parts":[["1999"]]}}}],"schema":"https://github.com/citation-style-language/schema/raw/master/csl-citation.json"} </w:instrText>
      </w:r>
      <w:r w:rsidRPr="002F743B">
        <w:fldChar w:fldCharType="separate"/>
      </w:r>
      <w:r w:rsidRPr="002F743B">
        <w:rPr>
          <w:noProof/>
        </w:rPr>
        <w:t>(Smillie 1995; Anheier et al. 1999)</w:t>
      </w:r>
      <w:r w:rsidRPr="002F743B">
        <w:fldChar w:fldCharType="end"/>
      </w:r>
      <w:r w:rsidRPr="002F743B">
        <w:t xml:space="preserve">. This also </w:t>
      </w:r>
      <w:r>
        <w:t>carries connotations of</w:t>
      </w:r>
      <w:r w:rsidRPr="002F743B">
        <w:t xml:space="preserve"> government or market failure, but of a different </w:t>
      </w:r>
      <w:r>
        <w:t>strain</w:t>
      </w:r>
      <w:r w:rsidRPr="002F743B">
        <w:t xml:space="preserve"> than in the North. In </w:t>
      </w:r>
      <w:r>
        <w:t>both</w:t>
      </w:r>
      <w:r w:rsidRPr="002F743B">
        <w:t xml:space="preserve"> instance</w:t>
      </w:r>
      <w:r>
        <w:t>s</w:t>
      </w:r>
      <w:r w:rsidRPr="002F743B">
        <w:t xml:space="preserve">, it is the expertise and flexibility </w:t>
      </w:r>
      <w:r>
        <w:t xml:space="preserve">of domestic and international nonprofits </w:t>
      </w:r>
      <w:r w:rsidRPr="002F743B">
        <w:t xml:space="preserve">that helps to explain sector growth </w:t>
      </w:r>
      <w:r>
        <w:t>across both sets of organizations</w:t>
      </w:r>
      <w:r w:rsidRPr="002F743B">
        <w:t>.</w:t>
      </w:r>
      <w:r>
        <w:t xml:space="preserve"> </w:t>
      </w:r>
    </w:p>
    <w:p w:rsidR="001630DC" w:rsidRDefault="001630DC" w:rsidP="001630DC">
      <w:pPr>
        <w:spacing w:line="480" w:lineRule="auto"/>
      </w:pPr>
      <w:r>
        <w:tab/>
        <w:t xml:space="preserve">In the past, the role of TNGOs in relationship to government included the delivery of services such as education and social services to target populations. Importantly, they also served as instruments of colonial control and a vehicle for the promulgation of colonial values. Some argue that TNGOs continue to face similar trade-offs through government donors and issues of delegated authority today, while others counter that the allocation of resources between government and self-financed TNGOs is not so different </w:t>
      </w:r>
      <w:r>
        <w:fldChar w:fldCharType="begin"/>
      </w:r>
      <w:r>
        <w:instrText xml:space="preserve"> ADDIN ZOTERO_ITEM CSL_CITATION {"citationID":"porOOSDU","properties":{"formattedCitation":"(Smith 1989; Nunnenkamp, Weingarth, and Weisser 2009)","plainCitation":"(Smith 1989; Nunnenkamp, Weingarth, and Weisser 2009)"},"citationItems":[{"id":3213,"uris":["http://zotero.org/users/381007/items/RF5T9V3R"],"uri":["http://zotero.org/users/381007/items/RF5T9V3R"],"itemData":{"id":3213,"type":"chapter","title":"More than Altruism: The Politics of European International Charities","container-title":"The Nonprofit Sector in International Perspective: Studies in Comparative Culture and Policy","publisher":"Oxford University Press","publisher-place":"New York","page":"319-338","event-place":"New York","abstract":"\"During the height of the colonial era (from the mid-nineteenth to mid-twentieth centuries) a variety of religious and secular nonprofit organizations served important home-country interests by bringing educaitonal, cultural, an d social services to the territories in Afirca and Asia controlled by Great Britain, France, Beligum, Portugal, Germany, and the Netheerlands... many were subsidized by their respective home governments since they were seen asimportant instruments to spread EUropean values and control in the colonies\" (319) could argue that aid is the same, extension of colonialism?","editor":[{"family":"James","given":"Estelle"}],"author":[{"family":"Smith","given":"Brian H."}],"issued":{"date-parts":[["1989"]]}}},{"id":432,"uris":["http://zotero.org/users/381007/items/32F98BJJ"],"uri":["http://zotero.org/users/381007/items/32F98BJJ"],"itemData":{"id":432,"type":"article-journal","title":"Is NGO aid not so different after all? Comparing the allocation of Swiss aid by private and official donors","container-title":"European Journal of Political Economy","page":"422-438","volume":"25","abstract":"Being closer to the poor, NGOs are widely believed to provide better targeted aid than state\nagencies. But empirical evidence is largely lacking.We contribute to closing this gap by drawing\non an exceptionally detailed Swiss database that covers different forms of NGO aid and several\nofficial aid benchmarks. The Tobit estimations account for both altruistic and selfish aid\nmotivations. Whether or not NGOs provide better targeted aid depends on the source of NGO\nfunding as well as the choice of the official benchmark. In contrast to widespread belief,\nhowever, the allocation of self-financed NGO aid reveals striking similarities to the allocation of\nofficial Swiss development aid.","author":[{"family":"Nunnenkamp","given":"Peter"},{"family":"Weingarth","given":"Janina"},{"family":"Weisser","given":"Johannes"}],"issued":{"date-parts":[["2009"]]}}}],"schema":"https://github.com/citation-style-language/schema/raw/master/csl-citation.json"} </w:instrText>
      </w:r>
      <w:r>
        <w:fldChar w:fldCharType="separate"/>
      </w:r>
      <w:r w:rsidRPr="00C14EBE">
        <w:t>(Smith 1989; Nunnenkamp, Weingarth, and Weisser 2009)</w:t>
      </w:r>
      <w:r>
        <w:fldChar w:fldCharType="end"/>
      </w:r>
      <w:r>
        <w:t xml:space="preserve">. Instead, TNGOs form transnational networks that work to transform values at the state, individual, and group levels, thereby exercising their own brand of influence </w:t>
      </w:r>
      <w:r>
        <w:fldChar w:fldCharType="begin"/>
      </w:r>
      <w:r>
        <w:instrText xml:space="preserve"> ADDIN ZOTERO_ITEM CSL_CITATION {"citationID":"L5Yrat27","properties":{"formattedCitation":"(Keck and Sikkink 1998)","plainCitation":"(Keck and Sikkink 1998)"},"citationItems":[{"id":3216,"uris":["http://zotero.org/users/381007/items/S3PFUTDP"],"uri":["http://zotero.org/users/381007/items/S3PFUTDP"],"itemData":{"id":3216,"type":"book","title":"Activists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E."},{"family":"Sikkink","given":"Kathryn"}],"issued":{"date-parts":[["1998"]]}}}],"schema":"https://github.com/citation-style-language/schema/raw/master/csl-citation.json"} </w:instrText>
      </w:r>
      <w:r>
        <w:fldChar w:fldCharType="separate"/>
      </w:r>
      <w:r w:rsidRPr="002F6C8A">
        <w:t>(Keck and Sikkink 1998)</w:t>
      </w:r>
      <w:r>
        <w:fldChar w:fldCharType="end"/>
      </w:r>
      <w:r>
        <w:t xml:space="preserve">. If TNGOs and states do make similar choices about resource allocation or physical location and this finding is generalizable, it may indicate that each makes similar evaluations of where and to whom to allocate resources. However, location decisions reach dollars and donors. </w:t>
      </w:r>
      <w:r>
        <w:fldChar w:fldCharType="begin"/>
      </w:r>
      <w:r>
        <w:instrText xml:space="preserve"> ADDIN ZOTERO_ITEM CSL_CITATION {"citationID":"gcEnBQL0","properties":{"formattedCitation":"(Koch et al. 2009)","plainCitation":"(Koch et al. 2009)"},"citationItems":[{"id":961,"uris":["http://zotero.org/users/381007/items/HT6W88M6"],"uri":["http://zotero.org/users/381007/items/HT6W88M6"],"itemData":{"id":961,"type":"article-journal","title":"Keeping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fldChar w:fldCharType="separate"/>
      </w:r>
      <w:r w:rsidRPr="0072262C">
        <w:t xml:space="preserve">Koch et al. </w:t>
      </w:r>
      <w:r>
        <w:t>(</w:t>
      </w:r>
      <w:r w:rsidRPr="0072262C">
        <w:t>2009)</w:t>
      </w:r>
      <w:r>
        <w:fldChar w:fldCharType="end"/>
      </w:r>
      <w:r>
        <w:t xml:space="preserve"> note that common history or characteristics influence the location choices of TNGOs, finding that TNGOs are more likely to locate in countries with shared colonial history or language, religion, or other characteristics.</w:t>
      </w:r>
    </w:p>
    <w:p w:rsidR="001630DC" w:rsidRDefault="001630DC" w:rsidP="001630DC">
      <w:pPr>
        <w:spacing w:line="480" w:lineRule="auto"/>
      </w:pPr>
      <w:r>
        <w:tab/>
        <w:t xml:space="preserve">A second stream of research addresses networks or collaboration among TNGOs, described as the “convenience” explanation for TNGO location. Here, location at the macro and micro levels is driven by rational choice. Access to a region </w:t>
      </w:r>
      <w:r w:rsidR="001C255D">
        <w:t>either through infrastructure or</w:t>
      </w:r>
      <w:r>
        <w:t xml:space="preserve"> </w:t>
      </w:r>
      <w:r w:rsidR="001C255D">
        <w:t xml:space="preserve">lack of access due to </w:t>
      </w:r>
      <w:r>
        <w:t xml:space="preserve">conflict is key to operations and the mission of an organization. Tolerance for degrees of access and instability vary by sector, yet it serves as a basic guideline for when to enter and exit in the decision-making process across TNGOs. Competent individuals in technical and administrative capacities must also staff programs. At the same time, that staff must be able to communicate with headquarters, other offices, and procure necessary supplies making infrastructure such as roads and cell networks necessary. TNGOs may also select sites based on professional or personal networks </w:t>
      </w:r>
      <w:r>
        <w:fldChar w:fldCharType="begin"/>
      </w:r>
      <w:r>
        <w:instrText xml:space="preserve"> ADDIN ZOTERO_ITEM CSL_CITATION {"citationID":"sWm0D2Sb","properties":{"formattedCitation":"(Brass 2012b)","plainCitation":"(Brass 2012b)"},"citationItems":[{"id":949,"uris":["http://zotero.org/users/381007/items/HCQ4K4HC"],"uri":["http://zotero.org/users/381007/items/HCQ4K4HC"],"itemData":{"id":949,"type":"article-journal","title":"Why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fldChar w:fldCharType="separate"/>
      </w:r>
      <w:r w:rsidRPr="00500960">
        <w:t>(Brass 2012b)</w:t>
      </w:r>
      <w:r>
        <w:fldChar w:fldCharType="end"/>
      </w:r>
      <w:r>
        <w:t xml:space="preserve">, although some sectors are more likely to collaborate than others </w:t>
      </w:r>
      <w:r>
        <w:fldChar w:fldCharType="begin"/>
      </w:r>
      <w:r>
        <w:instrText xml:space="preserve"> ADDIN ZOTERO_ITEM CSL_CITATION {"citationID":"djBjE1Ui","properties":{"formattedCitation":"(Mitchell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Pr>
          <w:noProof/>
        </w:rPr>
        <w:t>(Mitchell 2013)</w:t>
      </w:r>
      <w:r>
        <w:fldChar w:fldCharType="end"/>
      </w:r>
      <w:r>
        <w:t xml:space="preserve">. A country’s demographic make-up may be a challenge in the delivery of services and act as a disincentive for TNGO location </w:t>
      </w:r>
      <w:r>
        <w:fldChar w:fldCharType="begin"/>
      </w:r>
      <w:r>
        <w:instrText xml:space="preserve"> ADDIN ZOTERO_ITEM CSL_CITATION {"citationID":"BQCrxmdQ","properties":{"formattedCitation":"(Juma and Clark 1995; Habyarimana et al. 2007; Lieberman 2009)","plainCitation":"(Juma and Clark 1995; Habyarimana et al. 2007; Lieberman 2009)"},"citationItems":[{"id":793,"uris":["http://zotero.org/users/381007/items/D6FPAWIT"],"uri":["http://zotero.org/users/381007/items/D6FPAWIT"],"itemData":{"id":793,"type":"article-journal","title":"Policy Research in sub-Saharan Africa: An Exploration","container-title":"Public Administration and Development","page":"121-137","volume":"15","abstract":"Examines the policy process in Africa, reform, change, and stakeholder participation. Recommends innovative institional contexts and novel managerial capabilities in order to overcome colonial approach to the public as a source of problems to be neutralized and rigid bureaucratic structures.","author":[{"family":"Juma","given":"Calestous"},{"family":"Clark","given":"Norman"}],"issued":{"date-parts":[["1995"]]}}},{"id":902,"uris":["http://zotero.org/users/381007/items/FTQVHTQ4"],"uri":["http://zotero.org/users/381007/items/FTQVHTQ4"],"itemData":{"id":902,"type":"article-journal","title":"Why Does Ethnic Diversity Undermine Public Goods Provision?","container-title":"American Political Science Review","page":"709-725","volume":"101","issue":"04","author":[{"family":"Habyarimana","given":"James"},{"family":"Humphreys","given":"Macartan"},{"family":"Posner","given":"Daniel N."},{"family":"Weinstein","given":"Jeremy M."}],"issued":{"date-parts":[["2007"]]}}},{"id":1046,"uris":["http://zotero.org/users/381007/items/JSV55BMA"],"uri":["http://zotero.org/users/381007/items/JSV55BMA"],"itemData":{"id":1046,"type":"book","title":"Boundaries of Contagion: How Ethnic Politics Have Shaped Government Responses to AIDS","publisher":"Princeton University Press","publisher-place":"Princeton","event-place":"Princeton","abstract":"Examines the role of state capacity, democratic institutions, civil society, and international actors in policy responses to HIV, but argues that these categories do not fully explain variation from country to country.  Instead, differences in governmental responses should be understood in terms of ethnic diversity and conflict (ethnic boundary institutions), which negatively affect the provision of public goods.  Where ethnic boundaries are more defined, the disease is understood in terms of ethnicity and policy implementation is influenced. Using the case of South Africa and Brazil, Lieberman finds that the national government's response to HIV has been more aggressive than in South Africa because the AIDS bureaucracy is well institutionalized and the government has been a lead actor rather than NGOs. In South Africa, the AIDS bureaucracy was established much later and had fewer staff whereas Brazil allocated social expenditures toward AIDS realted efforts earlier and spent more per capita.  Arguments concerning state capacity do not explain differences between these two cases because South Africa exceeded measures of state capacity compared to Brazil for most years between 1980 and 2002. Democratic institutions and civil society also not not provide a full explanation because South Africa's weak response has persisted depsite a greater degree of civil liberties and higher Polity Score than Brazil. Pressures of global governance on developing countries (from WHO, etc.) is also inadequate explanation because both cases are among the highest per capita income levels in their regions and have refused international assistance, even in the area of HIV. South Africa has been reluctant to adopt stronger policies despite international pressure. Leadership is also inadequate because charismatic leaders like Mandela have weak policies whereas \"unremarkable\" leaders in other countries have responded aggressively.  \n\nLieberman adds to the discussion ethnic boundaries, nting that South Africa had extremely institutionalized boundaries under apartheid and epidemiological data is still collected along racial lines today.  Brazil, however, has actively promoted nonracialization and Portuguese as a single langauge to unite groups (S. Africa as multi-lingual boundaries) and prohibits racial discriminiation - thus, strong ethnic boundaries on AIDS policy in South Africa has been a racialization about the discourse of risk, blame, and how to respond (how the disease is understood).  In a third case, India, Liberman finds that ethnic diversity is not a good predictor of AIDS policy, but ethnic boundaries still seem to have an impact (higher % of state population vs intercaste marriages are associated with lower state AIDS expenditures per capita).","author":[{"family":"Lieberman","given":"Evan S."}],"issued":{"date-parts":[["2009"]]}}}],"schema":"https://github.com/citation-style-language/schema/raw/master/csl-citation.json"} </w:instrText>
      </w:r>
      <w:r>
        <w:fldChar w:fldCharType="separate"/>
      </w:r>
      <w:r>
        <w:rPr>
          <w:noProof/>
        </w:rPr>
        <w:t>(Juma and Clark 1995; Habyarimana et al. 2007; Lieberman 2009)</w:t>
      </w:r>
      <w:r>
        <w:fldChar w:fldCharType="end"/>
      </w:r>
      <w:r>
        <w:t xml:space="preserve">. While Brass discusses location at the sub-national level, her observations about convenience are extendable to the national level, particularly among TNGOs working in less developed countries. Location based on convenience leads to the expectation that politicians engaged in patron-client systems will be able to channel TNGOs to specific locations </w:t>
      </w:r>
      <w:r>
        <w:fldChar w:fldCharType="begin"/>
      </w:r>
      <w:r>
        <w:instrText xml:space="preserve"> ADDIN ZOTERO_ITEM CSL_CITATION {"citationID":"ooDabT2q","properties":{"formattedCitation":"(Bratton 1989b; Ekeh, Peter P. 1975)","plainCitation":"(Bratton 1989b; Ekeh, Peter P. 1975)"},"citationItems":[{"id":1423,"uris":["http://zotero.org/users/381007/items/UG2HIV6H"],"uri":["http://zotero.org/users/381007/items/UG2HIV6H"],"itemData":{"id":1423,"type":"article-journal","title":"The Politics of Government-NGO Relations in Africa","container-title":"World Development","page":"569-587","volume":"17","issue":"4","abstract":"Non-governmental organizations (NGOs), deservedly or not. have gained a reputation as the leading practitioners of rural development in Africa. African governments have responded ambiguously to the presence of these new agencies, on the one hand valuing the economic resources NGOs can raise, but resisting the political pluralization implied by popular development action. This article describes the growth of NGOs in Africa and proposes a framework for analyzing the dynamics of government-NGO relations. By means of examples drawn from Kenya and Zimbabwe, the article illustrates  strategies used by governments to exercise control, and by NGOs to assert autonomy. An argument is made that politics, rather than economics, best explain the contribution of NGOs to development, as well as the attitude of governments toward the burgeoning voluntary sector. Finds that NGOs do not seek to supplant the state and have been able to maintain nonconfrontational relationships for the start.  Goverments have acknowledged the supplementary contribution of NGOs so long as it has not been accompanied by attempts to seize public initiative or take political credit. NGO-government relations are likely to be most successful where populist policies and capable government meets NGOs that wish to pursue development programs in a \"nation's heartland\" and conflictual where weak and defensive gov w/ limited power base meets and NGO seeking to promote community mobilization in contested border areas.  Otherwise, relations are likely to run hot/cold depending on the government's perception of natioanl security.","author":[{"family":"Bratton","given":"Michael"}],"issued":{"date-parts":[["1989"]]}}},{"id":898,"uris":["http://zotero.org/users/381007/items/FSW94ATS"],"uri":["http://zotero.org/users/381007/items/FSW94ATS"],"itemData":{"id":898,"type":"article-journal","title":"Colonialism and the Two Publics in Africa: A Theoretical Statement","container-title":"Comparative Studies in Society and History","page":"91-112","volume":"17","issue":"1","author":[{"family":"Ekeh, Peter P.","given":""}],"issued":{"date-parts":[["1975"]]}}}],"schema":"https://github.com/citation-style-language/schema/raw/master/csl-citation.json"} </w:instrText>
      </w:r>
      <w:r>
        <w:fldChar w:fldCharType="separate"/>
      </w:r>
      <w:r w:rsidRPr="00283711">
        <w:t>(Bratton 1989b; Ekeh, Peter P. 1975)</w:t>
      </w:r>
      <w:r>
        <w:fldChar w:fldCharType="end"/>
      </w:r>
      <w:r>
        <w:t xml:space="preserve">, yet others find evidence refuting this </w:t>
      </w:r>
      <w:r>
        <w:fldChar w:fldCharType="begin"/>
      </w:r>
      <w:r>
        <w:instrText xml:space="preserve"> ADDIN ZOTERO_ITEM CSL_CITATION {"citationID":"gimrguR4","properties":{"formattedCitation":"(Kasara, Kimuli 2007; Brass 2012b)","plainCitation":"(Kasara, Kimuli 2007; Brass 2012b)"},"citationItems":[{"id":759,"uris":["http://zotero.org/users/381007/items/CBBIFDTJ"],"uri":["http://zotero.org/users/381007/items/CBBIFDTJ"],"itemData":{"id":759,"type":"article-journal","title":"Tax Me If You Can: Ethnic Geography, Democracy, and the Taxation of Agriculture in Africa","container-title":"American Political Science Review","page":"159-172","volume":"101","issue":"1","author":[{"family":"Kasara, Kimuli","given":""}],"issued":{"date-parts":[["2007"]]},"accessed":{"date-parts":[["2011",11,4]]}}},{"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fldChar w:fldCharType="separate"/>
      </w:r>
      <w:r>
        <w:rPr>
          <w:noProof/>
        </w:rPr>
        <w:t>(Kasara 2007; Brass 2012b)</w:t>
      </w:r>
      <w:r>
        <w:fldChar w:fldCharType="end"/>
      </w:r>
      <w:r>
        <w:t xml:space="preserve">. Donor pressure may explain clustering through monetary and accountability channels as well as the clustering of organizations geographically and concentrations by sector </w:t>
      </w:r>
      <w:r w:rsidRPr="00D57A42">
        <w:fldChar w:fldCharType="begin"/>
      </w:r>
      <w:r>
        <w:instrText xml:space="preserve"> ADDIN ZOTERO_ITEM CSL_CITATION {"citationID":"W0oLehgJ","properties":{"formattedCitation":"(DiMaggio and Powell 1983; Alnoor Ebrahim 2003; Edwards and Hulme 1996c; Hearn 2007; Green 2012)","plainCitation":"(DiMaggio and Powell 1983; Alnoor Ebrahim 2003; Edwards and Hulme 1996c; Hearn 2007; Green 2012)"},"citationItems":[{"id":3540,"uris":["http://zotero.org/users/381007/items/G84K8SDW"],"uri":["http://zotero.org/users/381007/items/G84K8SDW"],"itemData":{"id":3540,"type":"article-journal","title":"The Iron Cage Revisited: Institutional Isomorphism and Collective Rationality in Organizational Fields","container-title":"American Sociological Review","page":"147-160","volume":"48","issue":"April","abstract":"What makes organizations similar? 3 isomorphic processes: coercive, mimetic, and normative - leads to similarities among actors. The more a field is depenent upon a single resource center, the greater the degree of isomorphism.  See also article on why nonprofits conform to reporting requirements and Atouba and Shumate 2015 on homophily.","author":[{"family":"DiMaggio","given":"Paul"},{"family":"Powell","given":"Walter W."}],"issued":{"date-parts":[["1983"]]}}},{"id":681,"uris":["http://zotero.org/users/381007/items/9NZX5BP5"],"uri":["http://zotero.org/users/381007/items/9NZX5BP5"],"itemData":{"id":681,"type":"article-journal","title":"Accountability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id":971,"uris":["http://zotero.org/users/381007/items/HZAX4RXK"],"uri":["http://zotero.org/users/381007/items/HZAX4RXK"],"itemData":{"id":971,"type":"article-journal","title":"Too Close for Comfort?  The Impact of Official Aid on Nongovernmental Organizations","container-title":"World Development","page":"961-973","volume":"24","issue":"6","abstract":"In promoting a “New Policy Agenda,” bilateral and multilateral donor agencies are keen\nto finance nongovernmental organisations (NGOs) and grassroots organizations (GROs) on the grounds of their economic efficiency and contribution to “good governance.” NGOs viewed as more efficient and cost-effective service providers by many.  \nThis paper reviews the impact of this trend on NGO/GRO programming, performance, legitimacy and accountability. If finds that much of the case for emphasizing the role of NGOs/GROs rests on ideological grounds rather than empirical verification. In addition, though the evidence is inconclusive, there. are signs that greater dependence on official funding may compromise NGO/GRO performance in key areas, distort accountability, and weaken legitimacy. Evidence available suggests that NGOs who wish to remain effective/accountable under the New Policy Agenda should diversify funding sources and prusue strategies to raise funds locally as a means to promote sustainability and legitimacy in the long-term.","author":[{"family":"Edwards","given":"Michael"},{"family":"Hulme","given":"David"}],"issued":{"date-parts":[["1996"]]}}},{"id":418,"uris":["http://zotero.org/users/381007/items/2N8FC9FN"],"uri":["http://zotero.org/users/381007/items/2N8FC9FN"],"itemData":{"id":418,"type":"article-journal","title":"African NGOs: The New Compradors?","container-title":"Development &amp; Change","page":"1095-1110","volume":"38","issue":"6","abstract":"In the course of the last twenty-five years, Africa has witnessed an astounding growth in the number and influence of non-governmental organizations (NGOs) in general, and more recently of African NGOs in particular. Initially, the literature on this was dominated by the concerns of the policy-making and NGO communities, drawing on liberal pluralist theory. Lately, an independent, critical literature has developed based on substantial empirical research. Its findings make for uncomfortable reading. They document the essential lack of autonomy of local non-state actors and their very close relationship to Northern governments. This essay argues that the position of NGOs must be theorized within the wider context of the global political economy of the continent. With this in mind, it investigates the rationale for using a comprador perspective to understand the contemporary role of African NGOs.","author":[{"family":"Hearn","given":"Julie"}],"issued":{"date-parts":[["2007"]]}}},{"id":1386,"uris":["http://zotero.org/users/381007/items/TTFZVFF3"],"uri":["http://zotero.org/users/381007/items/TTFZVFF3"],"itemData":{"id":1386,"type":"article-journal","title":"Anticipatory Development: Mobilizing Civil Society in Tanzaia","container-title":"Critique of Anthropology","page":"309-333","volume":"32","issue":"3","abstract":"Examines the globalization of civil society (relationship of local NGOs to iNGOs in development) through the proliferation of NGOs in developing countries by focusing on the technologies and methods (capacity buiding, training, development relationships) through wich expansion becomes possible.  These organiations do not represent an extension of state power, but a multiplicity of peripheral positions from which actors seek conractual engagement in development relations.\n\nNumerous small scale NGOs are seeking to establish themselves as small scale development actors in Tanzania, often comprised of serving or former public officials or staff of development projects who see themselves as volunteers.  Such organizations aim to partner with larger development agencies as a means of securing a place within international development.  Over the past 15 years, new forms of international influence and inclusion within transnational policy regimes associated with hegemonic policy models of the World Bank and IMF have come to fruition through bilateral, multilateral and non-government donor organizations. The extension of small scale NGOs in Africa is considered as local civil society by donors is part of of this effect. The majority of these orgs aren't engaged in development activities and have not secured access to funds, they are best understood as development agents \"in waiting\" who adjacently occupy development relations rather than as extensions of neoliberal governing (310).  Instead they participate in \"anticipatory development\" where they try to convert their peripherality to development orders that will adjacently allow them recognition and ultimately access to funding streams.","author":[{"family":"Green","given":"Maia"}],"issued":{"date-parts":[["2012"]]}}}],"schema":"https://github.com/citation-style-language/schema/raw/master/csl-citation.json"} </w:instrText>
      </w:r>
      <w:r w:rsidRPr="00D57A42">
        <w:fldChar w:fldCharType="separate"/>
      </w:r>
      <w:r w:rsidRPr="00283711">
        <w:t>(DiMaggio and Powell 1983; Alnoor Ebrahim 2003; Edwards and Hulme 1996c; Hearn 2007; Green 2012)</w:t>
      </w:r>
      <w:r w:rsidRPr="00D57A42">
        <w:fldChar w:fldCharType="end"/>
      </w:r>
      <w:r w:rsidRPr="00D57A42">
        <w:t>.</w:t>
      </w:r>
      <w:r>
        <w:t xml:space="preserve"> Clustering programmatically and geographically is related to the survivability of an organization as it seeks to achieve as much coverage as possible. For example, Fruterro and Gauri </w:t>
      </w:r>
      <w:r>
        <w:fldChar w:fldCharType="begin"/>
      </w:r>
      <w:r>
        <w:instrText xml:space="preserve"> ADDIN ZOTERO_ITEM CSL_CITATION {"citationID":"TOHqaxx6","properties":{"formattedCitation":"(Fruttero and Gauri 2005)","plainCitation":"(Fruttero and Gauri 2005)"},"citationItems":[{"id":1311,"uris":["http://zotero.org/users/381007/items/STMX9W64"],"uri":["http://zotero.org/users/381007/items/STMX9W64"],"itemData":{"id":1311,"type":"article-journal","title":"The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community.","author":[{"family":"Fruttero","given":"Anna"},{"family":"Gauri","given":"Varun"}],"issued":{"date-parts":[["2005"]]}}}],"schema":"https://github.com/citation-style-language/schema/raw/master/csl-citation.json"} </w:instrText>
      </w:r>
      <w:r>
        <w:fldChar w:fldCharType="separate"/>
      </w:r>
      <w:r>
        <w:rPr>
          <w:noProof/>
        </w:rPr>
        <w:t>(2005)</w:t>
      </w:r>
      <w:r>
        <w:fldChar w:fldCharType="end"/>
      </w:r>
      <w:r>
        <w:t xml:space="preserve"> present evidence that TNGOs show little consideration for the duplication of services in the case of Bangladesh. Responses to these types of donor pressure must be carefully considered on the part of TNGOs and choices are limited </w:t>
      </w:r>
      <w:r w:rsidRPr="00676D44">
        <w:fldChar w:fldCharType="begin"/>
      </w:r>
      <w:r>
        <w:instrText xml:space="preserve"> ADDIN ZOTERO_ITEM CSL_CITATION {"citationID":"qezJDDEp","properties":{"formattedCitation":"(AbouAssi 2012; Froelich 1999)","plainCitation":"(AbouAssi 2012; Froelich 1999)"},"citationItems":[{"id":436,"uris":["http://zotero.org/users/381007/items/34QQGVBT"],"uri":["http://zotero.org/users/381007/items/34QQGVBT"],"itemData":{"id":436,"type":"article-journal","title":"Mercurial Donors: NGO Response to Shifting Funding Priorities","container-title":"Nonprofit and Voluntary Sector Quarterly","page":"584-602","volume":"42","issue":"3","abstract":"The NGO–donor relationship is especially volatile. NGOs in developing countries heavily rely on foreign donor funding and donor dominance is evident. This article explores the relationship at times when donors revise funding priorities and partner NGOs try to adapt. The article draws on qualitative research of multiple observations to study the decisions of four NGOs in response to several shifts in donor funding. The analysis reveals variation in NGO responses to such shifts: suspend the relationship, reach common ground, automatically execute the donor’s interests, and voluntarily and deliberately adapt to the situation. Building on Hirschman’s typology, four modes of NGOs’ response are identified: exit, voice, loyalty, and, a newly proposed mode, adjustment. Additional interpretation of NGOs’ responses and possible implications for NGO management are discussed.","author":[{"family":"AbouAssi","given":"Khaldoun"}],"issued":{"date-parts":[["2012"]]}}},{"id":3165,"uris":["http://zotero.org/users/381007/items/ES6WPZSJ"],"uri":["http://zotero.org/users/381007/items/ES6WPZSJ"],"itemData":{"id":3165,"type":"article-journal","title":"Diversification of Revenue Strategies: Evolving Resource Dependence in Nonprofit Organizations","container-title":"Nonprofit and Voluntary Sector Quarterly","page":"246-268","volume":"28","issue":"3","author":[{"family":"Froelich","given":"Karen A."}],"issued":{"date-parts":[["1999"]]}}}],"schema":"https://github.com/citation-style-language/schema/raw/master/csl-citation.json"} </w:instrText>
      </w:r>
      <w:r w:rsidRPr="00676D44">
        <w:fldChar w:fldCharType="separate"/>
      </w:r>
      <w:r w:rsidRPr="00676D44">
        <w:rPr>
          <w:noProof/>
        </w:rPr>
        <w:t>(AbouAssi 2012; Froelich 1999)</w:t>
      </w:r>
      <w:r w:rsidRPr="00676D44">
        <w:fldChar w:fldCharType="end"/>
      </w:r>
      <w:r>
        <w:t>.</w:t>
      </w:r>
    </w:p>
    <w:p w:rsidR="001630DC" w:rsidRDefault="001630DC" w:rsidP="001630DC">
      <w:pPr>
        <w:spacing w:line="480" w:lineRule="auto"/>
      </w:pPr>
    </w:p>
    <w:p w:rsidR="001630DC" w:rsidRDefault="001630DC" w:rsidP="001630DC"/>
    <w:p w:rsidR="001630DC" w:rsidRPr="008D289A" w:rsidRDefault="001630DC" w:rsidP="008D289A">
      <w:pPr>
        <w:pStyle w:val="Subheading1"/>
        <w:rPr>
          <w:sz w:val="24"/>
          <w:szCs w:val="24"/>
        </w:rPr>
      </w:pPr>
      <w:bookmarkStart w:id="268" w:name="_Toc450079214"/>
      <w:r w:rsidRPr="008D289A">
        <w:rPr>
          <w:sz w:val="24"/>
          <w:szCs w:val="24"/>
        </w:rPr>
        <w:t>2.3: Country Characteristics and TNGO Decision-making</w:t>
      </w:r>
      <w:bookmarkEnd w:id="268"/>
    </w:p>
    <w:p w:rsidR="001630DC" w:rsidRPr="007B7DF8" w:rsidRDefault="001630DC" w:rsidP="001630DC">
      <w:pPr>
        <w:rPr>
          <w:b/>
        </w:rPr>
      </w:pPr>
    </w:p>
    <w:p w:rsidR="001630DC" w:rsidRDefault="001630DC" w:rsidP="001630DC">
      <w:pPr>
        <w:spacing w:line="480" w:lineRule="auto"/>
      </w:pPr>
      <w:r>
        <w:tab/>
        <w:t xml:space="preserve">Based on the literature, this chapter concentrates on </w:t>
      </w:r>
      <w:r w:rsidR="00C40C9E">
        <w:t>two</w:t>
      </w:r>
      <w:r>
        <w:t xml:space="preserve"> areas that may influence the attractiveness of a country to TNGOs: the operating </w:t>
      </w:r>
      <w:r w:rsidR="00C40C9E">
        <w:t xml:space="preserve">and political </w:t>
      </w:r>
      <w:r>
        <w:t>environment</w:t>
      </w:r>
      <w:r w:rsidR="00C40C9E">
        <w:t>s</w:t>
      </w:r>
      <w:r>
        <w:t xml:space="preserve">. </w:t>
      </w:r>
      <w:r w:rsidR="00C40C9E">
        <w:t xml:space="preserve">As controls, it introduces demographic and economic characteristics for each case. </w:t>
      </w:r>
      <w:r>
        <w:t xml:space="preserve">These groupings represent supported explanations for nonprofit and TNGO location in the existing literature. For example, the level of need and resource dependency arguments each present perspectives on why nonprofits go where they go as well as reasoning for the varieties of programming in which they engage. On one hand, the emphasis is placed on inequality, service voids, and marginalized populations. Where there is need, one can expect nonprofits to step in on the domestic and international stages. On the other hand, such organizations are rational decision-makers that must allocate human and financial resources, prioritizing one program or location over another. When speaking of country-level location and priorities convenience must also be taken into consideration, meaning that if a location is unreachable due to infrastructure, conflict, or other barriers it never has the opportunity to move from problem to objective. Convenience points to capacity rather than ease; more specifically, can the organization in question reach the target population, secure supplies, and so on necessary to achieve its objectives. Networks might facilitate such goals through collaborative </w:t>
      </w:r>
      <w:r w:rsidR="004233D7">
        <w:t>efforts;</w:t>
      </w:r>
      <w:r>
        <w:t xml:space="preserve"> however, some organizations shun duplication </w:t>
      </w:r>
      <w:r w:rsidR="004233D7">
        <w:t xml:space="preserve">of services </w:t>
      </w:r>
      <w:r>
        <w:t xml:space="preserve">and are as likely to avoid over saturated areas. There is some overlap between the operational, political, demographic, and economic/development categories with one variable easily placed in another category. For analytical purposes the categories have been selected along the lines of supported explanations and literature. However, theoretical boxes are rarely so neatly defined in reality. Consequently, these blurred lines underline the difficulty of TNGO decision and its interdisciplinary character. </w:t>
      </w:r>
    </w:p>
    <w:p w:rsidR="001630DC" w:rsidRDefault="001630DC" w:rsidP="001630DC">
      <w:pPr>
        <w:spacing w:after="160" w:line="259" w:lineRule="auto"/>
      </w:pPr>
    </w:p>
    <w:p w:rsidR="001630DC" w:rsidRPr="0084562E" w:rsidRDefault="002F33C7" w:rsidP="001630DC">
      <w:pPr>
        <w:spacing w:after="160" w:line="259" w:lineRule="auto"/>
      </w:pPr>
      <w:r>
        <w:rPr>
          <w:noProof/>
        </w:rPr>
        <w:drawing>
          <wp:inline distT="0" distB="0" distL="0" distR="0">
            <wp:extent cx="5266055" cy="3522345"/>
            <wp:effectExtent l="25400" t="0" r="0" b="0"/>
            <wp:docPr id="1" name="Picture 0" descr="Ch2_The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h2_Themes.jpg"/>
                    <pic:cNvPicPr>
                      <a:picLocks noChangeAspect="1" noChangeArrowheads="1"/>
                    </pic:cNvPicPr>
                  </pic:nvPicPr>
                  <pic:blipFill>
                    <a:blip r:embed="rId9">
                      <a:grayscl/>
                    </a:blip>
                    <a:srcRect/>
                    <a:stretch>
                      <a:fillRect/>
                    </a:stretch>
                  </pic:blipFill>
                  <pic:spPr bwMode="auto">
                    <a:xfrm>
                      <a:off x="0" y="0"/>
                      <a:ext cx="5266055" cy="3522345"/>
                    </a:xfrm>
                    <a:prstGeom prst="rect">
                      <a:avLst/>
                    </a:prstGeom>
                    <a:noFill/>
                    <a:ln w="9525">
                      <a:noFill/>
                      <a:miter lim="800000"/>
                      <a:headEnd/>
                      <a:tailEnd/>
                    </a:ln>
                  </pic:spPr>
                </pic:pic>
              </a:graphicData>
            </a:graphic>
          </wp:inline>
        </w:drawing>
      </w:r>
    </w:p>
    <w:p w:rsidR="001630DC" w:rsidRPr="00D96D01" w:rsidRDefault="001630DC" w:rsidP="001630DC">
      <w:pPr>
        <w:pStyle w:val="Caption"/>
        <w:jc w:val="center"/>
        <w:rPr>
          <w:b/>
          <w:i w:val="0"/>
          <w:color w:val="auto"/>
          <w:sz w:val="22"/>
          <w:szCs w:val="22"/>
        </w:rPr>
      </w:pPr>
      <w:bookmarkStart w:id="269" w:name="_Toc318115835"/>
      <w:r w:rsidRPr="00D96D01">
        <w:rPr>
          <w:b/>
          <w:i w:val="0"/>
          <w:color w:val="auto"/>
          <w:sz w:val="22"/>
          <w:szCs w:val="22"/>
        </w:rPr>
        <w:t xml:space="preserve">Figure </w:t>
      </w:r>
      <w:r w:rsidRPr="00D96D01">
        <w:rPr>
          <w:b/>
          <w:i w:val="0"/>
          <w:color w:val="auto"/>
          <w:sz w:val="22"/>
          <w:szCs w:val="22"/>
        </w:rPr>
        <w:fldChar w:fldCharType="begin"/>
      </w:r>
      <w:r w:rsidRPr="00D96D01">
        <w:rPr>
          <w:b/>
          <w:i w:val="0"/>
          <w:color w:val="auto"/>
          <w:sz w:val="22"/>
          <w:szCs w:val="22"/>
        </w:rPr>
        <w:instrText xml:space="preserve"> STYLEREF 1 \s </w:instrText>
      </w:r>
      <w:r w:rsidRPr="00D96D01">
        <w:rPr>
          <w:b/>
          <w:i w:val="0"/>
          <w:color w:val="auto"/>
          <w:sz w:val="22"/>
          <w:szCs w:val="22"/>
        </w:rPr>
        <w:fldChar w:fldCharType="separate"/>
      </w:r>
      <w:r w:rsidR="001517D5">
        <w:rPr>
          <w:b/>
          <w:i w:val="0"/>
          <w:noProof/>
          <w:color w:val="auto"/>
          <w:sz w:val="22"/>
          <w:szCs w:val="22"/>
          <w:cs/>
        </w:rPr>
        <w:t>‎</w:t>
      </w:r>
      <w:r w:rsidR="001517D5">
        <w:rPr>
          <w:b/>
          <w:i w:val="0"/>
          <w:noProof/>
          <w:color w:val="auto"/>
          <w:sz w:val="22"/>
          <w:szCs w:val="22"/>
        </w:rPr>
        <w:t>1</w:t>
      </w:r>
      <w:r w:rsidRPr="00D96D01">
        <w:rPr>
          <w:b/>
          <w:i w:val="0"/>
          <w:color w:val="auto"/>
          <w:sz w:val="22"/>
          <w:szCs w:val="22"/>
        </w:rPr>
        <w:fldChar w:fldCharType="end"/>
      </w:r>
      <w:r w:rsidRPr="00D96D01">
        <w:rPr>
          <w:b/>
          <w:i w:val="0"/>
          <w:color w:val="auto"/>
          <w:sz w:val="22"/>
          <w:szCs w:val="22"/>
        </w:rPr>
        <w:t>.</w:t>
      </w:r>
      <w:r w:rsidRPr="00D96D01">
        <w:rPr>
          <w:b/>
          <w:i w:val="0"/>
          <w:color w:val="auto"/>
          <w:sz w:val="22"/>
          <w:szCs w:val="22"/>
        </w:rPr>
        <w:fldChar w:fldCharType="begin"/>
      </w:r>
      <w:r w:rsidRPr="00D96D01">
        <w:rPr>
          <w:b/>
          <w:i w:val="0"/>
          <w:color w:val="auto"/>
          <w:sz w:val="22"/>
          <w:szCs w:val="22"/>
        </w:rPr>
        <w:instrText xml:space="preserve"> SEQ Figure \* ARABIC \s 1 </w:instrText>
      </w:r>
      <w:r w:rsidRPr="00D96D01">
        <w:rPr>
          <w:b/>
          <w:i w:val="0"/>
          <w:color w:val="auto"/>
          <w:sz w:val="22"/>
          <w:szCs w:val="22"/>
        </w:rPr>
        <w:fldChar w:fldCharType="separate"/>
      </w:r>
      <w:r w:rsidR="001517D5">
        <w:rPr>
          <w:b/>
          <w:i w:val="0"/>
          <w:noProof/>
          <w:color w:val="auto"/>
          <w:sz w:val="22"/>
          <w:szCs w:val="22"/>
        </w:rPr>
        <w:t>1</w:t>
      </w:r>
      <w:r w:rsidRPr="00D96D01">
        <w:rPr>
          <w:b/>
          <w:i w:val="0"/>
          <w:color w:val="auto"/>
          <w:sz w:val="22"/>
          <w:szCs w:val="22"/>
        </w:rPr>
        <w:fldChar w:fldCharType="end"/>
      </w:r>
      <w:r w:rsidRPr="00D96D01">
        <w:rPr>
          <w:b/>
          <w:i w:val="0"/>
          <w:color w:val="auto"/>
          <w:sz w:val="22"/>
          <w:szCs w:val="22"/>
        </w:rPr>
        <w:t>: Map of Country Characteristics</w:t>
      </w:r>
      <w:bookmarkEnd w:id="269"/>
    </w:p>
    <w:p w:rsidR="001630DC" w:rsidRDefault="001630DC" w:rsidP="001630DC">
      <w:pPr>
        <w:spacing w:line="480" w:lineRule="auto"/>
        <w:jc w:val="center"/>
        <w:rPr>
          <w:i/>
        </w:rPr>
      </w:pPr>
    </w:p>
    <w:p w:rsidR="001630DC" w:rsidRPr="00A87A1A" w:rsidRDefault="001630DC" w:rsidP="001630DC">
      <w:pPr>
        <w:spacing w:line="480" w:lineRule="auto"/>
        <w:jc w:val="center"/>
        <w:rPr>
          <w:i/>
        </w:rPr>
      </w:pPr>
      <w:r w:rsidRPr="00A87A1A">
        <w:rPr>
          <w:i/>
        </w:rPr>
        <w:t>Operating Environment and Country Attractiveness</w:t>
      </w:r>
    </w:p>
    <w:p w:rsidR="001630DC" w:rsidRDefault="001630DC" w:rsidP="001630DC">
      <w:pPr>
        <w:spacing w:line="480" w:lineRule="auto"/>
        <w:ind w:firstLine="720"/>
      </w:pPr>
      <w:r>
        <w:t xml:space="preserve">First, operating environments refer to factors that may influence the day-to-day operations of a TNGO. These may be administrative or programmatic. For example, the level of infrastructure in a country may influence the operating environment. </w:t>
      </w:r>
      <w:r w:rsidR="001C255D">
        <w:t xml:space="preserve">Infrastructure may include roads, access to water, and phone or internet service. </w:t>
      </w:r>
      <w:r>
        <w:t xml:space="preserve">More developed infrastructure facilitates the transport of human and material resources to implementation sites, as well as communication between country staff and with the international headquarters of the TNGO. The work of TNGOs is also influenced by constraints on activities, including the movement of national or expatriate staff within a country or the freedom of speech, which may strongly impact advocacy organizations. Physical features of a country also shape the operating environment. A country’s geographic profile, including the number of borders it shares, may be beneficial to the operations of TNGOs in terms of supplies, support, and exit plans in extreme situations. </w:t>
      </w:r>
    </w:p>
    <w:p w:rsidR="001630DC" w:rsidRDefault="001630DC" w:rsidP="001630DC">
      <w:pPr>
        <w:spacing w:after="240" w:line="480" w:lineRule="auto"/>
      </w:pPr>
      <w:r>
        <w:t xml:space="preserve">Operating environments can influence the decision of a TNGO to enter, temporarily or permanently withdrawal from a country, or to expand to a new location. The </w:t>
      </w:r>
      <w:r w:rsidRPr="006F16AB">
        <w:t>operating context</w:t>
      </w:r>
      <w:r>
        <w:t xml:space="preserve"> is assessed using a combination of civil rights, including </w:t>
      </w:r>
      <w:r w:rsidRPr="00E33CC6">
        <w:rPr>
          <w:i/>
        </w:rPr>
        <w:t>freedom of movement</w:t>
      </w:r>
      <w:r>
        <w:t xml:space="preserve"> (domestic and foreign) from the CIRI Human Rights Dataset. The CIRI dataset incorporates Department of State and Amnesty International reports into its measures, creating a useful tool for analyzing a broad set of countries from year to year. </w:t>
      </w:r>
      <w:r>
        <w:rPr>
          <w:i/>
        </w:rPr>
        <w:t xml:space="preserve">Freedom of domestic movement </w:t>
      </w:r>
      <w:r>
        <w:t xml:space="preserve">refers to freedom of movement within a country while </w:t>
      </w:r>
      <w:r>
        <w:rPr>
          <w:i/>
        </w:rPr>
        <w:t xml:space="preserve">freedom of foreign movement </w:t>
      </w:r>
      <w:r>
        <w:t xml:space="preserve">refers to the freedom of citizens or certain groups to leave and return to a country. </w:t>
      </w:r>
      <w:r w:rsidRPr="00A9299D">
        <w:rPr>
          <w:i/>
        </w:rPr>
        <w:t>Freedom</w:t>
      </w:r>
      <w:r>
        <w:rPr>
          <w:i/>
        </w:rPr>
        <w:t xml:space="preserve"> of speech</w:t>
      </w:r>
      <w:r>
        <w:t xml:space="preserve">, also drawn from CIRI, measures government censorship of the press and includes government ownership of media outlets. These are coded on a scale of 0 (severely restricted) to 2 (no restrictions) and together they represent the associational, operational, and logistical barriers TNGOs face in operating in a particular location. In addition, the convenience of a location is also considered using the </w:t>
      </w:r>
      <w:r w:rsidRPr="005623F4">
        <w:rPr>
          <w:i/>
        </w:rPr>
        <w:t>number of shared borders</w:t>
      </w:r>
      <w:r>
        <w:t xml:space="preserve"> variable captured by the </w:t>
      </w:r>
      <w:r w:rsidRPr="00906716">
        <w:rPr>
          <w:i/>
        </w:rPr>
        <w:t xml:space="preserve">Major </w:t>
      </w:r>
      <w:r>
        <w:rPr>
          <w:i/>
        </w:rPr>
        <w:t>Episodes of Political Violence D</w:t>
      </w:r>
      <w:r w:rsidRPr="00906716">
        <w:rPr>
          <w:i/>
        </w:rPr>
        <w:t>ataset</w:t>
      </w:r>
      <w:r>
        <w:t xml:space="preserve"> </w:t>
      </w:r>
      <w:r>
        <w:fldChar w:fldCharType="begin"/>
      </w:r>
      <w:r>
        <w:instrText xml:space="preserve"> ADDIN ZOTERO_ITEM CSL_CITATION {"citationID":"VKmrzHCG","properties":{"formattedCitation":"(Jaggers, Marshall, and Gurr 2013)","plainCitation":"(Jaggers, Marshall, and Gurr 2013)"},"citationItems":[{"id":980,"uris":["http://zotero.org/users/381007/items/IAB97J59"],"uri":["http://zotero.org/users/381007/items/IAB97J59"],"itemData":{"id":980,"type":"article","title":"Polity IV","publisher":"Center for Systemic Peace","URL":"http://www.systemicpeace.org/polity/polity4.htm","author":[{"family":"Jaggers","given":"Keith"},{"family":"Marshall","given":"Monty"},{"family":"Gurr","given":"Ted Robert"}],"issued":{"date-parts":[["2013"]]}}}],"schema":"https://github.com/citation-style-language/schema/raw/master/csl-citation.json"} </w:instrText>
      </w:r>
      <w:r>
        <w:fldChar w:fldCharType="separate"/>
      </w:r>
      <w:r w:rsidRPr="003334C8">
        <w:t>(Jaggers, Marshall, and Gurr 2013)</w:t>
      </w:r>
      <w:r>
        <w:fldChar w:fldCharType="end"/>
      </w:r>
      <w:r>
        <w:t xml:space="preserve">. A greater number of borders may make it easier for a TNGO to reach other programs or resources. The operating environment may also be affected by directed toward TNGO workers or in a country more generally. Therefore, the </w:t>
      </w:r>
      <w:r w:rsidRPr="00C74B3F">
        <w:rPr>
          <w:i/>
        </w:rPr>
        <w:t>magnitude of conflict</w:t>
      </w:r>
      <w:r>
        <w:t xml:space="preserve"> in a country </w:t>
      </w:r>
      <w:r>
        <w:fldChar w:fldCharType="begin"/>
      </w:r>
      <w:r>
        <w:instrText xml:space="preserve"> ADDIN ZOTERO_ITEM CSL_CITATION {"citationID":"B4Zc8rQk","properties":{"formattedCitation":"(Sarkees and Wayman 2010)","plainCitation":"(Sarkees and Wayman 2010)"},"citationItems":[{"id":3543,"uris":["http://zotero.org/users/381007/items/IXVMKRQ3"],"uri":["http://zotero.org/users/381007/items/IXVMKRQ3"],"itemData":{"id":3543,"type":"book","title":"Resort to War: 1816 - 2007","publisher":"CQ Press","publisher-place":"Washington","event-place":"Washington","abstract":"Sarkees, Meredith Reid and Frank Wayman (2010). Resort to War: 1816 - 2007. Washington DC: CQ Press.","author":[{"family":"Sarkees","given":"Meredeith Reid"},{"family":"Wayman","given":"Frank"}],"issued":{"date-parts":[["2010"]]}}}],"schema":"https://github.com/citation-style-language/schema/raw/master/csl-citation.json"} </w:instrText>
      </w:r>
      <w:r>
        <w:fldChar w:fldCharType="separate"/>
      </w:r>
      <w:r w:rsidRPr="00D13AA6">
        <w:t>(Sarkees and Wayman 2010)</w:t>
      </w:r>
      <w:r>
        <w:fldChar w:fldCharType="end"/>
      </w:r>
      <w:r>
        <w:t xml:space="preserve"> as well as the </w:t>
      </w:r>
      <w:r w:rsidRPr="00C74B3F">
        <w:rPr>
          <w:i/>
        </w:rPr>
        <w:t>number of attacks</w:t>
      </w:r>
      <w:r>
        <w:t xml:space="preserve"> against aid workers </w:t>
      </w:r>
      <w:r>
        <w:fldChar w:fldCharType="begin"/>
      </w:r>
      <w:r>
        <w:instrText xml:space="preserve"> ADDIN ZOTERO_ITEM CSL_CITATION {"citationID":"xqWnJJCO","properties":{"formattedCitation":"(Humanitarian Outcomes 2015)","plainCitation":"(Humanitarian Outcomes 2015)"},"citationItems":[{"id":3544,"uris":["http://zotero.org/users/381007/items/HNEHNTVS"],"uri":["http://zotero.org/users/381007/items/HNEHNTVS"],"itemData":{"id":3544,"type":"webpage","title":"Aid Worker Security Database","URL":"https://aidworkersecurity.org/incidents/report/summary","author":[{"family":"Humanitarian Outcomes","given":""}],"issued":{"date-parts":[["2015"]]},"accessed":{"date-parts":[["2015",3,14]]}}}],"schema":"https://github.com/citation-style-language/schema/raw/master/csl-citation.json"} </w:instrText>
      </w:r>
      <w:r>
        <w:fldChar w:fldCharType="separate"/>
      </w:r>
      <w:r w:rsidRPr="00D13AA6">
        <w:t>(Humanitarian Outcomes 2015)</w:t>
      </w:r>
      <w:r>
        <w:fldChar w:fldCharType="end"/>
      </w:r>
      <w:r>
        <w:t xml:space="preserve"> are also incorporated into the operating model. The </w:t>
      </w:r>
      <w:r>
        <w:rPr>
          <w:i/>
        </w:rPr>
        <w:t>magnitude of conflict</w:t>
      </w:r>
      <w:r>
        <w:t xml:space="preserve"> includes intrastate and societal conflicts and is captured on a scale of 1 (low) to 10 (high) by summing these two variables. </w:t>
      </w:r>
      <w:r>
        <w:rPr>
          <w:i/>
        </w:rPr>
        <w:t xml:space="preserve">Number of aid attacks </w:t>
      </w:r>
      <w:r>
        <w:t xml:space="preserve">is coded using the number of reported attacks directed at humanitarian aid workers. Finally, the </w:t>
      </w:r>
      <w:r w:rsidRPr="00DA3965">
        <w:rPr>
          <w:i/>
        </w:rPr>
        <w:t>cell phone users</w:t>
      </w:r>
      <w:r>
        <w:rPr>
          <w:i/>
        </w:rPr>
        <w:t xml:space="preserve"> </w:t>
      </w:r>
      <w:r>
        <w:fldChar w:fldCharType="begin"/>
      </w:r>
      <w:r>
        <w:instrText xml:space="preserve"> ADDIN ZOTERO_ITEM CSL_CITATION {"citationID":"6FtPWa8b","properties":{"formattedCitation":"(United Nations Statistics Division 2015)","plainCitation":"(United Nations Statistics Division 2015)"},"citationItems":[{"id":3545,"uris":["http://zotero.org/users/381007/items/JA6TKNS2"],"uri":["http://zotero.org/users/381007/items/JA6TKNS2"],"itemData":{"id":3545,"type":"webpage","title":"Demographic Yearbook","URL":"unstats.un.org/unsd/demographic","author":[{"family":"United Nations Statistics Division","given":""}],"issued":{"date-parts":[["2015"]]},"accessed":{"date-parts":[["2015",5,1]]}}}],"schema":"https://github.com/citation-style-language/schema/raw/master/csl-citation.json"} </w:instrText>
      </w:r>
      <w:r>
        <w:fldChar w:fldCharType="separate"/>
      </w:r>
      <w:r w:rsidRPr="00D13AA6">
        <w:t>(United Nations Statistics Division 2015)</w:t>
      </w:r>
      <w:r>
        <w:fldChar w:fldCharType="end"/>
      </w:r>
      <w:r>
        <w:t xml:space="preserve"> is used as a proxy measure for infrastructure. The </w:t>
      </w:r>
      <w:r>
        <w:rPr>
          <w:i/>
        </w:rPr>
        <w:t xml:space="preserve">cell </w:t>
      </w:r>
      <w:r>
        <w:t xml:space="preserve">variable is calculated using the number of subscriptions per 100 people. </w:t>
      </w:r>
    </w:p>
    <w:p w:rsidR="00E67B1D" w:rsidRDefault="001630DC" w:rsidP="00E67B1D">
      <w:pPr>
        <w:spacing w:after="240" w:line="480" w:lineRule="auto"/>
      </w:pPr>
      <w:r w:rsidRPr="00DA3965">
        <w:rPr>
          <w:i/>
        </w:rPr>
        <w:t xml:space="preserve">Hypothesis 1: Favorable operating environments, including fewer conflicts and higher civil liberties, will result in a higher number of </w:t>
      </w:r>
      <w:r>
        <w:rPr>
          <w:i/>
        </w:rPr>
        <w:t>TNGO</w:t>
      </w:r>
      <w:r w:rsidRPr="00DA3965">
        <w:rPr>
          <w:i/>
        </w:rPr>
        <w:t xml:space="preserve">s. </w:t>
      </w:r>
    </w:p>
    <w:p w:rsidR="00E67B1D" w:rsidRDefault="00E67B1D" w:rsidP="00E67B1D">
      <w:pPr>
        <w:spacing w:line="480" w:lineRule="auto"/>
        <w:rPr>
          <w:szCs w:val="24"/>
        </w:rPr>
      </w:pPr>
    </w:p>
    <w:p w:rsidR="001630DC" w:rsidRPr="00E67B1D" w:rsidRDefault="001630DC" w:rsidP="00E67B1D">
      <w:pPr>
        <w:spacing w:after="240" w:line="480" w:lineRule="auto"/>
        <w:jc w:val="center"/>
      </w:pPr>
      <w:r w:rsidRPr="00044532">
        <w:rPr>
          <w:i/>
        </w:rPr>
        <w:t>The Political Environment and Country Attractiveness</w:t>
      </w:r>
    </w:p>
    <w:p w:rsidR="001630DC" w:rsidRDefault="001630DC" w:rsidP="001630DC">
      <w:pPr>
        <w:spacing w:line="480" w:lineRule="auto"/>
      </w:pPr>
      <w:r>
        <w:tab/>
        <w:t xml:space="preserve">The second frame, political environment, outlines the conditions placed on a society by political actors. Such conditions influence individuals and organizations. The stability of a country, measured using Polity IV, sets expectations about the overarching predictability or type of action one can expect from government. In addition, it may also indicate the durability of that government and political environment. The actions of political actors holds implications for TNGOs, even if these actions occur outside of the nonprofit sector. Efforts to solidify control, for example, may lead those in power to curtail freedom of speech or engage in tactics outside of the normal institutional channels. Directed at citizens, the political environment impacts national staff and beneficiaries. In some cases, such action more be targeted at or influence the behavior of international staff too. More broadly, the political environment possesses the ability to ease entry for TNGOs through regulations and legislation. For example, political attention in several countries has turned toward TNGOs, making it more difficult to enter and to stay in those countries. In other countries, organizations that disagree with official government positions are shut down. Therefore, the political environment may attract or detract from a country’s profile on the beneficiary and the TNGO sides through degree of independence of the independent sector, political control, funding, and so on. </w:t>
      </w:r>
    </w:p>
    <w:p w:rsidR="001630DC" w:rsidRDefault="001630DC" w:rsidP="001630DC">
      <w:pPr>
        <w:spacing w:line="480" w:lineRule="auto"/>
        <w:ind w:firstLine="720"/>
      </w:pPr>
      <w:r>
        <w:t xml:space="preserve">The </w:t>
      </w:r>
      <w:r w:rsidRPr="00020079">
        <w:t>political context</w:t>
      </w:r>
      <w:r>
        <w:t xml:space="preserve"> in a country may also influence the decision of a TNGO about where to go. </w:t>
      </w:r>
      <w:r w:rsidRPr="00020079">
        <w:rPr>
          <w:i/>
        </w:rPr>
        <w:t>Polity IV</w:t>
      </w:r>
      <w:r>
        <w:t xml:space="preserve"> is a measure of regime type used to indicate openness and the degree of consolidation that TNGOs may encounter, rated on a scale of -10 (hereditary monarchy) to 10 (consolidated democracy) </w:t>
      </w:r>
      <w:r>
        <w:fldChar w:fldCharType="begin"/>
      </w:r>
      <w:r>
        <w:instrText xml:space="preserve"> ADDIN ZOTERO_ITEM CSL_CITATION {"citationID":"PB9mevG0","properties":{"formattedCitation":"(Jaggers, Marshall, and Gurr 2013)","plainCitation":"(Jaggers, Marshall, and Gurr 2013)"},"citationItems":[{"id":980,"uris":["http://zotero.org/users/381007/items/IAB97J59"],"uri":["http://zotero.org/users/381007/items/IAB97J59"],"itemData":{"id":980,"type":"article","title":"Polity IV","publisher":"Center for Systemic Peace","URL":"http://www.systemicpeace.org/polity/polity4.htm","author":[{"family":"Jaggers","given":"Keith"},{"family":"Marshall","given":"Monty"},{"family":"Gurr","given":"Ted Robert"}],"issued":{"date-parts":[["2013"]]}}}],"schema":"https://github.com/citation-style-language/schema/raw/master/csl-citation.json"} </w:instrText>
      </w:r>
      <w:r>
        <w:fldChar w:fldCharType="separate"/>
      </w:r>
      <w:r>
        <w:rPr>
          <w:noProof/>
        </w:rPr>
        <w:t>(Jaggers, Marshall, and Gurr 2013)</w:t>
      </w:r>
      <w:r>
        <w:fldChar w:fldCharType="end"/>
      </w:r>
      <w:r>
        <w:t xml:space="preserve">. Physical integrity is examined using measures of the frequency of </w:t>
      </w:r>
      <w:r>
        <w:rPr>
          <w:i/>
        </w:rPr>
        <w:t xml:space="preserve">disappeared, extrajudicial killings, political prisoners, </w:t>
      </w:r>
      <w:r w:rsidRPr="00020079">
        <w:t>and</w:t>
      </w:r>
      <w:r>
        <w:rPr>
          <w:i/>
        </w:rPr>
        <w:t xml:space="preserve"> torture, </w:t>
      </w:r>
      <w:r>
        <w:t>are drawn from</w:t>
      </w:r>
      <w:r>
        <w:rPr>
          <w:i/>
        </w:rPr>
        <w:t xml:space="preserve"> </w:t>
      </w:r>
      <w:r>
        <w:t xml:space="preserve">CIRI and are incorporated to further contextualize how the political environment influences location decisions </w:t>
      </w:r>
      <w:r>
        <w:fldChar w:fldCharType="begin"/>
      </w:r>
      <w:r>
        <w:instrText xml:space="preserve"> ADDIN ZOTERO_ITEM CSL_CITATION {"citationID":"MG9bEqrW","properties":{"formattedCitation":"(Cingranelli, Richards, and Clay 2014)","plainCitation":"(Cingranelli, Richards, and Clay 2014)"},"citationItems":[{"id":1124,"uris":["http://zotero.org/users/381007/items/T4HSQP87"],"uri":["http://zotero.org/users/381007/items/T4HSQP87"],"itemData":{"id":1124,"type":"report","title":"The CIRI Human Rights Dataset","URL":"http://www.humanrightsdata.com","author":[{"family":"Cingranelli","given":"David L."},{"family":"Richards","given":"David L."},{"family":"Clay","given":"K. Chad"}],"issued":{"date-parts":[["2014"]]},"accessed":{"date-parts":[["2014",12,1]]}}}],"schema":"https://github.com/citation-style-language/schema/raw/master/csl-citation.json"} </w:instrText>
      </w:r>
      <w:r>
        <w:fldChar w:fldCharType="separate"/>
      </w:r>
      <w:r w:rsidRPr="00F00A04">
        <w:t>(Cingranelli, Richards, and Clay 2014)</w:t>
      </w:r>
      <w:r>
        <w:fldChar w:fldCharType="end"/>
      </w:r>
      <w:r>
        <w:t xml:space="preserve">. Like </w:t>
      </w:r>
      <w:r>
        <w:rPr>
          <w:i/>
        </w:rPr>
        <w:t>freedom of movement</w:t>
      </w:r>
      <w:r>
        <w:t xml:space="preserve">, each variable is scored on a scale of 0 (frequent, or more than 50 incidents) to 2 (never, 0 incidents or unreported). </w:t>
      </w:r>
      <w:r>
        <w:rPr>
          <w:i/>
        </w:rPr>
        <w:t xml:space="preserve">Disappeared </w:t>
      </w:r>
      <w:r>
        <w:t xml:space="preserve">describes disappearances where the agents of the state are likely responsible and the whereabouts of the disappeared is not public knowledge. </w:t>
      </w:r>
      <w:r>
        <w:rPr>
          <w:i/>
        </w:rPr>
        <w:t>Political prisoners</w:t>
      </w:r>
      <w:r>
        <w:t xml:space="preserve"> refers to individuals who are incarcerated for their beliefs or membership in a group, including ethnic or racial groups as well as political opposition. It is measured using the number of political prisoners held, not taken, in a year. </w:t>
      </w:r>
      <w:r>
        <w:rPr>
          <w:i/>
        </w:rPr>
        <w:t>Torture</w:t>
      </w:r>
      <w:r>
        <w:t xml:space="preserve"> describes the intentional use of mental or physical pain against private individuals by government. Where data on human rights is not available, the coding scheme uses discourse analysis to assign values (systemic, widespread, many, multiple, etc.). The variable </w:t>
      </w:r>
      <w:r>
        <w:rPr>
          <w:i/>
        </w:rPr>
        <w:t xml:space="preserve">extrajudicial killings </w:t>
      </w:r>
      <w:r>
        <w:t xml:space="preserve">describes killings by government officials without due process, including political and non-political killings and fatalities resulting from military hazing. </w:t>
      </w:r>
    </w:p>
    <w:p w:rsidR="001630DC" w:rsidRPr="00DA3965" w:rsidRDefault="001630DC" w:rsidP="001630DC">
      <w:pPr>
        <w:spacing w:line="480" w:lineRule="auto"/>
        <w:rPr>
          <w:i/>
        </w:rPr>
      </w:pPr>
      <w:r w:rsidRPr="00DA3965">
        <w:rPr>
          <w:i/>
        </w:rPr>
        <w:t xml:space="preserve">Hypothesis 2: Favorable political environments will correlate with a higher number of </w:t>
      </w:r>
      <w:r>
        <w:rPr>
          <w:i/>
        </w:rPr>
        <w:t>TNGO</w:t>
      </w:r>
      <w:r w:rsidRPr="00DA3965">
        <w:rPr>
          <w:i/>
        </w:rPr>
        <w:t>s.</w:t>
      </w:r>
    </w:p>
    <w:p w:rsidR="00E67B1D" w:rsidRDefault="00E67B1D" w:rsidP="00E67B1D">
      <w:pPr>
        <w:spacing w:line="480" w:lineRule="auto"/>
        <w:rPr>
          <w:szCs w:val="24"/>
        </w:rPr>
      </w:pPr>
    </w:p>
    <w:p w:rsidR="001630DC" w:rsidRPr="00044532" w:rsidRDefault="0011380A" w:rsidP="00E67B1D">
      <w:pPr>
        <w:spacing w:line="480" w:lineRule="auto"/>
        <w:jc w:val="center"/>
        <w:rPr>
          <w:i/>
        </w:rPr>
      </w:pPr>
      <w:r>
        <w:rPr>
          <w:i/>
        </w:rPr>
        <w:t>Controls</w:t>
      </w:r>
    </w:p>
    <w:p w:rsidR="001630DC" w:rsidRDefault="0011380A" w:rsidP="001630DC">
      <w:pPr>
        <w:spacing w:line="480" w:lineRule="auto"/>
      </w:pPr>
      <w:r>
        <w:tab/>
        <w:t>T</w:t>
      </w:r>
      <w:r w:rsidR="001630DC">
        <w:t xml:space="preserve">he demographic composition of a country </w:t>
      </w:r>
      <w:r>
        <w:t xml:space="preserve">is used as a control. It </w:t>
      </w:r>
      <w:r w:rsidR="001630DC">
        <w:t xml:space="preserve">refers to country-level characteristics that may attract or discourage TNGO activity based on opportunity. The demographic dimension is primarily focused on the level of need explanations for why TNGOs are drawn to some locations over others. Typically employed at a sub-national level, here the comparative method is used to analyze such characteristics at a macro-level. Need is an explanation documented in both the domestic and international literatures </w:t>
      </w:r>
      <w:r w:rsidR="001630DC">
        <w:fldChar w:fldCharType="begin"/>
      </w:r>
      <w:r w:rsidR="001630DC">
        <w:instrText xml:space="preserve"> ADDIN ZOTERO_ITEM CSL_CITATION {"citationID":"F8qx4aP6","properties":{"formattedCitation":"(Brass 2012b; Gerdin et al. 2014; Van Slyke 2006; Schneider 2012)","plainCitation":"(Brass 2012b; Gerdin et al. 2014; Van Slyke 2006; Schneider 2012)"},"citationItems":[{"id":949,"uris":["http://zotero.org/users/381007/items/HCQ4K4HC"],"uri":["http://zotero.org/users/381007/items/HCQ4K4HC"],"itemData":{"id":949,"type":"article-journal","title":"Why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N."}],"issued":{"date-parts":[["2012"]]}}},{"id":3429,"uris":["http://zotero.org/users/381007/items/I4PQVQGJ"],"uri":["http://zotero.org/users/381007/items/I4PQVQGJ"],"itemData":{"id":3429,"type":"article-journal","title":"Does need matter? Needs assessments and decision-making among major humanitarian health agencies","container-title":"Disasters","page":"451-464","volume":"38","issue":"3","source":"CrossRef","DOI":"10.1111/disa.12065","ISSN":"03613666","shortTitle":"Does need matter?","language":"en","author":[{"family":"Gerdin","given":"Martin"},{"family":"Chataigner","given":"Patrice"},{"family":"Tax","given":"Leonie"},{"family":"Kubai","given":"Anne"},{"family":"von Schreeb","given":"Johan"}],"issued":{"date-parts":[["2014",7]]},"accessed":{"date-parts":[["2015",4,17]]}}},{"id":1287,"uris":["http://zotero.org/users/381007/items/S8KXDA3V"],"uri":["http://zotero.org/users/381007/items/S8KXDA3V"],"itemData":{"id":1287,"type":"article-journal","title":"Agents or Stewards: Using Theory to Understand the Government-Nonprofit Social Service Contracting Relationship","container-title":"Journal of Public Administration Research and Theory","page":"157-187","volume":"17","abstract":"The manner in which nonprofits are managed evolves over time from a principal-agent to a principal-steward relationship, but with less variance than theories suggest. This is the product of contextual conditions including teh type of service, lack of market competitiveness, and management capacity constraints.  Examines trust and reputation using theories of agency and stewardship in contractual arrangements between government and non-profits for provision of social services, finds that there needs to be some theoretical middle ground as neither fully explains.\n\nAgency theory = central approach to a theory of managerial behavior (see Ross 1987).  Assumes goal divergence on part of the contracted agent\n\nStewardship theory = framed as the organizational behavior counterweight to rational action theories of management (see Savis, Donaldson, and Schooman 1997).  Assumes convergence because of shared collective interests w/ contracted stewart. Higher value on reaching goal convergence (vs. prinicpal agent where goal conflict is assumed to be a given/constant until principal changes).","author":[{"family":"Van Slyke","given":"David M."}],"issued":{"date-parts":[["2006"]]}}},{"id":838,"uris":["http://zotero.org/users/381007/items/EA7HIGKS"],"uri":["http://zotero.org/users/381007/items/EA7HIGKS"],"itemData":{"id":838,"type":"article-journal","title":"Comparing Stewardship Across Faith-Based Organizations","page":"517-539","volume":"42","issue":"3","abstract":"Recent lit suggests policy should support FBOs as part of service delivery network, but network approach focuses on service delivery networks rather than FBO support systems. Studies acknowledge that policymakers view faith communities differently than secular support systems like geographic communities. The study identifies 3 strategies of stewardship: institutionalized; congregational; and network.  Stewardship systems refer to the way each group organizes support for its FBOs.  Institutionalized systems see stewardship and providing for the needy as the responsibility of the community as a whole (centralization; Catholics, Jews). This is characterized by centralized planning; the ability to share resources across the system; strong networks of religiously based national umbrella organizations in addition to local centralized systems. Congregational systems (Protestants) stress the importance of individual action to support those in need. The local congregation is the primary vehicle for carrying out the mandates of the community. Network systems are new, social networks form around a specific nonprofit and are key to supporting that FBO.  Networks are value driven, an organization can quickly lose support if it doesn't reflect the beliefs and practices of its supporting network. These differ from congregational systems 1) the FBO is supported by a network of individuals focused on a specific minsitry and 2) the people staffing these organizations either as volunteers or paid staff share the faith approach to the organization's founders, using faith as a prime motivator in their work (FBOs become a faith community for staff, active volunteers, and sometimes program participants).","author":[{"family":"Schneider","given":"Jo Anne"}],"issued":{"date-parts":[["2012"]]}}}],"schema":"https://github.com/citation-style-language/schema/raw/master/csl-citation.json"} </w:instrText>
      </w:r>
      <w:r w:rsidR="001630DC">
        <w:fldChar w:fldCharType="separate"/>
      </w:r>
      <w:r w:rsidR="001630DC" w:rsidRPr="007B7DF8">
        <w:t>(Brass 2012b; Gerdin et al. 2014; Van Slyke 2006; Schneider 2012)</w:t>
      </w:r>
      <w:r w:rsidR="001630DC">
        <w:fldChar w:fldCharType="end"/>
      </w:r>
      <w:r w:rsidR="001630DC">
        <w:t xml:space="preserve">. Demographic characteristics that may influence attractiveness include the size of the population, adult literacy, and inequality. TNGOs must weigh the benefits and costs of location. Although they are committed to a cause or specific group, the number of beneficiaries they are able to reach influences the degree of impact TNGOs are able to produce. The effectiveness and efficiency of programs is a significant factor, as is the need for such programming. The appeal of a cause or location may also make a country more or less attractive to TNGOs. As a result, demographics have an important place in the analysis of country characteristics. </w:t>
      </w:r>
    </w:p>
    <w:p w:rsidR="00E67B1D" w:rsidRPr="0011380A" w:rsidRDefault="001630DC" w:rsidP="0011380A">
      <w:pPr>
        <w:spacing w:after="240" w:line="480" w:lineRule="auto"/>
        <w:ind w:firstLine="720"/>
      </w:pPr>
      <w:r>
        <w:t xml:space="preserve">The literature also supports the importance of demographic factors for location. TNGOs seeking to maximize impact for the best outcomes and in terms of group identity. Nonprofit organizations are viewed as experts in their programmatic area and in the cultural landscape, better able to adapt and more in-tune with the communities in which they work than bureaucracies </w:t>
      </w:r>
      <w:r>
        <w:fldChar w:fldCharType="begin"/>
      </w:r>
      <w:r>
        <w:instrText xml:space="preserve"> ADDIN ZOTERO_ITEM CSL_CITATION {"citationID":"m6uEXZcO","properties":{"formattedCitation":"(Guo 2007; Kristen A. Gronbjerg 2003b)","plainCitation":"(Guo 2007; Kristen A. Gronbjerg 2003b)"},"citationItems":[{"id":1027,"uris":["http://zotero.org/users/381007/items/JAG7PTE3"],"uri":["http://zotero.org/users/381007/items/JAG7PTE3"],"itemData":{"id":1027,"type":"article-journal","title":"When Government Becomes the Principal Philanthropist: The Effects of Public Funding on Patterns of Nonprofit Governance","container-title":"Public Administration Review","page":"458-473","volume":"67","issue":"3","abstract":"The prevalence of nonprofit orgs in the deliver of public services and the importance of government as a financier to nonprofit contracts continues to increase, this study explores the consequences of this relationship. Smith and Lipsky (1993) argue that nonprofit boards effectively \"embody and represent community interests\" (74) and that growing financial ties to government might transform these boards from agents of the community to agents of the government. Controlling for other relevant environmental and institutional factors, reliance on government funding decreases the likelihood that nonprofits will develop strong, representative boards. The findings suggest that reliance on government funding reduces the representativeness and influences of nonprofit boards, and the democratic function of nonprofit orgs may be seriously constrained.","author":[{"family":"Guo","given":"Chao"}],"issued":{"date-parts":[["2007"]]}}},{"id":318,"uris":["http://zotero.org/groups/219094/items/DA6WXH6M"],"uri":["http://zotero.org/groups/219094/items/DA6WXH6M"],"itemData":{"id":318,"type":"article-journal","title":"Nonprofit Management Education: Taking Advantage of the Public Administration Setting","container-title":"Journal of Public Affairs","page":"165-168","volume":"9","issue":"3","abstract":"Major transformations in public service delivery systems mean that government now relies extensively on a variety of complex tools that require policymkaers to interact with a broad array of institutions.  Public sector agencies have increasingly relied on non-governmental entities, especially non-profits, since the 1960s.  Indirect government now accounts for 21% of all federal activities and 44% if tax expenditures and loan guarantees in areas of interst to nonprofits are included.As a result, govenrment has fueled the growth of nonprofit organizations in the US. These developments help explain the demand for nonprofit management courses and concentrations among MPA programs. Nonprofits have played a major role in several service fields, including health, education, and human services, so that the relationship between nonprofits and govenrments has evovled considerably over time and taken on more market-like characteristics.","author":[{"family":"Gronbjerg","given":"Kristen A."}],"issued":{"date-parts":[["2003"]]}}}],"schema":"https://github.com/citation-style-language/schema/raw/master/csl-citation.json"} </w:instrText>
      </w:r>
      <w:r>
        <w:fldChar w:fldCharType="separate"/>
      </w:r>
      <w:r w:rsidRPr="00283711">
        <w:t>(Guo 2007; Gronbjerg 2003b)</w:t>
      </w:r>
      <w:r>
        <w:fldChar w:fldCharType="end"/>
      </w:r>
      <w:r>
        <w:t xml:space="preserve">. Explanations centered on the level of need argue that TNGOs concentrate in countries with higher levels of need, measured using </w:t>
      </w:r>
      <w:r>
        <w:rPr>
          <w:i/>
        </w:rPr>
        <w:t xml:space="preserve">total population </w:t>
      </w:r>
      <w:r>
        <w:t xml:space="preserve">and the </w:t>
      </w:r>
      <w:r>
        <w:rPr>
          <w:i/>
        </w:rPr>
        <w:t>poverty ratio</w:t>
      </w:r>
      <w:r>
        <w:t xml:space="preserve">. The </w:t>
      </w:r>
      <w:r>
        <w:rPr>
          <w:i/>
        </w:rPr>
        <w:t xml:space="preserve">total population </w:t>
      </w:r>
      <w:r>
        <w:t xml:space="preserve">is estimated in millions using official sources and World Bank estimates. The </w:t>
      </w:r>
      <w:r>
        <w:rPr>
          <w:i/>
        </w:rPr>
        <w:t>poverty ratio</w:t>
      </w:r>
      <w:r>
        <w:t xml:space="preserve"> is a headcount of those living at $1.25 or less a day divided across the population. Alternatively, the level of inequality in a country might garner more attention than poverty; to test this, the World Bank’s </w:t>
      </w:r>
      <w:r>
        <w:rPr>
          <w:i/>
        </w:rPr>
        <w:t xml:space="preserve">GINI </w:t>
      </w:r>
      <w:r w:rsidRPr="003318FB">
        <w:t>coefficient</w:t>
      </w:r>
      <w:r>
        <w:t xml:space="preserve"> is also included. Need might also be interpreted using discrete measures of well-being, such as </w:t>
      </w:r>
      <w:r>
        <w:rPr>
          <w:i/>
        </w:rPr>
        <w:t>life expectancy</w:t>
      </w:r>
      <w:r>
        <w:t xml:space="preserve"> (number of years) or </w:t>
      </w:r>
      <w:r>
        <w:rPr>
          <w:i/>
        </w:rPr>
        <w:t xml:space="preserve">adult literacy </w:t>
      </w:r>
      <w:r>
        <w:t xml:space="preserve">(percentage) </w:t>
      </w:r>
      <w:r>
        <w:fldChar w:fldCharType="begin"/>
      </w:r>
      <w:r>
        <w:instrText xml:space="preserve"> ADDIN ZOTERO_ITEM CSL_CITATION {"citationID":"JzdRs5Qt","properties":{"formattedCitation":"(The World Bank 2013)","plainCitation":"(The World Bank 2013)"},"citationItems":[{"id":1194,"uris":["http://zotero.org/users/381007/items/PUMRTQ6R"],"uri":["http://zotero.org/users/381007/items/PUMRTQ6R"],"itemData":{"id":1194,"type":"article","title":"World Development Indicators","publisher":"The World Bank","URL":"http://data.worldbank.org/indicator","author":[{"family":"The World Bank","given":""}],"issued":{"date-parts":[["2013"]]},"accessed":{"date-parts":[["2015",5,18]]}}}],"schema":"https://github.com/citation-style-language/schema/raw/master/csl-citation.json"} </w:instrText>
      </w:r>
      <w:r>
        <w:fldChar w:fldCharType="separate"/>
      </w:r>
      <w:r>
        <w:rPr>
          <w:noProof/>
        </w:rPr>
        <w:t>(The World Bank 2013)</w:t>
      </w:r>
      <w:r>
        <w:fldChar w:fldCharType="end"/>
      </w:r>
      <w:r>
        <w:t xml:space="preserve">. The existing literature also states that TNGOs locate in countries with which they share traits </w:t>
      </w:r>
      <w:r>
        <w:fldChar w:fldCharType="begin"/>
      </w:r>
      <w:r>
        <w:instrText xml:space="preserve"> ADDIN ZOTERO_ITEM CSL_CITATION {"citationID":"BQEGpboX","properties":{"formattedCitation":"(Sarkees and Wayman 2010)","plainCitation":"(Sarkees and Wayman 2010)"},"citationItems":[{"id":3543,"uris":["http://zotero.org/users/381007/items/IXVMKRQ3"],"uri":["http://zotero.org/users/381007/items/IXVMKRQ3"],"itemData":{"id":3543,"type":"book","title":"Resort to War: 1816 - 2007","publisher":"CQ Press","publisher-place":"Washington","event-place":"Washington","abstract":"Sarkees, Meredith Reid and Frank Wayman (2010). Resort to War: 1816 - 2007. Washington DC: CQ Press.","author":[{"family":"Sarkees","given":"Meredeith Reid"},{"family":"Wayman","given":"Frank"}],"issued":{"date-parts":[["2010"]]}}}],"schema":"https://github.com/citation-style-language/schema/raw/master/csl-citation.json"} </w:instrText>
      </w:r>
      <w:r>
        <w:fldChar w:fldCharType="separate"/>
      </w:r>
      <w:r w:rsidRPr="00F00A04">
        <w:t>(Sarkees and Wayman 2010)</w:t>
      </w:r>
      <w:r>
        <w:fldChar w:fldCharType="end"/>
      </w:r>
      <w:r>
        <w:t xml:space="preserve">. This may be particularly important in future research on TNGOs based in countries other than the United States which have stronger cultural and historical ties to certain regions, as well as for organizational research that examines characteristics including faith-based orientation. </w:t>
      </w:r>
    </w:p>
    <w:p w:rsidR="001630DC" w:rsidRDefault="0011380A" w:rsidP="001630DC">
      <w:pPr>
        <w:spacing w:line="480" w:lineRule="auto"/>
      </w:pPr>
      <w:r>
        <w:tab/>
        <w:t>In addition to demographic characteristics, controls for the level</w:t>
      </w:r>
      <w:r w:rsidR="001630DC">
        <w:t xml:space="preserve"> economic/development </w:t>
      </w:r>
      <w:r>
        <w:t>in</w:t>
      </w:r>
      <w:r w:rsidR="001630DC">
        <w:t xml:space="preserve"> a country </w:t>
      </w:r>
      <w:r>
        <w:t xml:space="preserve">are also introduced as a control. </w:t>
      </w:r>
      <w:r w:rsidR="001630DC">
        <w:t xml:space="preserve">The economic/development characteristics of a country also underpin multiple explanations of location, including need and resource dependency. In terms of decision-making, the economic/development characteristics of a country as a whole are often the first knowledge a TNGO has of a country. Furthermore, economic and development factors serve as a useful tool for comparison of countries, assessment of government capacity, and as a heuristic for decision-making regarding location. These decisions may be influenced by a country’s GDP, level of existing aid, and degree of investment from the private sector among others. Furthermore, many TNGOs fall under the broad heading of “international development”, making analysis of these markers especially pertinent for the targeting and effectiveness of development assistance delivered via TNGOs. </w:t>
      </w:r>
    </w:p>
    <w:p w:rsidR="00E203F8" w:rsidRPr="0011380A" w:rsidRDefault="001630DC" w:rsidP="0011380A">
      <w:pPr>
        <w:spacing w:after="200" w:line="480" w:lineRule="auto"/>
      </w:pPr>
      <w:r>
        <w:t xml:space="preserve">A country’s </w:t>
      </w:r>
      <w:r>
        <w:rPr>
          <w:i/>
        </w:rPr>
        <w:t>GDP</w:t>
      </w:r>
      <w:r>
        <w:t xml:space="preserve">, </w:t>
      </w:r>
      <w:r>
        <w:rPr>
          <w:i/>
        </w:rPr>
        <w:t xml:space="preserve">growth </w:t>
      </w:r>
      <w:r>
        <w:t xml:space="preserve">as a percentage of GDP by year and </w:t>
      </w:r>
      <w:r>
        <w:rPr>
          <w:i/>
        </w:rPr>
        <w:t xml:space="preserve">unemployment </w:t>
      </w:r>
      <w:r>
        <w:t xml:space="preserve">as a percentage of the total population are used to measure the influence of country-level </w:t>
      </w:r>
      <w:r w:rsidRPr="004C6BB4">
        <w:t>economic/development context</w:t>
      </w:r>
      <w:r>
        <w:t xml:space="preserve"> on the location of U.S.-based TNGOs </w:t>
      </w:r>
      <w:r>
        <w:fldChar w:fldCharType="begin"/>
      </w:r>
      <w:r>
        <w:instrText xml:space="preserve"> ADDIN ZOTERO_ITEM CSL_CITATION {"citationID":"apGIGrl4","properties":{"formattedCitation":"(The World Bank 2013)","plainCitation":"(The World Bank 2013)"},"citationItems":[{"id":1194,"uris":["http://zotero.org/users/381007/items/PUMRTQ6R"],"uri":["http://zotero.org/users/381007/items/PUMRTQ6R"],"itemData":{"id":1194,"type":"article","title":"World Development Indicators","publisher":"The World Bank","URL":"http://data.worldbank.org/indicator","author":[{"family":"The World Bank","given":""}],"issued":{"date-parts":[["2013"]]},"accessed":{"date-parts":[["2015",5,18]]}}}],"schema":"https://github.com/citation-style-language/schema/raw/master/csl-citation.json"} </w:instrText>
      </w:r>
      <w:r>
        <w:fldChar w:fldCharType="separate"/>
      </w:r>
      <w:r>
        <w:rPr>
          <w:noProof/>
        </w:rPr>
        <w:t>(The World Bank 2013)</w:t>
      </w:r>
      <w:r>
        <w:fldChar w:fldCharType="end"/>
      </w:r>
      <w:r>
        <w:t xml:space="preserve">. To determine the impact of development aid and whether this draws organizations to particular countries, foreign assistance administered by the U.S. as overseas </w:t>
      </w:r>
      <w:r w:rsidRPr="008F74E4">
        <w:rPr>
          <w:i/>
        </w:rPr>
        <w:t>economic aid</w:t>
      </w:r>
      <w:r>
        <w:t xml:space="preserve"> or </w:t>
      </w:r>
      <w:r w:rsidRPr="008F74E4">
        <w:rPr>
          <w:i/>
        </w:rPr>
        <w:t>military aid</w:t>
      </w:r>
      <w:r>
        <w:t xml:space="preserve"> (billions of USD) in the form of loans and grants is also analyzed </w:t>
      </w:r>
      <w:r>
        <w:fldChar w:fldCharType="begin"/>
      </w:r>
      <w:r>
        <w:instrText xml:space="preserve"> ADDIN ZOTERO_ITEM CSL_CITATION {"citationID":"n27Z7Zac","properties":{"formattedCitation":"(USAID 2015)","plainCitation":"(USAID 2015)"},"citationItems":[{"id":3546,"uris":["http://zotero.org/users/381007/items/8482X48J"],"uri":["http://zotero.org/users/381007/items/8482X48J"],"itemData":{"id":3546,"type":"webpage","title":"U.S. Overseas Loans and Grants","URL":"https://eads.usaid.gov/gbk/","author":[{"family":"USAID","given":""}],"issued":{"date-parts":[["2015"]]},"accessed":{"date-parts":[["2015",5,29]]}}}],"schema":"https://github.com/citation-style-language/schema/raw/master/csl-citation.json"} </w:instrText>
      </w:r>
      <w:r>
        <w:fldChar w:fldCharType="separate"/>
      </w:r>
      <w:r w:rsidRPr="00CE7E5D">
        <w:t>(USAID 2015)</w:t>
      </w:r>
      <w:r>
        <w:fldChar w:fldCharType="end"/>
      </w:r>
      <w:r>
        <w:t xml:space="preserve">. All financial measures are in millions of current USD unless otherwise noted. </w:t>
      </w:r>
    </w:p>
    <w:p w:rsidR="001630DC" w:rsidRDefault="00AA0569" w:rsidP="001630DC">
      <w:pPr>
        <w:spacing w:line="480" w:lineRule="auto"/>
      </w:pPr>
      <w:r>
        <w:tab/>
        <w:t>The operating and political characteristics</w:t>
      </w:r>
      <w:r w:rsidR="001630DC">
        <w:t xml:space="preserve"> of a country are proposed as driving factors that increase or decrease the attractiveness of a country to U.S.-based TNGOs. As a test of existing theories of TNGO location, these categories touch on resource dependency, the level of need, </w:t>
      </w:r>
      <w:r w:rsidR="001630DC" w:rsidRPr="00A730C8">
        <w:t>networks</w:t>
      </w:r>
      <w:r w:rsidR="001630DC">
        <w:t xml:space="preserve">, and convenience. Existing scholarship has argued for one explanation over others, however, it is more likely that the decision-making process is influenced by a complex array of factors that rise and fall in salience depending on context. </w:t>
      </w:r>
    </w:p>
    <w:p w:rsidR="00DD501B" w:rsidRDefault="00DD501B" w:rsidP="00E67B1D">
      <w:pPr>
        <w:spacing w:line="480" w:lineRule="auto"/>
        <w:rPr>
          <w:szCs w:val="24"/>
        </w:rPr>
      </w:pPr>
    </w:p>
    <w:p w:rsidR="001630DC" w:rsidRPr="008D289A" w:rsidRDefault="001630DC" w:rsidP="008D289A">
      <w:pPr>
        <w:pStyle w:val="Subheading1"/>
        <w:rPr>
          <w:sz w:val="24"/>
          <w:szCs w:val="24"/>
        </w:rPr>
      </w:pPr>
      <w:bookmarkStart w:id="270" w:name="_Toc450079215"/>
      <w:r w:rsidRPr="008D289A">
        <w:rPr>
          <w:sz w:val="24"/>
          <w:szCs w:val="24"/>
        </w:rPr>
        <w:t>2.4: Data and Method</w:t>
      </w:r>
      <w:bookmarkEnd w:id="270"/>
    </w:p>
    <w:p w:rsidR="001630DC" w:rsidRPr="00692A98" w:rsidRDefault="001630DC" w:rsidP="001630DC"/>
    <w:p w:rsidR="00E203F8" w:rsidRDefault="001630DC" w:rsidP="009A03CF">
      <w:pPr>
        <w:spacing w:after="200" w:line="480" w:lineRule="auto"/>
      </w:pPr>
      <w:r>
        <w:rPr>
          <w:b/>
        </w:rPr>
        <w:tab/>
      </w:r>
      <w:r>
        <w:t xml:space="preserve">This dataset includes original data collected from documentary government and TNGO sources on organizational and financial features. In addition, it also incorporates measures from existing quantitative datasets on demographic, economic, and political measures. A mixed-methods approach was used to explore the research question, what factors make a country more attractive to U.S.-based TNGOs, to allow triangulation using primary and secondary sources. Triangulation serves as a verification tool for self-reported data drawn from </w:t>
      </w:r>
      <w:r w:rsidRPr="000C2B96">
        <w:t>990 forms</w:t>
      </w:r>
      <w:r>
        <w:t>, annual reports, and organization websites. A diverse group of 554 organizations is included in the dataset, representing U.S.-based TNGOs with operations in 194 countries and across programmat</w:t>
      </w:r>
      <w:r w:rsidR="00DD501B">
        <w:t>ic areas between 2008 and 2012.</w:t>
      </w:r>
    </w:p>
    <w:p w:rsidR="00DD501B" w:rsidRPr="00DD501B" w:rsidRDefault="00DD501B" w:rsidP="009A03CF">
      <w:pPr>
        <w:spacing w:after="200" w:line="480" w:lineRule="auto"/>
      </w:pPr>
    </w:p>
    <w:p w:rsidR="001630DC" w:rsidRPr="00044532" w:rsidRDefault="001630DC" w:rsidP="001630DC">
      <w:pPr>
        <w:spacing w:after="200" w:line="480" w:lineRule="auto"/>
        <w:jc w:val="center"/>
        <w:rPr>
          <w:i/>
        </w:rPr>
      </w:pPr>
      <w:r w:rsidRPr="00044532">
        <w:rPr>
          <w:i/>
        </w:rPr>
        <w:t>Dependent Variable</w:t>
      </w:r>
    </w:p>
    <w:p w:rsidR="001630DC" w:rsidRDefault="001630DC" w:rsidP="001630DC">
      <w:pPr>
        <w:spacing w:after="200" w:line="480" w:lineRule="auto"/>
      </w:pPr>
      <w:r>
        <w:tab/>
        <w:t xml:space="preserve">The dependent variable is the total number of U.S.-based TNGOs in a country between 2008 and 2012. TNGOs are defined as organizations registered with the IRS as 501(c)(3) tax-exempt public charities, excluding private foundations, and were identified using the National Center for Charitable Statistics (NCCS) database </w:t>
      </w:r>
      <w:r>
        <w:fldChar w:fldCharType="begin"/>
      </w:r>
      <w:r>
        <w:instrText xml:space="preserve"> ADDIN ZOTERO_ITEM CSL_CITATION {"citationID":"f9TToKQV","properties":{"formattedCitation":"{\\rtf (\\i Guidestar-NCCS National Nonprofit Research Database\\i0{} 2015)}","plainCitation":"(Guidestar-NCCS National Nonprofit Research Database 2015)"},"citationItems":[{"id":1485,"uris":["http://zotero.org/users/381007/items/NPXGWMHX"],"uri":["http://zotero.org/users/381007/items/NPXGWMHX"],"itemData":{"id":1485,"type":"book","title":"Guidestar-NCCS National Nonprofit Research Database","publisher":"The Urban Institute","publisher-place":"Washington","event-place":"Washington","URL":"nccsweb.urban.org","issued":{"date-parts":[["2015"]]}}}],"schema":"https://github.com/citation-style-language/schema/raw/master/csl-citation.json"} </w:instrText>
      </w:r>
      <w:r>
        <w:fldChar w:fldCharType="separate"/>
      </w:r>
      <w:r w:rsidRPr="00E36DDC">
        <w:t>(</w:t>
      </w:r>
      <w:r w:rsidRPr="00E36DDC">
        <w:rPr>
          <w:i/>
          <w:iCs/>
        </w:rPr>
        <w:t>Guidestar-NCCS National Nonprofit Research Database</w:t>
      </w:r>
      <w:r w:rsidRPr="00E36DDC">
        <w:t xml:space="preserve"> 2015)</w:t>
      </w:r>
      <w:r>
        <w:fldChar w:fldCharType="end"/>
      </w:r>
      <w:r>
        <w:t xml:space="preserve">. Gronbjerg, Liu, and Pollak </w:t>
      </w:r>
      <w:r>
        <w:fldChar w:fldCharType="begin"/>
      </w:r>
      <w:r>
        <w:instrText xml:space="preserve"> ADDIN ZOTERO_ITEM CSL_CITATION {"citationID":"IrV03AA9","properties":{"formattedCitation":"(Gronbjerg, Liu, and Pollak 2010)","plainCitation":"(Gronbjerg, Liu, and Pollak 2010)","dontUpdate":true},"citationItems":[{"id":3122,"uris":["http://zotero.org/users/381007/items/64D5P2Z4"],"uri":["http://zotero.org/users/381007/items/64D5P2Z4"],"itemData":{"id":3122,"type":"article-journal","title":"Incorporated but Not IRS-Registered: Exploring the (Dark) Grey Fringes of the Nonprofit Universe","container-title":"Nonprofit and Voluntary Sector Quarterly","page":"925-945","volume":"39","issue":"5","source":"CrossRef","DOI":"10.1177/0899764009342898","ISSN":"0899-7640, 1552-7395","shortTitle":"Incorporated but Not IRS-Registered","author":[{"family":"Gronbjerg","given":"K. A."},{"family":"Liu","given":"H. K."},{"family":"Pollak","given":"T. H."}],"issued":{"date-parts":[["2010"]]},"accessed":{"date-parts":[["2014",1,21]],"season":"00:02:23"}}}],"schema":"https://github.com/citation-style-language/schema/raw/master/csl-citation.json"} </w:instrText>
      </w:r>
      <w:r>
        <w:fldChar w:fldCharType="separate"/>
      </w:r>
      <w:r>
        <w:rPr>
          <w:noProof/>
        </w:rPr>
        <w:t>(2010)</w:t>
      </w:r>
      <w:r>
        <w:fldChar w:fldCharType="end"/>
      </w:r>
      <w:r>
        <w:t xml:space="preserve"> show discrepancies between federal and state registries. Federal status is used here because many TNGOs pursue federal grants or contracts. Tax-exempt credentials are often a requirement to register and proceed with in-country operations. It is not always necessary for TNGOs to register as local TNGOs, although it may confer some benefit in certain cases, tax-exempt credentials from the country of origin lend credibility and legitimacy, facilitate access, and assist the permission-seeking process surrounding operations and implementation. </w:t>
      </w:r>
    </w:p>
    <w:p w:rsidR="001630DC" w:rsidRDefault="001630DC" w:rsidP="001630DC">
      <w:pPr>
        <w:spacing w:after="200" w:line="480" w:lineRule="auto"/>
      </w:pPr>
      <w:r>
        <w:tab/>
        <w:t>The 2008 and 2012 period was selected due to changes in the form 990, one source of location data and organizational characteristics. The Internal Revenue Service (IRS) has introduced several updates to the form, most recently in 2007. In 2016, the IRS plans to the forms available in an electronic format following a court mandate. This is a welcome addition to the IRS Core Master Files and the scanned hardcopy form 990s housed at the Urban Institute, Guidestar, Charity Navigator, and similar institutions. The various iterations of the form 990 present several sets of questions, sequences, and layouts. This presents a challenge to the standardization of data across years. Certain questions are included in one year, but not the next or a question may be worded differently. In the latter instance disparate interpretations of the question from year to year may lead to inconsistent responses in self-reported data, although the intent of the question may be the same.</w:t>
      </w:r>
    </w:p>
    <w:p w:rsidR="001630DC" w:rsidRDefault="001630DC" w:rsidP="001630DC">
      <w:pPr>
        <w:spacing w:after="200" w:line="480" w:lineRule="auto"/>
        <w:ind w:firstLine="720"/>
      </w:pPr>
      <w:r>
        <w:t xml:space="preserve">Searches for organizations were first conducted using the National Tax-Exempt Entities Taxonomy (NTEE) codes to locate TNGOs whose mission was international in its scope. The NCCS estimates that there are 1.6 million 501(c)(3) public charities operating in the United </w:t>
      </w:r>
      <w:r w:rsidRPr="00A730C8">
        <w:t>(National Center for Charitable Statistics 2015)</w:t>
      </w:r>
      <w:r w:rsidRPr="00011BE4">
        <w:rPr>
          <w:rStyle w:val="FootnoteReference"/>
        </w:rPr>
        <w:footnoteReference w:id="10"/>
      </w:r>
      <w:r>
        <w:t xml:space="preserve">. Because not all TNGOs engaged in international activities are coded using the NTEE international (Q) code, a secondary search was conducted using the keyword “international” in the NCCS database and cross-referenced with the Guidestar database. This yielded several thousand results, including some defunct organizations and others reporting zero revenue. To narrow the population, two decision rules were implemented. These rules are designed to eliminate nonprofits that are no longer operating and those that are unlikely to have a significant international presence. </w:t>
      </w:r>
    </w:p>
    <w:p w:rsidR="001630DC" w:rsidRDefault="001630DC" w:rsidP="001630DC">
      <w:pPr>
        <w:spacing w:after="200" w:line="480" w:lineRule="auto"/>
      </w:pPr>
      <w:r>
        <w:tab/>
        <w:t>First, organizations must meet or exceed a $1 million USD revenue threshold under the NCCS parameters, which is calculated using the most recently filed form 990 and located in the organization profile summary. Other scholars have implemented similar decision rules, using revenue thresholds as a mechanism to identify the population of interest.</w:t>
      </w:r>
      <w:r w:rsidRPr="00011BE4">
        <w:rPr>
          <w:rStyle w:val="FootnoteReference"/>
        </w:rPr>
        <w:footnoteReference w:id="11"/>
      </w:r>
      <w:r>
        <w:t xml:space="preserve"> The NCCS database is searchable using several search parameters. Revenue is coded at several levels using data from the form 990. Although it is not possible to select multiple criteria, the categorization of revenue data prevents duplicates across searches. Capturing TNGOs with $1 million USD or more excludes organizations that are not required to register for 501(c)(3) status because they are too small, such as churches, while preserving the diversity of organizations in terms of size. The revenue decision rule acts as a heuristic for selecting organizations that are active, international in scope, and captures a range of capacities. </w:t>
      </w:r>
    </w:p>
    <w:p w:rsidR="001630DC" w:rsidRDefault="001630DC" w:rsidP="001630DC">
      <w:pPr>
        <w:spacing w:after="200" w:line="480" w:lineRule="auto"/>
        <w:ind w:firstLine="720"/>
      </w:pPr>
      <w:r>
        <w:t>The second decision rule used to identify TNGOs in the data is the physical presence in a country. In-country programming is defined as staff, volunteers, or other infrastructure in the country of operations a given year between 2008 and 2012. In this dissertation, location is understood at the country level. Any U.S.-based organization meeting the first rule and which also has staff or infrastructure present in a country is included in the data. Annual reports, 990 forms, and program descriptions were used to determine a TNGO’s in-country status. TNGOs not meeting this qualification, but whose scope of work is international were excluded because of this dissertation’s focus on location.</w:t>
      </w:r>
      <w:r w:rsidRPr="00011BE4">
        <w:rPr>
          <w:rStyle w:val="FootnoteReference"/>
        </w:rPr>
        <w:footnoteReference w:id="12"/>
      </w:r>
      <w:r>
        <w:t xml:space="preserve"> Organizations such as think tanks or those providing non-monetary support do not face the same levels of logistical or programmatic commitment as that required of in-country TNGOs. This approach produced a dataset containing data on 553 U.S.-based TNGOs across 194 countries between 2008 and 2012. </w:t>
      </w:r>
    </w:p>
    <w:p w:rsidR="00E67B1D" w:rsidRDefault="001630DC" w:rsidP="00E67B1D">
      <w:pPr>
        <w:spacing w:after="200" w:line="480" w:lineRule="auto"/>
      </w:pPr>
      <w:r>
        <w:tab/>
        <w:t xml:space="preserve">In addition to the form 990, the presence or absence of a TNGO during a specific year was documented using the website and the annual report of the TNGO. Reports were curated from several sources, including the organization websites, Guidestar, and through electronic and correspondence and telephone inquiries with TNGO representatives. The majority of organizations maintain libraries of annual reports for three to five years. Larger organizations possessing a higher degree of professionalization may offer five to ten years of annual reports on their websites, though this is not consistent across organizations. Beyond the three to five year marks, annual reports are either destroyed or archived off site. </w:t>
      </w:r>
      <w:r w:rsidRPr="007B7DF8">
        <w:t>Due to the size of the population from which the sample is drawn, the most recent version of the form was chosen for data availability and consistency.</w:t>
      </w:r>
      <w:r>
        <w:t xml:space="preserve"> </w:t>
      </w:r>
    </w:p>
    <w:p w:rsidR="00E67B1D" w:rsidRDefault="00E67B1D" w:rsidP="00E67B1D">
      <w:pPr>
        <w:spacing w:line="480" w:lineRule="auto"/>
        <w:rPr>
          <w:szCs w:val="24"/>
        </w:rPr>
      </w:pPr>
    </w:p>
    <w:p w:rsidR="00B97971" w:rsidRDefault="00B97971" w:rsidP="00E67B1D">
      <w:pPr>
        <w:spacing w:line="480" w:lineRule="auto"/>
        <w:rPr>
          <w:szCs w:val="24"/>
        </w:rPr>
      </w:pPr>
    </w:p>
    <w:p w:rsidR="00B97971" w:rsidRDefault="00B97971" w:rsidP="00E67B1D">
      <w:pPr>
        <w:spacing w:line="480" w:lineRule="auto"/>
        <w:rPr>
          <w:szCs w:val="24"/>
        </w:rPr>
      </w:pPr>
    </w:p>
    <w:p w:rsidR="001630DC" w:rsidRPr="00E67B1D" w:rsidRDefault="001630DC" w:rsidP="00E67B1D">
      <w:pPr>
        <w:spacing w:after="200" w:line="480" w:lineRule="auto"/>
        <w:jc w:val="center"/>
      </w:pPr>
      <w:r w:rsidRPr="00044532">
        <w:rPr>
          <w:i/>
        </w:rPr>
        <w:t>Methods</w:t>
      </w:r>
    </w:p>
    <w:p w:rsidR="00E67B1D" w:rsidRDefault="001630DC" w:rsidP="00E67B1D">
      <w:pPr>
        <w:spacing w:line="480" w:lineRule="auto"/>
        <w:rPr>
          <w:szCs w:val="24"/>
        </w:rPr>
      </w:pPr>
      <w:r>
        <w:tab/>
        <w:t>The hypotheses are tested using a negative binomial count regression on the number of TNGOs in a country by year between 2008 and 2012 because ordinary least squares (OLS) regression could result in biased coefficients with count data. Similar to many count variables, the dependent variable (</w:t>
      </w:r>
      <w:r w:rsidRPr="00362941">
        <w:rPr>
          <w:i/>
        </w:rPr>
        <w:t>total</w:t>
      </w:r>
      <w:r w:rsidRPr="00A730C8">
        <w:rPr>
          <w:i/>
        </w:rPr>
        <w:t>_</w:t>
      </w:r>
      <w:r>
        <w:rPr>
          <w:i/>
        </w:rPr>
        <w:t>TNGO</w:t>
      </w:r>
      <w:r w:rsidRPr="007B7DF8">
        <w:t>)</w:t>
      </w:r>
      <w:r>
        <w:rPr>
          <w:i/>
        </w:rPr>
        <w:t xml:space="preserve"> </w:t>
      </w:r>
      <w:r w:rsidRPr="00362941">
        <w:t>includes</w:t>
      </w:r>
      <w:r>
        <w:t xml:space="preserve"> a high number of low- and non-occurrences per country with a Poisson-like distribution. The mean level of TNGOs per country is 25.47 with a standard deviation of .83. The dispersion in the data is greater than expected in a traditional Poisson distribution. As a result, the models are estimated using the negative binomial estimation technique. In addition, robust standard errors are estimated. These corrections eliminate heteroskedasticity effects on standard errors</w:t>
      </w:r>
      <w:r w:rsidRPr="007B7DF8">
        <w:t>.</w:t>
      </w:r>
      <w:r>
        <w:rPr>
          <w:b/>
        </w:rPr>
        <w:t xml:space="preserve"> </w:t>
      </w:r>
      <w:r>
        <w:t xml:space="preserve">Such corrections also build confidence in the validity of the results, as significant coefficients are more difficult to obtain. Results are presented in Table 1. </w:t>
      </w:r>
    </w:p>
    <w:p w:rsidR="00E67B1D" w:rsidRDefault="00E67B1D" w:rsidP="00E67B1D">
      <w:pPr>
        <w:spacing w:line="480" w:lineRule="auto"/>
        <w:rPr>
          <w:szCs w:val="24"/>
        </w:rPr>
      </w:pPr>
    </w:p>
    <w:p w:rsidR="00DD501B" w:rsidRDefault="001630DC" w:rsidP="008D289A">
      <w:pPr>
        <w:pStyle w:val="Subheading1"/>
        <w:rPr>
          <w:sz w:val="24"/>
          <w:szCs w:val="24"/>
        </w:rPr>
      </w:pPr>
      <w:bookmarkStart w:id="271" w:name="_Toc450079216"/>
      <w:r w:rsidRPr="008D289A">
        <w:rPr>
          <w:sz w:val="24"/>
          <w:szCs w:val="24"/>
        </w:rPr>
        <w:t>2.5: Results</w:t>
      </w:r>
      <w:bookmarkEnd w:id="271"/>
    </w:p>
    <w:p w:rsidR="008D289A" w:rsidRPr="008D289A" w:rsidRDefault="008D289A" w:rsidP="008D289A">
      <w:pPr>
        <w:pStyle w:val="Subheading1"/>
        <w:rPr>
          <w:sz w:val="24"/>
          <w:szCs w:val="24"/>
        </w:rPr>
      </w:pPr>
    </w:p>
    <w:p w:rsidR="001630DC" w:rsidRDefault="001630DC" w:rsidP="00DD501B">
      <w:pPr>
        <w:spacing w:after="200" w:line="480" w:lineRule="auto"/>
        <w:ind w:firstLine="720"/>
        <w:jc w:val="center"/>
      </w:pPr>
      <w:r>
        <w:t xml:space="preserve">Analysis of country characteristics and TNGO location forms the foundation </w:t>
      </w:r>
      <w:r w:rsidR="00015E72">
        <w:t>of</w:t>
      </w:r>
      <w:r>
        <w:t xml:space="preserve"> the larger research question: what factors drive TNGO decisions concerning location? Using negative binomial regression with robust standard errors, this chapter presents the country characteristics as four categories: operational, political, demographic, and economic/development. It then attempts to answer what country characteristics make a location more or less attractive to U.S.-based TNGOs. Importantly, while the results illustrate a relationship between variables, they are unable to demonstrate causality. </w:t>
      </w:r>
    </w:p>
    <w:p w:rsidR="00E67B1D" w:rsidRDefault="001630DC" w:rsidP="00E67B1D">
      <w:pPr>
        <w:spacing w:after="200" w:line="480" w:lineRule="auto"/>
        <w:ind w:firstLine="720"/>
      </w:pPr>
      <w:r>
        <w:t xml:space="preserve">Table </w:t>
      </w:r>
      <w:r w:rsidR="00BC20CD">
        <w:t>2.</w:t>
      </w:r>
      <w:r>
        <w:t xml:space="preserve">1 clearly illustrates that some categories are more influential than others on the number of TNGOs in a country, and that only certain elements of these groupings matter. </w:t>
      </w:r>
      <w:r w:rsidR="00015E72">
        <w:t>Both the</w:t>
      </w:r>
      <w:r>
        <w:t xml:space="preserve"> operating environme</w:t>
      </w:r>
      <w:r w:rsidR="00015E72">
        <w:t xml:space="preserve">nt and political environment are influential in their individual models, as well as in the larger model. </w:t>
      </w:r>
      <w:r>
        <w:t>This shows t</w:t>
      </w:r>
      <w:r w:rsidR="00015E72">
        <w:t xml:space="preserve">he importance of the political and operating environments </w:t>
      </w:r>
      <w:r>
        <w:t xml:space="preserve">on decision-making among TNGOs </w:t>
      </w:r>
      <w:r w:rsidR="00FD5238">
        <w:t>related to their</w:t>
      </w:r>
      <w:r>
        <w:t xml:space="preserve"> location and implementation choices. </w:t>
      </w:r>
      <w:r w:rsidR="00FD5238">
        <w:t xml:space="preserve">Where these environments are more favorable, it is easier to enter and conduct work. Therefore, there are a higher number of U.S.-based TNGOs in countries with favorable political and operating environments, with certain caveats. </w:t>
      </w:r>
      <w:r>
        <w:t>These appear to outweigh the level of need in a country, as measured by demographic characteristics.</w:t>
      </w:r>
    </w:p>
    <w:p w:rsidR="00B97971" w:rsidRPr="00DA3965" w:rsidRDefault="00B97971" w:rsidP="00B97971">
      <w:pPr>
        <w:spacing w:line="480" w:lineRule="auto"/>
        <w:rPr>
          <w:i/>
        </w:rPr>
      </w:pPr>
      <w:bookmarkStart w:id="272" w:name="_Toc450069819"/>
      <w:r w:rsidRPr="00DA3965">
        <w:rPr>
          <w:i/>
        </w:rPr>
        <w:t xml:space="preserve">Hypothesis 1: Favorable operating environments, including fewer conflicts and higher civil liberties, will result in a higher number of </w:t>
      </w:r>
      <w:r>
        <w:rPr>
          <w:i/>
        </w:rPr>
        <w:t>TNGO</w:t>
      </w:r>
      <w:r w:rsidRPr="00DA3965">
        <w:rPr>
          <w:i/>
        </w:rPr>
        <w:t xml:space="preserve">s. </w:t>
      </w:r>
    </w:p>
    <w:p w:rsidR="00B97971" w:rsidRDefault="00B97971" w:rsidP="00B97971">
      <w:pPr>
        <w:spacing w:after="200" w:line="480" w:lineRule="auto"/>
        <w:ind w:firstLine="720"/>
      </w:pPr>
      <w:r>
        <w:t xml:space="preserve">In summary, the operating environment consists of six variables to measure the ease or the difficulty affecting day-to-day operations of a TNGO. Of the six variables included in the </w:t>
      </w:r>
      <w:r w:rsidRPr="00C8240F">
        <w:t xml:space="preserve">operating </w:t>
      </w:r>
      <w:r>
        <w:t xml:space="preserve">model, all are statistically significance. Holding all else constant, we can expect 3.5 more U.S.-based TNGOs for each unit of increase on the freedom of domestic movement measure. For each one point </w:t>
      </w:r>
      <w:r>
        <w:rPr>
          <w:i/>
        </w:rPr>
        <w:t xml:space="preserve">freedom of speech </w:t>
      </w:r>
      <w:r>
        <w:t xml:space="preserve">scale, we can expect an additional four U.S.-based TNGOs in that country; therefore, countries with a higher degree of freedom of movement internally and free speech attract more TNGOs. </w:t>
      </w:r>
    </w:p>
    <w:p w:rsidR="00B97971" w:rsidRDefault="00B97971" w:rsidP="00BC20CD">
      <w:pPr>
        <w:pStyle w:val="Caption"/>
        <w:rPr>
          <w:b/>
          <w:i w:val="0"/>
          <w:color w:val="auto"/>
          <w:sz w:val="22"/>
        </w:rPr>
      </w:pPr>
    </w:p>
    <w:p w:rsidR="00B97971" w:rsidRDefault="00B97971" w:rsidP="00BC20CD">
      <w:pPr>
        <w:pStyle w:val="Caption"/>
        <w:rPr>
          <w:b/>
          <w:i w:val="0"/>
          <w:color w:val="auto"/>
          <w:sz w:val="22"/>
        </w:rPr>
      </w:pPr>
    </w:p>
    <w:p w:rsidR="00B97971" w:rsidRDefault="00B97971" w:rsidP="00BC20CD">
      <w:pPr>
        <w:pStyle w:val="Caption"/>
        <w:rPr>
          <w:b/>
          <w:i w:val="0"/>
          <w:color w:val="auto"/>
          <w:sz w:val="22"/>
        </w:rPr>
      </w:pPr>
      <w:r>
        <w:rPr>
          <w:b/>
          <w:noProof/>
          <w:szCs w:val="24"/>
        </w:rPr>
        <w:drawing>
          <wp:inline distT="0" distB="0" distL="0" distR="0" wp14:anchorId="6682E9B8" wp14:editId="474D12CE">
            <wp:extent cx="5482590" cy="6172200"/>
            <wp:effectExtent l="0" t="0" r="3810" b="0"/>
            <wp:docPr id="3" name="Picture 3"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5843" cy="6220893"/>
                    </a:xfrm>
                    <a:prstGeom prst="rect">
                      <a:avLst/>
                    </a:prstGeom>
                    <a:noFill/>
                    <a:ln w="9525">
                      <a:noFill/>
                      <a:miter lim="800000"/>
                      <a:headEnd/>
                      <a:tailEnd/>
                    </a:ln>
                  </pic:spPr>
                </pic:pic>
              </a:graphicData>
            </a:graphic>
          </wp:inline>
        </w:drawing>
      </w:r>
    </w:p>
    <w:p w:rsidR="00BC20CD" w:rsidRPr="00B17F99" w:rsidRDefault="00BC20CD" w:rsidP="00BC20CD">
      <w:pPr>
        <w:pStyle w:val="Caption"/>
        <w:rPr>
          <w:b/>
          <w:i w:val="0"/>
          <w:color w:val="auto"/>
          <w:sz w:val="22"/>
        </w:rPr>
      </w:pPr>
      <w:r w:rsidRPr="00B17F99">
        <w:rPr>
          <w:b/>
          <w:i w:val="0"/>
          <w:color w:val="auto"/>
          <w:sz w:val="22"/>
        </w:rPr>
        <w:t xml:space="preserve">Table </w:t>
      </w:r>
      <w:r w:rsidRPr="00B17F99">
        <w:rPr>
          <w:b/>
          <w:i w:val="0"/>
          <w:color w:val="auto"/>
          <w:sz w:val="22"/>
        </w:rPr>
        <w:fldChar w:fldCharType="begin"/>
      </w:r>
      <w:r w:rsidRPr="00B17F99">
        <w:rPr>
          <w:b/>
          <w:i w:val="0"/>
          <w:color w:val="auto"/>
          <w:sz w:val="22"/>
        </w:rPr>
        <w:instrText xml:space="preserve"> STYLEREF 1 \s </w:instrText>
      </w:r>
      <w:r w:rsidRPr="00B17F99">
        <w:rPr>
          <w:b/>
          <w:i w:val="0"/>
          <w:color w:val="auto"/>
          <w:sz w:val="22"/>
        </w:rPr>
        <w:fldChar w:fldCharType="separate"/>
      </w:r>
      <w:r w:rsidR="001517D5">
        <w:rPr>
          <w:b/>
          <w:i w:val="0"/>
          <w:noProof/>
          <w:color w:val="auto"/>
          <w:sz w:val="22"/>
          <w:cs/>
        </w:rPr>
        <w:t>‎</w:t>
      </w:r>
      <w:r w:rsidR="001517D5">
        <w:rPr>
          <w:b/>
          <w:i w:val="0"/>
          <w:noProof/>
          <w:color w:val="auto"/>
          <w:sz w:val="22"/>
        </w:rPr>
        <w:t>1</w:t>
      </w:r>
      <w:r w:rsidRPr="00B17F99">
        <w:rPr>
          <w:b/>
          <w:i w:val="0"/>
          <w:color w:val="auto"/>
          <w:sz w:val="22"/>
        </w:rPr>
        <w:fldChar w:fldCharType="end"/>
      </w:r>
      <w:r w:rsidRPr="00B17F99">
        <w:rPr>
          <w:b/>
          <w:i w:val="0"/>
          <w:color w:val="auto"/>
          <w:sz w:val="22"/>
        </w:rPr>
        <w:t>.</w:t>
      </w:r>
      <w:r w:rsidRPr="00B17F99">
        <w:rPr>
          <w:b/>
          <w:i w:val="0"/>
          <w:color w:val="auto"/>
          <w:sz w:val="22"/>
        </w:rPr>
        <w:fldChar w:fldCharType="begin"/>
      </w:r>
      <w:r w:rsidRPr="00B17F99">
        <w:rPr>
          <w:b/>
          <w:i w:val="0"/>
          <w:color w:val="auto"/>
          <w:sz w:val="22"/>
        </w:rPr>
        <w:instrText xml:space="preserve"> SEQ Table \* ARABIC \s 1 </w:instrText>
      </w:r>
      <w:r w:rsidRPr="00B17F99">
        <w:rPr>
          <w:b/>
          <w:i w:val="0"/>
          <w:color w:val="auto"/>
          <w:sz w:val="22"/>
        </w:rPr>
        <w:fldChar w:fldCharType="separate"/>
      </w:r>
      <w:r w:rsidR="001517D5">
        <w:rPr>
          <w:b/>
          <w:i w:val="0"/>
          <w:noProof/>
          <w:color w:val="auto"/>
          <w:sz w:val="22"/>
        </w:rPr>
        <w:t>1</w:t>
      </w:r>
      <w:r w:rsidRPr="00B17F99">
        <w:rPr>
          <w:b/>
          <w:i w:val="0"/>
          <w:color w:val="auto"/>
          <w:sz w:val="22"/>
        </w:rPr>
        <w:fldChar w:fldCharType="end"/>
      </w:r>
      <w:r w:rsidRPr="00B17F99">
        <w:rPr>
          <w:b/>
          <w:i w:val="0"/>
          <w:color w:val="auto"/>
          <w:sz w:val="22"/>
        </w:rPr>
        <w:t>: Regression Analysis of Country Characteristics, Robustness Check, 2008—2012</w:t>
      </w:r>
      <w:bookmarkEnd w:id="272"/>
    </w:p>
    <w:p w:rsidR="00B97971" w:rsidRDefault="00B97971" w:rsidP="00B97971">
      <w:pPr>
        <w:spacing w:after="200" w:line="480" w:lineRule="auto"/>
      </w:pPr>
    </w:p>
    <w:p w:rsidR="001630DC" w:rsidRPr="00777B29" w:rsidRDefault="001630DC" w:rsidP="00B97971">
      <w:pPr>
        <w:spacing w:after="200" w:line="480" w:lineRule="auto"/>
        <w:ind w:firstLine="720"/>
      </w:pPr>
      <w:r>
        <w:t>The</w:t>
      </w:r>
      <w:r>
        <w:rPr>
          <w:i/>
        </w:rPr>
        <w:t xml:space="preserve"> </w:t>
      </w:r>
      <w:r>
        <w:t xml:space="preserve">variable measuring the magnitude of civil and ethnic violence in a country is also positive and significant, for every one-point increase in this measurement an additional six TNGOs are present in that country. The magnitude of conflict in a country may provide additional support need-based arguments. If conflict zones harbor a higher proportion of individuals in need, for example in a complex human emergency, one might expect an increase in the number of TNGOs in that country. While </w:t>
      </w:r>
      <w:r w:rsidRPr="001B6051">
        <w:t>number of</w:t>
      </w:r>
      <w:r>
        <w:rPr>
          <w:i/>
        </w:rPr>
        <w:t xml:space="preserve"> </w:t>
      </w:r>
      <w:r w:rsidRPr="003A0E3A">
        <w:t>shared borders</w:t>
      </w:r>
      <w:r>
        <w:t xml:space="preserve"> appears to be important, it is possible that conflicts in neighboring countries might also influence the number of TNGOs in neighboring countries.</w:t>
      </w:r>
      <w:r>
        <w:rPr>
          <w:i/>
        </w:rPr>
        <w:t xml:space="preserve"> </w:t>
      </w:r>
      <w:r>
        <w:t xml:space="preserve">The number of </w:t>
      </w:r>
      <w:r w:rsidRPr="007B7DF8">
        <w:rPr>
          <w:i/>
        </w:rPr>
        <w:t>shared borders</w:t>
      </w:r>
      <w:r>
        <w:t xml:space="preserve"> is also positive and significant. On its own, this finding might be taken as evidence of the convenience argument. However, if it is considered along with the magnitude of conflict, it also encompasses the level of need and perhaps the opportunity to collaborate across borders. </w:t>
      </w:r>
    </w:p>
    <w:p w:rsidR="001630DC" w:rsidRDefault="001630DC" w:rsidP="001630DC">
      <w:pPr>
        <w:spacing w:after="200" w:line="480" w:lineRule="auto"/>
        <w:ind w:firstLine="720"/>
      </w:pPr>
      <w:r>
        <w:t xml:space="preserve">The variable </w:t>
      </w:r>
      <w:r>
        <w:rPr>
          <w:i/>
        </w:rPr>
        <w:t>c</w:t>
      </w:r>
      <w:r w:rsidRPr="001B6051">
        <w:rPr>
          <w:i/>
        </w:rPr>
        <w:t>ell users</w:t>
      </w:r>
      <w:r w:rsidRPr="001B6051">
        <w:t xml:space="preserve"> is negative</w:t>
      </w:r>
      <w:r>
        <w:t xml:space="preserve"> and significant, meaning that for each decrease on the scale there is a decrease in the total number of U.S.-based TNGO in a country. One explanation for this is that many TNGOs operate in countries where infrastructure is less developed. However, even in less developed countries cell phone technology has markedly increased and become an integral piece of communication and business. TNGOs may rely on other mechanisms of communication to bridge gaps in technology. Instead of convenience and infrastructure, this result may point toward a need-based argument. Furthermore, the relationship between TNGO decisions regarding location and infrastructure may be the inverse. More specifically, TNGOs go and infrastructure follows as a consequence of their presence rather than TNGOs being attracted to a country because of its convenience. </w:t>
      </w:r>
    </w:p>
    <w:p w:rsidR="001630DC" w:rsidRPr="00DC408C" w:rsidRDefault="001630DC" w:rsidP="001630DC">
      <w:pPr>
        <w:spacing w:after="200"/>
        <w:ind w:firstLine="720"/>
      </w:pPr>
    </w:p>
    <w:p w:rsidR="001630DC" w:rsidRPr="00DA3965" w:rsidRDefault="001630DC" w:rsidP="001630DC">
      <w:pPr>
        <w:spacing w:line="480" w:lineRule="auto"/>
        <w:rPr>
          <w:i/>
        </w:rPr>
      </w:pPr>
      <w:r w:rsidRPr="00DA3965">
        <w:rPr>
          <w:i/>
        </w:rPr>
        <w:t xml:space="preserve">Hypothesis 2: Favorable political environments will correlate with a higher number of </w:t>
      </w:r>
      <w:r>
        <w:rPr>
          <w:i/>
        </w:rPr>
        <w:t>TNGO</w:t>
      </w:r>
      <w:r w:rsidRPr="00DA3965">
        <w:rPr>
          <w:i/>
        </w:rPr>
        <w:t>s.</w:t>
      </w:r>
    </w:p>
    <w:p w:rsidR="00DD501B" w:rsidRDefault="001630DC" w:rsidP="009A03CF">
      <w:pPr>
        <w:spacing w:after="200" w:line="480" w:lineRule="auto"/>
        <w:rPr>
          <w:i/>
        </w:rPr>
      </w:pPr>
      <w:r>
        <w:t xml:space="preserve">In </w:t>
      </w:r>
      <w:r w:rsidRPr="00904F81">
        <w:t xml:space="preserve">the political </w:t>
      </w:r>
      <w:r>
        <w:t xml:space="preserve">environment model, four of the five variables are significant, with three reporting a negative direction. Specifically, all else held constant, </w:t>
      </w:r>
      <w:r>
        <w:rPr>
          <w:i/>
        </w:rPr>
        <w:t>Polity IV</w:t>
      </w:r>
      <w:r>
        <w:t xml:space="preserve"> is positive and significant. As countries move up the Polity scale, becoming more open, we can expect to see one additional U.S.-based TNGO per unit increase. This result is interesting and suggests that political stability, while important, holds less influence over the decision-making process than anticipated. Measures of </w:t>
      </w:r>
      <w:r w:rsidRPr="002F6763">
        <w:rPr>
          <w:i/>
        </w:rPr>
        <w:t>extrajudicial</w:t>
      </w:r>
      <w:r>
        <w:rPr>
          <w:i/>
        </w:rPr>
        <w:t xml:space="preserve"> killings</w:t>
      </w:r>
      <w:r>
        <w:t xml:space="preserve">, </w:t>
      </w:r>
      <w:r>
        <w:rPr>
          <w:i/>
        </w:rPr>
        <w:t>political prisoners</w:t>
      </w:r>
      <w:r>
        <w:t xml:space="preserve">, and </w:t>
      </w:r>
      <w:r>
        <w:rPr>
          <w:i/>
        </w:rPr>
        <w:t xml:space="preserve">torture </w:t>
      </w:r>
      <w:r>
        <w:t xml:space="preserve">are negative and significant; however, </w:t>
      </w:r>
      <w:r>
        <w:rPr>
          <w:i/>
        </w:rPr>
        <w:t>disappeared</w:t>
      </w:r>
      <w:r>
        <w:t xml:space="preserve">, another measure of physical integrity, is neither negative nor significant. The marginal effects for the frequency of extrajudicial killings and the use of torture are especially impactful; for each one-unit change, we can expect to see sixteen to seventeen fewer TNGOs in a country. The use of political prisoners also has a negative effect, with four fewer TNGOs per one-unit change. The results for </w:t>
      </w:r>
      <w:r>
        <w:rPr>
          <w:i/>
        </w:rPr>
        <w:t>Polity IV</w:t>
      </w:r>
      <w:r>
        <w:t xml:space="preserve"> support the findings from the previous model for freedom of movement and speech, suggesting that governments that are more open are also more attractive to U.S.-based TNGOs. This may be a reflection of the barriers to entry to start, in which TNGOs face greater difficulty securing permission to enter let alone conducting operations on a day-to-day basis. Interestingly, the other significant variables in the political model have the opposite relationship, seeming to refute findings related to </w:t>
      </w:r>
      <w:r>
        <w:rPr>
          <w:i/>
        </w:rPr>
        <w:t>Polity IV</w:t>
      </w:r>
      <w:r>
        <w:t xml:space="preserve">. When all else is held constant, as the frequency of </w:t>
      </w:r>
      <w:r w:rsidRPr="007B7DF8">
        <w:t>extrajudicial killings</w:t>
      </w:r>
      <w:r w:rsidRPr="00A730C8">
        <w:t xml:space="preserve">, </w:t>
      </w:r>
      <w:r w:rsidRPr="007B7DF8">
        <w:t>political prisoners</w:t>
      </w:r>
      <w:r w:rsidRPr="00A730C8">
        <w:t xml:space="preserve">, or </w:t>
      </w:r>
      <w:r w:rsidRPr="007B7DF8">
        <w:t>torture</w:t>
      </w:r>
      <w:r>
        <w:t xml:space="preserve"> as a political tactic</w:t>
      </w:r>
      <w:r>
        <w:rPr>
          <w:i/>
        </w:rPr>
        <w:t xml:space="preserve"> </w:t>
      </w:r>
      <w:r>
        <w:t xml:space="preserve">increases, an </w:t>
      </w:r>
      <w:r w:rsidRPr="008C048D">
        <w:t>increase</w:t>
      </w:r>
      <w:r>
        <w:t xml:space="preserve"> in the number of U.S.-based TNGOs is also expected. Human rights organizations make up a significant proportion of the U.S. international nonprofit sector. Such conditions may signal a need for them. It is unlikely that this is evidence of alternative explanations, specifically resource dependency, because of the value placed on neutrality by TNGOs working in the human rights sector. Consequently, such organizations place distance between themselves and government in an effort to maintain credibility and neutrality </w:t>
      </w:r>
      <w:r>
        <w:fldChar w:fldCharType="begin"/>
      </w:r>
      <w:r>
        <w:instrText xml:space="preserve"> ADDIN ZOTERO_ITEM CSL_CITATION {"citationID":"3yu3uZcB","properties":{"formattedCitation":"(Mitchell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sidRPr="008B6C4F">
        <w:t>(Mitchell 2013)</w:t>
      </w:r>
      <w:r>
        <w:fldChar w:fldCharType="end"/>
      </w:r>
      <w:r>
        <w:t xml:space="preserve">, making a relationship between location and at least government resources unlikely in this case. There may be another driving factor such as foreign policy or media attention that should also be taken into consideration. </w:t>
      </w:r>
    </w:p>
    <w:p w:rsidR="00DD501B" w:rsidRPr="00DD501B" w:rsidRDefault="00DD501B" w:rsidP="009A03CF">
      <w:pPr>
        <w:spacing w:after="200" w:line="480" w:lineRule="auto"/>
        <w:rPr>
          <w:i/>
        </w:rPr>
      </w:pPr>
    </w:p>
    <w:p w:rsidR="00661D68" w:rsidRPr="00D96D01" w:rsidRDefault="00661D68" w:rsidP="00661D68">
      <w:pPr>
        <w:spacing w:line="480" w:lineRule="auto"/>
        <w:jc w:val="center"/>
        <w:rPr>
          <w:szCs w:val="24"/>
        </w:rPr>
      </w:pPr>
      <w:r>
        <w:rPr>
          <w:i/>
        </w:rPr>
        <w:t>Combined Models</w:t>
      </w:r>
    </w:p>
    <w:p w:rsidR="00661D68" w:rsidRPr="00692A98" w:rsidRDefault="00661D68" w:rsidP="00661D68">
      <w:pPr>
        <w:spacing w:before="240" w:after="200" w:line="480" w:lineRule="auto"/>
        <w:ind w:firstLine="720"/>
        <w:rPr>
          <w:i/>
        </w:rPr>
      </w:pPr>
      <w:r>
        <w:t xml:space="preserve">The individually specified models were combined into a single negative binomial regression with robust standard errors to further verify the results. The variables </w:t>
      </w:r>
      <w:r>
        <w:rPr>
          <w:i/>
        </w:rPr>
        <w:t>poverty ratio</w:t>
      </w:r>
      <w:r>
        <w:t xml:space="preserve"> and </w:t>
      </w:r>
      <w:r>
        <w:rPr>
          <w:i/>
        </w:rPr>
        <w:t xml:space="preserve">military aid </w:t>
      </w:r>
      <w:r>
        <w:t xml:space="preserve">were excluded to preserve the sample size. The directions of the relationships of significant variables reported in the individual models were preserved with one exception. The </w:t>
      </w:r>
      <w:r>
        <w:rPr>
          <w:i/>
        </w:rPr>
        <w:t>conflict</w:t>
      </w:r>
      <w:r>
        <w:t xml:space="preserve"> variable changed from positive to negative, but maintained the same level of significance. This suggests that on its own, the level of conflict is a factor that makes countries more attractive to U.S.-based TNGOs, but when taken in sum with other factors it becomes a detractor. In addition, </w:t>
      </w:r>
      <w:r>
        <w:rPr>
          <w:i/>
        </w:rPr>
        <w:t>freedom of domestic movement</w:t>
      </w:r>
      <w:r>
        <w:t xml:space="preserve"> gained, but the direction changed from positive to negative. Levels of significance increased or decreased in several variables, but all reported a significance of .05 or better. </w:t>
      </w:r>
    </w:p>
    <w:p w:rsidR="00661D68" w:rsidRDefault="00661D68" w:rsidP="00661D68">
      <w:pPr>
        <w:spacing w:before="240" w:after="200" w:line="480" w:lineRule="auto"/>
        <w:ind w:firstLine="720"/>
      </w:pPr>
      <w:r>
        <w:t xml:space="preserve">Each of the models were also calculated using a one-year and two-year lag on the independent variables in order to assess the influence the characteristics in the preceding year had on the total number of TNGOs in a country. </w:t>
      </w:r>
      <w:r w:rsidRPr="008C70EE">
        <w:t xml:space="preserve">The levels of significance and relationship directions remained consistent in each of the models, with the exception of </w:t>
      </w:r>
      <w:r w:rsidRPr="008C70EE">
        <w:rPr>
          <w:i/>
        </w:rPr>
        <w:t>freedom of domestic movement</w:t>
      </w:r>
      <w:r w:rsidRPr="008C70EE">
        <w:t>, which shifts from positive and significant to n</w:t>
      </w:r>
      <w:r w:rsidRPr="00A730C8">
        <w:t>egative and significant with a two</w:t>
      </w:r>
      <w:r w:rsidRPr="008C70EE">
        <w:t xml:space="preserve">-year lag. </w:t>
      </w:r>
      <w:r>
        <w:t xml:space="preserve">Such a change may be a reflection of more restrictive TNGO regulations introduced in multiple countries. At the macro-level, the stability of the model with the one and two-year lagged variables </w:t>
      </w:r>
      <w:r w:rsidRPr="008C70EE">
        <w:t xml:space="preserve">suggests that attractiveness on a macro-level is not influenced by characteristics in the near-term for the most part. </w:t>
      </w:r>
    </w:p>
    <w:p w:rsidR="00661D68" w:rsidRDefault="00661D68" w:rsidP="00661D68">
      <w:pPr>
        <w:spacing w:before="240" w:after="200" w:line="480" w:lineRule="auto"/>
        <w:ind w:firstLine="720"/>
      </w:pPr>
      <w:r>
        <w:t xml:space="preserve">Across the individual and combined models, </w:t>
      </w:r>
      <w:r>
        <w:rPr>
          <w:i/>
        </w:rPr>
        <w:t xml:space="preserve">freedom of speech, conflict, cell phone users, Polity IV, extrajudicial killings, torture, population size, unemployment ratio, </w:t>
      </w:r>
      <w:r w:rsidRPr="007B7DF8">
        <w:t>and</w:t>
      </w:r>
      <w:r>
        <w:rPr>
          <w:i/>
        </w:rPr>
        <w:t xml:space="preserve"> U.S. economic aid </w:t>
      </w:r>
      <w:r>
        <w:t xml:space="preserve">were significant. Only </w:t>
      </w:r>
      <w:r>
        <w:rPr>
          <w:i/>
        </w:rPr>
        <w:t xml:space="preserve">GDP </w:t>
      </w:r>
      <w:r>
        <w:t xml:space="preserve">lost its significance. The marginal effect of freedom of speech decreased slightly to six additional TNGOs per one-unit increase on the scale. The magnitude of conflict resulted in two fewer TNGOs while increases in </w:t>
      </w:r>
      <w:r w:rsidRPr="003445F4">
        <w:rPr>
          <w:i/>
        </w:rPr>
        <w:t>Polity IV</w:t>
      </w:r>
      <w:r>
        <w:t xml:space="preserve"> lead to one additional TNGO. The frequency of extrajudicial killings, and torture produces twelve and eleven fewer TNGOs respectively. The marginal effects for unemployment remain static, with one less TNGO for each one-unit increase in the ratio, and the magnitude of economic aid weakens further. These environments do not exist in a void. Earlier, it was acknowledged that the categorization of variables was for the benefit of scholarship and that there might be several ways to organize the variables. By comparing the combined and individual models, the complexity of the world inhabited by TNGOs and the way in which each environment relates to the other. This is further evidence that TNGOs are attracted or discouraged from working in a country for a number of reasons. It is also evidence that the explanations for TNGO location cannot be treated discretely. Instead, a synthesized theory acknowledging the layered and contextual nature of such choices is a stronger narrative.</w:t>
      </w:r>
    </w:p>
    <w:p w:rsidR="00661D68" w:rsidRDefault="00661D68" w:rsidP="001517D5">
      <w:pPr>
        <w:spacing w:before="240" w:after="200" w:line="480" w:lineRule="auto"/>
      </w:pPr>
    </w:p>
    <w:p w:rsidR="001630DC" w:rsidRPr="009D13F5" w:rsidRDefault="00FD5238" w:rsidP="009D13F5">
      <w:pPr>
        <w:spacing w:after="200" w:line="480" w:lineRule="auto"/>
        <w:ind w:firstLine="720"/>
        <w:jc w:val="center"/>
      </w:pPr>
      <w:r w:rsidRPr="009D13F5">
        <w:rPr>
          <w:i/>
        </w:rPr>
        <w:t>Controls</w:t>
      </w:r>
    </w:p>
    <w:p w:rsidR="001630DC" w:rsidRDefault="009D13F5" w:rsidP="001630DC">
      <w:pPr>
        <w:spacing w:after="200" w:line="480" w:lineRule="auto"/>
        <w:ind w:firstLine="720"/>
      </w:pPr>
      <w:r>
        <w:t>Among the</w:t>
      </w:r>
      <w:r w:rsidR="001630DC">
        <w:t xml:space="preserve"> </w:t>
      </w:r>
      <w:r w:rsidR="001630DC" w:rsidRPr="00C8240F">
        <w:t xml:space="preserve">demographic </w:t>
      </w:r>
      <w:r>
        <w:t>controls</w:t>
      </w:r>
      <w:r w:rsidR="001630DC">
        <w:t xml:space="preserve">, two variables are both positive and significant. As a country’s population increases, the number of U.S.-based TNGOs is also expected to increase. However, the marginal effect is weak at .11. The marginal effect for the </w:t>
      </w:r>
      <w:r w:rsidR="001630DC">
        <w:rPr>
          <w:i/>
        </w:rPr>
        <w:t xml:space="preserve">poverty ratio </w:t>
      </w:r>
      <w:r w:rsidR="001630DC">
        <w:t>is stronger, with every one-unit increase on the poverty scale resulting in one additional TNGO in a country.</w:t>
      </w:r>
      <w:r w:rsidR="001630DC">
        <w:rPr>
          <w:i/>
        </w:rPr>
        <w:t xml:space="preserve"> </w:t>
      </w:r>
      <w:r w:rsidR="001630DC">
        <w:t xml:space="preserve">While the direction of the relationship may not be surprising, the magnitude does bring into question the strength of explanations centered on the level of need. The association is perhaps one of “more bang for your buck” in which the ability of TNGOs to make a greater impact at the individual level, maximizing financial and human resources, makes a country a more attractive choice. </w:t>
      </w:r>
    </w:p>
    <w:p w:rsidR="001630DC" w:rsidRPr="009D13F5" w:rsidRDefault="001630DC" w:rsidP="009D13F5">
      <w:pPr>
        <w:spacing w:after="200" w:line="480" w:lineRule="auto"/>
        <w:ind w:firstLine="720"/>
      </w:pPr>
      <w:r>
        <w:t>Alternatively, the inability of weak state institutions to provide services to citizens increases exponentially with the population. The result is an amplified level of need in a country. Countries with a greater proportion of poor also have a higher number of U.S.-based TNGOs, providing further support for need-based explanations. The origins of the nonprofit sector and the concentration of TNGOs in development, humanitarian, and relief work illustrate the demographic drivers of country attractiveness in further detail. At the same time, TNGOs do not exist in a void. An organization may be strongly committed to a community with a high level of need regardless of its size, yet implementation becomes impossible where there is little interest or need. Thus, the level of need and resource dependency becomes interrelated, highlighting the overlapping reality of location-centered explanations. Although demographics might be useful heuristic to both TNGOs and donors seeking to maximize efficiency, the results suggest that more influential factors exist in how attractive a country is to U.S.-based TNGOs.</w:t>
      </w:r>
    </w:p>
    <w:p w:rsidR="00D96D01" w:rsidRDefault="009D13F5" w:rsidP="00D96D01">
      <w:pPr>
        <w:spacing w:line="480" w:lineRule="auto"/>
        <w:rPr>
          <w:noProof/>
        </w:rPr>
      </w:pPr>
      <w:r>
        <w:rPr>
          <w:i/>
        </w:rPr>
        <w:tab/>
      </w:r>
      <w:r>
        <w:t xml:space="preserve">Among </w:t>
      </w:r>
      <w:r w:rsidR="00661D68">
        <w:t xml:space="preserve">the </w:t>
      </w:r>
      <w:r>
        <w:t xml:space="preserve">economic/development </w:t>
      </w:r>
      <w:r w:rsidR="001630DC">
        <w:t xml:space="preserve">variables included </w:t>
      </w:r>
      <w:r>
        <w:t>as controls, all are significant</w:t>
      </w:r>
      <w:r w:rsidR="001630DC">
        <w:t xml:space="preserve">. Two of the four report the same direction. </w:t>
      </w:r>
      <w:r w:rsidR="001630DC">
        <w:rPr>
          <w:i/>
        </w:rPr>
        <w:t>GDP</w:t>
      </w:r>
      <w:r w:rsidR="001630DC">
        <w:t xml:space="preserve"> is positive and significant, however, when the model is run using GDP growth as an annual percentage of GDP instead of </w:t>
      </w:r>
      <w:r w:rsidR="001630DC" w:rsidRPr="000E2D0D">
        <w:rPr>
          <w:i/>
        </w:rPr>
        <w:t>GDP</w:t>
      </w:r>
      <w:r w:rsidR="001630DC">
        <w:rPr>
          <w:i/>
        </w:rPr>
        <w:t xml:space="preserve"> </w:t>
      </w:r>
      <w:r w:rsidR="001630DC">
        <w:t xml:space="preserve">the measure loses significance. Higher rates of </w:t>
      </w:r>
      <w:r w:rsidR="001630DC">
        <w:rPr>
          <w:i/>
        </w:rPr>
        <w:t>unemployment</w:t>
      </w:r>
      <w:r w:rsidR="001630DC">
        <w:t xml:space="preserve"> are also associated with fewer TNGOs by year in total; each one-unit increase in the unemployment scale leads to one less TNGO. </w:t>
      </w:r>
      <w:r w:rsidR="001630DC">
        <w:rPr>
          <w:i/>
        </w:rPr>
        <w:t xml:space="preserve">Economic aid </w:t>
      </w:r>
      <w:r w:rsidR="001630DC">
        <w:t xml:space="preserve">is positive and significant, but the marginal effect is weak. This raises questions about resource dependency if TNGOs are assumed to be heavily reliant on government resources for international projects. However, the relationship between the total number of TNGOs and economic aid suggests that government and TNGOs may undertake similar evaluations in the targeting of resources. Alternatively, U.S. government agencies may use TNGOs as mechanisms by which they are enabled to identify priority countries and regions. Interestingly, previous research using this dataset also shows a relationship between TNGO location and government initiatives. It is unclear, however, whether TNGOs follow government cues, if government looks to TNGOs as experts, or as already stated, they simply possess similar interests and employ similar evaluation strategies. In contrast, military aid from the U.S. is negative and significant, suggesting that although there may be overlap in strategy certain areas, interests diverge in others. </w:t>
      </w:r>
    </w:p>
    <w:p w:rsidR="00D96D01" w:rsidRDefault="00D96D01" w:rsidP="00D96D01">
      <w:pPr>
        <w:spacing w:line="480" w:lineRule="auto"/>
        <w:rPr>
          <w:szCs w:val="24"/>
        </w:rPr>
      </w:pPr>
      <w:bookmarkStart w:id="273" w:name="_Toc318117641"/>
    </w:p>
    <w:p w:rsidR="001630DC" w:rsidRDefault="001630DC" w:rsidP="008D289A">
      <w:pPr>
        <w:pStyle w:val="Subheading1"/>
        <w:rPr>
          <w:sz w:val="24"/>
          <w:szCs w:val="24"/>
        </w:rPr>
      </w:pPr>
      <w:bookmarkStart w:id="274" w:name="_Toc450079217"/>
      <w:r w:rsidRPr="008D289A">
        <w:rPr>
          <w:sz w:val="24"/>
          <w:szCs w:val="24"/>
        </w:rPr>
        <w:t>2.6: Discussion</w:t>
      </w:r>
      <w:bookmarkEnd w:id="273"/>
      <w:bookmarkEnd w:id="274"/>
    </w:p>
    <w:p w:rsidR="008D289A" w:rsidRPr="008D289A" w:rsidRDefault="008D289A" w:rsidP="008D289A">
      <w:pPr>
        <w:pStyle w:val="Subheading1"/>
        <w:rPr>
          <w:sz w:val="24"/>
          <w:szCs w:val="24"/>
        </w:rPr>
      </w:pPr>
    </w:p>
    <w:p w:rsidR="001630DC" w:rsidRDefault="001630DC" w:rsidP="001630DC">
      <w:pPr>
        <w:spacing w:after="200" w:line="480" w:lineRule="auto"/>
        <w:ind w:firstLine="720"/>
      </w:pPr>
      <w:r>
        <w:t xml:space="preserve">The investigation of country-level characteristics presented here seeks to explain what factors draw U.S.-based TNGOs to certain locations. Existing literature discusses location </w:t>
      </w:r>
      <w:r>
        <w:fldChar w:fldCharType="begin"/>
      </w:r>
      <w:r>
        <w:instrText xml:space="preserve"> ADDIN ZOTERO_ITEM CSL_CITATION {"citationID":"fkJbPVhx","properties":{"formattedCitation":"(Brass 2012b; Fruttero and Gauri 2005; Koch et al. 2009)","plainCitation":"(Brass 2012b; Fruttero and Gauri 2005; Koch et al. 2009)"},"citationItems":[{"id":949,"uris":["http://zotero.org/users/381007/items/HCQ4K4HC"],"uri":["http://zotero.org/users/381007/items/HCQ4K4HC"],"itemData":{"id":949,"type":"article-journal","title":"Why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fldChar w:fldCharType="separate"/>
      </w:r>
      <w:r w:rsidRPr="00C80831">
        <w:t>(Brass 2012b; Fruttero and Gauri 2005; Koch et al. 2009)</w:t>
      </w:r>
      <w:r>
        <w:fldChar w:fldCharType="end"/>
      </w:r>
      <w:r>
        <w:t xml:space="preserve"> in an international context, but lacks multinational focus and grounding in the nonprofit literature. At the same time, the nonprofit literature emphasizes domestic cases, but focuses on external drivers such as donors rather than organization decision-making </w:t>
      </w:r>
      <w:r>
        <w:fldChar w:fldCharType="begin"/>
      </w:r>
      <w:r>
        <w:instrText xml:space="preserve"> ADDIN ZOTERO_ITEM CSL_CITATION {"citationID":"OtxvJe6Y","properties":{"formattedCitation":"(Froelich 1999; Pfeffer and Salancik 2003)","plainCitation":"(Froelich 1999; Pfeffer and Salancik 2003)"},"citationItems":[{"id":3165,"uris":["http://zotero.org/users/381007/items/ES6WPZSJ"],"uri":["http://zotero.org/users/381007/items/ES6WPZSJ"],"itemData":{"id":3165,"type":"article-journal","title":"Diversification of Revenue Strategies: Evolving Resource Dependence in Nonprofit Organizations","container-title":"Nonprofit and Voluntary Sector Quarterly","page":"246-268","volume":"28","issue":"3","author":[{"family":"Froelich","given":"Karen A."}],"issued":{"date-parts":[["1999"]]}}},{"id":3155,"uris":["http://zotero.org/users/381007/items/CC5TISTK"],"uri":["http://zotero.org/users/381007/items/CC5TISTK"],"itemData":{"id":3155,"type":"book","title":"The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1978"}}}],"schema":"https://github.com/citation-style-language/schema/raw/master/csl-citation.json"} </w:instrText>
      </w:r>
      <w:r>
        <w:fldChar w:fldCharType="separate"/>
      </w:r>
      <w:r w:rsidRPr="00D57A42">
        <w:t>(Froelich 1999; Pfeffer and Salancik 2003)</w:t>
      </w:r>
      <w:r>
        <w:fldChar w:fldCharType="end"/>
      </w:r>
      <w:r>
        <w:t xml:space="preserve">. This chapter contributes to the literature by building on existing scholarship and testing the factors that attract TNGOs to a country. In the future, it will also incorporate organizational characteristics. Political, operating, economic, and demographic contexts may help to explain when and why TNGOs choose certain locations. For now, it seems that some contexts matter more than others. </w:t>
      </w:r>
    </w:p>
    <w:p w:rsidR="001630DC" w:rsidRDefault="001630DC" w:rsidP="001630DC">
      <w:pPr>
        <w:spacing w:after="200" w:line="480" w:lineRule="auto"/>
      </w:pPr>
      <w:r w:rsidRPr="00163FAF">
        <w:tab/>
        <w:t>The results for the dependent variable, total number of</w:t>
      </w:r>
      <w:r>
        <w:t xml:space="preserve"> U.S.-based</w:t>
      </w:r>
      <w:r w:rsidRPr="00163FAF">
        <w:t xml:space="preserve"> </w:t>
      </w:r>
      <w:r>
        <w:t>TNGO</w:t>
      </w:r>
      <w:r w:rsidRPr="00163FAF">
        <w:t xml:space="preserve">s in a country by year, </w:t>
      </w:r>
      <w:r>
        <w:t>show that TNGO location is influenced by a number of factors. The operating</w:t>
      </w:r>
      <w:r>
        <w:rPr>
          <w:i/>
        </w:rPr>
        <w:t xml:space="preserve"> </w:t>
      </w:r>
      <w:r w:rsidRPr="007A5001">
        <w:t>context</w:t>
      </w:r>
      <w:r>
        <w:t xml:space="preserve"> and the political</w:t>
      </w:r>
      <w:r w:rsidRPr="00904F81">
        <w:t xml:space="preserve"> context</w:t>
      </w:r>
      <w:r>
        <w:t xml:space="preserve"> appear to matter most, but certain elements of the </w:t>
      </w:r>
      <w:r w:rsidRPr="00904F81">
        <w:t>demographic</w:t>
      </w:r>
      <w:r>
        <w:rPr>
          <w:i/>
        </w:rPr>
        <w:t xml:space="preserve"> </w:t>
      </w:r>
      <w:r>
        <w:t>and operational</w:t>
      </w:r>
      <w:r w:rsidRPr="00904F81">
        <w:t xml:space="preserve"> contexts</w:t>
      </w:r>
      <w:r>
        <w:t xml:space="preserve"> also matter. The findings provide some support for</w:t>
      </w:r>
      <w:r w:rsidRPr="00163FAF">
        <w:t xml:space="preserve"> the level of need </w:t>
      </w:r>
      <w:r>
        <w:t>explanation</w:t>
      </w:r>
      <w:r w:rsidRPr="00163FAF">
        <w:t xml:space="preserve"> </w:t>
      </w:r>
      <w:r>
        <w:t>that argue that</w:t>
      </w:r>
      <w:r w:rsidRPr="00163FAF">
        <w:t xml:space="preserve"> </w:t>
      </w:r>
      <w:r>
        <w:t>TNGO</w:t>
      </w:r>
      <w:r w:rsidRPr="00163FAF">
        <w:t xml:space="preserve">s </w:t>
      </w:r>
      <w:r>
        <w:t>locate in the neediest communities, for example where the level of poverty is the highest or where people most need the services provided. However, the magnitude of need on the attractiveness of a country is low in comparison to other factors. Instead, the operational and political dimensions, especially f</w:t>
      </w:r>
      <w:r w:rsidRPr="00163FAF">
        <w:t>reedom of movement</w:t>
      </w:r>
      <w:r>
        <w:t xml:space="preserve"> and physical integrity measures (political prisoners, the use of torture, and the use of extrajudicial killings) appear to have significant yet opposite effects on the attractiveness of a country to U.S.-based TNGOs. This carries the implication that first and foremost, an organization must be able to carry out its work with reasonable expectations for safety of staff and beneficiaries before it considers entering or remaining in a country.</w:t>
      </w:r>
    </w:p>
    <w:p w:rsidR="001630DC" w:rsidRPr="004A6B12" w:rsidRDefault="001630DC" w:rsidP="001630DC">
      <w:pPr>
        <w:spacing w:after="200" w:line="480" w:lineRule="auto"/>
      </w:pPr>
      <w:r>
        <w:tab/>
      </w:r>
      <w:r w:rsidRPr="00163FAF">
        <w:t xml:space="preserve">Contrary to expectations, insecurity </w:t>
      </w:r>
      <w:r>
        <w:t xml:space="preserve">stemming from conflict </w:t>
      </w:r>
      <w:r w:rsidRPr="00163FAF">
        <w:t xml:space="preserve">appears to attract </w:t>
      </w:r>
      <w:r>
        <w:t>TNGO</w:t>
      </w:r>
      <w:r w:rsidRPr="00163FAF">
        <w:t xml:space="preserve">s to a country rather than deter them by disrupting the operating environment. </w:t>
      </w:r>
      <w:r>
        <w:t xml:space="preserve">Measures of physical integrity also appear to be important, but the message is unclear. While the findings for </w:t>
      </w:r>
      <w:r>
        <w:rPr>
          <w:i/>
        </w:rPr>
        <w:t xml:space="preserve">Polity IV </w:t>
      </w:r>
      <w:r>
        <w:t xml:space="preserve">and </w:t>
      </w:r>
      <w:r>
        <w:rPr>
          <w:i/>
        </w:rPr>
        <w:t xml:space="preserve">freedom of movement </w:t>
      </w:r>
      <w:r>
        <w:t xml:space="preserve">and </w:t>
      </w:r>
      <w:r>
        <w:rPr>
          <w:i/>
        </w:rPr>
        <w:t>speech</w:t>
      </w:r>
      <w:r>
        <w:t xml:space="preserve"> suggest more open regime types correspond a higher total number of TNGOs, results for </w:t>
      </w:r>
      <w:r>
        <w:rPr>
          <w:i/>
        </w:rPr>
        <w:t xml:space="preserve">extrajudicial killings, political prisoners, </w:t>
      </w:r>
      <w:r>
        <w:t xml:space="preserve">and </w:t>
      </w:r>
      <w:r>
        <w:rPr>
          <w:i/>
        </w:rPr>
        <w:t xml:space="preserve">torture </w:t>
      </w:r>
      <w:r>
        <w:t xml:space="preserve">run contrary. That the number of disappeared was not also significant is puzzling, but perhaps it is more difficult for TNGOs to respond at the time because the definition and number of disappeared is murky. </w:t>
      </w:r>
    </w:p>
    <w:p w:rsidR="001630DC" w:rsidRPr="00163FAF" w:rsidRDefault="001630DC" w:rsidP="001630DC">
      <w:pPr>
        <w:spacing w:after="200" w:line="480" w:lineRule="auto"/>
      </w:pPr>
      <w:r>
        <w:tab/>
        <w:t xml:space="preserve">Finally, official government economic aid increases, so too does the number of TNGOs but when military aid is considered, the number decreases. The magnitude of this result is small, however. Therefore, this finding requires more research. Combined with the evidence for level of need, this chapter creates a more complex explanation of TNGO location. </w:t>
      </w:r>
    </w:p>
    <w:p w:rsidR="001630DC" w:rsidRDefault="001630DC" w:rsidP="001630DC">
      <w:pPr>
        <w:spacing w:after="200" w:line="480" w:lineRule="auto"/>
        <w:ind w:firstLine="720"/>
      </w:pPr>
      <w:r>
        <w:t xml:space="preserve">This dissertation is not without limitations. First, it only includes U.S.-based TNGOs. As a result, it is unable to address variation between different nationalities of TNGOs or the distinction between indigenous and international TNGOs in less developed countries. However, organizations registered in the U.S. to solicit funds or conduct other business may have roots elsewhere. </w:t>
      </w:r>
      <w:r>
        <w:fldChar w:fldCharType="begin"/>
      </w:r>
      <w:r>
        <w:instrText xml:space="preserve"> ADDIN ZOTERO_ITEM CSL_CITATION {"citationID":"WbdQLz67","properties":{"formattedCitation":"(Stroup 2012)","plainCitation":"(Stroup 2012)"},"citationItems":[{"id":3109,"uris":["http://zotero.org/users/381007/items/49Q6M98X"],"uri":["http://zotero.org/users/381007/items/49Q6M98X"],"itemData":{"id":3109,"type":"book","title":"Borders Among Activists: International NGOs in the United States, Britain, and France","publisher":"Cornell University Press","publisher-place":"Ithaca","event-place":"Ithaca","abstract":"Many iNGOs are increasingly active in int'l arenas, but Stroup argues that actual organizational structures and strategies are deeply tied to national environments. Example: CARE, Oxfam, and MSF resemble charities from their home countries more than they do humanitarian relief groups around the world. As a result, durable transnational campaigns are unlikely.  Uses dimensions of professionalization/management; fundraising; and government relations/issue selection.","author":[{"family":"Stroup","given":"Sarah S."}],"issued":{"date-parts":[["2012"]]}}}],"schema":"https://github.com/citation-style-language/schema/raw/master/csl-citation.json"} </w:instrText>
      </w:r>
      <w:r>
        <w:fldChar w:fldCharType="separate"/>
      </w:r>
      <w:r w:rsidRPr="003E5551">
        <w:t xml:space="preserve">Stroup </w:t>
      </w:r>
      <w:r>
        <w:t>(</w:t>
      </w:r>
      <w:r w:rsidRPr="003E5551">
        <w:t>2012)</w:t>
      </w:r>
      <w:r>
        <w:fldChar w:fldCharType="end"/>
      </w:r>
      <w:r>
        <w:t xml:space="preserve"> argues that organizations such as Médicins Sans Frontières (MSF) and Oxfam resemble organizations from their home countries more than humanitarian organizations elsewhere, elevating collaborative issues related to professionalization and management. In these cases, the characteristics that make some countries more attractive than others should translate across institutional boundaries. Second, proponents of networks and collaboration who may ask whether the total number of TNGOs is better than a measure of consolidation or impact may critique the dependent variable. However, data on local TNGOs is difficult to obtain or simply unavailable. Where it is available, it may be inaccurate or incomplete due to poor record keeping. Given that the focus of this dissertation is on U.S.-based TNGOs, indigenous groups and networks may be an area for future exploration. Finally, flawed data is not a challenge restricted to research on</w:t>
      </w:r>
      <w:r w:rsidR="007D7F64">
        <w:t xml:space="preserve"> indigenous </w:t>
      </w:r>
      <w:r>
        <w:t xml:space="preserve">NGOs. Missing annual reports, foggy memories, and incomplete data on form 990s or other documents mean that data on U.S.-based TNGOs is not perfect either. </w:t>
      </w:r>
    </w:p>
    <w:p w:rsidR="001630DC" w:rsidRDefault="001630DC" w:rsidP="001630DC">
      <w:pPr>
        <w:spacing w:after="200" w:line="480" w:lineRule="auto"/>
        <w:ind w:firstLine="720"/>
      </w:pPr>
      <w:r>
        <w:t xml:space="preserve">In addition, there are several notable instances where the total rises sharply whereas in the majority of cases the total is relatively stable from year to year. In at least three of these cases the most obvious explanation are natural disasters, including earthquakes or tsunamis in Samoa in 2009, Haiti in 2010, the Japan in 2011, and the Philippines in 2012. On average, these four cases experienced a 78.5 percent increase in the total number of TNGOs compared to the previous year. </w:t>
      </w:r>
    </w:p>
    <w:p w:rsidR="00E67B1D" w:rsidRDefault="001630DC" w:rsidP="00E67B1D">
      <w:pPr>
        <w:spacing w:after="200" w:line="480" w:lineRule="auto"/>
        <w:ind w:firstLine="720"/>
      </w:pPr>
      <w:r>
        <w:t>In other instances, catalysts for spikes in the total number of U.S.-based TNGOs in a country are more difficult to pinpoint. Countries in East Africa and Central America were also notable for their increases, although these increases occurred over a longer period of time than those associated with natural disaster</w:t>
      </w:r>
      <w:r w:rsidRPr="00DC408C">
        <w:t xml:space="preserve">. Between 2008 and 2012, Guatemala and Honduras added an average of 18 </w:t>
      </w:r>
      <w:r>
        <w:t>U.S.-based</w:t>
      </w:r>
      <w:r w:rsidRPr="00DC408C">
        <w:t xml:space="preserve"> </w:t>
      </w:r>
      <w:r>
        <w:t>TNGO</w:t>
      </w:r>
      <w:r w:rsidRPr="00DC408C">
        <w:t>s to their registers while Uganda, Tanzania, and Kenya added an average of 28 organizations during the same period.</w:t>
      </w:r>
      <w:r>
        <w:t xml:space="preserve"> This may support the claim that TNGOs locate in countries with shared histories or characteristics made by Koch et al. (2009) if British colonial rule is considered in the cases of Uganda, Tanzania, and Kenya, but the argument is less compelling when Guatemala, Honduras, and many other countries where U.S.-based TNGOs work are taken into account. This suggests that there is more to location decision-making at play. </w:t>
      </w:r>
    </w:p>
    <w:p w:rsidR="00E67B1D" w:rsidRDefault="00E67B1D" w:rsidP="00E67B1D">
      <w:pPr>
        <w:spacing w:line="480" w:lineRule="auto"/>
        <w:rPr>
          <w:szCs w:val="24"/>
        </w:rPr>
      </w:pPr>
    </w:p>
    <w:p w:rsidR="001630DC" w:rsidRPr="00E67B1D" w:rsidRDefault="001630DC" w:rsidP="00E67B1D">
      <w:pPr>
        <w:spacing w:after="200" w:line="480" w:lineRule="auto"/>
        <w:ind w:firstLine="720"/>
        <w:jc w:val="center"/>
      </w:pPr>
      <w:r w:rsidRPr="00542654">
        <w:rPr>
          <w:i/>
        </w:rPr>
        <w:t>Implications for Practitioners</w:t>
      </w:r>
    </w:p>
    <w:p w:rsidR="00E67B1D" w:rsidRDefault="001630DC" w:rsidP="00E67B1D">
      <w:pPr>
        <w:spacing w:after="200" w:line="480" w:lineRule="auto"/>
        <w:ind w:firstLine="720"/>
      </w:pPr>
      <w:r>
        <w:t xml:space="preserve">Patterns of location subject related to country characteristics may provide important evidence about the decision-making process of TNGOs, including perceptions about which countries are the most efficient and effective for meeting goals. Political stability on its own may be an easy assessment tool, but the identification of attractive venues is more complex than stability or convenience. In addition, the country characteristics lead to a higher number of U.S.-based TNGOs is useful information for policymakers, donors, and TNGOs themselves. Policymakers and donors will be interested in the priorities and strategies of TNGOs, particularly in more difficult operating environments. This knowledge better equips them for communicating with TNGOs, reconciling objectives, and targeting resources. Policymakers may also be interested in the findings not only for the targeting of resources, but also for ways in which they can aid TNGOs overcome barriers to entry and operation through channels of soft power. For TNGOs, the overlap between the number of organizations in a country and resource dependency also assists with communication. The data offers both sides tools of translation and compromise, creating a collaborative partnership. Furthermore, better understanding how country profiles influence location helps TNGOs and donors more effectively reach beneficiaries, particularly those that fall outside the “most likely” categories. </w:t>
      </w:r>
      <w:bookmarkStart w:id="275" w:name="_Toc318117642"/>
    </w:p>
    <w:p w:rsidR="00E67B1D" w:rsidRDefault="00E67B1D" w:rsidP="00E67B1D">
      <w:pPr>
        <w:spacing w:line="480" w:lineRule="auto"/>
        <w:rPr>
          <w:szCs w:val="24"/>
        </w:rPr>
      </w:pPr>
    </w:p>
    <w:p w:rsidR="001630DC" w:rsidRDefault="001630DC" w:rsidP="008D289A">
      <w:pPr>
        <w:pStyle w:val="Subheading1"/>
        <w:rPr>
          <w:sz w:val="24"/>
          <w:szCs w:val="24"/>
        </w:rPr>
      </w:pPr>
      <w:bookmarkStart w:id="276" w:name="_Toc450079218"/>
      <w:r w:rsidRPr="008D289A">
        <w:rPr>
          <w:sz w:val="24"/>
          <w:szCs w:val="24"/>
        </w:rPr>
        <w:t>2.7: Conclusion</w:t>
      </w:r>
      <w:bookmarkEnd w:id="275"/>
      <w:bookmarkEnd w:id="276"/>
    </w:p>
    <w:p w:rsidR="008D289A" w:rsidRPr="008D289A" w:rsidRDefault="008D289A" w:rsidP="008D289A">
      <w:pPr>
        <w:pStyle w:val="Subheading1"/>
        <w:rPr>
          <w:sz w:val="24"/>
          <w:szCs w:val="24"/>
        </w:rPr>
      </w:pPr>
    </w:p>
    <w:p w:rsidR="001630DC" w:rsidRDefault="001630DC" w:rsidP="001630DC">
      <w:pPr>
        <w:spacing w:after="200" w:line="480" w:lineRule="auto"/>
      </w:pPr>
      <w:r>
        <w:tab/>
        <w:t xml:space="preserve">This research assesses the influence of country characteristics on the total number of U.S.-based TNGOs in a country between 2008 and 2012. It asks what makes a country attractive to such organizations. It is often assumed that the location decisions of TNGOs are concentrated along single explanatory dimensions, such as the level of need or resource dependency. This chapter finds support for multiple explanations clustered around the operating environment, political environment, demographic context, and economic/development environment. It finds strongest support for the political and operating environments, followed by the economic/development environment. However, certain demographic elements are also found to be influential. </w:t>
      </w:r>
    </w:p>
    <w:p w:rsidR="001630DC" w:rsidRDefault="001630DC" w:rsidP="001630DC">
      <w:pPr>
        <w:spacing w:after="200" w:line="480" w:lineRule="auto"/>
        <w:ind w:firstLine="720"/>
      </w:pPr>
      <w:r>
        <w:t xml:space="preserve">Countries characterized by greater civil liberties, including freedom of movement and speech, experience a higher number of U.S.-based TNGOs within their borders whereas countries with political environments in which government or its representatives engage in oppressive tactics (extrajudicial killings, political prisoners, torture) have fewer U.S.-based TNGOs. The number of attacks on humanitarian aid workers further corroborates these findings. Attacks on humanitarian aid workers holds implications of their own. For donors and staff, it speaks to the way that risk is communicated and managed in the organization. It may also provide some indication of the brand or identity a TNGO seeks to build, as well as the type of work in which it is engaged. Consequently, the operating and political environments on the whole are both influential sets of characteristics on the total number of TNGOs in a country. Stability emerges as a theme, however, the magnitude of conflict attracts rather than deflects U.S.-based TNGOs. As already noted, this may be due to the nature of the work of TNGOs, Some may be more inclined to help victims of conflict as the neediest members of society. Theoretically, this finding also may also demonstrate support for resource dependence where donor attention is subject to focusing events. </w:t>
      </w:r>
    </w:p>
    <w:p w:rsidR="001630DC" w:rsidRDefault="001630DC" w:rsidP="001630DC">
      <w:pPr>
        <w:spacing w:after="200" w:line="480" w:lineRule="auto"/>
        <w:ind w:firstLine="720"/>
      </w:pPr>
      <w:r>
        <w:t>Donors and resource dependency as an explanation arrive at the forefront again when the demographic context and the economic/development environment are examined in further detail. The size of a country’s population is found to attract a greater number of TNGOs as its size increases. Increases in U.S. government economic aid to a co</w:t>
      </w:r>
      <w:r w:rsidR="00E67B1D">
        <w:t>untry also indicate</w:t>
      </w:r>
      <w:r>
        <w:t xml:space="preserve"> an increase in the number of U.S.-based TNGOs. In the former, the results might be interpreted as support for need-based arguments when the poverty ratio is also significant; in other contexts it might be interpreted as donor pressure for maximum efficiency and consequently the product of resource dependency. Resource dependency may also be a reflection economic aid, suggesting that more funds are available for certain countries, issues, or regions that therefore attract a greater number of U.S.-based TNGOs. </w:t>
      </w:r>
    </w:p>
    <w:p w:rsidR="00E67B1D" w:rsidRDefault="001630DC" w:rsidP="00E67B1D">
      <w:pPr>
        <w:spacing w:after="200" w:line="480" w:lineRule="auto"/>
        <w:ind w:firstLine="720"/>
      </w:pPr>
      <w:r>
        <w:t xml:space="preserve">Among the explanations for TNGO location and country characteristics, little support is found in this chapter for the convenience argument that TNGOs go where it is easiest to operate and where there are a greater number of amenities to attract and retain staff (Brass 2012). Measured using indicators of infrastructure, both cell and Internet users were negative. Only the measure </w:t>
      </w:r>
      <w:r w:rsidRPr="007B7DF8">
        <w:rPr>
          <w:i/>
        </w:rPr>
        <w:t>internet users</w:t>
      </w:r>
      <w:r>
        <w:t xml:space="preserve"> was found to be significant. This raises a question: is development and infrastructure the product of TNGO activity or do TNGOs simply not care about convenience as some have argued? Despite the lack of support for this explanation, it is evident that the array of characteristics available to U.S.-based TNGOs creates a complex decision-making environment. Rather than a one-dimensional structure, TNGOs are ultimately subject to the conditions of multiple explanations in location decision-making. </w:t>
      </w:r>
    </w:p>
    <w:p w:rsidR="00E67B1D" w:rsidRDefault="00E67B1D" w:rsidP="00E67B1D">
      <w:pPr>
        <w:spacing w:line="480" w:lineRule="auto"/>
        <w:rPr>
          <w:szCs w:val="24"/>
        </w:rPr>
      </w:pPr>
    </w:p>
    <w:p w:rsidR="001630DC" w:rsidRPr="008D289A" w:rsidRDefault="001630DC" w:rsidP="008D289A">
      <w:pPr>
        <w:pStyle w:val="Subheading1"/>
        <w:rPr>
          <w:sz w:val="24"/>
          <w:szCs w:val="24"/>
        </w:rPr>
      </w:pPr>
      <w:bookmarkStart w:id="277" w:name="_Toc450079219"/>
      <w:r w:rsidRPr="008D289A">
        <w:rPr>
          <w:sz w:val="24"/>
          <w:szCs w:val="24"/>
        </w:rPr>
        <w:t>2.8: Future Research</w:t>
      </w:r>
      <w:bookmarkEnd w:id="277"/>
    </w:p>
    <w:p w:rsidR="008D289A" w:rsidRPr="008D289A" w:rsidRDefault="008D289A" w:rsidP="008D289A"/>
    <w:p w:rsidR="001630DC" w:rsidRDefault="001630DC" w:rsidP="001630DC">
      <w:pPr>
        <w:spacing w:after="200" w:line="480" w:lineRule="auto"/>
      </w:pPr>
      <w:r>
        <w:tab/>
        <w:t xml:space="preserve">The research on country characteristics outlined here will be expanded to include organizational characteristics, adding internal dynamics to the scholarly discussion surrounding TNGO decision-making and location. Further data collection on TNGOs and location should allow research on what drives TNGOs decision-making in addition to country characteristics, as well as more generalizable findings. Scholars may be interested in pursuing comparative studies of TNGOs. Expansion of the scope of this chapter would allow examination of how TNGOs based in different countries, particularly advanced industrialized ones, vary across country characteristics and TNGO location. With some additional data, analysis of organizational culture from a comparative perspective might also be fruitful. Future research should not discount the relationship (or absence of a relationship) between local-international TNGOs. Such dynamics, as well as exploration of shared borders and causation may prove particularly interesting to donors, scholars, and practitioners. </w:t>
      </w:r>
    </w:p>
    <w:p w:rsidR="00DD501B" w:rsidRDefault="00DD501B" w:rsidP="001630DC">
      <w:pPr>
        <w:spacing w:after="200" w:line="480" w:lineRule="auto"/>
      </w:pPr>
    </w:p>
    <w:p w:rsidR="001630DC" w:rsidRDefault="009944D4" w:rsidP="001630DC">
      <w:pPr>
        <w:pStyle w:val="Heading2"/>
        <w:jc w:val="center"/>
        <w:rPr>
          <w:b/>
          <w:color w:val="auto"/>
          <w:sz w:val="24"/>
          <w:szCs w:val="24"/>
        </w:rPr>
      </w:pPr>
      <w:r>
        <w:rPr>
          <w:b/>
          <w:color w:val="auto"/>
          <w:sz w:val="24"/>
          <w:szCs w:val="24"/>
        </w:rPr>
        <w:br w:type="page"/>
      </w:r>
      <w:bookmarkStart w:id="278" w:name="_Toc450079220"/>
      <w:r w:rsidR="001630DC" w:rsidRPr="00B54BD6">
        <w:rPr>
          <w:b/>
          <w:color w:val="auto"/>
          <w:sz w:val="24"/>
          <w:szCs w:val="24"/>
        </w:rPr>
        <w:t>2.9: Works Cited</w:t>
      </w:r>
      <w:bookmarkEnd w:id="278"/>
    </w:p>
    <w:p w:rsidR="001630DC" w:rsidRPr="00B54BD6" w:rsidRDefault="001630DC" w:rsidP="001630DC"/>
    <w:p w:rsidR="001630DC" w:rsidRDefault="001630DC" w:rsidP="00B11ABC">
      <w:pPr>
        <w:pStyle w:val="GridTable21"/>
        <w:spacing w:before="240" w:after="240"/>
      </w:pPr>
      <w:r w:rsidRPr="00A730C8">
        <w:fldChar w:fldCharType="begin"/>
      </w:r>
      <w:r>
        <w:instrText xml:space="preserve"> ADDIN ZOTERO_BIBL {"custom":[]} CSL_BIBLIOGRAPHY </w:instrText>
      </w:r>
      <w:r w:rsidRPr="00A730C8">
        <w:fldChar w:fldCharType="separate"/>
      </w:r>
      <w:r>
        <w:t xml:space="preserve">AbouAssi, Khaldoun. 2012. “Mercurial Donors: NGO Response to Shifting Funding Priorities.” </w:t>
      </w:r>
      <w:r>
        <w:rPr>
          <w:i/>
          <w:iCs/>
        </w:rPr>
        <w:t>Nonprofit and Voluntary Sector Quarterly</w:t>
      </w:r>
      <w:r>
        <w:t xml:space="preserve"> 42 (3): 584–602.</w:t>
      </w:r>
    </w:p>
    <w:p w:rsidR="001630DC" w:rsidRDefault="001630DC" w:rsidP="00B11ABC">
      <w:pPr>
        <w:pStyle w:val="GridTable21"/>
        <w:spacing w:before="240" w:after="240"/>
      </w:pPr>
      <w:r>
        <w:t xml:space="preserve">Acheson, James M., and Roy Gardner. 2005. “Spatial Strategies and Territoriality in the Maine Lobster Industry.” </w:t>
      </w:r>
      <w:r>
        <w:rPr>
          <w:i/>
          <w:iCs/>
        </w:rPr>
        <w:t>Rationality and Society</w:t>
      </w:r>
      <w:r>
        <w:t xml:space="preserve"> 17 (3): 309–41.</w:t>
      </w:r>
    </w:p>
    <w:p w:rsidR="001630DC" w:rsidRDefault="001630DC" w:rsidP="00B11ABC">
      <w:pPr>
        <w:pStyle w:val="GridTable21"/>
        <w:spacing w:before="240" w:after="240"/>
      </w:pPr>
      <w:r>
        <w:t xml:space="preserve">Anheier, Helmut K., Regina List, Stefan Toepler, and S. Wojciech Sokolowski. 1999. </w:t>
      </w:r>
      <w:r>
        <w:rPr>
          <w:i/>
          <w:iCs/>
        </w:rPr>
        <w:t>Global Civil Society: Dimensions of the Nonprofit Sector</w:t>
      </w:r>
      <w:r>
        <w:t>. Edited by Lester M. Salamon. Baltimore: The Johns Hopkins Center for Civil Society Studies.</w:t>
      </w:r>
    </w:p>
    <w:p w:rsidR="001630DC" w:rsidRDefault="001630DC" w:rsidP="00B11ABC">
      <w:pPr>
        <w:pStyle w:val="GridTable21"/>
        <w:spacing w:before="240" w:after="240"/>
      </w:pPr>
      <w:r>
        <w:t xml:space="preserve">Appe, Susan. 2013. “Deconstructing Civil Society ‘Maps’: The Case of Ecuador.” </w:t>
      </w:r>
      <w:r>
        <w:rPr>
          <w:i/>
          <w:iCs/>
        </w:rPr>
        <w:t>Administrative Theory &amp; Praxis</w:t>
      </w:r>
      <w:r>
        <w:t xml:space="preserve"> 35 (1): 63–80.</w:t>
      </w:r>
    </w:p>
    <w:p w:rsidR="006A663C" w:rsidRDefault="001630DC" w:rsidP="00B11ABC">
      <w:pPr>
        <w:pStyle w:val="GridTable21"/>
        <w:spacing w:before="240" w:after="240"/>
      </w:pPr>
      <w:r>
        <w:t xml:space="preserve">Bates, Robert H. 1974. “Ethnic Competition and Modernization in Contemporary Africa.” </w:t>
      </w:r>
      <w:r>
        <w:rPr>
          <w:i/>
          <w:iCs/>
        </w:rPr>
        <w:t>Comparative Political Studies</w:t>
      </w:r>
      <w:r>
        <w:t xml:space="preserve"> 6 (4): 457–84. </w:t>
      </w:r>
    </w:p>
    <w:p w:rsidR="001630DC" w:rsidRDefault="001630DC" w:rsidP="00B11ABC">
      <w:pPr>
        <w:pStyle w:val="GridTable21"/>
        <w:spacing w:before="240" w:after="240"/>
      </w:pPr>
      <w:r>
        <w:t xml:space="preserve">Bates, Robert H. 1981. </w:t>
      </w:r>
      <w:r>
        <w:rPr>
          <w:i/>
          <w:iCs/>
        </w:rPr>
        <w:t>Markets and States in Tropical Africa: The Political Basis of Agricultural Policies</w:t>
      </w:r>
      <w:r>
        <w:t>. Berkeley: University of California Press.</w:t>
      </w:r>
    </w:p>
    <w:p w:rsidR="001630DC" w:rsidRDefault="001630DC" w:rsidP="00B11ABC">
      <w:pPr>
        <w:pStyle w:val="GridTable21"/>
        <w:spacing w:before="240" w:after="240"/>
      </w:pPr>
      <w:r>
        <w:t xml:space="preserve">Bayart, Jean-Francois. 1986. “Civil Society in Africa.” In </w:t>
      </w:r>
      <w:r>
        <w:rPr>
          <w:i/>
          <w:iCs/>
        </w:rPr>
        <w:t>Political Domination in Africa</w:t>
      </w:r>
      <w:r>
        <w:t>, edited by Patrick Chabal, 109–22. Cambridge: Cambridge University Press.</w:t>
      </w:r>
    </w:p>
    <w:p w:rsidR="001630DC" w:rsidRDefault="001630DC" w:rsidP="00B11ABC">
      <w:pPr>
        <w:pStyle w:val="GridTable21"/>
        <w:spacing w:before="240" w:after="240"/>
      </w:pPr>
      <w:r>
        <w:t>Bebbington, A., and R. Riddell. 1997. “Heavy Hands, Hidden Hands, Holdi</w:t>
      </w:r>
      <w:r w:rsidR="0022515F">
        <w:t xml:space="preserve">ng Hands? Donors, Intermediary </w:t>
      </w:r>
      <w:r>
        <w:t xml:space="preserve">NGOs and Civil Society Organisations.” In </w:t>
      </w:r>
      <w:r>
        <w:rPr>
          <w:i/>
          <w:iCs/>
        </w:rPr>
        <w:t>NGOs, States and Donors: Too Close for Comfort?</w:t>
      </w:r>
      <w:r>
        <w:t>, edited by David Hulme and Michael Edwards, 107–27. New York: St. Martin’s Press.</w:t>
      </w:r>
    </w:p>
    <w:p w:rsidR="001630DC" w:rsidRDefault="001630DC" w:rsidP="00B11ABC">
      <w:pPr>
        <w:pStyle w:val="GridTable21"/>
        <w:spacing w:before="240" w:after="240"/>
      </w:pPr>
      <w:r>
        <w:t xml:space="preserve">Benjamin, Lehn M. 2010. “Mediating Accountability: How Nonprofit Funding Intermediaries Use Performance Measurement and Why It Matters for Governance.” </w:t>
      </w:r>
      <w:r>
        <w:rPr>
          <w:i/>
          <w:iCs/>
        </w:rPr>
        <w:t>Public Performance &amp; Management Review</w:t>
      </w:r>
      <w:r>
        <w:t xml:space="preserve"> 33 (4): 594–618.</w:t>
      </w:r>
    </w:p>
    <w:p w:rsidR="001630DC" w:rsidRDefault="001630DC" w:rsidP="00B11ABC">
      <w:pPr>
        <w:pStyle w:val="GridTable21"/>
        <w:spacing w:before="240" w:after="240"/>
      </w:pPr>
      <w:r>
        <w:t xml:space="preserve">Berlan, David, and Tosca Bruno-van Vijfeijken. </w:t>
      </w:r>
      <w:r w:rsidR="00A2134E">
        <w:t xml:space="preserve">2013. “The Planned Close of an </w:t>
      </w:r>
      <w:r>
        <w:t xml:space="preserve">NGO: Evidence for a New Organizational Form?” </w:t>
      </w:r>
      <w:r>
        <w:rPr>
          <w:i/>
          <w:iCs/>
        </w:rPr>
        <w:t>VOLUNTAS: International Journal of Voluntary and Nonprofit Organizations</w:t>
      </w:r>
      <w:r>
        <w:t xml:space="preserve"> 24 (1): 262–75. doi:10.1007/s11266-012-9300-2.</w:t>
      </w:r>
    </w:p>
    <w:p w:rsidR="001630DC" w:rsidRDefault="001630DC" w:rsidP="00B11ABC">
      <w:pPr>
        <w:pStyle w:val="GridTable21"/>
        <w:spacing w:before="240" w:after="240"/>
      </w:pPr>
      <w:r>
        <w:t xml:space="preserve">Bevan, Philippa. 2004. “The Dynamics of Africa’s In/security Regimes.” In </w:t>
      </w:r>
      <w:r>
        <w:rPr>
          <w:i/>
          <w:iCs/>
        </w:rPr>
        <w:t>Insecurity and Welfare Regimes in Asia, Africa and Latin America: Social Policy in Development Contexts</w:t>
      </w:r>
      <w:r>
        <w:t>, by Gough, Ian, Wood, Geof, Barrientos, Armando, Bevan, Philippa, Davis, Peter, and Room, Graham, 202–52. Cambridge: Cambridge University Press.</w:t>
      </w:r>
    </w:p>
    <w:p w:rsidR="001630DC" w:rsidRDefault="001630DC" w:rsidP="00B11ABC">
      <w:pPr>
        <w:pStyle w:val="GridTable21"/>
        <w:spacing w:before="240" w:after="240"/>
      </w:pPr>
      <w:r>
        <w:t xml:space="preserve">Bexell, Magdalena, Jonas Tallberg, and Anders Uhlin. 2010. “Democracy in Global Governance: The Promises and Pitfalls of Transnational Actors.” </w:t>
      </w:r>
      <w:r>
        <w:rPr>
          <w:i/>
          <w:iCs/>
        </w:rPr>
        <w:t>Global Governance</w:t>
      </w:r>
      <w:r>
        <w:t xml:space="preserve"> 16: 81–101.</w:t>
      </w:r>
    </w:p>
    <w:p w:rsidR="001630DC" w:rsidRDefault="001630DC" w:rsidP="00B11ABC">
      <w:pPr>
        <w:pStyle w:val="GridTable21"/>
        <w:spacing w:before="240" w:after="240"/>
      </w:pPr>
      <w:r>
        <w:t xml:space="preserve">Björkman, Ingmar, Wilhelm Barner-Rasmussen, and Li Li. 2004. “Managing Knowledge Transfer in MNCs: The Impact of Headquarters Control Mechanisms.” </w:t>
      </w:r>
      <w:r>
        <w:rPr>
          <w:i/>
          <w:iCs/>
        </w:rPr>
        <w:t>Journal of International Business Studies</w:t>
      </w:r>
      <w:r>
        <w:t xml:space="preserve"> 35 (5): 443–55.</w:t>
      </w:r>
    </w:p>
    <w:p w:rsidR="001630DC" w:rsidRDefault="001630DC" w:rsidP="00B11ABC">
      <w:pPr>
        <w:pStyle w:val="GridTable21"/>
        <w:spacing w:before="240" w:after="240"/>
      </w:pPr>
      <w:r>
        <w:t xml:space="preserve">Blanton, Robert, T. David Mason, and Brian Athow. 2001. “Colonial Style and Post-Colonial Ethnic Conflict in Africa.” </w:t>
      </w:r>
      <w:r>
        <w:rPr>
          <w:i/>
          <w:iCs/>
        </w:rPr>
        <w:t>Journal of Peace Research</w:t>
      </w:r>
      <w:r>
        <w:t xml:space="preserve"> 38 (4): 473–91.</w:t>
      </w:r>
    </w:p>
    <w:p w:rsidR="001630DC" w:rsidRDefault="001630DC" w:rsidP="00B11ABC">
      <w:pPr>
        <w:pStyle w:val="GridTable21"/>
        <w:spacing w:before="240" w:after="240"/>
      </w:pPr>
      <w:r>
        <w:t>Bloodgood, E.A., and J. Tremblay-Boire. 2014. “Explaining Non-Governmental Organizations in the OECD and Beyond: The Role of Political Parties.” Washington: APSA.</w:t>
      </w:r>
    </w:p>
    <w:p w:rsidR="001630DC" w:rsidRDefault="001630DC" w:rsidP="00B11ABC">
      <w:pPr>
        <w:pStyle w:val="GridTable21"/>
        <w:spacing w:before="240" w:after="240"/>
      </w:pPr>
      <w:r>
        <w:t xml:space="preserve">Boix, Carles, and Stokes, Susan C. 2003. “Endogenous Democratization.” </w:t>
      </w:r>
      <w:r>
        <w:rPr>
          <w:i/>
          <w:iCs/>
        </w:rPr>
        <w:t>World Politics</w:t>
      </w:r>
      <w:r>
        <w:t xml:space="preserve"> 55 (4): 517–49.</w:t>
      </w:r>
    </w:p>
    <w:p w:rsidR="001630DC" w:rsidRDefault="001630DC" w:rsidP="00B11ABC">
      <w:pPr>
        <w:pStyle w:val="GridTable21"/>
        <w:spacing w:before="240" w:after="240"/>
      </w:pPr>
      <w:r>
        <w:t xml:space="preserve">Boone, Catherine. 2003. </w:t>
      </w:r>
      <w:r>
        <w:rPr>
          <w:i/>
          <w:iCs/>
        </w:rPr>
        <w:t>The Political Topographies of the African State: Territorial Authority and Institutional Choice</w:t>
      </w:r>
      <w:r>
        <w:t>. Cambridge: Cambridge University Press.</w:t>
      </w:r>
    </w:p>
    <w:p w:rsidR="001630DC" w:rsidRDefault="001630DC" w:rsidP="00B11ABC">
      <w:pPr>
        <w:pStyle w:val="GridTable21"/>
        <w:spacing w:before="240" w:after="240"/>
      </w:pPr>
      <w:r>
        <w:t xml:space="preserve">Bozeman, Barry. 1987. </w:t>
      </w:r>
      <w:r>
        <w:rPr>
          <w:i/>
          <w:iCs/>
        </w:rPr>
        <w:t>All Organizations Are Public: Bridging Public and Private Organizational Theories</w:t>
      </w:r>
      <w:r>
        <w:t>. San Francisco: Josey-Bass.</w:t>
      </w:r>
    </w:p>
    <w:p w:rsidR="001630DC" w:rsidRDefault="001630DC" w:rsidP="00B11ABC">
      <w:pPr>
        <w:pStyle w:val="GridTable21"/>
        <w:spacing w:before="240" w:after="240"/>
      </w:pPr>
      <w:r>
        <w:t xml:space="preserve">Bozeman, Barry, and Stuart Bretschneider. 1994. “The ‘Publicness Puzzle’ in Organization Theory: A Test of Alternative Explanations of Differences between Public and Private Organizations.” </w:t>
      </w:r>
      <w:r>
        <w:rPr>
          <w:i/>
          <w:iCs/>
        </w:rPr>
        <w:t>Journal of Public Administration Research and Theory</w:t>
      </w:r>
      <w:r>
        <w:t xml:space="preserve"> 4 (2): 197–223.</w:t>
      </w:r>
    </w:p>
    <w:p w:rsidR="001630DC" w:rsidRDefault="001630DC" w:rsidP="00B11ABC">
      <w:pPr>
        <w:pStyle w:val="GridTable21"/>
        <w:spacing w:before="240" w:after="240"/>
      </w:pPr>
      <w:r>
        <w:t xml:space="preserve">Bozeman, Barry, and Sanjay K. Pandey. 2004. “Public Management Decision Making: Effects of Decision Content.” </w:t>
      </w:r>
      <w:r>
        <w:rPr>
          <w:i/>
          <w:iCs/>
        </w:rPr>
        <w:t>Public Administration Review</w:t>
      </w:r>
      <w:r>
        <w:t xml:space="preserve"> 64 (5): 553–535.</w:t>
      </w:r>
    </w:p>
    <w:p w:rsidR="001630DC" w:rsidRDefault="001630DC" w:rsidP="00B11ABC">
      <w:pPr>
        <w:pStyle w:val="GridTable21"/>
        <w:spacing w:before="240" w:after="240"/>
      </w:pPr>
      <w:r>
        <w:t xml:space="preserve">Bozeman, Barry, Pamela N. Reed, and Patrick Scott. 1992. “Red Tape and Task Delays in Public and Private Organizations.” </w:t>
      </w:r>
      <w:r>
        <w:rPr>
          <w:i/>
          <w:iCs/>
        </w:rPr>
        <w:t>Administration &amp; Society</w:t>
      </w:r>
      <w:r>
        <w:t xml:space="preserve"> 24 (3): 290–322.</w:t>
      </w:r>
    </w:p>
    <w:p w:rsidR="001630DC" w:rsidRDefault="001630DC" w:rsidP="00B11ABC">
      <w:pPr>
        <w:pStyle w:val="GridTable21"/>
        <w:spacing w:before="240" w:after="240"/>
      </w:pPr>
      <w:r>
        <w:t xml:space="preserve">Bradshaw, Pat, Vic Murray, and Jacob Wolpin. 1992. “Do Nonprofit Boards Make a Difference? An Exploration of the Relationships among Board Structure, Process, and Effectiveness.” </w:t>
      </w:r>
      <w:r>
        <w:rPr>
          <w:i/>
          <w:iCs/>
        </w:rPr>
        <w:t>Nonprofit and Voluntary Sector Quarterly</w:t>
      </w:r>
      <w:r>
        <w:t xml:space="preserve"> 21 (3): 227–49.</w:t>
      </w:r>
    </w:p>
    <w:p w:rsidR="001630DC" w:rsidRDefault="001630DC" w:rsidP="00B11ABC">
      <w:pPr>
        <w:pStyle w:val="GridTable21"/>
        <w:spacing w:before="240" w:after="240"/>
      </w:pPr>
      <w:r>
        <w:t xml:space="preserve">Brass, Jennifer N. 2012a. “Blurring </w:t>
      </w:r>
      <w:r w:rsidR="00652DA5">
        <w:t xml:space="preserve">Boundaries: The Integration of </w:t>
      </w:r>
      <w:r>
        <w:t xml:space="preserve">NGOs into Governance in Kenya.” </w:t>
      </w:r>
      <w:r>
        <w:rPr>
          <w:i/>
          <w:iCs/>
        </w:rPr>
        <w:t>Governance</w:t>
      </w:r>
      <w:r>
        <w:t xml:space="preserve"> 25 (2): 209–35.</w:t>
      </w:r>
    </w:p>
    <w:p w:rsidR="001630DC" w:rsidRDefault="00652DA5" w:rsidP="00B11ABC">
      <w:pPr>
        <w:pStyle w:val="GridTable21"/>
        <w:spacing w:before="240" w:after="240"/>
      </w:pPr>
      <w:r>
        <w:t xml:space="preserve">———. 2012b. “Why Do </w:t>
      </w:r>
      <w:r w:rsidR="001630DC">
        <w:t xml:space="preserve">NGOs Go Where They Go?  Evidence from Kenya.” </w:t>
      </w:r>
      <w:r w:rsidR="001630DC">
        <w:rPr>
          <w:i/>
          <w:iCs/>
        </w:rPr>
        <w:t>World Development</w:t>
      </w:r>
      <w:r w:rsidR="001630DC">
        <w:t xml:space="preserve"> 40 (2): 387–401.</w:t>
      </w:r>
    </w:p>
    <w:p w:rsidR="001630DC" w:rsidRDefault="001630DC" w:rsidP="00B11ABC">
      <w:pPr>
        <w:pStyle w:val="GridTable21"/>
        <w:spacing w:before="240" w:after="240"/>
      </w:pPr>
      <w:r>
        <w:t xml:space="preserve">Bratton, Michael. 1989a. “Beyond the State: Civil Society and Associational Life in Africa.” </w:t>
      </w:r>
      <w:r>
        <w:rPr>
          <w:i/>
          <w:iCs/>
        </w:rPr>
        <w:t>World Politics</w:t>
      </w:r>
      <w:r>
        <w:t xml:space="preserve"> 41 (3): 407–30.</w:t>
      </w:r>
    </w:p>
    <w:p w:rsidR="001630DC" w:rsidRDefault="001630DC" w:rsidP="00B11ABC">
      <w:pPr>
        <w:pStyle w:val="GridTable21"/>
        <w:spacing w:before="240" w:after="240"/>
      </w:pPr>
      <w:r>
        <w:t>———. 1989</w:t>
      </w:r>
      <w:r w:rsidR="009A03CF">
        <w:t>b. “The Politics of Government-</w:t>
      </w:r>
      <w:r>
        <w:t xml:space="preserve">NGO Relations in Africa.” </w:t>
      </w:r>
      <w:r>
        <w:rPr>
          <w:i/>
          <w:iCs/>
        </w:rPr>
        <w:t>World Development</w:t>
      </w:r>
      <w:r>
        <w:t xml:space="preserve"> 17 (4): 569–87.</w:t>
      </w:r>
    </w:p>
    <w:p w:rsidR="001630DC" w:rsidRDefault="001630DC" w:rsidP="00B11ABC">
      <w:pPr>
        <w:pStyle w:val="GridTable21"/>
        <w:spacing w:before="240" w:after="240"/>
      </w:pPr>
      <w:r>
        <w:t xml:space="preserve">Bratton, Michael. 1990. “Non-Governmental Organizations in Africa: Can They Influence Public Policy?” </w:t>
      </w:r>
      <w:r>
        <w:rPr>
          <w:i/>
          <w:iCs/>
        </w:rPr>
        <w:t>Development and Change</w:t>
      </w:r>
      <w:r>
        <w:t xml:space="preserve"> 21: 87–118.</w:t>
      </w:r>
    </w:p>
    <w:p w:rsidR="001630DC" w:rsidRDefault="001630DC" w:rsidP="00B11ABC">
      <w:pPr>
        <w:pStyle w:val="GridTable21"/>
        <w:spacing w:before="240" w:after="240"/>
      </w:pPr>
      <w:r>
        <w:t xml:space="preserve">Brooks, Jeremy, Kerry Ann Waylen, and Monique Borgerhoff Mulder. 2013. “Assessing Community-Based Conservation Projects: A Systematic Review and Multilevel Analysis of Attitudinal, Behavioral, Ecological, and Economic Outcome.” </w:t>
      </w:r>
      <w:r>
        <w:rPr>
          <w:i/>
          <w:iCs/>
        </w:rPr>
        <w:t>Environmental Evidence</w:t>
      </w:r>
      <w:r>
        <w:t xml:space="preserve"> 2 (2): 1–34.</w:t>
      </w:r>
    </w:p>
    <w:p w:rsidR="001630DC" w:rsidRDefault="001630DC" w:rsidP="00B11ABC">
      <w:pPr>
        <w:pStyle w:val="GridTable21"/>
        <w:spacing w:before="240" w:after="240"/>
      </w:pPr>
      <w:r>
        <w:t xml:space="preserve">Brown, W. A. 2004. “Exploring Strategy and Board Structure in Nonprofit Organizations.” </w:t>
      </w:r>
      <w:r>
        <w:rPr>
          <w:i/>
          <w:iCs/>
        </w:rPr>
        <w:t>Nonprofit and Voluntary Sector Quarterly</w:t>
      </w:r>
      <w:r w:rsidR="006A663C">
        <w:t xml:space="preserve"> 33 (3): 377–400</w:t>
      </w:r>
      <w:r>
        <w:t>.</w:t>
      </w:r>
    </w:p>
    <w:p w:rsidR="001630DC" w:rsidRDefault="001630DC" w:rsidP="00B11ABC">
      <w:pPr>
        <w:pStyle w:val="GridTable21"/>
        <w:spacing w:before="240" w:after="240"/>
      </w:pPr>
      <w:r>
        <w:t xml:space="preserve">Brown, William A. 2005. “Exploring the Association between Board and Organizational Performance in Nonprofit Organizations.” </w:t>
      </w:r>
      <w:r>
        <w:rPr>
          <w:i/>
          <w:iCs/>
        </w:rPr>
        <w:t>Nonprofit Management and Leadership</w:t>
      </w:r>
      <w:r>
        <w:t xml:space="preserve"> 15 (3): 317–39.</w:t>
      </w:r>
    </w:p>
    <w:p w:rsidR="001630DC" w:rsidRDefault="001630DC" w:rsidP="00B11ABC">
      <w:pPr>
        <w:pStyle w:val="GridTable21"/>
        <w:spacing w:before="240" w:after="240"/>
      </w:pPr>
      <w:r>
        <w:t xml:space="preserve">Bruno-van Vijfeijken, Tosca, and Hans Peter Schmitz. 2011. “Commentary: A Gap between Ambition and Effectiveness.” </w:t>
      </w:r>
      <w:r>
        <w:rPr>
          <w:i/>
          <w:iCs/>
        </w:rPr>
        <w:t>Journal of Civil Society</w:t>
      </w:r>
      <w:r>
        <w:t xml:space="preserve"> 7 (3): 287–92.</w:t>
      </w:r>
    </w:p>
    <w:p w:rsidR="001630DC" w:rsidRDefault="001630DC" w:rsidP="00B11ABC">
      <w:pPr>
        <w:pStyle w:val="GridTable21"/>
        <w:spacing w:before="240" w:after="240"/>
      </w:pPr>
      <w:r>
        <w:t xml:space="preserve">Bryce, Herrington J. 2005. </w:t>
      </w:r>
      <w:r>
        <w:rPr>
          <w:i/>
          <w:iCs/>
        </w:rPr>
        <w:t>Players in the Public Policy Process: Nonprofits as Social Capital Agents</w:t>
      </w:r>
      <w:r>
        <w:t>. New York: Palgrave Macmillan.</w:t>
      </w:r>
    </w:p>
    <w:p w:rsidR="001630DC" w:rsidRDefault="001630DC" w:rsidP="00B11ABC">
      <w:pPr>
        <w:pStyle w:val="GridTable21"/>
        <w:spacing w:before="240" w:after="240"/>
      </w:pPr>
      <w:r>
        <w:t xml:space="preserve">Busby, Joshua. 2007. “Bono Made Jesse Helms Cry: Jubilee 2000, Debt Relief, and Moral Action in International Politics.” </w:t>
      </w:r>
      <w:r>
        <w:rPr>
          <w:i/>
          <w:iCs/>
        </w:rPr>
        <w:t>International Studies Quarterly</w:t>
      </w:r>
      <w:r>
        <w:t xml:space="preserve"> 51 (3): 247–75.</w:t>
      </w:r>
    </w:p>
    <w:p w:rsidR="001630DC" w:rsidRDefault="001630DC" w:rsidP="00B11ABC">
      <w:pPr>
        <w:pStyle w:val="GridTable21"/>
        <w:spacing w:before="240" w:after="240"/>
      </w:pPr>
      <w:r>
        <w:t xml:space="preserve">Carbonnier, Gilles. 2013. “Religion and Development: Reconsidering Secularism as the Norm.” In </w:t>
      </w:r>
      <w:r>
        <w:rPr>
          <w:i/>
          <w:iCs/>
        </w:rPr>
        <w:t>International Development Policy: Religion and Development</w:t>
      </w:r>
      <w:r>
        <w:t>, edited by Gilles Carbonnier, 1–5. New York: Palgrave Macmillan.</w:t>
      </w:r>
    </w:p>
    <w:p w:rsidR="001630DC" w:rsidRDefault="001630DC" w:rsidP="00B11ABC">
      <w:pPr>
        <w:pStyle w:val="GridTable21"/>
        <w:spacing w:before="240" w:after="240"/>
      </w:pPr>
      <w:r>
        <w:t xml:space="preserve">Carothers, Thomas. 2002. “The End of the Transition Paradigm.” </w:t>
      </w:r>
      <w:r>
        <w:rPr>
          <w:i/>
          <w:iCs/>
        </w:rPr>
        <w:t>Journal of Democracy</w:t>
      </w:r>
      <w:r>
        <w:t xml:space="preserve"> 13 (1): 5–21.</w:t>
      </w:r>
    </w:p>
    <w:p w:rsidR="001630DC" w:rsidRDefault="001630DC" w:rsidP="00B11ABC">
      <w:pPr>
        <w:pStyle w:val="GridTable21"/>
        <w:spacing w:before="240" w:after="240"/>
      </w:pPr>
      <w:r>
        <w:t>Central Intelligence Agency. 2005. “CIA World Factbook: Uganda.” Washington: CIA. https://www.cia.gov/library/publications/resources/the-world-factbook/docs/refmaps.html.</w:t>
      </w:r>
    </w:p>
    <w:p w:rsidR="001630DC" w:rsidRDefault="001630DC" w:rsidP="00B11ABC">
      <w:pPr>
        <w:pStyle w:val="GridTable21"/>
        <w:spacing w:before="240" w:after="240"/>
      </w:pPr>
      <w:r>
        <w:t>Chahim, D</w:t>
      </w:r>
      <w:r w:rsidR="00A2134E">
        <w:t>ean, and Aseem Prakash. 2014. “</w:t>
      </w:r>
      <w:r>
        <w:t xml:space="preserve">NGOization, Foreign Funding, and the Nicaraguan Civil Society.” </w:t>
      </w:r>
      <w:r>
        <w:rPr>
          <w:i/>
          <w:iCs/>
        </w:rPr>
        <w:t>VOLUNTAS: International Journal of Voluntary and Nonprofit Organizations</w:t>
      </w:r>
      <w:r>
        <w:t xml:space="preserve"> 25 (2): 487–513.</w:t>
      </w:r>
    </w:p>
    <w:p w:rsidR="001630DC" w:rsidRDefault="001630DC" w:rsidP="00B11ABC">
      <w:pPr>
        <w:pStyle w:val="GridTable21"/>
        <w:spacing w:before="240" w:after="240"/>
      </w:pPr>
      <w:r>
        <w:t xml:space="preserve">Charmaz, K. 2006. </w:t>
      </w:r>
      <w:r>
        <w:rPr>
          <w:i/>
          <w:iCs/>
        </w:rPr>
        <w:t>Constructing a Grounded Theory: A Practical Guide Through Qualitative Analysis</w:t>
      </w:r>
      <w:r>
        <w:t>. New York: Sage Publications.</w:t>
      </w:r>
    </w:p>
    <w:p w:rsidR="001630DC" w:rsidRDefault="001630DC" w:rsidP="00B11ABC">
      <w:pPr>
        <w:pStyle w:val="GridTable21"/>
        <w:spacing w:before="240" w:after="240"/>
      </w:pPr>
      <w:r>
        <w:t xml:space="preserve">Child, John. 1975. “Managerial and Organizational Factors Associated with Company Performance - Part II. A Contingency Analysis.” </w:t>
      </w:r>
      <w:r>
        <w:rPr>
          <w:i/>
          <w:iCs/>
        </w:rPr>
        <w:t>The Journal of Management Studies</w:t>
      </w:r>
      <w:r>
        <w:t xml:space="preserve"> 12 (1-2): 12–27.</w:t>
      </w:r>
    </w:p>
    <w:p w:rsidR="001630DC" w:rsidRDefault="001630DC" w:rsidP="00B11ABC">
      <w:pPr>
        <w:pStyle w:val="GridTable21"/>
        <w:spacing w:before="240" w:after="240"/>
      </w:pPr>
      <w:r>
        <w:t>Christensen, Rachel A., and Alnoor Ebrahim. 2004. “How Does Accountability Affect Mission? The Case of a Nonprofit Serving Immigrants and Refugees.” Los Angeles. www.ipg.vt.edu/papers/ChristenseEbrahimARNOVA2004.pdf.</w:t>
      </w:r>
    </w:p>
    <w:p w:rsidR="001630DC" w:rsidRDefault="001630DC" w:rsidP="00B11ABC">
      <w:pPr>
        <w:pStyle w:val="GridTable21"/>
        <w:spacing w:before="240" w:after="240"/>
      </w:pPr>
      <w:r>
        <w:t>Cingranelli, David L., David L. Richards, and K. Chad Clay. 2014. “The CIRI Human Rights Dataset.” http://www.humanrightsdata.com.</w:t>
      </w:r>
    </w:p>
    <w:p w:rsidR="001630DC" w:rsidRDefault="001630DC" w:rsidP="00B11ABC">
      <w:pPr>
        <w:pStyle w:val="GridTable21"/>
        <w:spacing w:before="240" w:after="240"/>
      </w:pPr>
      <w:r>
        <w:t xml:space="preserve">Clark, John. 1995. “The State, Popular Participation, and the Voluntary Sector.” </w:t>
      </w:r>
      <w:r>
        <w:rPr>
          <w:i/>
          <w:iCs/>
        </w:rPr>
        <w:t>World Development</w:t>
      </w:r>
      <w:r>
        <w:t xml:space="preserve"> 23 (4): 593–601.</w:t>
      </w:r>
    </w:p>
    <w:p w:rsidR="001630DC" w:rsidRDefault="001630DC" w:rsidP="00B11ABC">
      <w:pPr>
        <w:pStyle w:val="GridTable21"/>
        <w:spacing w:before="240" w:after="240"/>
      </w:pPr>
      <w:r>
        <w:t xml:space="preserve">Cohen, Michael D., James G. March, and Jonah P. Olsen. 1972. “A Garbage Can Model of Organizational Choice.” </w:t>
      </w:r>
      <w:r>
        <w:rPr>
          <w:i/>
          <w:iCs/>
        </w:rPr>
        <w:t>Administrative Science Quarterly</w:t>
      </w:r>
      <w:r>
        <w:t>, 1–25.</w:t>
      </w:r>
    </w:p>
    <w:p w:rsidR="001630DC" w:rsidRDefault="001630DC" w:rsidP="00B11ABC">
      <w:pPr>
        <w:pStyle w:val="GridTable21"/>
        <w:spacing w:before="240" w:after="240"/>
      </w:pPr>
      <w:r>
        <w:t xml:space="preserve">Comaroff, John L., and Jean Comaroff. 2009. </w:t>
      </w:r>
      <w:r>
        <w:rPr>
          <w:i/>
          <w:iCs/>
        </w:rPr>
        <w:t>Ethnicity, Inc.</w:t>
      </w:r>
      <w:r>
        <w:t xml:space="preserve"> Chicago: University of Chicago Press.</w:t>
      </w:r>
    </w:p>
    <w:p w:rsidR="001630DC" w:rsidRDefault="001630DC" w:rsidP="00B11ABC">
      <w:pPr>
        <w:pStyle w:val="GridTable21"/>
        <w:spacing w:before="240" w:after="240"/>
      </w:pPr>
      <w:r>
        <w:t xml:space="preserve">Corbin, John J. 1999. “A Study of Factors Influencing the Growth of Nonprofits in Social Services.” </w:t>
      </w:r>
      <w:r>
        <w:rPr>
          <w:i/>
          <w:iCs/>
        </w:rPr>
        <w:t>Nonprofit and Voluntary Sector Quarterly</w:t>
      </w:r>
      <w:r>
        <w:t xml:space="preserve"> 28 (3): 296–314.</w:t>
      </w:r>
    </w:p>
    <w:p w:rsidR="001630DC" w:rsidRDefault="001630DC" w:rsidP="00B11ABC">
      <w:pPr>
        <w:pStyle w:val="GridTable21"/>
        <w:spacing w:before="240" w:after="240"/>
      </w:pPr>
      <w:r>
        <w:t>Daley, John Michael, and Julio Angulo. 1994. “Understanding the Dynamics of Diversity Within Nonprofit Boards” 25 (2): 172–88.</w:t>
      </w:r>
    </w:p>
    <w:p w:rsidR="001630DC" w:rsidRDefault="001630DC" w:rsidP="00B11ABC">
      <w:pPr>
        <w:pStyle w:val="GridTable21"/>
        <w:spacing w:before="240" w:after="240"/>
      </w:pPr>
      <w:r>
        <w:t xml:space="preserve">DeMars, William E. 2005. </w:t>
      </w:r>
      <w:r>
        <w:rPr>
          <w:i/>
          <w:iCs/>
        </w:rPr>
        <w:t>NGOs and Transnational Networks: Wild Cards in World Politics</w:t>
      </w:r>
      <w:r>
        <w:t>. London: Pluto Press.</w:t>
      </w:r>
    </w:p>
    <w:p w:rsidR="001630DC" w:rsidRDefault="001630DC" w:rsidP="00B11ABC">
      <w:pPr>
        <w:pStyle w:val="GridTable21"/>
        <w:spacing w:before="240" w:after="240"/>
      </w:pPr>
      <w:r>
        <w:t xml:space="preserve">DiMaggio, Paul, and Walter W. Powell. 1983. “The Iron Cage Revisited: Institutional Isomorphism and Collective Rationality in Organizational Fields.” </w:t>
      </w:r>
      <w:r>
        <w:rPr>
          <w:i/>
          <w:iCs/>
        </w:rPr>
        <w:t>American Sociological Review</w:t>
      </w:r>
      <w:r>
        <w:t xml:space="preserve"> 48 (April): 147–60.</w:t>
      </w:r>
    </w:p>
    <w:p w:rsidR="001630DC" w:rsidRDefault="001630DC" w:rsidP="00B11ABC">
      <w:pPr>
        <w:pStyle w:val="GridTable21"/>
        <w:spacing w:before="240" w:after="240"/>
      </w:pPr>
      <w:r>
        <w:t xml:space="preserve">Donaldson, Lex. 2001. </w:t>
      </w:r>
      <w:r>
        <w:rPr>
          <w:i/>
          <w:iCs/>
        </w:rPr>
        <w:t>The Contingency Theory of Organizations</w:t>
      </w:r>
      <w:r>
        <w:t>. Thousand Oaks: Sage Publications, Ltd.</w:t>
      </w:r>
    </w:p>
    <w:p w:rsidR="006A663C" w:rsidRDefault="001630DC" w:rsidP="00B11ABC">
      <w:pPr>
        <w:pStyle w:val="GridTable21"/>
        <w:spacing w:before="240" w:after="240"/>
      </w:pPr>
      <w:r>
        <w:t xml:space="preserve">Drazin, Robert, and Andrew H. Van de Ven. 1985. “Alternative Forms of Fit in Contingency Theory.” </w:t>
      </w:r>
      <w:r>
        <w:rPr>
          <w:i/>
          <w:iCs/>
        </w:rPr>
        <w:t>Administrative Science Quarterly</w:t>
      </w:r>
      <w:r w:rsidR="006A663C">
        <w:t xml:space="preserve"> 30 (4): 514. </w:t>
      </w:r>
    </w:p>
    <w:p w:rsidR="001630DC" w:rsidRDefault="001630DC" w:rsidP="00B11ABC">
      <w:pPr>
        <w:pStyle w:val="GridTable21"/>
        <w:spacing w:before="240" w:after="240"/>
      </w:pPr>
      <w:r>
        <w:t>Dupuy, Kendra, James Ron, and Aseem Prakash. 2015. “Who Survived? Ethiopia’s Regulato</w:t>
      </w:r>
      <w:r w:rsidR="00652DA5">
        <w:t xml:space="preserve">ry Crackdown on Foreign-Funded </w:t>
      </w:r>
      <w:r>
        <w:t xml:space="preserve">NGOs.” </w:t>
      </w:r>
      <w:r>
        <w:rPr>
          <w:i/>
          <w:iCs/>
        </w:rPr>
        <w:t>Review in International Political Economy</w:t>
      </w:r>
      <w:r>
        <w:t xml:space="preserve"> 22 (2): 419–56.</w:t>
      </w:r>
    </w:p>
    <w:p w:rsidR="001630DC" w:rsidRDefault="001630DC" w:rsidP="00B11ABC">
      <w:pPr>
        <w:pStyle w:val="GridTable21"/>
        <w:spacing w:before="240" w:after="240"/>
      </w:pPr>
      <w:r>
        <w:t xml:space="preserve">Easterly, William. 2009. “Can the West Save Africa?” </w:t>
      </w:r>
      <w:r>
        <w:rPr>
          <w:i/>
          <w:iCs/>
        </w:rPr>
        <w:t>Journal of Economic Literature</w:t>
      </w:r>
      <w:r>
        <w:t xml:space="preserve"> 47 (2): 373–447.</w:t>
      </w:r>
    </w:p>
    <w:p w:rsidR="001630DC" w:rsidRDefault="001630DC" w:rsidP="00B11ABC">
      <w:pPr>
        <w:pStyle w:val="GridTable21"/>
        <w:spacing w:before="240" w:after="240"/>
      </w:pPr>
      <w:r>
        <w:t>Ebrahim, A. 2002. “Information Struggles: The Role of Info</w:t>
      </w:r>
      <w:r w:rsidR="00652DA5">
        <w:t xml:space="preserve">rmation in the Reproduction of </w:t>
      </w:r>
      <w:r>
        <w:t xml:space="preserve">NGO-Funder Relationships.” </w:t>
      </w:r>
      <w:r>
        <w:rPr>
          <w:i/>
          <w:iCs/>
        </w:rPr>
        <w:t>Nonprofit and Voluntary Sector Quarterly</w:t>
      </w:r>
      <w:r>
        <w:t xml:space="preserve"> 31 (1): 84–114. </w:t>
      </w:r>
    </w:p>
    <w:p w:rsidR="001630DC" w:rsidRDefault="001630DC" w:rsidP="00B11ABC">
      <w:pPr>
        <w:pStyle w:val="GridTable21"/>
        <w:spacing w:before="240" w:after="240"/>
      </w:pPr>
      <w:r>
        <w:t>Ebrahim, Alnoor. 2003. “Accountability in Practice: Mechanis</w:t>
      </w:r>
      <w:r w:rsidR="009A03CF">
        <w:t xml:space="preserve">ms for </w:t>
      </w:r>
      <w:r>
        <w:t xml:space="preserve">NGOs.” </w:t>
      </w:r>
      <w:r>
        <w:rPr>
          <w:i/>
          <w:iCs/>
        </w:rPr>
        <w:t>World Development</w:t>
      </w:r>
      <w:r>
        <w:t xml:space="preserve"> 31 (5): 813–29.</w:t>
      </w:r>
    </w:p>
    <w:p w:rsidR="001630DC" w:rsidRDefault="001630DC" w:rsidP="00B11ABC">
      <w:pPr>
        <w:pStyle w:val="GridTable21"/>
        <w:spacing w:before="240" w:after="240"/>
      </w:pPr>
      <w:r>
        <w:t xml:space="preserve">Edwards, Michael, and David Hulme. 1996a. “Beyond the Magic Bullet?  Lessons and Conclusions.” In </w:t>
      </w:r>
      <w:r w:rsidR="00652DA5">
        <w:rPr>
          <w:i/>
          <w:iCs/>
        </w:rPr>
        <w:t xml:space="preserve">Beyond the Magic Bullet: </w:t>
      </w:r>
      <w:r>
        <w:rPr>
          <w:i/>
          <w:iCs/>
        </w:rPr>
        <w:t>NGO Performance and Accountability in the Post-Cold War World</w:t>
      </w:r>
      <w:r>
        <w:t>, edited by Michael Edwards and David Hulme, 254–66. Kumarian Press.</w:t>
      </w:r>
    </w:p>
    <w:p w:rsidR="001630DC" w:rsidRDefault="009A03CF" w:rsidP="00B11ABC">
      <w:pPr>
        <w:pStyle w:val="GridTable21"/>
        <w:spacing w:before="240" w:after="240"/>
      </w:pPr>
      <w:r>
        <w:t xml:space="preserve">———. 1996b. “Introduction: </w:t>
      </w:r>
      <w:r w:rsidR="001630DC">
        <w:t xml:space="preserve">NGO Performance and Accountability.” In </w:t>
      </w:r>
      <w:r w:rsidR="00652DA5">
        <w:rPr>
          <w:i/>
          <w:iCs/>
        </w:rPr>
        <w:t xml:space="preserve">Beyond the Magic Bullet: </w:t>
      </w:r>
      <w:r w:rsidR="001630DC">
        <w:rPr>
          <w:i/>
          <w:iCs/>
        </w:rPr>
        <w:t>NGO Performance and Accountability in the Post-Cold War World</w:t>
      </w:r>
      <w:r w:rsidR="001630DC">
        <w:t>, edited by Michael Edwards and David Hulme, 1–20. Kumarian Press.</w:t>
      </w:r>
    </w:p>
    <w:p w:rsidR="001630DC" w:rsidRDefault="001630DC" w:rsidP="00B11ABC">
      <w:pPr>
        <w:pStyle w:val="GridTable21"/>
        <w:spacing w:before="240" w:after="240"/>
      </w:pPr>
      <w:r>
        <w:t xml:space="preserve">———. 1996c. “Too Close for Comfort?  The Impact of Official Aid on </w:t>
      </w:r>
      <w:r w:rsidR="009944D4">
        <w:t>Nongovernmental</w:t>
      </w:r>
      <w:r>
        <w:t xml:space="preserve"> Organizations.” </w:t>
      </w:r>
      <w:r>
        <w:rPr>
          <w:i/>
          <w:iCs/>
        </w:rPr>
        <w:t>World Development</w:t>
      </w:r>
      <w:r>
        <w:t xml:space="preserve"> 24 (6): 961–73.</w:t>
      </w:r>
    </w:p>
    <w:p w:rsidR="001630DC" w:rsidRDefault="001630DC" w:rsidP="00B11ABC">
      <w:pPr>
        <w:pStyle w:val="GridTable21"/>
        <w:spacing w:before="240" w:after="240"/>
      </w:pPr>
      <w:r>
        <w:t xml:space="preserve">Eifert, Benn, Edward Miguel, and Daniel N. Posner. 2010. “Political Competition and Ethnic Identification in Africa.” </w:t>
      </w:r>
      <w:r>
        <w:rPr>
          <w:i/>
          <w:iCs/>
        </w:rPr>
        <w:t>American Journal of Political Science</w:t>
      </w:r>
      <w:r>
        <w:t xml:space="preserve"> 54 (2): 494–510.</w:t>
      </w:r>
    </w:p>
    <w:p w:rsidR="001630DC" w:rsidRDefault="001630DC" w:rsidP="00B11ABC">
      <w:pPr>
        <w:pStyle w:val="GridTable21"/>
        <w:spacing w:before="240" w:after="240"/>
      </w:pPr>
      <w:r>
        <w:t xml:space="preserve">Ekeh, Peter P. 1975. “Colonialism and the Two Publics in Africa: A Theoretical Statement.” </w:t>
      </w:r>
      <w:r>
        <w:rPr>
          <w:i/>
          <w:iCs/>
        </w:rPr>
        <w:t>Comparative Studies in Society and History</w:t>
      </w:r>
      <w:r>
        <w:t xml:space="preserve"> 17 (1): 91–112.</w:t>
      </w:r>
    </w:p>
    <w:p w:rsidR="001630DC" w:rsidRDefault="001630DC" w:rsidP="00B11ABC">
      <w:pPr>
        <w:pStyle w:val="GridTable21"/>
        <w:spacing w:before="240" w:after="240"/>
      </w:pPr>
      <w:r>
        <w:t xml:space="preserve">Elliott, Charles. 1987. “Some Aspects of Relations Between the North and South in the TNGO Sector.” </w:t>
      </w:r>
      <w:r>
        <w:rPr>
          <w:i/>
          <w:iCs/>
        </w:rPr>
        <w:t>World Development</w:t>
      </w:r>
      <w:r>
        <w:t xml:space="preserve"> 15 (Supplement): 57–68.</w:t>
      </w:r>
    </w:p>
    <w:p w:rsidR="001630DC" w:rsidRDefault="001630DC" w:rsidP="00B11ABC">
      <w:pPr>
        <w:pStyle w:val="GridTable21"/>
        <w:spacing w:before="240" w:after="240"/>
      </w:pPr>
      <w:r>
        <w:t xml:space="preserve">Englebert, Pierre. 2000. </w:t>
      </w:r>
      <w:r>
        <w:rPr>
          <w:i/>
          <w:iCs/>
        </w:rPr>
        <w:t>State Legitimacy and Development in Africa</w:t>
      </w:r>
      <w:r>
        <w:t>. Boulder: Lynne Rienner Publishers.</w:t>
      </w:r>
    </w:p>
    <w:p w:rsidR="001630DC" w:rsidRDefault="001630DC" w:rsidP="00B11ABC">
      <w:pPr>
        <w:pStyle w:val="GridTable21"/>
        <w:spacing w:before="240" w:after="240"/>
      </w:pPr>
      <w:r>
        <w:t xml:space="preserve">Esping-Andersen, Gosta. 1990. </w:t>
      </w:r>
      <w:r>
        <w:rPr>
          <w:i/>
          <w:iCs/>
        </w:rPr>
        <w:t>The Three Worlds of Welfare Capitalism</w:t>
      </w:r>
      <w:r>
        <w:t>. Princeton: Princeton University Press.</w:t>
      </w:r>
    </w:p>
    <w:p w:rsidR="001630DC" w:rsidRDefault="001630DC" w:rsidP="00B11ABC">
      <w:pPr>
        <w:pStyle w:val="GridTable21"/>
        <w:spacing w:before="240" w:after="240"/>
      </w:pPr>
      <w:r>
        <w:t xml:space="preserve">Fearon, James D., and David D. Laitin. 2003. “Ethnicity, Insurgency, and Civil War.” </w:t>
      </w:r>
      <w:r>
        <w:rPr>
          <w:i/>
          <w:iCs/>
        </w:rPr>
        <w:t>The American Political Science Review</w:t>
      </w:r>
      <w:r>
        <w:t xml:space="preserve"> 97 (1): 75–90.</w:t>
      </w:r>
    </w:p>
    <w:p w:rsidR="001630DC" w:rsidRDefault="001630DC" w:rsidP="00B11ABC">
      <w:pPr>
        <w:pStyle w:val="GridTable21"/>
        <w:spacing w:before="240" w:after="240"/>
      </w:pPr>
      <w:r>
        <w:t xml:space="preserve">Fearon, James D., and David D. Laitin. 1996. “Explaining Interethnic Cooperation.” </w:t>
      </w:r>
      <w:r>
        <w:rPr>
          <w:i/>
          <w:iCs/>
        </w:rPr>
        <w:t>The American Political Science Review</w:t>
      </w:r>
      <w:r>
        <w:t xml:space="preserve"> 90 (4): 715–35.</w:t>
      </w:r>
    </w:p>
    <w:p w:rsidR="001630DC" w:rsidRDefault="001630DC" w:rsidP="00B11ABC">
      <w:pPr>
        <w:pStyle w:val="GridTable21"/>
        <w:spacing w:before="240" w:after="240"/>
      </w:pPr>
      <w:r>
        <w:t xml:space="preserve">Fisher, Julie. 1998. </w:t>
      </w:r>
      <w:r w:rsidR="00A2134E">
        <w:rPr>
          <w:i/>
          <w:iCs/>
        </w:rPr>
        <w:t>Nongovernment</w:t>
      </w:r>
      <w:r w:rsidR="008159E1">
        <w:rPr>
          <w:i/>
          <w:iCs/>
        </w:rPr>
        <w:t xml:space="preserve">: </w:t>
      </w:r>
      <w:r>
        <w:rPr>
          <w:i/>
          <w:iCs/>
        </w:rPr>
        <w:t>NGOs and the Political Development of the Third World</w:t>
      </w:r>
      <w:r>
        <w:t>. West Hartford: Kumarian press.</w:t>
      </w:r>
    </w:p>
    <w:p w:rsidR="001630DC" w:rsidRDefault="001630DC" w:rsidP="00B11ABC">
      <w:pPr>
        <w:pStyle w:val="GridTable21"/>
        <w:spacing w:before="240" w:after="240"/>
      </w:pPr>
      <w:r>
        <w:t xml:space="preserve">Forje, John W. 2008. “Political Leadership, State-Civil Society Relations and the Search for Development Alternatives.” In </w:t>
      </w:r>
      <w:r>
        <w:rPr>
          <w:i/>
          <w:iCs/>
        </w:rPr>
        <w:t>Civil Society and the Search for Development Alternatives in Cameroon</w:t>
      </w:r>
      <w:r>
        <w:t>, edited by Emmanuel Yenshu Vubo, 191–205. Dakar: CODESRIA.</w:t>
      </w:r>
    </w:p>
    <w:p w:rsidR="001630DC" w:rsidRDefault="001630DC" w:rsidP="00B11ABC">
      <w:pPr>
        <w:pStyle w:val="GridTable21"/>
        <w:spacing w:before="240" w:after="240"/>
      </w:pPr>
      <w:r>
        <w:t xml:space="preserve">Frederickson, David G., and H. George Frederickson. 2006. </w:t>
      </w:r>
      <w:r>
        <w:rPr>
          <w:i/>
          <w:iCs/>
        </w:rPr>
        <w:t>Measuring the Performance of the Hollow State</w:t>
      </w:r>
      <w:r>
        <w:t>. Washington: Georgetown University Press.</w:t>
      </w:r>
    </w:p>
    <w:p w:rsidR="001630DC" w:rsidRDefault="001630DC" w:rsidP="00B11ABC">
      <w:pPr>
        <w:pStyle w:val="GridTable21"/>
        <w:spacing w:before="240" w:after="240"/>
      </w:pPr>
      <w:r>
        <w:t xml:space="preserve">Froelich, Karen A. 1999. “Diversification of Revenue Strategies: Evolving Resource Dependence in Nonprofit Organizations.” </w:t>
      </w:r>
      <w:r>
        <w:rPr>
          <w:i/>
          <w:iCs/>
        </w:rPr>
        <w:t>Nonprofit and Voluntary Sector Quarterly</w:t>
      </w:r>
      <w:r>
        <w:t xml:space="preserve"> 28 (3): 246–68.</w:t>
      </w:r>
    </w:p>
    <w:p w:rsidR="001630DC" w:rsidRDefault="001630DC" w:rsidP="00B11ABC">
      <w:pPr>
        <w:pStyle w:val="GridTable21"/>
        <w:spacing w:before="240" w:after="240"/>
      </w:pPr>
      <w:r>
        <w:t>Fruttero, Anna, and Varun Gauri. 2</w:t>
      </w:r>
      <w:r w:rsidR="00652DA5">
        <w:t xml:space="preserve">005. “The Strategic Choices of </w:t>
      </w:r>
      <w:r>
        <w:t xml:space="preserve">NGOs: Location Decisions in Rural Bangladesh.” </w:t>
      </w:r>
      <w:r>
        <w:rPr>
          <w:i/>
          <w:iCs/>
        </w:rPr>
        <w:t>The Journal of Development Studies</w:t>
      </w:r>
      <w:r>
        <w:t xml:space="preserve"> 41 (5): 759–87.</w:t>
      </w:r>
    </w:p>
    <w:p w:rsidR="001630DC" w:rsidRDefault="001630DC" w:rsidP="00B11ABC">
      <w:pPr>
        <w:pStyle w:val="GridTable21"/>
        <w:spacing w:before="240" w:after="240"/>
      </w:pPr>
      <w:r>
        <w:t>Galway, Lindsay P., Kitty K. Corbett, and Lei</w:t>
      </w:r>
      <w:r w:rsidR="00652DA5">
        <w:t xml:space="preserve">lei Zeng. 2012. “Where Are the </w:t>
      </w:r>
      <w:r>
        <w:t>NGOs and Why? The Distribu</w:t>
      </w:r>
      <w:r w:rsidR="008159E1">
        <w:t xml:space="preserve">tion of Health and Development </w:t>
      </w:r>
      <w:r>
        <w:t xml:space="preserve">NGOs in Bolivia.” </w:t>
      </w:r>
      <w:r>
        <w:rPr>
          <w:i/>
          <w:iCs/>
        </w:rPr>
        <w:t>Globalization and Health</w:t>
      </w:r>
      <w:r>
        <w:t xml:space="preserve"> 8 (1): 38.</w:t>
      </w:r>
    </w:p>
    <w:p w:rsidR="001630DC" w:rsidRDefault="001630DC" w:rsidP="00B11ABC">
      <w:pPr>
        <w:pStyle w:val="GridTable21"/>
        <w:spacing w:before="240" w:after="240"/>
      </w:pPr>
      <w:r>
        <w:t xml:space="preserve">Garrow, Eve E. 2010. “Receipt of Government Revenue among Human Service Organizations.” </w:t>
      </w:r>
      <w:r>
        <w:rPr>
          <w:i/>
          <w:iCs/>
        </w:rPr>
        <w:t>Journal of Public Administration Research and Theory</w:t>
      </w:r>
      <w:r>
        <w:t xml:space="preserve"> 21 (3): 445–71.</w:t>
      </w:r>
    </w:p>
    <w:p w:rsidR="001630DC" w:rsidRDefault="001630DC" w:rsidP="00B11ABC">
      <w:pPr>
        <w:pStyle w:val="GridTable21"/>
        <w:spacing w:before="240" w:after="240"/>
      </w:pPr>
      <w:r>
        <w:t xml:space="preserve">Gazley, Beth. 2008. “Beyond the Contract: The Scope and Nature of Informal Government-Nonprofit Partnerships.” </w:t>
      </w:r>
      <w:r>
        <w:rPr>
          <w:i/>
          <w:iCs/>
        </w:rPr>
        <w:t>Public Administration Review</w:t>
      </w:r>
      <w:r>
        <w:t xml:space="preserve"> 68 (1): 141–54.</w:t>
      </w:r>
    </w:p>
    <w:p w:rsidR="006A663C" w:rsidRDefault="001630DC" w:rsidP="00B11ABC">
      <w:pPr>
        <w:pStyle w:val="GridTable21"/>
        <w:spacing w:before="240" w:after="240"/>
      </w:pPr>
      <w:r>
        <w:t xml:space="preserve">Gerdin, Martin, Patrice Chataigner, Leonie Tax, Anne Kubai, and Johan von Schreeb. 2014. “Does Need Matter? Needs Assessments and Decision-Making among Major Humanitarian Health Agencies.” </w:t>
      </w:r>
      <w:r>
        <w:rPr>
          <w:i/>
          <w:iCs/>
        </w:rPr>
        <w:t>Disasters</w:t>
      </w:r>
      <w:r>
        <w:t xml:space="preserve"> 38 (3): 451–64. </w:t>
      </w:r>
    </w:p>
    <w:p w:rsidR="006A663C" w:rsidRDefault="001630DC" w:rsidP="00B11ABC">
      <w:pPr>
        <w:pStyle w:val="GridTable21"/>
        <w:spacing w:before="240" w:after="240"/>
      </w:pPr>
      <w:r>
        <w:t xml:space="preserve">Ghoshal, Sumantra, and Christopher A. Bartlett. 1990. “The Multinational Corporation as an Interorganizational Network.” </w:t>
      </w:r>
      <w:r>
        <w:rPr>
          <w:i/>
          <w:iCs/>
        </w:rPr>
        <w:t>The Academy of Management Review</w:t>
      </w:r>
      <w:r>
        <w:t xml:space="preserve"> 15 (4): 603.</w:t>
      </w:r>
    </w:p>
    <w:p w:rsidR="001630DC" w:rsidRDefault="006A663C" w:rsidP="00B11ABC">
      <w:pPr>
        <w:pStyle w:val="GridTable21"/>
        <w:spacing w:before="240" w:after="240"/>
      </w:pPr>
      <w:r>
        <w:t xml:space="preserve"> </w:t>
      </w:r>
      <w:r w:rsidR="001630DC">
        <w:t xml:space="preserve">Ghoshal, Sumantra, and Nitin Nohria. 1989. “Internal Differentiation within Multinational Corporations.” </w:t>
      </w:r>
      <w:r w:rsidR="001630DC">
        <w:rPr>
          <w:i/>
          <w:iCs/>
        </w:rPr>
        <w:t>Strategic Management Journal</w:t>
      </w:r>
      <w:r w:rsidR="001630DC">
        <w:t xml:space="preserve"> 10 (4): 323–37.</w:t>
      </w:r>
    </w:p>
    <w:p w:rsidR="001630DC" w:rsidRDefault="001630DC" w:rsidP="00B11ABC">
      <w:pPr>
        <w:pStyle w:val="GridTable21"/>
        <w:spacing w:before="240" w:after="240"/>
      </w:pPr>
      <w:r>
        <w:t xml:space="preserve">Gibelman, Margaret, and Sheldon R. Gelman. 2004. “A Loss of Credibility: Patterns of Wrongdoing Among </w:t>
      </w:r>
      <w:r w:rsidR="009944D4">
        <w:t>Nongovernmental</w:t>
      </w:r>
      <w:r>
        <w:t xml:space="preserve"> Organizations.” </w:t>
      </w:r>
      <w:r>
        <w:rPr>
          <w:i/>
          <w:iCs/>
        </w:rPr>
        <w:t>Voluntas: International Journal of Voluntary and Nonprofit Organizations</w:t>
      </w:r>
      <w:r>
        <w:t xml:space="preserve"> 15 (4): 355–81.</w:t>
      </w:r>
    </w:p>
    <w:p w:rsidR="001630DC" w:rsidRDefault="001630DC" w:rsidP="00B11ABC">
      <w:pPr>
        <w:pStyle w:val="GridTable21"/>
        <w:spacing w:before="240" w:after="240"/>
      </w:pPr>
      <w:r>
        <w:t xml:space="preserve">Green, Maia. 2012. “Anticipatory Development: Mobilizing Civil Society in Tanzania.” </w:t>
      </w:r>
      <w:r>
        <w:rPr>
          <w:i/>
          <w:iCs/>
        </w:rPr>
        <w:t>Critique of Anthropology</w:t>
      </w:r>
      <w:r>
        <w:t xml:space="preserve"> 32 (3): 309–33.</w:t>
      </w:r>
    </w:p>
    <w:p w:rsidR="006A663C" w:rsidRDefault="001630DC" w:rsidP="00B11ABC">
      <w:pPr>
        <w:pStyle w:val="GridTable21"/>
        <w:spacing w:before="240" w:after="240"/>
      </w:pPr>
      <w:r>
        <w:t xml:space="preserve">Gronbjerg, K. A., H. K. Liu, and T. H. Pollak. 2010. “Incorporated but Not IRS-Registered: Exploring the (Dark) Grey Fringes of the Nonprofit Universe.” </w:t>
      </w:r>
      <w:r>
        <w:rPr>
          <w:i/>
          <w:iCs/>
        </w:rPr>
        <w:t>Nonprofit and Voluntary Sector Quarterly</w:t>
      </w:r>
      <w:r w:rsidR="006A663C">
        <w:t xml:space="preserve"> 39 (5): 925–45. </w:t>
      </w:r>
    </w:p>
    <w:p w:rsidR="001630DC" w:rsidRDefault="001630DC" w:rsidP="00B11ABC">
      <w:pPr>
        <w:pStyle w:val="GridTable21"/>
        <w:spacing w:before="240" w:after="240"/>
      </w:pPr>
      <w:r>
        <w:t xml:space="preserve">Gronbjerg, Kristen A. 2003a.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after="240"/>
      </w:pPr>
      <w:r>
        <w:t xml:space="preserve">———. 2003b.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after="240"/>
      </w:pPr>
      <w:r>
        <w:rPr>
          <w:i/>
          <w:iCs/>
        </w:rPr>
        <w:t>Guidestar-NCCS National Nonprofit Research Database</w:t>
      </w:r>
      <w:r>
        <w:t>. 2015. Washington: The Urban Institute. nccsweb.urban.org.</w:t>
      </w:r>
    </w:p>
    <w:p w:rsidR="001630DC" w:rsidRDefault="001630DC" w:rsidP="00B11ABC">
      <w:pPr>
        <w:pStyle w:val="GridTable21"/>
        <w:spacing w:before="240" w:after="240"/>
      </w:pPr>
      <w:r>
        <w:t xml:space="preserve">Guo, Chao. 2007. “When Government Becomes the Principal Philanthropist: The Effects of Public Funding on Patterns of Nonprofit Governance.” </w:t>
      </w:r>
      <w:r>
        <w:rPr>
          <w:i/>
          <w:iCs/>
        </w:rPr>
        <w:t>Public Administration Review</w:t>
      </w:r>
      <w:r>
        <w:t xml:space="preserve"> 67 (3): 458–73.</w:t>
      </w:r>
    </w:p>
    <w:p w:rsidR="001630DC" w:rsidRDefault="001630DC" w:rsidP="00B11ABC">
      <w:pPr>
        <w:pStyle w:val="GridTable21"/>
        <w:spacing w:before="240" w:after="240"/>
      </w:pPr>
      <w:r>
        <w:t xml:space="preserve">Gupta, Anil K., and Vijay Govindarajan. 2000. “Knowledge Flows Within Multinational Corporations.” </w:t>
      </w:r>
      <w:r>
        <w:rPr>
          <w:i/>
          <w:iCs/>
        </w:rPr>
        <w:t>Strategic Management Journal</w:t>
      </w:r>
      <w:r>
        <w:t xml:space="preserve"> 21: 473–96.</w:t>
      </w:r>
    </w:p>
    <w:p w:rsidR="001630DC" w:rsidRDefault="001630DC" w:rsidP="00B11ABC">
      <w:pPr>
        <w:pStyle w:val="GridTable21"/>
        <w:spacing w:before="240" w:after="240"/>
      </w:pPr>
      <w:r>
        <w:t xml:space="preserve">Habyarimana, James, Macartan Humphreys, Daniel N. Posner, and Jeremy M. Weinstein. 2007. “Why Does Ethnic Diversity Undermine Public Goods Provision?” </w:t>
      </w:r>
      <w:r>
        <w:rPr>
          <w:i/>
          <w:iCs/>
        </w:rPr>
        <w:t>American Political Science Review</w:t>
      </w:r>
      <w:r>
        <w:t xml:space="preserve"> 101 (04): 709–25.</w:t>
      </w:r>
    </w:p>
    <w:p w:rsidR="001630DC" w:rsidRDefault="001630DC" w:rsidP="00B11ABC">
      <w:pPr>
        <w:pStyle w:val="GridTable21"/>
        <w:spacing w:before="240" w:after="240"/>
      </w:pPr>
      <w:r>
        <w:t>Hailey, John, and Rick James. 2004. “‘Trees Die From the Top’:</w:t>
      </w:r>
      <w:r w:rsidR="00383665">
        <w:t xml:space="preserve"> International Perspectives on </w:t>
      </w:r>
      <w:r>
        <w:t xml:space="preserve">NGO Leadership Development.” </w:t>
      </w:r>
      <w:r>
        <w:rPr>
          <w:i/>
          <w:iCs/>
        </w:rPr>
        <w:t>Voluntas: International Journal of Voluntary and Nonprofit Organizations</w:t>
      </w:r>
      <w:r>
        <w:t xml:space="preserve"> 15 (4): 343–53.</w:t>
      </w:r>
    </w:p>
    <w:p w:rsidR="001630DC" w:rsidRDefault="001630DC" w:rsidP="00B11ABC">
      <w:pPr>
        <w:pStyle w:val="GridTable21"/>
        <w:spacing w:before="240" w:after="240"/>
      </w:pPr>
      <w:r>
        <w:t xml:space="preserve">Hann, Chris. 1996. “Introduction: Political Society and Civil Anthropology.” In </w:t>
      </w:r>
      <w:r>
        <w:rPr>
          <w:i/>
          <w:iCs/>
        </w:rPr>
        <w:t>Civil Society: Challenging Western Models</w:t>
      </w:r>
      <w:r>
        <w:t>, edited by Chris Hann and Dunn, 1–26. London: Routledge.</w:t>
      </w:r>
    </w:p>
    <w:p w:rsidR="001630DC" w:rsidRDefault="001630DC" w:rsidP="00B11ABC">
      <w:pPr>
        <w:pStyle w:val="GridTable21"/>
        <w:spacing w:before="240" w:after="240"/>
      </w:pPr>
      <w:r>
        <w:t>Hearn, Julie. 2</w:t>
      </w:r>
      <w:r w:rsidR="00383665">
        <w:t xml:space="preserve">007. “African </w:t>
      </w:r>
      <w:r>
        <w:t xml:space="preserve">NGOs: The New Compradors?” </w:t>
      </w:r>
      <w:r>
        <w:rPr>
          <w:i/>
          <w:iCs/>
        </w:rPr>
        <w:t>Development &amp; Change</w:t>
      </w:r>
      <w:r>
        <w:t xml:space="preserve"> 38 (6): 1095–1110.</w:t>
      </w:r>
    </w:p>
    <w:p w:rsidR="001630DC" w:rsidRDefault="001630DC" w:rsidP="00B11ABC">
      <w:pPr>
        <w:pStyle w:val="GridTable21"/>
        <w:spacing w:before="240" w:after="240"/>
      </w:pPr>
      <w:r>
        <w:t xml:space="preserve">Heinrich, Carolyn J., Laurence E. Jr. Lynn, and H. Brinton Milward. 2010. “A State of Agents? Sharpening the Debate and Evidence over the Extent and Impact of the Transformation of Governance.” </w:t>
      </w:r>
      <w:r>
        <w:rPr>
          <w:i/>
          <w:iCs/>
        </w:rPr>
        <w:t>Journal of Public Administration Research and Theory</w:t>
      </w:r>
      <w:r>
        <w:t xml:space="preserve"> 20 (Supplemental 1): i3–19.</w:t>
      </w:r>
    </w:p>
    <w:p w:rsidR="001630DC" w:rsidRDefault="001630DC" w:rsidP="00B11ABC">
      <w:pPr>
        <w:pStyle w:val="GridTable21"/>
        <w:spacing w:before="240" w:after="240"/>
      </w:pPr>
      <w:r>
        <w:t xml:space="preserve">Heinze, E.A. 2007. “The Rhetoric of Genocide in US Foreign Policy: Rwanda and Darfur Compared.” </w:t>
      </w:r>
      <w:r>
        <w:rPr>
          <w:i/>
          <w:iCs/>
        </w:rPr>
        <w:t>Political Science Quarterly</w:t>
      </w:r>
      <w:r>
        <w:t xml:space="preserve"> 122 (3): 359–83.</w:t>
      </w:r>
    </w:p>
    <w:p w:rsidR="001630DC" w:rsidRDefault="001630DC" w:rsidP="00B11ABC">
      <w:pPr>
        <w:pStyle w:val="GridTable21"/>
        <w:spacing w:before="240" w:after="240"/>
      </w:pPr>
      <w:r>
        <w:t xml:space="preserve">Herbst, Jeffery. 1990. “The Structural Adjustment of Politics in Africa.” </w:t>
      </w:r>
      <w:r>
        <w:rPr>
          <w:i/>
          <w:iCs/>
        </w:rPr>
        <w:t>World Development</w:t>
      </w:r>
      <w:r>
        <w:t xml:space="preserve"> 18 (7): 949–58.</w:t>
      </w:r>
    </w:p>
    <w:p w:rsidR="001630DC" w:rsidRDefault="001630DC" w:rsidP="00B11ABC">
      <w:pPr>
        <w:pStyle w:val="GridTable21"/>
        <w:spacing w:before="240" w:after="240"/>
      </w:pPr>
      <w:r>
        <w:t xml:space="preserve">Herbst, Jeffrey. 2000. </w:t>
      </w:r>
      <w:r>
        <w:rPr>
          <w:i/>
          <w:iCs/>
        </w:rPr>
        <w:t>States and Power in Africa: Comparative Lessons in Authority and Control</w:t>
      </w:r>
      <w:r>
        <w:t>. Princeton: Princeton University Press.</w:t>
      </w:r>
    </w:p>
    <w:p w:rsidR="001630DC" w:rsidRDefault="001630DC" w:rsidP="00B11ABC">
      <w:pPr>
        <w:pStyle w:val="GridTable21"/>
        <w:spacing w:before="240" w:after="240"/>
      </w:pPr>
      <w:r>
        <w:t xml:space="preserve">Herman, Robert D., and David O. Renz. 1999. “Theses on Nonprofit Organizational Effectiveness.” </w:t>
      </w:r>
      <w:r>
        <w:rPr>
          <w:i/>
          <w:iCs/>
        </w:rPr>
        <w:t>Nonprofit and Voluntary Sector Quarterly</w:t>
      </w:r>
      <w:r>
        <w:t xml:space="preserve"> 28 (2): 107–26.</w:t>
      </w:r>
    </w:p>
    <w:p w:rsidR="001630DC" w:rsidRDefault="001630DC" w:rsidP="00B11ABC">
      <w:pPr>
        <w:pStyle w:val="GridTable21"/>
        <w:spacing w:before="240" w:after="240"/>
      </w:pPr>
      <w:r>
        <w:t xml:space="preserve">Hertzke, Allen. 2004. </w:t>
      </w:r>
      <w:r>
        <w:rPr>
          <w:i/>
          <w:iCs/>
        </w:rPr>
        <w:t>Freeing God’s Children: The Unlikely Alliance for Global Human Rights</w:t>
      </w:r>
      <w:r>
        <w:t>. New York: Rowman &amp; Littlefield Publishers Inc.</w:t>
      </w:r>
    </w:p>
    <w:p w:rsidR="001630DC" w:rsidRDefault="001630DC" w:rsidP="00B11ABC">
      <w:pPr>
        <w:pStyle w:val="GridTable21"/>
        <w:spacing w:before="240" w:after="240"/>
      </w:pPr>
      <w:r>
        <w:t xml:space="preserve">Hicklin, Alisa, and Erik Godwin. 2009. “Agents of Change: The Role of Public Managers in Public Policy.” </w:t>
      </w:r>
      <w:r>
        <w:rPr>
          <w:i/>
          <w:iCs/>
        </w:rPr>
        <w:t>The Policy Studies Journal</w:t>
      </w:r>
      <w:r>
        <w:t xml:space="preserve"> 37 (1): 13–20.</w:t>
      </w:r>
    </w:p>
    <w:p w:rsidR="001630DC" w:rsidRDefault="00383665" w:rsidP="00B11ABC">
      <w:pPr>
        <w:pStyle w:val="GridTable21"/>
        <w:spacing w:before="240" w:after="240"/>
      </w:pPr>
      <w:r>
        <w:t>Hudson, Bryant A</w:t>
      </w:r>
      <w:r w:rsidR="001630DC">
        <w:t xml:space="preserve">, and Wolfgang Bielefeld. 1997. “Structures of Multinational Nonprofit Organizations.” </w:t>
      </w:r>
      <w:r w:rsidR="001630DC">
        <w:rPr>
          <w:i/>
          <w:iCs/>
        </w:rPr>
        <w:t>Nonprofit Management and Leadership</w:t>
      </w:r>
      <w:r w:rsidR="001630DC">
        <w:t xml:space="preserve"> 8 (1): 31–49.</w:t>
      </w:r>
    </w:p>
    <w:p w:rsidR="001630DC" w:rsidRDefault="001630DC" w:rsidP="00B11ABC">
      <w:pPr>
        <w:pStyle w:val="GridTable21"/>
        <w:spacing w:before="240" w:after="240"/>
      </w:pPr>
      <w:r>
        <w:t>Humanitarian Outcomes. 2015. “Aid Worker Security Database.” https://aidworkersecurity.org/incidents/report/summary.</w:t>
      </w:r>
    </w:p>
    <w:p w:rsidR="001630DC" w:rsidRDefault="001630DC" w:rsidP="00B11ABC">
      <w:pPr>
        <w:pStyle w:val="GridTable21"/>
        <w:spacing w:before="240" w:after="240"/>
      </w:pPr>
      <w:r>
        <w:t xml:space="preserve">Hyden, Goran. 2000. “The Governance Challenge in Africa.” In </w:t>
      </w:r>
      <w:r>
        <w:rPr>
          <w:i/>
          <w:iCs/>
        </w:rPr>
        <w:t>African Perspectives on Governance</w:t>
      </w:r>
      <w:r>
        <w:t>, edited by Goran Hyden, Hastings W.O. Okoth-Ogendo, and Bamidele Olowu, 1–32. Trenton: Africa World Press, Inc.</w:t>
      </w:r>
    </w:p>
    <w:p w:rsidR="001630DC" w:rsidRDefault="001630DC" w:rsidP="00B11ABC">
      <w:pPr>
        <w:pStyle w:val="GridTable21"/>
        <w:spacing w:before="240" w:after="240"/>
      </w:pPr>
      <w:r>
        <w:t>ICNL. 2015. “Country Reports: Sub-Saharan Africa.” http://www.icnl.org/research.</w:t>
      </w:r>
    </w:p>
    <w:p w:rsidR="001630DC" w:rsidRDefault="00383665" w:rsidP="00B11ABC">
      <w:pPr>
        <w:pStyle w:val="GridTable21"/>
        <w:spacing w:before="240" w:after="240"/>
      </w:pPr>
      <w:r>
        <w:t>———. 2016. “</w:t>
      </w:r>
      <w:r w:rsidR="001630DC">
        <w:t>NGO Law Monitor: Uganda.” The International Center for Not-for-Profit Law. http://www.icnl.org/research/monitor/uganda.html.</w:t>
      </w:r>
    </w:p>
    <w:p w:rsidR="001630DC" w:rsidRDefault="001630DC" w:rsidP="00B11ABC">
      <w:pPr>
        <w:pStyle w:val="GridTable21"/>
        <w:spacing w:before="240" w:after="240"/>
      </w:pPr>
      <w:r>
        <w:t xml:space="preserve">Igoe, Jim, and Tim Kelsall. 2005. “Introduction: Between a Rock and a Hard Place.” In </w:t>
      </w:r>
      <w:r>
        <w:rPr>
          <w:i/>
          <w:iCs/>
        </w:rPr>
        <w:t xml:space="preserve">Between a </w:t>
      </w:r>
      <w:r w:rsidR="00383665">
        <w:rPr>
          <w:i/>
          <w:iCs/>
        </w:rPr>
        <w:t xml:space="preserve">Rock and a Hard Place: African </w:t>
      </w:r>
      <w:r>
        <w:rPr>
          <w:i/>
          <w:iCs/>
        </w:rPr>
        <w:t>NGOs, Donors, and the State</w:t>
      </w:r>
      <w:r>
        <w:t>, edited by Jim Igoe and Tim Kelsall, 1–33. Durham: Carolina Academic Press.</w:t>
      </w:r>
    </w:p>
    <w:p w:rsidR="001630DC" w:rsidRDefault="001630DC" w:rsidP="00B11ABC">
      <w:pPr>
        <w:pStyle w:val="GridTable21"/>
        <w:spacing w:before="240" w:after="240"/>
      </w:pPr>
      <w:r>
        <w:t xml:space="preserve">Inglehart, Ronald. 1997. </w:t>
      </w:r>
      <w:r>
        <w:rPr>
          <w:i/>
          <w:iCs/>
        </w:rPr>
        <w:t>Modernization and Postmodernization: Cultural, Economic, and Political Change in 43 Societies</w:t>
      </w:r>
      <w:r>
        <w:t>. Princeton, NJ: Princeton University Press.</w:t>
      </w:r>
    </w:p>
    <w:p w:rsidR="001630DC" w:rsidRDefault="001630DC" w:rsidP="00B11ABC">
      <w:pPr>
        <w:pStyle w:val="GridTable21"/>
        <w:spacing w:before="240" w:after="240"/>
      </w:pPr>
      <w:r>
        <w:t xml:space="preserve">Inglehart, Ronald, and Christian Welzel. 2005. </w:t>
      </w:r>
      <w:r>
        <w:rPr>
          <w:i/>
          <w:iCs/>
        </w:rPr>
        <w:t>Modernization, Cultural Change and Democracy: The Human Development Sequence</w:t>
      </w:r>
      <w:r>
        <w:t>. Cambridge: Cambridge University Press.</w:t>
      </w:r>
    </w:p>
    <w:p w:rsidR="001630DC" w:rsidRDefault="001630DC" w:rsidP="00B11ABC">
      <w:pPr>
        <w:pStyle w:val="GridTable21"/>
        <w:spacing w:before="240" w:after="240"/>
      </w:pPr>
      <w:r>
        <w:t>Internal Revenue Service. 2015. “Publication 557: Tax-Exempt Status for Your Organization.” Internal Revenue Service. https://www.irs.gov/pub/irs-pdf/p557.pdf.</w:t>
      </w:r>
    </w:p>
    <w:p w:rsidR="001630DC" w:rsidRDefault="001630DC" w:rsidP="00B11ABC">
      <w:pPr>
        <w:pStyle w:val="GridTable21"/>
        <w:spacing w:before="240" w:after="240"/>
      </w:pPr>
      <w:r>
        <w:t xml:space="preserve">Jackson, Terrence. 2009. “A Critical Cross-Cultural Perspective for Developing Nonprofit International Management Capacity.” </w:t>
      </w:r>
      <w:r>
        <w:rPr>
          <w:i/>
          <w:iCs/>
        </w:rPr>
        <w:t>Nonprofit Management &amp; Leadership</w:t>
      </w:r>
      <w:r>
        <w:t xml:space="preserve"> 19 (4): 443–66.</w:t>
      </w:r>
    </w:p>
    <w:p w:rsidR="001630DC" w:rsidRDefault="001630DC" w:rsidP="00B11ABC">
      <w:pPr>
        <w:pStyle w:val="GridTable21"/>
        <w:spacing w:before="240" w:after="240"/>
      </w:pPr>
      <w:r>
        <w:t>Jackson, Terrence, and Richard Haines. 2007. “Cross-Cultur</w:t>
      </w:r>
      <w:r w:rsidR="00383665">
        <w:t xml:space="preserve">al Management in South African </w:t>
      </w:r>
      <w:r>
        <w:t xml:space="preserve">NGOs.” </w:t>
      </w:r>
      <w:r>
        <w:rPr>
          <w:i/>
          <w:iCs/>
        </w:rPr>
        <w:t>South African Review of Sociology</w:t>
      </w:r>
      <w:r>
        <w:t xml:space="preserve"> 38 (1): 85–98.</w:t>
      </w:r>
    </w:p>
    <w:p w:rsidR="001630DC" w:rsidRDefault="001630DC" w:rsidP="00B11ABC">
      <w:pPr>
        <w:pStyle w:val="GridTable21"/>
        <w:spacing w:before="240" w:after="240"/>
      </w:pPr>
      <w:r>
        <w:t>Jaggers, Keith, Monty Marshall, and Ted Robert Gurr. 2013. “Polity IV.” Center for Systemic Peace. http://www.systemicpeace.org/polity/polity4.htm.</w:t>
      </w:r>
    </w:p>
    <w:p w:rsidR="001630DC" w:rsidRDefault="001630DC" w:rsidP="00B11ABC">
      <w:pPr>
        <w:pStyle w:val="GridTable21"/>
        <w:spacing w:before="240" w:after="240"/>
      </w:pPr>
      <w:r>
        <w:t xml:space="preserve">James, Estelle. 1989. “The Nonprofit Sector in Developing Countries: The Case of Sri Lanka.” In </w:t>
      </w:r>
      <w:r>
        <w:rPr>
          <w:i/>
          <w:iCs/>
        </w:rPr>
        <w:t>The Nonprofit Sector in International Perspective: Studies in Comparative Culture and Policy</w:t>
      </w:r>
      <w:r>
        <w:t>, edited by Estelle James, 289–318. New York: Oxford University Press.</w:t>
      </w:r>
    </w:p>
    <w:p w:rsidR="001630DC" w:rsidRDefault="001630DC" w:rsidP="00B11ABC">
      <w:pPr>
        <w:pStyle w:val="GridTable21"/>
        <w:spacing w:before="240" w:after="240"/>
      </w:pPr>
      <w:r>
        <w:t xml:space="preserve">James, Rick. 2008. “Leadership Development Inside-Out in Africa.” </w:t>
      </w:r>
      <w:r>
        <w:rPr>
          <w:i/>
          <w:iCs/>
        </w:rPr>
        <w:t>Nonprofit Management &amp; Leadership</w:t>
      </w:r>
      <w:r>
        <w:t xml:space="preserve"> 18 (3): 359–75.</w:t>
      </w:r>
    </w:p>
    <w:p w:rsidR="001630DC" w:rsidRDefault="001630DC" w:rsidP="00B11ABC">
      <w:pPr>
        <w:pStyle w:val="GridTable21"/>
        <w:spacing w:before="240" w:after="240"/>
      </w:pPr>
      <w:r>
        <w:t xml:space="preserve">Jenkins-Smith, Hank C., and Paul A. Sabatier. 1993. “The Study of the Public Policy Process.” In </w:t>
      </w:r>
      <w:r>
        <w:rPr>
          <w:i/>
          <w:iCs/>
        </w:rPr>
        <w:t>Policy Change and Learning: An Advocacy Coalition Approach</w:t>
      </w:r>
      <w:r>
        <w:t>, edited by Paul A. Sabatier and Hank C. Jenkins-Smith, 1–9. Boulder: Westview Press.</w:t>
      </w:r>
    </w:p>
    <w:p w:rsidR="001630DC" w:rsidRDefault="001630DC" w:rsidP="00B11ABC">
      <w:pPr>
        <w:pStyle w:val="GridTable21"/>
        <w:spacing w:before="240" w:after="240"/>
      </w:pPr>
      <w:r>
        <w:t xml:space="preserve">Jones, Bryan D. 2001. </w:t>
      </w:r>
      <w:r>
        <w:rPr>
          <w:i/>
          <w:iCs/>
        </w:rPr>
        <w:t>Politics and the Architecture of Choice: Bounded Rationality and Governance</w:t>
      </w:r>
      <w:r>
        <w:t>. Chicago: The University of Chicago Press.</w:t>
      </w:r>
    </w:p>
    <w:p w:rsidR="001630DC" w:rsidRDefault="001630DC" w:rsidP="00B11ABC">
      <w:pPr>
        <w:pStyle w:val="GridTable21"/>
        <w:spacing w:before="240" w:after="240"/>
      </w:pPr>
      <w:r>
        <w:t xml:space="preserve">Juma, Calestous, and Norman Clark. 1995. “Policy Research in Sub-Saharan Africa: An Exploration.” </w:t>
      </w:r>
      <w:r>
        <w:rPr>
          <w:i/>
          <w:iCs/>
        </w:rPr>
        <w:t>Public Administration and Development</w:t>
      </w:r>
      <w:r>
        <w:t xml:space="preserve"> 15: 121–37.</w:t>
      </w:r>
    </w:p>
    <w:p w:rsidR="001630DC" w:rsidRDefault="001630DC" w:rsidP="00B11ABC">
      <w:pPr>
        <w:pStyle w:val="GridTable21"/>
        <w:spacing w:before="240" w:after="240"/>
      </w:pPr>
      <w:r>
        <w:t>Kamruzzaman, Palash. 2013. “Civil Society or ‘Comprador Clas</w:t>
      </w:r>
      <w:r w:rsidR="006A663C">
        <w:t>s’, Participation or Parroting?</w:t>
      </w:r>
      <w:r>
        <w:t xml:space="preserve">” </w:t>
      </w:r>
      <w:r>
        <w:rPr>
          <w:i/>
          <w:iCs/>
        </w:rPr>
        <w:t>Progress in Development Studies</w:t>
      </w:r>
      <w:r>
        <w:t xml:space="preserve"> 13 (1): 31–49.</w:t>
      </w:r>
    </w:p>
    <w:p w:rsidR="001630DC" w:rsidRDefault="001630DC" w:rsidP="00B11ABC">
      <w:pPr>
        <w:pStyle w:val="GridTable21"/>
        <w:spacing w:before="240" w:after="240"/>
      </w:pPr>
      <w:r>
        <w:t xml:space="preserve">Kasara, Kimuli. 2007. “Tax Me If You Can: Ethnic Geography, Democracy, and the Taxation of Agriculture in Africa.” </w:t>
      </w:r>
      <w:r>
        <w:rPr>
          <w:i/>
          <w:iCs/>
        </w:rPr>
        <w:t>American Political Science Review</w:t>
      </w:r>
      <w:r>
        <w:t xml:space="preserve"> 101 (1): 159–72.</w:t>
      </w:r>
    </w:p>
    <w:p w:rsidR="001630DC" w:rsidRDefault="001630DC" w:rsidP="00B11ABC">
      <w:pPr>
        <w:pStyle w:val="GridTable21"/>
        <w:spacing w:before="240" w:after="240"/>
      </w:pPr>
      <w:r>
        <w:t xml:space="preserve">Keck, Margaret E., and Kathryn Sikkink. 1998. </w:t>
      </w:r>
      <w:r>
        <w:rPr>
          <w:i/>
          <w:iCs/>
        </w:rPr>
        <w:t>Activists Beyond Borders: Advocacy Networks in International Politics</w:t>
      </w:r>
      <w:r>
        <w:t>. Ithaca: Cornell University Press.</w:t>
      </w:r>
    </w:p>
    <w:p w:rsidR="001630DC" w:rsidRDefault="001630DC" w:rsidP="00B11ABC">
      <w:pPr>
        <w:pStyle w:val="GridTable21"/>
        <w:spacing w:before="240" w:after="240"/>
      </w:pPr>
      <w:r>
        <w:t>Kerlin, Janelle A. 2</w:t>
      </w:r>
      <w:r w:rsidR="00383665">
        <w:t xml:space="preserve">006. “U.S.-Based International </w:t>
      </w:r>
      <w:r>
        <w:t xml:space="preserve">NGOs and Federal Government Foreign Assistance: Out of Alignment?” In </w:t>
      </w:r>
      <w:r>
        <w:rPr>
          <w:i/>
          <w:iCs/>
        </w:rPr>
        <w:t>Nonprofits &amp; Government: Collaboration &amp; Conflict</w:t>
      </w:r>
      <w:r>
        <w:t>, edited by Elizabeth T. Boris and C. Eugene Steuerie, 2nd ed., 373–98. Washington: The Urban Institute Press.</w:t>
      </w:r>
    </w:p>
    <w:p w:rsidR="001630DC" w:rsidRDefault="001630DC" w:rsidP="00B11ABC">
      <w:pPr>
        <w:pStyle w:val="GridTable21"/>
        <w:spacing w:before="240" w:after="240"/>
      </w:pPr>
      <w:r>
        <w:t xml:space="preserve">———. 2013. “Predicting Variation in Funding for International </w:t>
      </w:r>
      <w:r w:rsidR="009944D4">
        <w:t>Nongovernmental</w:t>
      </w:r>
      <w:r>
        <w:t xml:space="preserve"> Organizations Following Three External Events.” </w:t>
      </w:r>
      <w:r>
        <w:rPr>
          <w:i/>
          <w:iCs/>
        </w:rPr>
        <w:t>Nonprofit Management and Leadership</w:t>
      </w:r>
      <w:r>
        <w:t xml:space="preserve"> 23 (4): 473–90. </w:t>
      </w:r>
    </w:p>
    <w:p w:rsidR="001630DC" w:rsidRDefault="001630DC" w:rsidP="00B11ABC">
      <w:pPr>
        <w:pStyle w:val="GridTable21"/>
        <w:spacing w:before="240" w:after="240"/>
      </w:pPr>
      <w:r>
        <w:t xml:space="preserve">Khilnani, Sunil. 2001. “The Development of Civil Society.” In </w:t>
      </w:r>
      <w:r>
        <w:rPr>
          <w:i/>
          <w:iCs/>
        </w:rPr>
        <w:t>Civil Society: History and Possibilities</w:t>
      </w:r>
      <w:r>
        <w:t>, edited by Sudipta Kaviraj and Sunil Khilnani, 11–32. Cambridge: Cambridge University Press.</w:t>
      </w:r>
    </w:p>
    <w:p w:rsidR="001630DC" w:rsidRDefault="001630DC" w:rsidP="00B11ABC">
      <w:pPr>
        <w:pStyle w:val="GridTable21"/>
        <w:spacing w:before="240" w:after="240"/>
      </w:pPr>
      <w:r>
        <w:t xml:space="preserve">Kirk, G., and S. Beth Nolan. 2010. “Nonprofit Mission Statement Focus and Financial Performance.” </w:t>
      </w:r>
      <w:r>
        <w:rPr>
          <w:i/>
          <w:iCs/>
        </w:rPr>
        <w:t>Nonprofit Management &amp; Leadership</w:t>
      </w:r>
      <w:r>
        <w:t xml:space="preserve"> 20 (4): 473–90.</w:t>
      </w:r>
    </w:p>
    <w:p w:rsidR="001630DC" w:rsidRDefault="001630DC" w:rsidP="00B11ABC">
      <w:pPr>
        <w:pStyle w:val="GridTable21"/>
        <w:spacing w:before="240" w:after="240"/>
      </w:pPr>
      <w:r>
        <w:t xml:space="preserve">Koch, Dirk-Jan, Axel Dreher, Peter Nunnenkamp, and Rainer Thiele. 2009. “Keeping a Low Profile: What Determines the Allocation of Aid by Non-Governmental Organizations?” </w:t>
      </w:r>
      <w:r>
        <w:rPr>
          <w:i/>
          <w:iCs/>
        </w:rPr>
        <w:t>World Development</w:t>
      </w:r>
      <w:r>
        <w:t xml:space="preserve"> 37 (5): 902–18.</w:t>
      </w:r>
    </w:p>
    <w:p w:rsidR="001630DC" w:rsidRDefault="001630DC" w:rsidP="00B11ABC">
      <w:pPr>
        <w:pStyle w:val="GridTable21"/>
        <w:spacing w:before="240" w:after="240"/>
      </w:pPr>
      <w:r>
        <w:t xml:space="preserve">Lawrence, Paul R., and Davis Dyer. 1983. </w:t>
      </w:r>
      <w:r>
        <w:rPr>
          <w:i/>
          <w:iCs/>
        </w:rPr>
        <w:t>Renewing American Industry</w:t>
      </w:r>
      <w:r>
        <w:t>. London: Collier Macmillan Publishers.</w:t>
      </w:r>
    </w:p>
    <w:p w:rsidR="006A663C" w:rsidRDefault="001630DC" w:rsidP="00B11ABC">
      <w:pPr>
        <w:pStyle w:val="GridTable21"/>
        <w:spacing w:before="240" w:after="240"/>
      </w:pPr>
      <w:r>
        <w:t xml:space="preserve">Lawrence, Paul R., and Jay W. Lorsch. 1967. “Differentiation and Integration in Complex Organizations.” </w:t>
      </w:r>
      <w:r>
        <w:rPr>
          <w:i/>
          <w:iCs/>
        </w:rPr>
        <w:t>Administrative Science Quarterly</w:t>
      </w:r>
      <w:r>
        <w:t xml:space="preserve"> 12 (1): 1. </w:t>
      </w:r>
    </w:p>
    <w:p w:rsidR="006A663C" w:rsidRDefault="001630DC" w:rsidP="00B11ABC">
      <w:pPr>
        <w:pStyle w:val="GridTable21"/>
        <w:spacing w:before="240" w:after="240"/>
      </w:pPr>
      <w:r>
        <w:t xml:space="preserve">Lecy, Jesse D., and David M. Van Slyke. 2012. “Nonprofit Sector Growth and Density: Testing Theories of Government Support.” </w:t>
      </w:r>
      <w:r>
        <w:rPr>
          <w:i/>
          <w:iCs/>
        </w:rPr>
        <w:t>Journal of Public Administration Research and Theory</w:t>
      </w:r>
      <w:r>
        <w:t xml:space="preserve"> 23: 189–214. </w:t>
      </w:r>
    </w:p>
    <w:p w:rsidR="001630DC" w:rsidRDefault="001630DC" w:rsidP="00B11ABC">
      <w:pPr>
        <w:pStyle w:val="GridTable21"/>
        <w:spacing w:before="240" w:after="240"/>
      </w:pPr>
      <w:r>
        <w:t xml:space="preserve">Leonard, David K., and Scott Straus. 2003. </w:t>
      </w:r>
      <w:r>
        <w:rPr>
          <w:i/>
          <w:iCs/>
        </w:rPr>
        <w:t>Africa’s Stalled Development: International Causes and Cures</w:t>
      </w:r>
      <w:r>
        <w:t>. Boulder: Lynne Rienner Publishers.</w:t>
      </w:r>
    </w:p>
    <w:p w:rsidR="001630DC" w:rsidRDefault="001630DC" w:rsidP="00B11ABC">
      <w:pPr>
        <w:pStyle w:val="GridTable21"/>
        <w:spacing w:before="240" w:after="240"/>
      </w:pPr>
      <w:r>
        <w:t xml:space="preserve">LeRoux, Kelly, and N.S. Wright. 2010. “Findings from a National Survey of Nonprofit Social Service Agencies, Does Performance Measurement Improve Strategic Decision Making?” </w:t>
      </w:r>
      <w:r>
        <w:rPr>
          <w:i/>
          <w:iCs/>
        </w:rPr>
        <w:t>Nonprofit and Voluntary Sector Quarterly</w:t>
      </w:r>
      <w:r>
        <w:t xml:space="preserve"> 39 (4): 571–87.</w:t>
      </w:r>
    </w:p>
    <w:p w:rsidR="001630DC" w:rsidRDefault="001630DC" w:rsidP="00B11ABC">
      <w:pPr>
        <w:pStyle w:val="GridTable21"/>
        <w:spacing w:before="240" w:after="240"/>
      </w:pPr>
      <w:r>
        <w:t xml:space="preserve">Lewis, David. 2002. “Civil Society in African Contexts: Reflections on the ‘Usefulness’ of a Concept.” </w:t>
      </w:r>
      <w:r>
        <w:rPr>
          <w:i/>
          <w:iCs/>
        </w:rPr>
        <w:t>Development and Change</w:t>
      </w:r>
      <w:r>
        <w:t xml:space="preserve"> 33 (4): 569–86.</w:t>
      </w:r>
    </w:p>
    <w:p w:rsidR="001630DC" w:rsidRDefault="001630DC" w:rsidP="00B11ABC">
      <w:pPr>
        <w:pStyle w:val="GridTable21"/>
        <w:spacing w:before="240" w:after="240"/>
      </w:pPr>
      <w:r>
        <w:t xml:space="preserve">Lieberman, Evan S. 2009. </w:t>
      </w:r>
      <w:r>
        <w:rPr>
          <w:i/>
          <w:iCs/>
        </w:rPr>
        <w:t>Boundaries of Contagion: How Ethnic Politics Have Shaped Government Responses to AIDS</w:t>
      </w:r>
      <w:r>
        <w:t>. Princeton: Princeton University Press.</w:t>
      </w:r>
    </w:p>
    <w:p w:rsidR="001630DC" w:rsidRDefault="001630DC" w:rsidP="00B11ABC">
      <w:pPr>
        <w:pStyle w:val="GridTable21"/>
        <w:spacing w:before="240" w:after="240"/>
      </w:pPr>
      <w:r>
        <w:t xml:space="preserve">Lindblom, Charles E. 1959. “The Science of ‘Muddling Through.’” </w:t>
      </w:r>
      <w:r>
        <w:rPr>
          <w:i/>
          <w:iCs/>
        </w:rPr>
        <w:t>Public Administration Review</w:t>
      </w:r>
      <w:r>
        <w:t xml:space="preserve"> 19 (2): 79–88.</w:t>
      </w:r>
    </w:p>
    <w:p w:rsidR="001630DC" w:rsidRDefault="001630DC" w:rsidP="00B11ABC">
      <w:pPr>
        <w:pStyle w:val="GridTable21"/>
        <w:spacing w:before="240" w:after="240"/>
      </w:pPr>
      <w:r>
        <w:t>Lindenberg, Marc, and J. Patrick Dobel. 1999. “The Challenges of Globalization for Northern Intern</w:t>
      </w:r>
      <w:r w:rsidR="00877929">
        <w:t xml:space="preserve">ational Relief and Development </w:t>
      </w:r>
      <w:r>
        <w:t xml:space="preserve">NGOs.” </w:t>
      </w:r>
      <w:r>
        <w:rPr>
          <w:i/>
          <w:iCs/>
        </w:rPr>
        <w:t>Nonprofit and Voluntary Sector Quarterly</w:t>
      </w:r>
      <w:r>
        <w:t xml:space="preserve"> 28 (4): 4–24.</w:t>
      </w:r>
    </w:p>
    <w:p w:rsidR="001630DC" w:rsidRDefault="001630DC" w:rsidP="00B11ABC">
      <w:pPr>
        <w:pStyle w:val="GridTable21"/>
        <w:spacing w:before="240" w:after="240"/>
      </w:pPr>
      <w:r>
        <w:t xml:space="preserve">Lipsky, Michael. 1980. </w:t>
      </w:r>
      <w:r>
        <w:rPr>
          <w:i/>
          <w:iCs/>
        </w:rPr>
        <w:t>Street-Level Bureaucracy: Dilemmas of the Individual in Public Services</w:t>
      </w:r>
      <w:r>
        <w:t>. New York: Russell Sage Foundation.</w:t>
      </w:r>
    </w:p>
    <w:p w:rsidR="001630DC" w:rsidRDefault="001630DC" w:rsidP="00B11ABC">
      <w:pPr>
        <w:pStyle w:val="GridTable21"/>
        <w:spacing w:before="240" w:after="240"/>
      </w:pPr>
      <w:r>
        <w:t>Lussier, Danielle N., and M. Steven Fish. 2012. “Indonesia: The Benefits of Civic Engagement.”</w:t>
      </w:r>
    </w:p>
    <w:p w:rsidR="001630DC" w:rsidRDefault="001630DC" w:rsidP="00B11ABC">
      <w:pPr>
        <w:pStyle w:val="GridTable21"/>
        <w:spacing w:before="240" w:after="240"/>
      </w:pPr>
      <w:r>
        <w:t xml:space="preserve">Lynn, Laurence E. Jr., Carolyn J. Heinrich, and Carolyn J. Hill. 2001. “A Logic for Governance Research.” In </w:t>
      </w:r>
      <w:r>
        <w:rPr>
          <w:i/>
          <w:iCs/>
        </w:rPr>
        <w:t>Improving Governance:  A New Logic for Empirical Research</w:t>
      </w:r>
      <w:r>
        <w:t>. Washington: Georgetown University Press.</w:t>
      </w:r>
    </w:p>
    <w:p w:rsidR="001630DC" w:rsidRDefault="001630DC" w:rsidP="00B11ABC">
      <w:pPr>
        <w:pStyle w:val="GridTable21"/>
        <w:spacing w:before="240" w:after="240"/>
      </w:pPr>
      <w:r>
        <w:t>Ma</w:t>
      </w:r>
      <w:r w:rsidR="00877929">
        <w:t>rcussen, Henrik Secher. 1996. “</w:t>
      </w:r>
      <w:r>
        <w:t xml:space="preserve">NGOs, the State and Civil Society.” </w:t>
      </w:r>
      <w:r>
        <w:rPr>
          <w:i/>
          <w:iCs/>
        </w:rPr>
        <w:t>Review of African Political Economy</w:t>
      </w:r>
      <w:r>
        <w:t xml:space="preserve"> 23 (69): 405–23.</w:t>
      </w:r>
    </w:p>
    <w:p w:rsidR="001630DC" w:rsidRDefault="001630DC" w:rsidP="00B11ABC">
      <w:pPr>
        <w:pStyle w:val="GridTable21"/>
        <w:spacing w:before="240" w:after="240"/>
      </w:pPr>
      <w:r>
        <w:t xml:space="preserve">Markham, William T., Margaret A. Johnson, and Charles M. Bonjean. 1999. “Nonprofit Decision Making and Resource Allocation: The Importance of Membership Preferences, Community Needs, and Interorganizational Ties.” </w:t>
      </w:r>
      <w:r>
        <w:rPr>
          <w:i/>
          <w:iCs/>
        </w:rPr>
        <w:t>Nonprofit and Voluntary Sector Quarterly</w:t>
      </w:r>
      <w:r>
        <w:t xml:space="preserve"> 28 (2): 152–84.</w:t>
      </w:r>
    </w:p>
    <w:p w:rsidR="001630DC" w:rsidRDefault="001630DC" w:rsidP="00B11ABC">
      <w:pPr>
        <w:pStyle w:val="GridTable21"/>
        <w:spacing w:before="240" w:after="240"/>
      </w:pPr>
      <w:r>
        <w:t xml:space="preserve">Marwell, N. P. 2005. “The Nonprofit/For-Profit Continuum: Theorizing the Dynamics of Mixed-Form Markets.” </w:t>
      </w:r>
      <w:r>
        <w:rPr>
          <w:i/>
          <w:iCs/>
        </w:rPr>
        <w:t>Nonprofit and Voluntary Sector Quarterly</w:t>
      </w:r>
      <w:r>
        <w:t xml:space="preserve"> 34 (1): 7–28. McCleary, Rachel M., and Robert J. Barro. 2008. “Private Voluntary Organizations Engaged in International Assistance, 1939-2004.” </w:t>
      </w:r>
      <w:r>
        <w:rPr>
          <w:i/>
          <w:iCs/>
        </w:rPr>
        <w:t>Nonprofit and Voluntary Sector Quarterly</w:t>
      </w:r>
      <w:r>
        <w:t xml:space="preserve"> 37 (3): 512–36.</w:t>
      </w:r>
    </w:p>
    <w:p w:rsidR="001630DC" w:rsidRDefault="001630DC" w:rsidP="00B11ABC">
      <w:pPr>
        <w:pStyle w:val="GridTable21"/>
        <w:spacing w:before="240" w:after="240"/>
      </w:pPr>
      <w:r>
        <w:t xml:space="preserve">McDougle, Lindsey. 2015. “The Accuracy of the Core Files for Studying Nonprofit Location: How Many Nonprofits Are There?” </w:t>
      </w:r>
      <w:r>
        <w:rPr>
          <w:i/>
          <w:iCs/>
        </w:rPr>
        <w:t>Nonprofit and Voluntary Sector Quarterly</w:t>
      </w:r>
      <w:r>
        <w:t xml:space="preserve"> 44 (3).</w:t>
      </w:r>
    </w:p>
    <w:p w:rsidR="001630DC" w:rsidRDefault="001630DC" w:rsidP="00B11ABC">
      <w:pPr>
        <w:pStyle w:val="GridTable21"/>
        <w:spacing w:before="240" w:after="240"/>
      </w:pPr>
      <w:r>
        <w:t xml:space="preserve">McKeever, Brice S., and Sarah L. Pettijohn. 2014. “The Nonprofit Sector in Brief 2014.” </w:t>
      </w:r>
      <w:r>
        <w:rPr>
          <w:i/>
          <w:iCs/>
        </w:rPr>
        <w:t>Washington, DC: Urban Institute</w:t>
      </w:r>
      <w:r>
        <w:t>. http://www.urban.org/sites/default/files/alfresco/publication-pdfs/413277-The-Nonprofit-Sector-in-Brief--.PDF?RSSFeed=UI_CenteronNonprofitsandPhilanthropy.xml.</w:t>
      </w:r>
    </w:p>
    <w:p w:rsidR="001630DC" w:rsidRDefault="001630DC" w:rsidP="00B11ABC">
      <w:pPr>
        <w:pStyle w:val="GridTable21"/>
        <w:spacing w:before="240" w:after="240"/>
      </w:pPr>
      <w:r>
        <w:t xml:space="preserve">McNabb, David E. 2010. </w:t>
      </w:r>
      <w:r>
        <w:rPr>
          <w:i/>
          <w:iCs/>
        </w:rPr>
        <w:t>Case Research in Public Management</w:t>
      </w:r>
      <w:r>
        <w:t>. Armonk: M.E. Sharpe.</w:t>
      </w:r>
    </w:p>
    <w:p w:rsidR="001630DC" w:rsidRDefault="008159E1" w:rsidP="00B11ABC">
      <w:pPr>
        <w:pStyle w:val="GridTable21"/>
        <w:spacing w:before="240" w:after="240"/>
      </w:pPr>
      <w:r>
        <w:t>Mercer, Claire. 2002. “</w:t>
      </w:r>
      <w:r w:rsidR="001630DC">
        <w:t xml:space="preserve">NGOs, Civil Society and Democratization: A Critical Review of the Literature.” </w:t>
      </w:r>
      <w:r w:rsidR="001630DC">
        <w:rPr>
          <w:i/>
          <w:iCs/>
        </w:rPr>
        <w:t>Progress in Development Studies</w:t>
      </w:r>
      <w:r w:rsidR="001630DC">
        <w:t xml:space="preserve"> 2 (1): 5–22.</w:t>
      </w:r>
    </w:p>
    <w:p w:rsidR="001630DC" w:rsidRDefault="001630DC" w:rsidP="00B11ABC">
      <w:pPr>
        <w:pStyle w:val="GridTable21"/>
        <w:spacing w:before="240" w:after="240"/>
      </w:pPr>
      <w:r>
        <w:t xml:space="preserve">Milward, H. Brinton. 1994. “Non-Profit Contracting and the Hollow State.” </w:t>
      </w:r>
      <w:r>
        <w:rPr>
          <w:i/>
          <w:iCs/>
        </w:rPr>
        <w:t>Public Administration Review</w:t>
      </w:r>
      <w:r>
        <w:t xml:space="preserve"> 54 (1): 73–77.</w:t>
      </w:r>
    </w:p>
    <w:p w:rsidR="001630DC" w:rsidRDefault="001630DC" w:rsidP="00B11ABC">
      <w:pPr>
        <w:pStyle w:val="GridTable21"/>
        <w:spacing w:before="240" w:after="240"/>
      </w:pPr>
      <w:r>
        <w:t xml:space="preserve">Milward, H. Brinton, and Keith Provan. 2000. “Governing the Hollow State.” </w:t>
      </w:r>
      <w:r>
        <w:rPr>
          <w:i/>
          <w:iCs/>
        </w:rPr>
        <w:t>Journal of Public Administration Research and Theory</w:t>
      </w:r>
      <w:r>
        <w:t xml:space="preserve"> 10 (2): 359–80.</w:t>
      </w:r>
    </w:p>
    <w:p w:rsidR="001630DC" w:rsidRDefault="001630DC" w:rsidP="00B11ABC">
      <w:pPr>
        <w:pStyle w:val="GridTable21"/>
        <w:spacing w:before="240" w:after="240"/>
      </w:pPr>
      <w:r>
        <w:t xml:space="preserve">Mitchell, George E. 2012a. “Strategic Responses to Resource </w:t>
      </w:r>
      <w:r w:rsidR="008159E1">
        <w:t xml:space="preserve">Dependence Among Transnational </w:t>
      </w:r>
      <w:r>
        <w:t xml:space="preserve">NGOs Registered in the United States.” </w:t>
      </w:r>
      <w:r>
        <w:rPr>
          <w:i/>
          <w:iCs/>
        </w:rPr>
        <w:t>Voluntas</w:t>
      </w:r>
      <w:r>
        <w:t>. doi:10.1007/s11266-012-9329-2.</w:t>
      </w:r>
    </w:p>
    <w:p w:rsidR="001630DC" w:rsidRDefault="001630DC" w:rsidP="00B11ABC">
      <w:pPr>
        <w:pStyle w:val="GridTable21"/>
        <w:spacing w:before="240" w:after="240"/>
      </w:pPr>
      <w:r>
        <w:t xml:space="preserve">———. 2012b. “The Construct of Organizational Effectiveness: Perspectives From Leaders of International Nonprofits in the United States.” </w:t>
      </w:r>
      <w:r>
        <w:rPr>
          <w:i/>
          <w:iCs/>
        </w:rPr>
        <w:t>Nonprofit and Voluntary Sector Quarterly</w:t>
      </w:r>
      <w:r>
        <w:t xml:space="preserve"> 42 (2): 324–45.</w:t>
      </w:r>
    </w:p>
    <w:p w:rsidR="001630DC" w:rsidRDefault="001630DC" w:rsidP="00B11ABC">
      <w:pPr>
        <w:pStyle w:val="GridTable21"/>
        <w:spacing w:before="240" w:after="240"/>
      </w:pPr>
      <w:r>
        <w:t>———. 2013. “Collaborative Propensities Among</w:t>
      </w:r>
      <w:r w:rsidR="00877929">
        <w:t xml:space="preserve"> Transnational </w:t>
      </w:r>
      <w:r>
        <w:t xml:space="preserve">NGOs Registered in the United States.” </w:t>
      </w:r>
      <w:r>
        <w:rPr>
          <w:i/>
          <w:iCs/>
        </w:rPr>
        <w:t>American Review of Public Administration</w:t>
      </w:r>
      <w:r>
        <w:t xml:space="preserve"> XX (X): 1–25.</w:t>
      </w:r>
    </w:p>
    <w:p w:rsidR="001630DC" w:rsidRDefault="001630DC" w:rsidP="00B11ABC">
      <w:pPr>
        <w:pStyle w:val="GridTable21"/>
        <w:spacing w:before="240" w:after="240"/>
      </w:pPr>
      <w:r>
        <w:t xml:space="preserve">Mitlin, Diana, Sam Hickey, and Anthony Bebbington. </w:t>
      </w:r>
      <w:r w:rsidR="008159E1">
        <w:t xml:space="preserve">2007. “Reclaiming Development? </w:t>
      </w:r>
      <w:r>
        <w:t xml:space="preserve">NGOs and the Challenge of Alternatives.” </w:t>
      </w:r>
      <w:r>
        <w:rPr>
          <w:i/>
          <w:iCs/>
        </w:rPr>
        <w:t>World Development</w:t>
      </w:r>
      <w:r>
        <w:t xml:space="preserve"> 35 (10): 1699–1720.</w:t>
      </w:r>
    </w:p>
    <w:p w:rsidR="001630DC" w:rsidRDefault="001630DC" w:rsidP="00B11ABC">
      <w:pPr>
        <w:pStyle w:val="GridTable21"/>
        <w:spacing w:before="240" w:after="240"/>
      </w:pPr>
      <w:r>
        <w:t xml:space="preserve">Moe, Terry M. 1984. “The New Economics of Organization.” </w:t>
      </w:r>
      <w:r>
        <w:rPr>
          <w:i/>
          <w:iCs/>
        </w:rPr>
        <w:t>American Journal of Political Science</w:t>
      </w:r>
      <w:r>
        <w:t xml:space="preserve"> 28 (4): 739–77.</w:t>
      </w:r>
    </w:p>
    <w:p w:rsidR="001630DC" w:rsidRDefault="001630DC" w:rsidP="00B11ABC">
      <w:pPr>
        <w:pStyle w:val="GridTable21"/>
        <w:spacing w:before="240" w:after="240"/>
      </w:pPr>
      <w:r>
        <w:t xml:space="preserve">Mosley, Jennifer E. 2012. “Keeping the Lights On: How Government Funding Concerns Drive the Advocacy Agendas of Nonprofit Homeless Providers.” </w:t>
      </w:r>
      <w:r>
        <w:rPr>
          <w:i/>
          <w:iCs/>
        </w:rPr>
        <w:t>Journal of Public Administration Research and Theory</w:t>
      </w:r>
      <w:r>
        <w:t xml:space="preserve"> 22: 841–66. </w:t>
      </w:r>
    </w:p>
    <w:p w:rsidR="001630DC" w:rsidRDefault="001630DC" w:rsidP="00B11ABC">
      <w:pPr>
        <w:pStyle w:val="GridTable21"/>
        <w:spacing w:before="240" w:after="240"/>
      </w:pPr>
      <w:r>
        <w:t xml:space="preserve">Moulton, Stephanie, and Adam Eckerd. 2012. “Preserving the Publicness of the Nonprofit Sector: Resources, Roles, and Public Values.” </w:t>
      </w:r>
      <w:r>
        <w:rPr>
          <w:i/>
          <w:iCs/>
        </w:rPr>
        <w:t>Nonprofit and Voluntary Sector Quarterly</w:t>
      </w:r>
      <w:r>
        <w:t xml:space="preserve"> 41 (4): 656–85.</w:t>
      </w:r>
    </w:p>
    <w:p w:rsidR="001630DC" w:rsidRDefault="001630DC" w:rsidP="00B11ABC">
      <w:pPr>
        <w:pStyle w:val="GridTable21"/>
        <w:spacing w:before="240" w:after="240"/>
      </w:pPr>
      <w:r>
        <w:t xml:space="preserve">Moyo, Dambisa. 2009. </w:t>
      </w:r>
      <w:r>
        <w:rPr>
          <w:i/>
          <w:iCs/>
        </w:rPr>
        <w:t xml:space="preserve">Dead Aid: Why Aid Is Not Working And How There </w:t>
      </w:r>
      <w:r w:rsidR="00A2134E">
        <w:rPr>
          <w:i/>
          <w:iCs/>
        </w:rPr>
        <w:t>Is Better</w:t>
      </w:r>
      <w:r>
        <w:rPr>
          <w:i/>
          <w:iCs/>
        </w:rPr>
        <w:t xml:space="preserve"> Way For Africa</w:t>
      </w:r>
      <w:r>
        <w:t>. New York: Farrar, Straus and Giroux.</w:t>
      </w:r>
    </w:p>
    <w:p w:rsidR="001630DC" w:rsidRDefault="001630DC" w:rsidP="00B11ABC">
      <w:pPr>
        <w:pStyle w:val="GridTable21"/>
        <w:spacing w:before="240" w:after="240"/>
      </w:pPr>
      <w:r>
        <w:t xml:space="preserve">North, Douglass C. 1990. </w:t>
      </w:r>
      <w:r>
        <w:rPr>
          <w:i/>
          <w:iCs/>
        </w:rPr>
        <w:t>Institutions, Institutional Change and Economic Performance</w:t>
      </w:r>
      <w:r>
        <w:t>. Cambridge: Cambridge University Press.</w:t>
      </w:r>
    </w:p>
    <w:p w:rsidR="001630DC" w:rsidRDefault="001630DC" w:rsidP="00B11ABC">
      <w:pPr>
        <w:pStyle w:val="GridTable21"/>
        <w:spacing w:before="240" w:after="240"/>
      </w:pPr>
      <w:r>
        <w:t>Nunnenkamp, Peter, Janina Weingarth, a</w:t>
      </w:r>
      <w:r w:rsidR="008159E1">
        <w:t xml:space="preserve">nd Johannes Weisser. 2009. “Is </w:t>
      </w:r>
      <w:r>
        <w:t xml:space="preserve">NGO Aid Not so Different after All? Comparing the Allocation of Swiss Aid by Private and Official Donors.” </w:t>
      </w:r>
      <w:r>
        <w:rPr>
          <w:i/>
          <w:iCs/>
        </w:rPr>
        <w:t>European Journal of Political Economy</w:t>
      </w:r>
      <w:r>
        <w:t xml:space="preserve"> 25: 422–38.</w:t>
      </w:r>
    </w:p>
    <w:p w:rsidR="001630DC" w:rsidRDefault="001630DC" w:rsidP="00B11ABC">
      <w:pPr>
        <w:pStyle w:val="GridTable21"/>
        <w:spacing w:before="240" w:after="240"/>
      </w:pPr>
      <w:r>
        <w:t xml:space="preserve">Nutt, P. C. 2005. “Comparing Public and Private Sector Decision-Making Practices.” </w:t>
      </w:r>
      <w:r>
        <w:rPr>
          <w:i/>
          <w:iCs/>
        </w:rPr>
        <w:t>Journal of Public Administration Research and Theory</w:t>
      </w:r>
      <w:r>
        <w:t xml:space="preserve"> 16 (2): 289–318. </w:t>
      </w:r>
    </w:p>
    <w:p w:rsidR="001630DC" w:rsidRDefault="001630DC" w:rsidP="00B11ABC">
      <w:pPr>
        <w:pStyle w:val="GridTable21"/>
        <w:spacing w:before="240" w:after="240"/>
      </w:pPr>
      <w:r>
        <w:t xml:space="preserve">Nye, J.S. 2008. “Public Diplomacy and Soft Power.” </w:t>
      </w:r>
      <w:r>
        <w:rPr>
          <w:i/>
          <w:iCs/>
        </w:rPr>
        <w:t>The Annals of the American Academy of Political and Social Science</w:t>
      </w:r>
      <w:r>
        <w:t xml:space="preserve"> 616 (1): 94–109.</w:t>
      </w:r>
    </w:p>
    <w:p w:rsidR="001630DC" w:rsidRDefault="001630DC" w:rsidP="00B11ABC">
      <w:pPr>
        <w:pStyle w:val="GridTable21"/>
        <w:spacing w:before="240" w:after="240"/>
      </w:pPr>
      <w:r>
        <w:t xml:space="preserve">Obadare, Ebenezer. 2011. “Civil Society in Sub-Saharan Africa.” In </w:t>
      </w:r>
      <w:r>
        <w:rPr>
          <w:i/>
          <w:iCs/>
        </w:rPr>
        <w:t>The Oxford Handbook of Civil Society</w:t>
      </w:r>
      <w:r>
        <w:t>, edited by Michael Edwards, 183–219. Oxford: Oxford University Press.</w:t>
      </w:r>
    </w:p>
    <w:p w:rsidR="001630DC" w:rsidRDefault="001630DC" w:rsidP="00B11ABC">
      <w:pPr>
        <w:pStyle w:val="GridTable21"/>
        <w:spacing w:before="240" w:after="240"/>
      </w:pPr>
      <w:r>
        <w:t xml:space="preserve">Okuku, Juma Anthony. 2002. “Civil Society and Democratisation Processes in Kenya and Uganda: A Comparative Analysis of the </w:t>
      </w:r>
      <w:r w:rsidR="00877929">
        <w:t xml:space="preserve">Contribution of the Church and </w:t>
      </w:r>
      <w:r>
        <w:t xml:space="preserve">NGOs.” </w:t>
      </w:r>
      <w:r>
        <w:rPr>
          <w:i/>
          <w:iCs/>
        </w:rPr>
        <w:t>African Journal of Political Science</w:t>
      </w:r>
      <w:r>
        <w:t xml:space="preserve"> 7 (2): 81–97.</w:t>
      </w:r>
    </w:p>
    <w:p w:rsidR="001630DC" w:rsidRDefault="001630DC" w:rsidP="00B11ABC">
      <w:pPr>
        <w:pStyle w:val="GridTable21"/>
        <w:spacing w:before="240" w:after="240"/>
      </w:pPr>
      <w:r>
        <w:t xml:space="preserve">Olzak, Susan. 2011. “Does Globalization Breed Ethnic Discontent?” </w:t>
      </w:r>
      <w:r>
        <w:rPr>
          <w:i/>
          <w:iCs/>
        </w:rPr>
        <w:t>Journal of Conflict Resolution</w:t>
      </w:r>
      <w:r>
        <w:t xml:space="preserve"> 55 (3): 3–32.</w:t>
      </w:r>
    </w:p>
    <w:p w:rsidR="001630DC" w:rsidRDefault="001630DC" w:rsidP="00B11ABC">
      <w:pPr>
        <w:pStyle w:val="GridTable21"/>
        <w:spacing w:before="240" w:after="240"/>
      </w:pPr>
      <w:r>
        <w:t xml:space="preserve">O’Regan, Katherine, and Sharon M. Oster. 2005. “Does the Structure and Composition of the Board Matter?  The Case of Nonprofit Organizations.” </w:t>
      </w:r>
      <w:r>
        <w:rPr>
          <w:i/>
          <w:iCs/>
        </w:rPr>
        <w:t>Journal of Law, Economics &amp; Organization</w:t>
      </w:r>
      <w:r>
        <w:t xml:space="preserve"> 21 (1): 205–27.</w:t>
      </w:r>
    </w:p>
    <w:p w:rsidR="001630DC" w:rsidRDefault="001630DC" w:rsidP="00B11ABC">
      <w:pPr>
        <w:pStyle w:val="GridTable21"/>
        <w:spacing w:before="240" w:after="240"/>
      </w:pPr>
      <w:r>
        <w:t>Organization C. 2</w:t>
      </w:r>
      <w:r w:rsidR="00877929">
        <w:t>016. International Development T</w:t>
      </w:r>
      <w:r>
        <w:t>NGO, Kampala. In person.</w:t>
      </w:r>
    </w:p>
    <w:p w:rsidR="001630DC" w:rsidRDefault="001630DC" w:rsidP="00B11ABC">
      <w:pPr>
        <w:pStyle w:val="GridTable21"/>
        <w:spacing w:before="240" w:after="240"/>
      </w:pPr>
      <w:r>
        <w:t xml:space="preserve">Ostrom, Elinor. 1990. </w:t>
      </w:r>
      <w:r>
        <w:rPr>
          <w:i/>
          <w:iCs/>
        </w:rPr>
        <w:t>Governing the Commons: The Evolution of Institutions for Collective Action</w:t>
      </w:r>
      <w:r>
        <w:t>. Cambridge: Cambridge University Press.</w:t>
      </w:r>
    </w:p>
    <w:p w:rsidR="001630DC" w:rsidRDefault="001630DC" w:rsidP="00B11ABC">
      <w:pPr>
        <w:pStyle w:val="GridTable21"/>
        <w:spacing w:before="240" w:after="240"/>
      </w:pPr>
      <w:r>
        <w:t xml:space="preserve">Pfeffer, Jeffrey, and Gerald R. Salancik. 2003. </w:t>
      </w:r>
      <w:r>
        <w:rPr>
          <w:i/>
          <w:iCs/>
        </w:rPr>
        <w:t>The External Control of Organizations</w:t>
      </w:r>
      <w:r>
        <w:t>. Stanford: Stanford University Press.</w:t>
      </w:r>
    </w:p>
    <w:p w:rsidR="006A663C" w:rsidRDefault="001630DC" w:rsidP="00B11ABC">
      <w:pPr>
        <w:pStyle w:val="GridTable21"/>
        <w:spacing w:before="240" w:after="240"/>
      </w:pPr>
      <w:r>
        <w:t xml:space="preserve">Provan, Keith G. 1983. “The Federation as an Interorganizational Linkage Network.” </w:t>
      </w:r>
      <w:r>
        <w:rPr>
          <w:i/>
          <w:iCs/>
        </w:rPr>
        <w:t>The Academy of Management Review</w:t>
      </w:r>
      <w:r>
        <w:t xml:space="preserve"> 8 (1): 79. </w:t>
      </w:r>
    </w:p>
    <w:p w:rsidR="001630DC" w:rsidRDefault="001630DC" w:rsidP="00B11ABC">
      <w:pPr>
        <w:pStyle w:val="GridTable21"/>
        <w:spacing w:before="240" w:after="240"/>
      </w:pPr>
      <w:r>
        <w:t xml:space="preserve">Przeworski, Adam. 2000. “Economic Development and Political Regimes.” In </w:t>
      </w:r>
      <w:r>
        <w:rPr>
          <w:i/>
          <w:iCs/>
        </w:rPr>
        <w:t>Development and Democracy</w:t>
      </w:r>
      <w:r>
        <w:t>.</w:t>
      </w:r>
    </w:p>
    <w:p w:rsidR="001630DC" w:rsidRDefault="001630DC" w:rsidP="00B11ABC">
      <w:pPr>
        <w:pStyle w:val="GridTable21"/>
        <w:spacing w:before="240" w:after="240"/>
      </w:pPr>
      <w:r>
        <w:t xml:space="preserve">Przeworski, Adam, and Fernando Limongi. 1993. “Political Regimes and Economic Growth.” </w:t>
      </w:r>
      <w:r>
        <w:rPr>
          <w:i/>
          <w:iCs/>
        </w:rPr>
        <w:t>The Journal of Economic Perspectives</w:t>
      </w:r>
      <w:r>
        <w:t xml:space="preserve"> 7 (3): 51–69.</w:t>
      </w:r>
    </w:p>
    <w:p w:rsidR="001630DC" w:rsidRDefault="001630DC" w:rsidP="00B11ABC">
      <w:pPr>
        <w:pStyle w:val="GridTable21"/>
        <w:spacing w:before="240" w:after="240"/>
      </w:pPr>
      <w:r>
        <w:t xml:space="preserve">Putnam, Robert. 1993. </w:t>
      </w:r>
      <w:r>
        <w:rPr>
          <w:i/>
          <w:iCs/>
        </w:rPr>
        <w:t>Making Democracy Work: Civic Traditions in Modern Italy</w:t>
      </w:r>
      <w:r>
        <w:t>. Princeton: Princeton University Press.</w:t>
      </w:r>
    </w:p>
    <w:p w:rsidR="001630DC" w:rsidRDefault="001630DC" w:rsidP="00B11ABC">
      <w:pPr>
        <w:pStyle w:val="GridTable21"/>
        <w:spacing w:before="240" w:after="240"/>
      </w:pPr>
      <w:r>
        <w:t xml:space="preserve">Rainey, Hal, John C. Ronquillo, and Claudia N. Avellaneda. 2010. “Decision Making in Public Organizations.” In </w:t>
      </w:r>
      <w:r>
        <w:rPr>
          <w:i/>
          <w:iCs/>
        </w:rPr>
        <w:t>Handbook of Decision Making</w:t>
      </w:r>
      <w:r>
        <w:t>, 349–78. Chichester: John Wiley &amp; Sons.</w:t>
      </w:r>
    </w:p>
    <w:p w:rsidR="001630DC" w:rsidRDefault="001630DC" w:rsidP="00B11ABC">
      <w:pPr>
        <w:pStyle w:val="GridTable21"/>
        <w:spacing w:before="240" w:after="240"/>
      </w:pPr>
      <w:r>
        <w:t xml:space="preserve">Raschky, Paul A., and Manijeh Schwindt. 2012. “On the Channel and Type of Aid: The Case of International Disaster Assistance.” </w:t>
      </w:r>
      <w:r>
        <w:rPr>
          <w:i/>
          <w:iCs/>
        </w:rPr>
        <w:t>European Journal of Political Economy</w:t>
      </w:r>
      <w:r>
        <w:t xml:space="preserve"> 28 (1): 119–31. </w:t>
      </w:r>
    </w:p>
    <w:p w:rsidR="001630DC" w:rsidRDefault="001630DC" w:rsidP="00B11ABC">
      <w:pPr>
        <w:pStyle w:val="GridTable21"/>
        <w:spacing w:before="240" w:after="240"/>
      </w:pPr>
      <w:r>
        <w:t>Reinhardt, Gina Yannitell. 2009. “Matching</w:t>
      </w:r>
      <w:r w:rsidR="00877929">
        <w:t xml:space="preserve"> Donors and </w:t>
      </w:r>
      <w:r>
        <w:t xml:space="preserve">NGOs: The Importance of Signaling in Funding Awards.” </w:t>
      </w:r>
      <w:r>
        <w:rPr>
          <w:i/>
          <w:iCs/>
        </w:rPr>
        <w:t>Journal of Theoretical Politics</w:t>
      </w:r>
      <w:r>
        <w:t xml:space="preserve"> 21 (3): 283–309.</w:t>
      </w:r>
    </w:p>
    <w:p w:rsidR="001630DC" w:rsidRDefault="001630DC" w:rsidP="00B11ABC">
      <w:pPr>
        <w:pStyle w:val="GridTable21"/>
        <w:spacing w:before="240" w:after="240"/>
      </w:pPr>
      <w:r>
        <w:t xml:space="preserve">Riddell, J. Barry. 1992. “Things Fall Apart Again: Structural Adjustment Programmes in Sub-Saharan Africa.” </w:t>
      </w:r>
      <w:r>
        <w:rPr>
          <w:i/>
          <w:iCs/>
        </w:rPr>
        <w:t>The Journal of Modern African Studies</w:t>
      </w:r>
      <w:r>
        <w:t xml:space="preserve"> 30 (1): 53–68.</w:t>
      </w:r>
    </w:p>
    <w:p w:rsidR="001630DC" w:rsidRDefault="00F5441D" w:rsidP="00B11ABC">
      <w:pPr>
        <w:pStyle w:val="GridTable21"/>
        <w:spacing w:before="240" w:after="240"/>
      </w:pPr>
      <w:r>
        <w:t>Roberts, Bill. 2000. “</w:t>
      </w:r>
      <w:r w:rsidR="001630DC">
        <w:t xml:space="preserve">NGO Leadership, Success, and Growth in Senegal: Lessons From Ground Level.” </w:t>
      </w:r>
      <w:r w:rsidR="001630DC">
        <w:rPr>
          <w:i/>
          <w:iCs/>
        </w:rPr>
        <w:t>Urban Anthropology and Studies of Cultural Systems and World Economic Development</w:t>
      </w:r>
      <w:r w:rsidR="001630DC">
        <w:t xml:space="preserve"> 29 (2): 143–80.</w:t>
      </w:r>
    </w:p>
    <w:p w:rsidR="001630DC" w:rsidRDefault="001630DC" w:rsidP="00B11ABC">
      <w:pPr>
        <w:pStyle w:val="GridTable21"/>
        <w:spacing w:before="240" w:after="240"/>
      </w:pPr>
      <w:r>
        <w:t>Roberts, Susan M., John Paul III Jones, and</w:t>
      </w:r>
      <w:r w:rsidR="00F5441D">
        <w:t xml:space="preserve"> Oliver Frohling. 2005. “</w:t>
      </w:r>
      <w:r>
        <w:t xml:space="preserve">NGOs and the Globalization of Managerialism: A Research Framework.” </w:t>
      </w:r>
      <w:r>
        <w:rPr>
          <w:i/>
          <w:iCs/>
        </w:rPr>
        <w:t>World Development</w:t>
      </w:r>
      <w:r>
        <w:t xml:space="preserve"> 33 (11): 1845–64.</w:t>
      </w:r>
    </w:p>
    <w:p w:rsidR="001630DC" w:rsidRDefault="001630DC" w:rsidP="00B11ABC">
      <w:pPr>
        <w:pStyle w:val="GridTable21"/>
        <w:spacing w:before="240" w:after="240"/>
      </w:pPr>
      <w:r>
        <w:t>Rogers,</w:t>
      </w:r>
      <w:r w:rsidR="00F5441D">
        <w:t xml:space="preserve"> Katrina S. 2011. “Soft Power, </w:t>
      </w:r>
      <w:r>
        <w:t xml:space="preserve">NGOs, and Climate Change: The Case of The Nature Conservancy.” In </w:t>
      </w:r>
      <w:r>
        <w:rPr>
          <w:i/>
          <w:iCs/>
        </w:rPr>
        <w:t>Climate Change and Environmental Ethics</w:t>
      </w:r>
      <w:r>
        <w:t>, edited by Ved P. Nanda, 217–35. New Brunswick: Transaction Publishers.</w:t>
      </w:r>
    </w:p>
    <w:p w:rsidR="001630DC" w:rsidRDefault="001630DC" w:rsidP="00B11ABC">
      <w:pPr>
        <w:pStyle w:val="GridTable21"/>
        <w:spacing w:before="240" w:after="240"/>
      </w:pPr>
      <w:r>
        <w:t xml:space="preserve">Rohrschneider, Robert, and Russell J. Dalton. 2002. “A Global Network? Transnational Cooperation among Environmental Groups.” </w:t>
      </w:r>
      <w:r>
        <w:rPr>
          <w:i/>
          <w:iCs/>
        </w:rPr>
        <w:t>The Journal of Politics</w:t>
      </w:r>
      <w:r>
        <w:t xml:space="preserve"> 64 (2): 510–33.</w:t>
      </w:r>
    </w:p>
    <w:p w:rsidR="001630DC" w:rsidRDefault="001630DC" w:rsidP="00B11ABC">
      <w:pPr>
        <w:pStyle w:val="GridTable21"/>
        <w:spacing w:before="240" w:after="240"/>
      </w:pPr>
      <w:r>
        <w:t xml:space="preserve">Rojas, Ronald R. 2000. “A Review of Models for Measuring Organizational Effectiveness Among For-Profit and Nonprofit Organizations.” </w:t>
      </w:r>
      <w:r>
        <w:rPr>
          <w:i/>
          <w:iCs/>
        </w:rPr>
        <w:t>Nonprofit Management and Leadership</w:t>
      </w:r>
      <w:r>
        <w:t xml:space="preserve"> 11 (1): 97–104.</w:t>
      </w:r>
    </w:p>
    <w:p w:rsidR="001630DC" w:rsidRDefault="001630DC" w:rsidP="00B11ABC">
      <w:pPr>
        <w:pStyle w:val="GridTable21"/>
        <w:spacing w:before="240" w:after="240"/>
      </w:pPr>
      <w:r>
        <w:t xml:space="preserve">Salamon, Lester M. 1994. “The Rise of the Nonprofit Sector.” </w:t>
      </w:r>
      <w:r>
        <w:rPr>
          <w:i/>
          <w:iCs/>
        </w:rPr>
        <w:t>Foreign Affairs</w:t>
      </w:r>
      <w:r>
        <w:t xml:space="preserve"> 73: 109–109.</w:t>
      </w:r>
    </w:p>
    <w:p w:rsidR="001630DC" w:rsidRDefault="001630DC" w:rsidP="00B11ABC">
      <w:pPr>
        <w:pStyle w:val="GridTable21"/>
        <w:spacing w:before="240" w:after="240"/>
      </w:pPr>
      <w:r>
        <w:t xml:space="preserve">———. 2010. “Putting the Civil Society Sector on the Economic Map of the World.” </w:t>
      </w:r>
      <w:r>
        <w:rPr>
          <w:i/>
          <w:iCs/>
        </w:rPr>
        <w:t>Annals of Public and Cooperative Economics</w:t>
      </w:r>
      <w:r>
        <w:t xml:space="preserve"> 81 (2): 167–210.</w:t>
      </w:r>
    </w:p>
    <w:p w:rsidR="001630DC" w:rsidRDefault="001630DC" w:rsidP="00B11ABC">
      <w:pPr>
        <w:pStyle w:val="GridTable21"/>
        <w:spacing w:before="240" w:after="240"/>
      </w:pPr>
      <w:r>
        <w:t xml:space="preserve">Sarkees, Meredith Reid, and Frank Wayman. 2010. </w:t>
      </w:r>
      <w:r>
        <w:rPr>
          <w:i/>
          <w:iCs/>
        </w:rPr>
        <w:t>Resort to War: 1816 - 2007</w:t>
      </w:r>
      <w:r>
        <w:t>. Washington: CQ Press.</w:t>
      </w:r>
    </w:p>
    <w:p w:rsidR="001630DC" w:rsidRDefault="001630DC" w:rsidP="00B11ABC">
      <w:pPr>
        <w:pStyle w:val="GridTable21"/>
        <w:spacing w:before="240" w:after="240"/>
      </w:pPr>
      <w:r>
        <w:t>Schmitz, Hans, Paloma Raggo, and Tosca Bruno-van Vijfeijken. 2012. “A</w:t>
      </w:r>
      <w:r w:rsidR="00877929">
        <w:t xml:space="preserve">ccountability of Transnational </w:t>
      </w:r>
      <w:r>
        <w:t xml:space="preserve">NGOs: Aspiration vs. Practice.” </w:t>
      </w:r>
      <w:r>
        <w:rPr>
          <w:i/>
          <w:iCs/>
        </w:rPr>
        <w:t>Nonprofit and Voluntary Sector Quarterly</w:t>
      </w:r>
      <w:r>
        <w:t xml:space="preserve"> 41 (6): 1175–94.</w:t>
      </w:r>
    </w:p>
    <w:p w:rsidR="001630DC" w:rsidRDefault="001630DC" w:rsidP="00B11ABC">
      <w:pPr>
        <w:pStyle w:val="GridTable21"/>
        <w:spacing w:before="240" w:after="240"/>
      </w:pPr>
      <w:r>
        <w:t>Schneider, Jo Anne. 2012. “Comparing Stewardship Across Faith-Based Organizations” 42 (3): 517–39.</w:t>
      </w:r>
    </w:p>
    <w:p w:rsidR="001630DC" w:rsidRDefault="001630DC" w:rsidP="00B11ABC">
      <w:pPr>
        <w:pStyle w:val="GridTable21"/>
        <w:spacing w:before="240" w:after="240"/>
      </w:pPr>
      <w:r>
        <w:t xml:space="preserve">Schoonhoven, Claudia Bird. 1981. “Problems with Contingency Theory: Testing Assumptions Hidden within the Language of Contingency ‘Theory.’” </w:t>
      </w:r>
      <w:r>
        <w:rPr>
          <w:i/>
          <w:iCs/>
        </w:rPr>
        <w:t>Administrative Science Quarterly</w:t>
      </w:r>
      <w:r>
        <w:t xml:space="preserve"> 26 (3): 349. doi:10.2307/2392512.</w:t>
      </w:r>
    </w:p>
    <w:p w:rsidR="001630DC" w:rsidRDefault="001630DC" w:rsidP="00B11ABC">
      <w:pPr>
        <w:pStyle w:val="GridTable21"/>
        <w:spacing w:before="240" w:after="240"/>
      </w:pPr>
      <w:r>
        <w:t xml:space="preserve">Schreier, M. 2012. </w:t>
      </w:r>
      <w:r w:rsidR="006A663C" w:rsidRPr="006A663C">
        <w:rPr>
          <w:i/>
        </w:rPr>
        <w:t>Qualitative Content Analysis in Practice</w:t>
      </w:r>
      <w:r w:rsidR="006A663C">
        <w:t xml:space="preserve">. </w:t>
      </w:r>
      <w:r>
        <w:t>Newbury: Sage Publications.</w:t>
      </w:r>
    </w:p>
    <w:p w:rsidR="001630DC" w:rsidRDefault="001630DC" w:rsidP="00B11ABC">
      <w:pPr>
        <w:pStyle w:val="GridTable21"/>
        <w:spacing w:before="240" w:after="240"/>
      </w:pPr>
      <w:r>
        <w:t xml:space="preserve">Simon, Herbert A. 1946. “The Proverbs of Administration.” </w:t>
      </w:r>
      <w:r>
        <w:rPr>
          <w:i/>
          <w:iCs/>
        </w:rPr>
        <w:t>Public Administration Review</w:t>
      </w:r>
      <w:r>
        <w:t xml:space="preserve"> 6 (1): 53–67.</w:t>
      </w:r>
    </w:p>
    <w:p w:rsidR="001630DC" w:rsidRDefault="001630DC" w:rsidP="00B11ABC">
      <w:pPr>
        <w:pStyle w:val="GridTable21"/>
        <w:spacing w:before="240" w:after="240"/>
      </w:pPr>
      <w:r>
        <w:t xml:space="preserve">Sloan, Margaret F. 2009. “The Effects of Nonprofit Accountability Ratings on Donor Behavior.” </w:t>
      </w:r>
      <w:r>
        <w:rPr>
          <w:i/>
          <w:iCs/>
        </w:rPr>
        <w:t>Nonprofit and Voluntary Sector Quarterly</w:t>
      </w:r>
      <w:r>
        <w:t xml:space="preserve"> 38 (2): 220–36.</w:t>
      </w:r>
    </w:p>
    <w:p w:rsidR="001630DC" w:rsidRDefault="001630DC" w:rsidP="00B11ABC">
      <w:pPr>
        <w:pStyle w:val="GridTable21"/>
        <w:spacing w:before="240" w:after="240"/>
      </w:pPr>
      <w:r>
        <w:t xml:space="preserve">Smillie, Ian. 1995. </w:t>
      </w:r>
      <w:r>
        <w:rPr>
          <w:i/>
          <w:iCs/>
        </w:rPr>
        <w:t>The Alms Bazaar: Altruism Under Fire - Non-Profit Organizations And International Development</w:t>
      </w:r>
      <w:r>
        <w:t>. London: Intermediate Technology Publications Ltd.</w:t>
      </w:r>
    </w:p>
    <w:p w:rsidR="001630DC" w:rsidRDefault="001630DC" w:rsidP="00B11ABC">
      <w:pPr>
        <w:pStyle w:val="GridTable21"/>
        <w:spacing w:before="240" w:after="240"/>
      </w:pPr>
      <w:r>
        <w:t xml:space="preserve">Smith, Brian H. 1989. “More than Altruism: The Politics of European International Charities.” In </w:t>
      </w:r>
      <w:r>
        <w:rPr>
          <w:i/>
          <w:iCs/>
        </w:rPr>
        <w:t>The Nonprofit Sector in International Perspective: Studies in Comparative Culture and Policy</w:t>
      </w:r>
      <w:r>
        <w:t>, edited by Estelle James, 319–38. New York: Oxford University Press.</w:t>
      </w:r>
    </w:p>
    <w:p w:rsidR="001630DC" w:rsidRDefault="001630DC" w:rsidP="00B11ABC">
      <w:pPr>
        <w:pStyle w:val="GridTable21"/>
        <w:spacing w:before="240" w:after="240"/>
      </w:pPr>
      <w:r>
        <w:t xml:space="preserve">Sowa, Jessica E. 2009. “The Collaboration Decision in Nonprofit Organizations: Views From the Front Line.” </w:t>
      </w:r>
      <w:r>
        <w:rPr>
          <w:i/>
          <w:iCs/>
        </w:rPr>
        <w:t>Nonprofit and Voluntary Sector Quarterly</w:t>
      </w:r>
      <w:r>
        <w:t xml:space="preserve"> 38 (6): 1003–25.</w:t>
      </w:r>
    </w:p>
    <w:p w:rsidR="001630DC" w:rsidRDefault="001630DC" w:rsidP="00B11ABC">
      <w:pPr>
        <w:pStyle w:val="GridTable21"/>
        <w:spacing w:before="240" w:after="240"/>
      </w:pPr>
      <w:r>
        <w:t xml:space="preserve">Stater, Keeley Jones. 2010. “How Permeable Is the Nonprofit Sector? Linking Resources, Demand, and Government Provision to the Distribution of Organizations Across Nonprofit Mission-Based Fields.” </w:t>
      </w:r>
      <w:r>
        <w:rPr>
          <w:i/>
          <w:iCs/>
        </w:rPr>
        <w:t>Nonprofit and Voluntary Sector Quarterly</w:t>
      </w:r>
      <w:r>
        <w:t xml:space="preserve"> 39 (4): 674–95.</w:t>
      </w:r>
    </w:p>
    <w:p w:rsidR="001630DC" w:rsidRDefault="001630DC" w:rsidP="00B11ABC">
      <w:pPr>
        <w:pStyle w:val="GridTable21"/>
        <w:spacing w:before="240" w:after="240"/>
      </w:pPr>
      <w:r>
        <w:t xml:space="preserve">Stone, Melissa Middelton, Mark A. Hager, and Jennifer J. Griffin. 2001. “Organizational Characteristics and Funding Environments: A Study of a Population of United Way-Affiliated Nonprofits.” </w:t>
      </w:r>
      <w:r>
        <w:rPr>
          <w:i/>
          <w:iCs/>
        </w:rPr>
        <w:t>Public Administration Review</w:t>
      </w:r>
      <w:r>
        <w:t xml:space="preserve"> 61 (3): 276–89.</w:t>
      </w:r>
    </w:p>
    <w:p w:rsidR="001630DC" w:rsidRDefault="001630DC" w:rsidP="00B11ABC">
      <w:pPr>
        <w:pStyle w:val="GridTable21"/>
        <w:spacing w:before="240" w:after="240"/>
      </w:pPr>
      <w:r>
        <w:t xml:space="preserve">Stroup, Sarah S. 2012. </w:t>
      </w:r>
      <w:r>
        <w:rPr>
          <w:i/>
          <w:iCs/>
        </w:rPr>
        <w:t xml:space="preserve">Borders </w:t>
      </w:r>
      <w:r w:rsidR="008159E1">
        <w:rPr>
          <w:i/>
          <w:iCs/>
        </w:rPr>
        <w:t xml:space="preserve">Among Activists: International </w:t>
      </w:r>
      <w:r>
        <w:rPr>
          <w:i/>
          <w:iCs/>
        </w:rPr>
        <w:t>NGOs in the United States, Britain, and France</w:t>
      </w:r>
      <w:r>
        <w:t>. Ithaca: Cornell University Press.</w:t>
      </w:r>
    </w:p>
    <w:p w:rsidR="001630DC" w:rsidRDefault="001630DC" w:rsidP="00B11ABC">
      <w:pPr>
        <w:pStyle w:val="GridTable21"/>
        <w:spacing w:before="240" w:after="240"/>
      </w:pPr>
      <w:r>
        <w:t xml:space="preserve">Suzuki, N. 1988. </w:t>
      </w:r>
      <w:r w:rsidR="00F5441D">
        <w:rPr>
          <w:i/>
          <w:iCs/>
        </w:rPr>
        <w:t xml:space="preserve">Inside </w:t>
      </w:r>
      <w:r>
        <w:rPr>
          <w:i/>
          <w:iCs/>
        </w:rPr>
        <w:t>NGOs</w:t>
      </w:r>
      <w:r>
        <w:t>. London: Intermediate Technology Publications Ltd.</w:t>
      </w:r>
    </w:p>
    <w:p w:rsidR="001630DC" w:rsidRDefault="001630DC" w:rsidP="00B11ABC">
      <w:pPr>
        <w:pStyle w:val="GridTable21"/>
        <w:spacing w:before="240" w:after="240"/>
      </w:pPr>
      <w:r>
        <w:t xml:space="preserve">Taylor, Frederick W. 1912. “Scientific Management.” In </w:t>
      </w:r>
      <w:r>
        <w:rPr>
          <w:i/>
          <w:iCs/>
        </w:rPr>
        <w:t>Classics of Public Administration</w:t>
      </w:r>
      <w:r>
        <w:t>, edited by Jay M. Shafritz and Albert C. Hyde, 7th ed., 37–39. Boston: Wadsworth.</w:t>
      </w:r>
    </w:p>
    <w:p w:rsidR="001630DC" w:rsidRDefault="001630DC" w:rsidP="00B11ABC">
      <w:pPr>
        <w:pStyle w:val="GridTable21"/>
        <w:spacing w:before="240" w:after="240"/>
      </w:pPr>
      <w:r>
        <w:t xml:space="preserve">Temudo, Marina Padrao. 2005. “Western Beliefs and Local Myths: A Case Study on </w:t>
      </w:r>
      <w:r w:rsidR="00F5441D">
        <w:t xml:space="preserve">the Interface Between Farmers, </w:t>
      </w:r>
      <w:r>
        <w:t xml:space="preserve">NGOs and the State in Guinea-Bissau Rural Development Interventions.” In </w:t>
      </w:r>
      <w:r>
        <w:rPr>
          <w:i/>
          <w:iCs/>
        </w:rPr>
        <w:t xml:space="preserve">Between a </w:t>
      </w:r>
      <w:r w:rsidR="008159E1">
        <w:rPr>
          <w:i/>
          <w:iCs/>
        </w:rPr>
        <w:t xml:space="preserve">Rock and a Hard Place: African </w:t>
      </w:r>
      <w:r>
        <w:rPr>
          <w:i/>
          <w:iCs/>
        </w:rPr>
        <w:t>NGOs, Donors, and the State</w:t>
      </w:r>
      <w:r>
        <w:t>, edited by Jim Igoe and Tim Kelsall, 253–77. Durham: Carolina Academic Press.</w:t>
      </w:r>
    </w:p>
    <w:p w:rsidR="001630DC" w:rsidRDefault="001630DC" w:rsidP="00B11ABC">
      <w:pPr>
        <w:pStyle w:val="GridTable21"/>
        <w:spacing w:before="240" w:after="240"/>
      </w:pPr>
      <w:r>
        <w:t>The World Bank. 2013. “World Development Indicators.” The World Bank. http://data.worldbank.org/indicator.</w:t>
      </w:r>
    </w:p>
    <w:p w:rsidR="001630DC" w:rsidRDefault="00F5441D" w:rsidP="00B11ABC">
      <w:pPr>
        <w:pStyle w:val="GridTable21"/>
        <w:spacing w:before="240" w:after="240"/>
      </w:pPr>
      <w:r>
        <w:t xml:space="preserve">Transnational </w:t>
      </w:r>
      <w:r w:rsidR="001630DC">
        <w:t>NGO Initia</w:t>
      </w:r>
      <w:r w:rsidR="008159E1">
        <w:t xml:space="preserve">tive. 2010. “The Transnational </w:t>
      </w:r>
      <w:r w:rsidR="001630DC">
        <w:t>NGO Study: Rationale, Sampling and Research Process.” Moynihan Institute of Global Affairs, Syracuse University. http://www1.maxwell.syr.edu/moynihan/TNGO/Data/.</w:t>
      </w:r>
    </w:p>
    <w:p w:rsidR="001630DC" w:rsidRDefault="001630DC" w:rsidP="00B11ABC">
      <w:pPr>
        <w:pStyle w:val="GridTable21"/>
        <w:spacing w:before="240" w:after="240"/>
      </w:pPr>
      <w:r>
        <w:t>United Nations Statistics Division. 2015. “Demographic Yearbook.” unstats.un.org/unsd/demographic.</w:t>
      </w:r>
    </w:p>
    <w:p w:rsidR="001630DC" w:rsidRDefault="001630DC" w:rsidP="00B11ABC">
      <w:pPr>
        <w:pStyle w:val="GridTable21"/>
        <w:spacing w:before="240" w:after="240"/>
      </w:pPr>
      <w:r>
        <w:t>USAID. 2015. “U.S. Overseas Loans and Grants.” https://eads.usaid.gov/gbk/.</w:t>
      </w:r>
    </w:p>
    <w:p w:rsidR="001630DC" w:rsidRDefault="001630DC" w:rsidP="00B11ABC">
      <w:pPr>
        <w:pStyle w:val="GridTable21"/>
        <w:spacing w:before="240" w:after="240"/>
      </w:pPr>
      <w:r>
        <w:t xml:space="preserve">Van de Walle, Nicolas. 2001. “Decision Making in Post Colonial Africa.” In </w:t>
      </w:r>
      <w:r>
        <w:rPr>
          <w:i/>
          <w:iCs/>
        </w:rPr>
        <w:t>African Economies and the Politics of Permanent Crisis: 1979-1999</w:t>
      </w:r>
      <w:r>
        <w:t>, 113–51. Cambridge: Cambridge University Press.</w:t>
      </w:r>
    </w:p>
    <w:p w:rsidR="001630DC" w:rsidRDefault="001630DC" w:rsidP="00B11ABC">
      <w:pPr>
        <w:pStyle w:val="GridTable21"/>
        <w:spacing w:before="240" w:after="240"/>
      </w:pPr>
      <w:r>
        <w:t xml:space="preserve">Van Slyke, David M. 2006. “Agents or Stewards: Using Theory to Understand the Government-Nonprofit Social Service Contracting Relationship.” </w:t>
      </w:r>
      <w:r>
        <w:rPr>
          <w:i/>
          <w:iCs/>
        </w:rPr>
        <w:t>Journal of Public Administration Research and Theory</w:t>
      </w:r>
      <w:r>
        <w:t xml:space="preserve"> 17: 157–87.</w:t>
      </w:r>
    </w:p>
    <w:p w:rsidR="001630DC" w:rsidRDefault="001630DC" w:rsidP="00B11ABC">
      <w:pPr>
        <w:pStyle w:val="GridTable21"/>
        <w:spacing w:before="240" w:after="240"/>
      </w:pPr>
      <w:r>
        <w:t xml:space="preserve">Varshney, Ashutosh. 2001. “Ethnic Conflict and Civil Society: India and Beyond.” </w:t>
      </w:r>
      <w:r>
        <w:rPr>
          <w:i/>
          <w:iCs/>
        </w:rPr>
        <w:t>World Politics</w:t>
      </w:r>
      <w:r>
        <w:t xml:space="preserve"> 53 (3): 362–98.</w:t>
      </w:r>
    </w:p>
    <w:p w:rsidR="001630DC" w:rsidRDefault="001630DC" w:rsidP="00B11ABC">
      <w:pPr>
        <w:pStyle w:val="GridTable21"/>
        <w:spacing w:before="240" w:after="240"/>
      </w:pPr>
      <w:r>
        <w:t xml:space="preserve">Verbruggen, Sandra, Johan Christiaens, and Koen Milis. 2011. “Can Resource Dependence and Coercive Isomorphism Explain Nonprofit Organizations’ Compliance with Reporting Standards?” </w:t>
      </w:r>
      <w:r>
        <w:rPr>
          <w:i/>
          <w:iCs/>
        </w:rPr>
        <w:t>Nonprofit and Voluntary Sector Quarterly</w:t>
      </w:r>
      <w:r>
        <w:t xml:space="preserve"> 40 (1): 5–32.</w:t>
      </w:r>
    </w:p>
    <w:p w:rsidR="001630DC" w:rsidRDefault="001630DC" w:rsidP="00B11ABC">
      <w:pPr>
        <w:pStyle w:val="GridTable21"/>
        <w:spacing w:before="240" w:after="240"/>
      </w:pPr>
      <w:r>
        <w:t>Watkins, Susan Cotts, Ann Swidler, and Thomas Hannan. 2012. “Outsourcing Soci</w:t>
      </w:r>
      <w:r w:rsidR="00F5441D">
        <w:t xml:space="preserve">al Transformation: Development </w:t>
      </w:r>
      <w:r>
        <w:t xml:space="preserve">NGOs as Organizations.” </w:t>
      </w:r>
      <w:r>
        <w:rPr>
          <w:i/>
          <w:iCs/>
        </w:rPr>
        <w:t>Annual Review of Sociology</w:t>
      </w:r>
      <w:r>
        <w:t xml:space="preserve"> 38: 285–315.</w:t>
      </w:r>
    </w:p>
    <w:p w:rsidR="001630DC" w:rsidRDefault="001630DC" w:rsidP="00B11ABC">
      <w:pPr>
        <w:pStyle w:val="GridTable21"/>
        <w:spacing w:before="240" w:after="240"/>
      </w:pPr>
      <w:r>
        <w:t xml:space="preserve">Wilson, James Q. 1973. </w:t>
      </w:r>
      <w:r>
        <w:rPr>
          <w:i/>
          <w:iCs/>
        </w:rPr>
        <w:t>Political Organizations</w:t>
      </w:r>
      <w:r>
        <w:t>. New York: Basic Books.</w:t>
      </w:r>
    </w:p>
    <w:p w:rsidR="001630DC" w:rsidRDefault="001630DC" w:rsidP="00B11ABC">
      <w:pPr>
        <w:pStyle w:val="GridTable21"/>
        <w:spacing w:before="240" w:after="240"/>
      </w:pPr>
      <w:r>
        <w:t xml:space="preserve">Wittberg, Patricia A. 2013. “Faith-Based Umbrella Organizations: Implications for Religious Identity.” </w:t>
      </w:r>
      <w:r>
        <w:rPr>
          <w:i/>
          <w:iCs/>
        </w:rPr>
        <w:t>Nonprofit and Voluntary Sector Quarterly</w:t>
      </w:r>
      <w:r>
        <w:t xml:space="preserve"> 42 (3): 540–62.</w:t>
      </w:r>
    </w:p>
    <w:p w:rsidR="001630DC" w:rsidRDefault="001630DC" w:rsidP="00B11ABC">
      <w:pPr>
        <w:pStyle w:val="GridTable21"/>
        <w:spacing w:before="240" w:after="240"/>
      </w:pPr>
      <w:r>
        <w:t>Wood, Geof, and Gough, Ian. n.d. “Welfare Regimes: Linking Social Policy to Social Development.” staff.bath.ac.uk/hssgdw/wood-gough.pdf.</w:t>
      </w:r>
    </w:p>
    <w:p w:rsidR="001630DC" w:rsidRDefault="001630DC" w:rsidP="00B11ABC">
      <w:pPr>
        <w:pStyle w:val="GridTable21"/>
        <w:spacing w:before="240" w:after="240"/>
      </w:pPr>
      <w:r>
        <w:t xml:space="preserve">Wood, Geof, and Ian Gough. 2006. “A Comparative Welfare Regime Approach to Global Social Policy.” </w:t>
      </w:r>
      <w:r>
        <w:rPr>
          <w:i/>
          <w:iCs/>
        </w:rPr>
        <w:t>World Development</w:t>
      </w:r>
      <w:r>
        <w:t xml:space="preserve"> 34 (10): 1696–1712. </w:t>
      </w:r>
    </w:p>
    <w:p w:rsidR="001630DC" w:rsidRDefault="001630DC" w:rsidP="00B11ABC">
      <w:pPr>
        <w:pStyle w:val="GridTable21"/>
        <w:spacing w:before="240" w:after="240"/>
      </w:pPr>
      <w:r>
        <w:t xml:space="preserve">Young, Dennis R. 2001. “Organizational Identity in Nonprofit Organizations: Strategic and Structural Implications.” </w:t>
      </w:r>
      <w:r>
        <w:rPr>
          <w:i/>
          <w:iCs/>
        </w:rPr>
        <w:t>Nonprofit Management and Leadership</w:t>
      </w:r>
      <w:r>
        <w:t xml:space="preserve"> 12 (2): 139–57.</w:t>
      </w:r>
    </w:p>
    <w:p w:rsidR="001630DC" w:rsidRDefault="001630DC" w:rsidP="00B11ABC">
      <w:pPr>
        <w:pStyle w:val="GridTable21"/>
        <w:spacing w:before="240" w:after="240"/>
      </w:pPr>
      <w:r>
        <w:t xml:space="preserve">Young, Dennis R., Bonnie L. Koenig, Adil Najam, and Julie Fisher. 1999. “Strategy and Structure in Managing Global Associations.” </w:t>
      </w:r>
      <w:r>
        <w:rPr>
          <w:i/>
          <w:iCs/>
        </w:rPr>
        <w:t>Voluntas: International Journal of Voluntary and Nonprofit Organizations</w:t>
      </w:r>
      <w:r>
        <w:t xml:space="preserve"> 10 (4): 323–43.</w:t>
      </w:r>
    </w:p>
    <w:p w:rsidR="001630DC" w:rsidRDefault="001630DC" w:rsidP="009944D4">
      <w:pPr>
        <w:pStyle w:val="GridTable21"/>
        <w:spacing w:before="240"/>
      </w:pPr>
      <w:r>
        <w:t xml:space="preserve">Zald, M.N., and R.A. Garner. 1987. “Social Movement Organizations: Growth, Decay, and Change.” In </w:t>
      </w:r>
      <w:r>
        <w:rPr>
          <w:i/>
          <w:iCs/>
        </w:rPr>
        <w:t>Social Movements in an Organizational Society</w:t>
      </w:r>
      <w:r>
        <w:t>, edited by M.N. Zald and J.D. McCarthy, 161–80. New Brunswick: Transaction Publishers.</w:t>
      </w:r>
    </w:p>
    <w:p w:rsidR="001630DC" w:rsidRPr="007B7DF8" w:rsidRDefault="001630DC" w:rsidP="009944D4">
      <w:pPr>
        <w:pStyle w:val="GridTable21"/>
        <w:spacing w:before="240"/>
      </w:pPr>
      <w:r w:rsidRPr="00A730C8">
        <w:rPr>
          <w:b/>
        </w:rPr>
        <w:fldChar w:fldCharType="end"/>
      </w:r>
    </w:p>
    <w:p w:rsidR="001630DC" w:rsidRPr="00C30EF2" w:rsidRDefault="001630DC" w:rsidP="001630DC">
      <w:pPr>
        <w:spacing w:line="480" w:lineRule="auto"/>
        <w:ind w:firstLine="720"/>
        <w:rPr>
          <w:b/>
        </w:rPr>
      </w:pPr>
    </w:p>
    <w:p w:rsidR="001630DC" w:rsidRPr="00836DDB" w:rsidRDefault="001630DC" w:rsidP="001630DC">
      <w:pPr>
        <w:sectPr w:rsidR="001630DC" w:rsidRPr="00836DDB">
          <w:footerReference w:type="default" r:id="rId11"/>
          <w:pgSz w:w="12240" w:h="15840"/>
          <w:pgMar w:top="1440" w:right="1440" w:bottom="1440" w:left="2304" w:header="720" w:footer="720" w:gutter="0"/>
          <w:pgNumType w:start="1"/>
          <w:cols w:space="720"/>
        </w:sectPr>
      </w:pPr>
    </w:p>
    <w:p w:rsidR="001630DC" w:rsidRPr="008A3D24" w:rsidRDefault="001630DC" w:rsidP="001630DC">
      <w:pPr>
        <w:pStyle w:val="Heading1"/>
        <w:rPr>
          <w:b/>
          <w:color w:val="auto"/>
          <w:sz w:val="28"/>
        </w:rPr>
      </w:pPr>
      <w:bookmarkStart w:id="279" w:name="_Toc450079221"/>
      <w:r>
        <w:t xml:space="preserve">: </w:t>
      </w:r>
      <w:r w:rsidRPr="008A3D24">
        <w:rPr>
          <w:b/>
          <w:color w:val="auto"/>
          <w:sz w:val="28"/>
        </w:rPr>
        <w:t xml:space="preserve">Government Attention and </w:t>
      </w:r>
      <w:r>
        <w:rPr>
          <w:b/>
          <w:color w:val="auto"/>
          <w:sz w:val="28"/>
        </w:rPr>
        <w:t>U.S.-based</w:t>
      </w:r>
      <w:r w:rsidRPr="008A3D24">
        <w:rPr>
          <w:b/>
          <w:color w:val="auto"/>
          <w:sz w:val="28"/>
        </w:rPr>
        <w:t xml:space="preserve"> </w:t>
      </w:r>
      <w:r>
        <w:rPr>
          <w:b/>
          <w:color w:val="auto"/>
          <w:sz w:val="28"/>
        </w:rPr>
        <w:t>TNGO</w:t>
      </w:r>
      <w:r w:rsidRPr="008A3D24">
        <w:rPr>
          <w:b/>
          <w:color w:val="auto"/>
          <w:sz w:val="28"/>
        </w:rPr>
        <w:t xml:space="preserve"> Location</w:t>
      </w:r>
      <w:bookmarkEnd w:id="279"/>
    </w:p>
    <w:p w:rsidR="001630DC" w:rsidRPr="00E743E7" w:rsidRDefault="001630DC" w:rsidP="001630DC"/>
    <w:p w:rsidR="00E67B1D" w:rsidRDefault="00E67B1D" w:rsidP="00E67B1D">
      <w:pPr>
        <w:spacing w:line="480" w:lineRule="auto"/>
        <w:rPr>
          <w:szCs w:val="24"/>
        </w:rPr>
      </w:pPr>
    </w:p>
    <w:p w:rsidR="001630DC" w:rsidRPr="008E1625" w:rsidRDefault="001630DC" w:rsidP="00E67B1D">
      <w:pPr>
        <w:pStyle w:val="Subheading1"/>
        <w:numPr>
          <w:ilvl w:val="0"/>
          <w:numId w:val="0"/>
        </w:numPr>
        <w:rPr>
          <w:sz w:val="24"/>
          <w:szCs w:val="24"/>
        </w:rPr>
      </w:pPr>
      <w:bookmarkStart w:id="280" w:name="_Toc450079222"/>
      <w:r w:rsidRPr="008E1625">
        <w:rPr>
          <w:sz w:val="24"/>
          <w:szCs w:val="24"/>
        </w:rPr>
        <w:t>3.1: Introduction</w:t>
      </w:r>
      <w:bookmarkEnd w:id="280"/>
    </w:p>
    <w:p w:rsidR="001630DC" w:rsidRPr="000C57A5" w:rsidRDefault="001630DC" w:rsidP="001630DC">
      <w:pPr>
        <w:rPr>
          <w:b/>
        </w:rPr>
      </w:pPr>
    </w:p>
    <w:p w:rsidR="001630DC" w:rsidRPr="00096BB1" w:rsidRDefault="001630DC" w:rsidP="001630DC">
      <w:pPr>
        <w:spacing w:line="480" w:lineRule="auto"/>
        <w:ind w:firstLine="720"/>
      </w:pPr>
      <w:r w:rsidRPr="00096BB1">
        <w:t xml:space="preserve">This chapter continues the examination of location </w:t>
      </w:r>
      <w:r>
        <w:t>of</w:t>
      </w:r>
      <w:r w:rsidRPr="00096BB1">
        <w:t xml:space="preserve"> </w:t>
      </w:r>
      <w:r>
        <w:t>U.S.-based</w:t>
      </w:r>
      <w:r w:rsidRPr="00096BB1">
        <w:t xml:space="preserve"> transnational </w:t>
      </w:r>
      <w:r w:rsidR="009944D4">
        <w:t>nongovernmental</w:t>
      </w:r>
      <w:r w:rsidRPr="00096BB1">
        <w:t xml:space="preserve"> organizations (</w:t>
      </w:r>
      <w:r>
        <w:t>TNGO</w:t>
      </w:r>
      <w:r w:rsidRPr="00096BB1">
        <w:t xml:space="preserve">s). It builds upon the previous chapter by focusing on the influence of the U.S. government </w:t>
      </w:r>
      <w:r w:rsidR="00A869F1">
        <w:t>on</w:t>
      </w:r>
      <w:r w:rsidRPr="00096BB1">
        <w:t xml:space="preserve"> location </w:t>
      </w:r>
      <w:r w:rsidR="00A869F1">
        <w:t>choices</w:t>
      </w:r>
      <w:r w:rsidRPr="00096BB1">
        <w:t xml:space="preserve"> by </w:t>
      </w:r>
      <w:r>
        <w:t>U.S.-based</w:t>
      </w:r>
      <w:r w:rsidRPr="00096BB1">
        <w:t xml:space="preserve"> </w:t>
      </w:r>
      <w:r>
        <w:t>TNGO</w:t>
      </w:r>
      <w:r w:rsidRPr="00096BB1">
        <w:t>s</w:t>
      </w:r>
      <w:r w:rsidR="00A869F1">
        <w:t xml:space="preserve"> through the frame of monetary support and foreign policy</w:t>
      </w:r>
      <w:r w:rsidRPr="00096BB1">
        <w:t xml:space="preserve">. More specifically, it asks whether </w:t>
      </w:r>
      <w:r>
        <w:t>TNGO</w:t>
      </w:r>
      <w:r w:rsidRPr="00096BB1">
        <w:t xml:space="preserve">s receiving monetary support from the U.S. government are more likely to locate in countries identified by the U.S. government as strategically significant. </w:t>
      </w:r>
      <w:r>
        <w:t>Government</w:t>
      </w:r>
      <w:r w:rsidRPr="00180DA3">
        <w:t xml:space="preserve"> signal</w:t>
      </w:r>
      <w:r>
        <w:t>s</w:t>
      </w:r>
      <w:r w:rsidRPr="00180DA3">
        <w:t xml:space="preserve"> strategic interests in particular countries through statements, including the State of the Union (SOTU) given annual by the president, the National Security Strategy (NSS), and initiatives such as the Critical Language Scholarship (CLS).</w:t>
      </w:r>
      <w:r w:rsidRPr="00096BB1">
        <w:t xml:space="preserve"> </w:t>
      </w:r>
    </w:p>
    <w:p w:rsidR="001630DC" w:rsidRPr="00096BB1" w:rsidRDefault="001630DC" w:rsidP="001630DC">
      <w:pPr>
        <w:spacing w:line="480" w:lineRule="auto"/>
      </w:pPr>
      <w:r w:rsidRPr="00096BB1">
        <w:tab/>
        <w:t xml:space="preserve">Donor influence on nonprofit behavior is well documented </w:t>
      </w:r>
      <w:r>
        <w:fldChar w:fldCharType="begin"/>
      </w:r>
      <w:r>
        <w:instrText xml:space="preserve"> ADDIN ZOTERO_ITEM CSL_CITATION {"citationID":"9QzYQfiV","properties":{"formattedCitation":"(Verbruggen, Christiaens, and Milis 2011; AbouAssi 2012; Froelich 1999; Mosley 2012; Guo 2007)","plainCitation":"(Verbruggen, Christiaens, and Milis 2011; AbouAssi 2012; Froelich 1999; Mosley 2012; Guo 2007)"},"citationItems":[{"id":1065,"uris":["http://zotero.org/users/381007/items/KFM3B4SP"],"uri":["http://zotero.org/users/381007/items/KFM3B4SP"],"itemData":{"id":1065,"type":"article-journal","title":"Can Resource Dependence and Coercive Isomorphism Explain Nonprofit Organizations' Compliance with Reporting Standards?","container-title":"Nonprofit and Voluntary Sector Quarterly","page":"5-32","volume":"40","issue":"1","abstract":"Nonprofit organizations worldwide are confronted with an increasing demand for accountability and improved financial transparency. Financial reporting by nonprofit organizations is no longer an exception; it has become a rule. The usefulness of a financial report to an organization’s stakeholders depends on its quality. The latter is safeguarded by reporting standards as well as the commitment of the organization to fully implement these standards. Although resource dependence and coercive isomorphism have been used in earlier nonprofit organization research, no empirical research has linked these theories to compliance with financial reporting standards.","author":[{"family":"Verbruggen","given":"Sandra"},{"family":"Christiaens","given":"Johan"},{"family":"Milis","given":"Koen"}],"issued":{"date-parts":[["2011"]]}}},{"id":436,"uris":["http://zotero.org/users/381007/items/34QQGVBT"],"uri":["http://zotero.org/users/381007/items/34QQGVBT"],"itemData":{"id":436,"type":"article-journal","title":"Mercurial Donors: NGO Response to Shifting Funding Priorities","container-title":"Nonprofit and Voluntary Sector Quarterly","page":"584-602","volume":"42","issue":"3","abstract":"The NGO–donor relationship is especially volatile. NGOs in developing countries heavily rely on foreign donor funding and donor dominance is evident. This article explores the relationship at times when donors revise funding priorities and partner NGOs try to adapt. The article draws on qualitative research of multiple observations to study the decisions of four NGOs in response to several shifts in donor funding. The analysis reveals variation in NGO responses to such shifts: suspend the relationship, reach common ground, automatically execute the donor’s interests, and voluntarily and deliberately adapt to the situation. Building on Hirschman’s typology, four modes of NGOs’ response are identified: exit, voice, loyalty, and, a newly proposed mode, adjustment. Additional interpretation of NGOs’ responses and possible implications for NGO management are discussed.","author":[{"family":"AbouAssi","given":"Khaldoun"}],"issued":{"date-parts":[["2012"]]}}},{"id":3165,"uris":["http://zotero.org/users/381007/items/ES6WPZSJ"],"uri":["http://zotero.org/users/381007/items/ES6WPZSJ"],"itemData":{"id":3165,"type":"article-journal","title":"Diversification of Revenue Strategies: Evolving Resource Dependence in Nonprofit Organizations","container-title":"Nonprofit and Voluntary Sector Quarterly","page":"246-268","volume":"28","issue":"3","author":[{"family":"Froelich","given":"Karen A."}],"issued":{"date-parts":[["1999"]]}}},{"id":796,"uris":["http://zotero.org/users/381007/items/D9RJHU4F"],"uri":["http://zotero.org/users/381007/items/D9RJHU4F"],"itemData":{"id":796,"type":"article-journal","title":"Keeping the Lights On: How Government Funding Concerns Drive the Advocacy Agendas of Nonprofit Homeless Providers","container-title":"Journal of Public Administration Research and Theory","page":"841-866","volume":"22","abstract":"Human service nonprofits have historically played an important role in advocating on behalf\nof the vulnerable populations that they serve. Growth in privatization has led many scholars\nand practitioners to wonder if increased dependence on government funds would\ncompromise this role. The objective of this study is to explore the relationship between\ngovernment funding and advocacy participation, goals, and tactics through a qualitative\ninvestigation of advocacy involvement in the field of homeless services. Results demonstrate\nthat having government funding is associated with managers being highly motivated to\nparticipate in advocacy in the hopes of solidifying funding relationships. As a result, advocacy\ngoals are focused primarily on brokering resources and promoting the organization rather\nthan substantive policy change or client representation. Furthermore, in order to be\nperceived as a legitimate partner to government, organizations reject confrontational\nmethods and advocate as insiders. Overall, these findings indicate perceptions about\nadvocacy may need to shift as increased reliance on government funding has made\nadvocacy participation and participation in collaborative governance virtually indistinguishable.","DOI":"doi:10.1093/jopart/mus003","author":[{"family":"Mosley","given":"Jennifer E."}],"issued":{"date-parts":[["2012"]]},"accessed":{"date-parts":[["2013",10,14]]}}},{"id":1027,"uris":["http://zotero.org/users/381007/items/JAG7PTE3"],"uri":["http://zotero.org/users/381007/items/JAG7PTE3"],"itemData":{"id":1027,"type":"article-journal","title":"When Government Becomes the Principal Philanthropist: The Effects of Public Funding on Patterns of Nonprofit Governance","container-title":"Public Administration Review","page":"458-473","volume":"67","issue":"3","abstract":"The prevalence of nonprofit orgs in the deliver of public services and the importance of government as a financier to nonprofit contracts continues to increase, this study explores the consequences of this relationship. Smith and Lipsky (1993) argue that nonprofit boards effectively \"embody and represent community interests\" (74) and that growing financial ties to government might transform these boards from agents of the community to agents of the government. Controlling for other relevant environmental and institutional factors, reliance on government funding decreases the likelihood that nonprofits will develop strong, representative boards. The findings suggest that reliance on government funding reduces the representativeness and influences of nonprofit boards, and the democratic function of nonprofit orgs may be seriously constrained.","author":[{"family":"Guo","given":"Chao"}],"issued":{"date-parts":[["2007"]]}}}],"schema":"https://github.com/citation-style-language/schema/raw/master/csl-citation.json"} </w:instrText>
      </w:r>
      <w:r>
        <w:fldChar w:fldCharType="separate"/>
      </w:r>
      <w:r w:rsidRPr="00096BB1">
        <w:t>(Verbruggen, Christiaens, and Milis 2011; Froelich 1999; Mosley 2012; Guo 2007)</w:t>
      </w:r>
      <w:r>
        <w:fldChar w:fldCharType="end"/>
      </w:r>
      <w:r w:rsidRPr="00096BB1">
        <w:t xml:space="preserve">. At the same time, these donors are also responsible for the growth of the nonprofit sector. Both </w:t>
      </w:r>
      <w:r w:rsidR="002B48DA">
        <w:t>national</w:t>
      </w:r>
      <w:r w:rsidRPr="00096BB1">
        <w:t xml:space="preserve"> and international nonprofits have experienced notable growth, proliferating in the number of organizations and the amount of revenue flowing into the sector </w:t>
      </w:r>
      <w:r>
        <w:fldChar w:fldCharType="begin"/>
      </w:r>
      <w:r>
        <w:instrText xml:space="preserve"> ADDIN ZOTERO_ITEM CSL_CITATION {"citationID":"9seAUB1W","properties":{"formattedCitation":"(Fisher, Julie 1998; DeMars 2005)","plainCitation":"(Fisher, Julie 1998; DeMars 2005)"},"citationItems":[{"id":430,"uris":["http://zotero.org/users/381007/items/2WWNHG74"],"uri":["http://zotero.org/users/381007/items/2WWNHG74"],"itemData":{"id":430,"type":"book","title":"Nongovernments: NGOs and the Political Development of the Third World","publisher":"Kumarian press","publisher-place":"West Hartford","event-place":"West Hartford","author":[{"family":"Fisher, Julie","given":""}],"issued":{"date-parts":[["1998"]]}}},{"id":3138,"uris":["http://zotero.org/users/381007/items/95AX72CC"],"uri":["http://zotero.org/users/381007/items/95AX72CC"],"itemData":{"id":3138,"type":"book","title":"NGOs and Transnational Networks: Wild Cards in World Politics","publisher":"Pluto Press","publisher-place":"London","event-place":"London","abstract":"Global moral compass asserts confidence to make moral claim and practical judgments anywhere in the world, depends on circumscribed causality, the causality of both the problem and the NGO solution can reliably be isolated from local social and political contexts.  Modular technique is a set of practies the NGO brings anywhere in the world to create a self-evident positive impact (depends on claim of magic bullet causality - that the technique will only influence the porblem at which it is aimed).  Secular sanction invokes the moral authority of global norms above governments to justify action, but relies on hidden claim of enforcement causality (that global norms will create consistent results everywhere rather than contingent) and representative claims cast the NGO as \"acting for the people\" with moral authority originating below governments, which relies upon the claim of empowerment causality (that NGOs actually mobilize the power of those they claim to represent).","author":[{"family":"DeMars","given":"William E."}],"issued":{"date-parts":[["2005"]]}}}],"schema":"https://github.com/citation-style-language/schema/raw/master/csl-citation.json"} </w:instrText>
      </w:r>
      <w:r>
        <w:fldChar w:fldCharType="separate"/>
      </w:r>
      <w:r w:rsidRPr="00096BB1">
        <w:t>(Fisher 1998; DeMars 2005)</w:t>
      </w:r>
      <w:r>
        <w:fldChar w:fldCharType="end"/>
      </w:r>
      <w:r w:rsidRPr="00096BB1">
        <w:t xml:space="preserve">. The United States hosts an estimated 13 percent of </w:t>
      </w:r>
      <w:r>
        <w:t>TNGO</w:t>
      </w:r>
      <w:r w:rsidRPr="00096BB1">
        <w:t xml:space="preserve"> headquarters in the world </w:t>
      </w:r>
      <w:r>
        <w:fldChar w:fldCharType="begin"/>
      </w:r>
      <w:r>
        <w:instrText xml:space="preserve"> ADDIN ZOTERO_ITEM CSL_CITATION {"citationID":"dV5rGojo","properties":{"formattedCitation":"(Mitchell 2012a)","plainCitation":"(Mitchell 2012a)"},"citationItems":[{"id":1135,"uris":["http://zotero.org/users/381007/items/NDHTZMJ9"],"uri":["http://zotero.org/users/381007/items/NDHTZMJ9"],"itemData":{"id":1135,"type":"article-journal","title":"Strategic Responses to Resource Dependence Among Transnational NGOs registered in the United States","container-title":"Voluntas","abstract":"Many of the world’s largest and most impactful transnational NGOs are registered in the United States where they engage in significant fundraising activities to support their global operations. Their reliance on the external environment for financial support exposes them to resource dependence and the possibility of external control. However, as civil society organizations organized as firms, transnational NGOs attempt to maintain operational independence from the donors upon which they rely for funding. This article contributes to resource dependence theory by identifying the strategies that transnational NGOs employ in response to resource dependence, explaining the emergence of strategic response, and exploring the conditions under which NGOs are capacitated to preserve organizational autonomy. The responses transnational NGOs employ include alignment, subcontracting, perseverance, diversification, commercialization, funding liberation, geostrategic arbitrage, specialization, selectivity, donor education, and compromise. Elements of this strategic repertoire empower NGOs to resist external control, even circumventing and influencing donor preferences. Findings are based on in-depth, face-to-face interviews with top organizational leaders from a diverse sample of transnational NGOs registered in the United States.","DOI":"10.1007/s11266-012-9329-2","author":[{"family":"Mitchell","given":"George E."}],"issued":{"date-parts":[["2012"]]},"accessed":{"date-parts":[["2013",10,14]]}}}],"schema":"https://github.com/citation-style-language/schema/raw/master/csl-citation.json"} </w:instrText>
      </w:r>
      <w:r>
        <w:fldChar w:fldCharType="separate"/>
      </w:r>
      <w:r w:rsidRPr="00283711">
        <w:t>(Mitchell 2012a)</w:t>
      </w:r>
      <w:r>
        <w:fldChar w:fldCharType="end"/>
      </w:r>
      <w:r w:rsidRPr="00096BB1">
        <w:t xml:space="preserve">. Between 2002 and 2012, the </w:t>
      </w:r>
      <w:r>
        <w:t>TNGO</w:t>
      </w:r>
      <w:r w:rsidRPr="00096BB1">
        <w:t xml:space="preserve"> sector in the United States grew by faster than any other sector at a rate of 25 percent </w:t>
      </w:r>
      <w:r>
        <w:fldChar w:fldCharType="begin"/>
      </w:r>
      <w:r>
        <w:instrText xml:space="preserve"> ADDIN ZOTERO_ITEM CSL_CITATION {"citationID":"KorRjjTr","properties":{"formattedCitation":"(McKeever and Pettijohn 2014)","plainCitation":"(McKeever and Pettijohn 2014)"},"citationItems":[{"id":3549,"uris":["http://zotero.org/users/381007/items/FMU5MIQ3"],"uri":["http://zotero.org/users/381007/items/FMU5MIQ3"],"itemData":{"id":3549,"type":"article-journal","title":"The Nonprofit Sector in Brief 2014","container-title":"Washington, DC: Urban Institute","source":"Google Scholar","URL":"http://www.urban.org/sites/default/files/alfresco/publication-pdfs/413277-The-Nonprofit-Sector-in-Brief--.PDF?RSSFeed=UI_CenteronNonprofitsandPhilanthropy.xml","author":[{"family":"McKeever","given":"Brice S."},{"family":"Pettijohn","given":"Sarah L."}],"issued":{"date-parts":[["2014"]]},"accessed":{"date-parts":[["2015",9,16]]}}}],"schema":"https://github.com/citation-style-language/schema/raw/master/csl-citation.json"} </w:instrText>
      </w:r>
      <w:r>
        <w:fldChar w:fldCharType="separate"/>
      </w:r>
      <w:r w:rsidRPr="00096BB1">
        <w:t>(McKeever and Pettijohn 2014)</w:t>
      </w:r>
      <w:r>
        <w:fldChar w:fldCharType="end"/>
      </w:r>
      <w:r w:rsidRPr="00096BB1">
        <w:t xml:space="preserve">. </w:t>
      </w:r>
      <w:r>
        <w:t>Nearly 18 percent of U.S.-based TNGOs</w:t>
      </w:r>
      <w:r w:rsidRPr="00096BB1">
        <w:t xml:space="preserve"> receive support from the </w:t>
      </w:r>
      <w:r>
        <w:t>U.S. government in the form</w:t>
      </w:r>
      <w:r w:rsidRPr="00096BB1">
        <w:t xml:space="preserve"> of grants or contracts, averaging $4.8 billion USD a year in the international sector alone.</w:t>
      </w:r>
      <w:r w:rsidRPr="00096BB1">
        <w:rPr>
          <w:rStyle w:val="FootnoteReference"/>
        </w:rPr>
        <w:footnoteReference w:id="13"/>
      </w:r>
      <w:r w:rsidRPr="00096BB1">
        <w:t xml:space="preserve"> </w:t>
      </w:r>
    </w:p>
    <w:p w:rsidR="00D96D01" w:rsidRDefault="001630DC" w:rsidP="00D96D01">
      <w:pPr>
        <w:spacing w:line="480" w:lineRule="auto"/>
      </w:pPr>
      <w:r w:rsidRPr="00096BB1">
        <w:tab/>
        <w:t xml:space="preserve">Such growth is due in part to the perceived efficiency of nonprofit organizations, but especially among </w:t>
      </w:r>
      <w:r>
        <w:t>TNGO</w:t>
      </w:r>
      <w:r w:rsidRPr="00096BB1">
        <w:t xml:space="preserve">s working in countries with weak institutions, low infrastructure, conflict, or high rates of corruption </w:t>
      </w:r>
      <w:r>
        <w:fldChar w:fldCharType="begin"/>
      </w:r>
      <w:r>
        <w:instrText xml:space="preserve"> ADDIN ZOTERO_ITEM CSL_CITATION {"citationID":"z9mbzdhF","properties":{"formattedCitation":"(Nunnenkamp, Weingarth, and Weisser 2009; Wood, Geof and Gough, Ian n.d.)","plainCitation":"(Nunnenkamp, Weingarth, and Weisser 2009; Wood, Geof and Gough, Ian n.d.)","dontUpdate":true},"citationItems":[{"id":432,"uris":["http://zotero.org/users/381007/items/32F98BJJ"],"uri":["http://zotero.org/users/381007/items/32F98BJJ"],"itemData":{"id":432,"type":"article-journal","title":"Is NGO aid not so different after all? Comparing the allocation of Swiss aid by private and official donors","container-title":"European Journal of Political Economy","page":"422-438","volume":"25","abstract":"Being closer to the poor, NGOs are widely believed to provide better targeted aid than state\nagencies. But empirical evidence is largely lacking.We contribute to closing this gap by drawing\non an exceptionally detailed Swiss database that covers different forms of NGO aid and several\nofficial aid benchmarks. The Tobit estimations account for both altruistic and selfish aid\nmotivations. Whether or not NGOs provide better targeted aid depends on the source of NGO\nfunding as well as the choice of the official benchmark. In contrast to widespread belief,\nhowever, the allocation of self-financed NGO aid reveals striking similarities to the allocation of\nofficial Swiss development aid.","author":[{"family":"Nunnenkamp","given":"Peter"},{"family":"Weingarth","given":"Janina"},{"family":"Weisser","given":"Johannes"}],"issued":{"date-parts":[["2009"]]}}},{"id":1033,"uris":["http://zotero.org/users/381007/items/JGHGHN7D"],"uri":["http://zotero.org/users/381007/items/JGHGHN7D"],"itemData":{"id":1033,"type":"article","title":"Welfare Regimes: Linking Social Policy to Social Development","abstract":"New conceptual framework showing need for wider range of institutions than normally invovled in social policy discourses to secure welfare in poorer countries.  Emphasis on variegated and path-dependent patterns of development/underdevelopment using East Asia, South Asia, and Latin America as examples.  Builds on middle-range theory of 'welfare regimes', which opposes teleological and functionalist approaches (Modernization and Marxist) and post-modern approaches emphasizing uniqueness and diversity.  Rejects 'one size fits all' policy solutions to poverty eradication through distrinction between universal goals and context specific means.\n\nIdentifies essence of social policy principles as they have evolved in the West and asks what adaptations are required to produce a global yet comparative framework of analysis.","URL":"staff.bath.ac.uk/hssgdw/wood-gough.pdf","author":[{"family":"Wood, Geof","given":""},{"family":"Gough, Ian","given":""}],"issued":{"literal":"n.d."},"accessed":{"date-parts":[["2011",8,4]]}}}],"schema":"https://github.com/citation-style-language/schema/raw/master/csl-citation.json"} </w:instrText>
      </w:r>
      <w:r>
        <w:fldChar w:fldCharType="separate"/>
      </w:r>
      <w:r w:rsidRPr="00096BB1">
        <w:rPr>
          <w:noProof/>
        </w:rPr>
        <w:t>(Nunnenkamp, Weingarth, and Weisser 2009; Wood and Gough n.d.)</w:t>
      </w:r>
      <w:r>
        <w:fldChar w:fldCharType="end"/>
      </w:r>
      <w:r w:rsidRPr="00096BB1">
        <w:t xml:space="preserve">. In a domestic context, explanations for nonprofit growth include the hollow state in which government responsibilities are outsourced to nonprofit or private organizations that possess greater expertise and that can performs tasks at a reduced cost </w:t>
      </w:r>
      <w:r>
        <w:fldChar w:fldCharType="begin"/>
      </w:r>
      <w:r>
        <w:instrText xml:space="preserve"> ADDIN ZOTERO_ITEM CSL_CITATION {"citationID":"xYboIUm6","properties":{"formattedCitation":"(Milward and Provan 2000; Milward 1994)","plainCitation":"(Milward and Provan 2000; Milward 1994)"},"citationItems":[{"id":629,"uris":["http://zotero.org/users/381007/items/83TGU8BK"],"uri":["http://zotero.org/users/381007/items/83TGU8BK"],"itemData":{"id":629,"type":"article-journal","title":"Governing the Hollow State","container-title":"Journal of Public Administration Research and Theory","page":"359-380","volume":"10","issue":"2","abstract":"The hollow state is a metaphor for the increasing use of third parties, often nonprofits, to deliver social services and generally act in the name of the state. The normative question this research has raised, but not answered, is, What effect does government contracting with third-party providers have on the perceived legitimacy of the state? Examining mental health networks, the authors synthesize 10 years of research and find that effective governance (we do not know much about how to effectively manage these networks yet) is more likely to occur when certain elements are present, including a clear principal agent relationship to increase effective governance and principals who produce some services so that they have knowledge of ths costs; infrequent rebidding of contracts to promote stability. coopeartion, and long-term investment by third parties; and resources in combination with other elements of governance (resources are important, but only in combination with other elements.. throwing money at a problem is not effective, nor is underfudning it).","author":[{"family":"Milward","given":"H. Brinton"},{"family":"Provan","given":"Keith"}],"issued":{"date-parts":[["2000"]]}}},{"id":940,"uris":["http://zotero.org/users/381007/items/GWMG3AFC"],"uri":["http://zotero.org/users/381007/items/GWMG3AFC"],"itemData":{"id":940,"type":"article-journal","title":"Non-profit Contracting and the Hollow State","container-title":"Public Administration Review","page":"73-77","volume":"54","issue":"1","author":[{"family":"Milward","given":"H. Brinton"}],"issued":{"date-parts":[["1994"]]}}}],"schema":"https://github.com/citation-style-language/schema/raw/master/csl-citation.json"} </w:instrText>
      </w:r>
      <w:r>
        <w:fldChar w:fldCharType="separate"/>
      </w:r>
      <w:r w:rsidRPr="00096BB1">
        <w:t>(Milward and Provan 2000; Milward 1994)</w:t>
      </w:r>
      <w:r>
        <w:fldChar w:fldCharType="end"/>
      </w:r>
      <w:r w:rsidRPr="00096BB1">
        <w:t xml:space="preserve">. The themes of efficiency and capacity are consistent in the international context, yet the motives they embody differ. Instead, </w:t>
      </w:r>
      <w:r>
        <w:t>TNGO</w:t>
      </w:r>
      <w:r w:rsidRPr="00096BB1">
        <w:t>s are active on two planes. For the governments of host countries</w:t>
      </w:r>
      <w:r w:rsidR="002B48DA">
        <w:t xml:space="preserve"> faced with low state capacity</w:t>
      </w:r>
      <w:r w:rsidRPr="00096BB1">
        <w:t xml:space="preserve">, </w:t>
      </w:r>
      <w:r>
        <w:t>TNGO</w:t>
      </w:r>
      <w:r w:rsidRPr="00096BB1">
        <w:t xml:space="preserve">s provide an attractive mechanism </w:t>
      </w:r>
      <w:r w:rsidR="002B48DA">
        <w:t>to provide</w:t>
      </w:r>
      <w:r w:rsidRPr="00096BB1">
        <w:t xml:space="preserve"> services to citizens </w:t>
      </w:r>
      <w:r w:rsidR="002B48DA">
        <w:t>where</w:t>
      </w:r>
      <w:r w:rsidRPr="00096BB1">
        <w:t xml:space="preserve"> </w:t>
      </w:r>
      <w:r w:rsidR="002B48DA">
        <w:t>they themselves</w:t>
      </w:r>
      <w:r w:rsidRPr="00096BB1">
        <w:t xml:space="preserve"> </w:t>
      </w:r>
      <w:r w:rsidR="002B48DA">
        <w:t>are unable to do so</w:t>
      </w:r>
      <w:r w:rsidRPr="00096BB1">
        <w:t xml:space="preserve">. Like the hollow state, services are contracted out to a third party for reasons of capacity and efficiency (but primarily for capacity). For the </w:t>
      </w:r>
      <w:r w:rsidR="002B48DA">
        <w:t>U.S. government</w:t>
      </w:r>
      <w:r w:rsidRPr="00096BB1">
        <w:t xml:space="preserve">, </w:t>
      </w:r>
      <w:r>
        <w:t>TNGO</w:t>
      </w:r>
      <w:r w:rsidRPr="00096BB1">
        <w:t>s serve as a veh</w:t>
      </w:r>
      <w:r w:rsidR="00482840">
        <w:t xml:space="preserve">icle of efficiency and capacity. They are carefully selected to deliver certain foreign policy goals. </w:t>
      </w:r>
      <w:r w:rsidRPr="00096BB1">
        <w:t xml:space="preserve">For example, the U.S. government sets strategic goals as part of its international policy agenda and operationalizes them in part through grants and contracts. These grants and contracts are awarded to carefully selected entities that will help advance progress toward those goals. As a result, </w:t>
      </w:r>
      <w:r>
        <w:t>TNGO</w:t>
      </w:r>
      <w:r w:rsidRPr="00096BB1">
        <w:t xml:space="preserve">s are a vehicle of delegated authority. </w:t>
      </w:r>
    </w:p>
    <w:p w:rsidR="004F45FB" w:rsidRDefault="004F45FB" w:rsidP="00D96D01">
      <w:pPr>
        <w:spacing w:line="480" w:lineRule="auto"/>
      </w:pPr>
    </w:p>
    <w:p w:rsidR="001630DC" w:rsidRPr="00D96D01" w:rsidRDefault="001630DC" w:rsidP="00D96D01">
      <w:pPr>
        <w:spacing w:line="480" w:lineRule="auto"/>
        <w:jc w:val="center"/>
      </w:pPr>
      <w:r w:rsidRPr="008E1625">
        <w:rPr>
          <w:b/>
          <w:szCs w:val="24"/>
        </w:rPr>
        <w:t xml:space="preserve">3.2: </w:t>
      </w:r>
      <w:r>
        <w:rPr>
          <w:b/>
          <w:szCs w:val="24"/>
        </w:rPr>
        <w:t>TNGO</w:t>
      </w:r>
      <w:r w:rsidRPr="008E1625">
        <w:rPr>
          <w:b/>
          <w:szCs w:val="24"/>
        </w:rPr>
        <w:t xml:space="preserve">s and </w:t>
      </w:r>
      <w:r w:rsidR="00482840">
        <w:rPr>
          <w:b/>
          <w:szCs w:val="24"/>
        </w:rPr>
        <w:t>Foreign Policy</w:t>
      </w:r>
    </w:p>
    <w:p w:rsidR="001630DC" w:rsidRDefault="001630DC" w:rsidP="001630DC">
      <w:pPr>
        <w:spacing w:line="480" w:lineRule="auto"/>
        <w:ind w:firstLine="720"/>
        <w:jc w:val="both"/>
      </w:pPr>
      <w:r>
        <w:t xml:space="preserve">The ability of </w:t>
      </w:r>
      <w:r w:rsidR="00482840">
        <w:t>the U.S. government</w:t>
      </w:r>
      <w:r>
        <w:t xml:space="preserve"> to influence the behavior of nonprofits, including TNGOs, occupies the resource dependency literature</w:t>
      </w:r>
      <w:r w:rsidR="00482840">
        <w:t xml:space="preserve"> at the federal, state and local levels</w:t>
      </w:r>
      <w:r>
        <w:t xml:space="preserve">. </w:t>
      </w:r>
      <w:r w:rsidRPr="00096BB1">
        <w:t>Resource dependence</w:t>
      </w:r>
      <w:r>
        <w:t xml:space="preserve"> stems from a lack of </w:t>
      </w:r>
      <w:r w:rsidR="00482840">
        <w:t xml:space="preserve">financial diversification. It </w:t>
      </w:r>
      <w:r>
        <w:t xml:space="preserve">occurs </w:t>
      </w:r>
      <w:r w:rsidRPr="00096BB1">
        <w:t xml:space="preserve">where a significant concentration of resources among one or few </w:t>
      </w:r>
      <w:r w:rsidR="00485420">
        <w:t>sources</w:t>
      </w:r>
      <w:r w:rsidRPr="00096BB1">
        <w:t xml:space="preserve"> lead</w:t>
      </w:r>
      <w:r w:rsidR="00485420">
        <w:t>s</w:t>
      </w:r>
      <w:r w:rsidRPr="00096BB1">
        <w:t xml:space="preserve"> to gross influence </w:t>
      </w:r>
      <w:r w:rsidR="00485420">
        <w:t>on</w:t>
      </w:r>
      <w:r w:rsidRPr="00096BB1">
        <w:t xml:space="preserve"> </w:t>
      </w:r>
      <w:r w:rsidR="00485420">
        <w:t xml:space="preserve">the behavior of a nonprofit; for example, </w:t>
      </w:r>
      <w:r>
        <w:t>where TNGO</w:t>
      </w:r>
      <w:r w:rsidRPr="00096BB1">
        <w:t xml:space="preserve">s implement programs. The </w:t>
      </w:r>
      <w:r>
        <w:t>TNGO</w:t>
      </w:r>
      <w:r w:rsidRPr="00096BB1">
        <w:t>-</w:t>
      </w:r>
      <w:r w:rsidR="00485420">
        <w:t xml:space="preserve">U.S. </w:t>
      </w:r>
      <w:r w:rsidRPr="00096BB1">
        <w:t xml:space="preserve">government relationship is important, particularly in international development contexts, due to the </w:t>
      </w:r>
      <w:r w:rsidR="00485420">
        <w:t xml:space="preserve">significant role TNGOs play in foreign policy </w:t>
      </w:r>
      <w:r w:rsidR="00C0526E">
        <w:t>agendas</w:t>
      </w:r>
      <w:r w:rsidR="00485420">
        <w:t xml:space="preserve">. In addition, </w:t>
      </w:r>
      <w:r w:rsidR="00C0526E">
        <w:t>the</w:t>
      </w:r>
      <w:r w:rsidR="00485420">
        <w:t xml:space="preserve"> </w:t>
      </w:r>
      <w:r w:rsidR="00C0526E">
        <w:t>absence of local i</w:t>
      </w:r>
      <w:r w:rsidRPr="00096BB1">
        <w:t>ndividual philanthropic giving</w:t>
      </w:r>
      <w:r w:rsidR="00C0526E">
        <w:t>, resulting from a lack of means and philanthropic culture, amplifies the need for official government funding channels</w:t>
      </w:r>
      <w:r w:rsidRPr="00096BB1">
        <w:t xml:space="preserve">. As a result, </w:t>
      </w:r>
      <w:r>
        <w:t>TNGO</w:t>
      </w:r>
      <w:r w:rsidRPr="00096BB1">
        <w:t xml:space="preserve">s are left open to greater influence </w:t>
      </w:r>
      <w:r>
        <w:fldChar w:fldCharType="begin"/>
      </w:r>
      <w:r>
        <w:instrText xml:space="preserve"> ADDIN ZOTERO_ITEM CSL_CITATION {"citationID":"HPXvhgG0","properties":{"formattedCitation":"(Alnoor Ebrahim 2003; Brass 2012b; Watkins, Swidler, and Hannan 2012)","plainCitation":"(Alnoor Ebrahim 2003; Brass 2012b; Watkins, Swidler, and Hannan 2012)"},"citationItems":[{"id":681,"uris":["http://zotero.org/users/381007/items/9NZX5BP5"],"uri":["http://zotero.org/users/381007/items/9NZX5BP5"],"itemData":{"id":681,"type":"article-journal","title":"Accountability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N."}],"issued":{"date-parts":[["2012"]]}}},{"id":840,"uris":["http://zotero.org/users/381007/items/EAPNI2SA"],"uri":["http://zotero.org/users/381007/items/EAPNI2SA"],"itemData":{"id":840,"type":"article-journal","title":"Outsourcing Social Transformation: Development NGOs as Organizations","container-title":"Annual Review of Sociology","page":"285-315","volume":"38","abstract":"Examines NGO chains and principal-agent challenges posed by donor demands and altruism from afar.  Finds that NGOs often have to use intermediaries in program implemenation and are faced with uncertainty regarding information and funding.  Finds that some types of NGOs are more likely to specialize (humanitarian relief) or the use of technology like social marketing vs. broder focus.  Uncertainty in funding and their environment shapes the work of NGOs and their organization.","author":[{"family":"Watkins","given":"Susan Cotts"},{"family":"Swidler","given":"Ann"},{"family":"Hannan","given":"Thomas"}],"issued":{"date-parts":[["2012"]]}}}],"schema":"https://github.com/citation-style-language/schema/raw/master/csl-citation.json"} </w:instrText>
      </w:r>
      <w:r>
        <w:fldChar w:fldCharType="separate"/>
      </w:r>
      <w:r w:rsidRPr="00283711">
        <w:t>(Ebrahim 2003; Brass 2012b; Watkins, Swidler, and Hannan 2012)</w:t>
      </w:r>
      <w:r>
        <w:fldChar w:fldCharType="end"/>
      </w:r>
      <w:r w:rsidRPr="00096BB1">
        <w:t xml:space="preserve">. Additional explanations for location include need and the networks available to affect such need, examined as within case comparisons </w:t>
      </w:r>
      <w:r>
        <w:fldChar w:fldCharType="begin"/>
      </w:r>
      <w:r>
        <w:instrText xml:space="preserve"> ADDIN ZOTERO_ITEM CSL_CITATION {"citationID":"Gst5Lp7F","properties":{"formattedCitation":"(Fruttero and Gauri 2005; Brass 2012b)","plainCitation":"(Fruttero and Gauri 2005; Brass 2012b)"},"citationItems":[{"id":1311,"uris":["http://zotero.org/users/381007/items/STMX9W64"],"uri":["http://zotero.org/users/381007/items/STMX9W64"],"itemData":{"id":1311,"type":"article-journal","title":"The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id":949,"uris":["http://zotero.org/users/381007/items/HCQ4K4HC"],"uri":["http://zotero.org/users/381007/items/HCQ4K4HC"],"itemData":{"id":949,"type":"article-journal","title":"Why do NGOs Go Where They Go?  Evidence from Kenya","container-title":"World Development","page":"387-401","volume":"40","issue":"2","abstract":"What factors contribute to where NGOs work?  Examines \"saintly\" (based on need), convenience (population density, urbanization), and political (patronage) explanations for NGO location at the district level in Kenya using linear regression and qualitative interviews.  Finds support for the \"saintly\" and \"convenience\" explanations, but not for political, which is interesting given the strength of patronage politics in SSA.  Notes that this needs further exploration using other variables, but that it is an interesting finding that could be explained by one respondent who says that politicians become invovled after a program is implmented and take credit for its \"good deeds.\"  Convenience could be explained by the need to access more people more efficiently, \"comfort\" amenities to draw high quality staff, and resources. However, if the same dimension is examined based on per capita demographics rather than number of NGOs, NGOs are more highly concentrated in more rural areas (particularly the semi-arid and arid north) where NGOs serve to extend the reach of the government. Areas for future research: political dimension; more research in Kenya or elsewher for comparative purposes; changes in NGO location over time and \"hot spots\" in response to need (ex. natural disaster) or promotion of personnel to higher levels; NGO networks and collaboration and its influence on location (do NGOs locate where they already have networks, previous successful collaboration, etc.); and sector speciic analysis (do NGOs of particlar sectors concentrate in particular areas? do NGOs snowball based on networks?).\n\nI disagree with her donor assessment, that donors may help shape NGO location through their preferences because of the survival mentality of NGOs for funding, NGOs seek out donors looking to fund their types of programs, not the other way around? \"Donors may influence the sector of programs offered, they are also less likely to influence location decisions since donors tend to favor long-standing organizations whose locations are already established...\" and cites Mercer 2003 an Ebrahim 2003 re: NGOs are more accountable to donors than to recipients, if true donors may favor one subnational group over another... but NGOs receive funding from a number of sources and how do they prioritize conflicting demands about location?  \n\nWould also be interesting to explore cliam that local leadership (kenyans) serve to mitigate hte sway of foreign donors and its relationship to the principal agent problem of altruism at a distance and how information and staffing affect meeting donor requirements","author":[{"family":"Brass","given":"Jennifer N."}],"issued":{"date-parts":[["2012"]]}}}],"schema":"https://github.com/citation-style-language/schema/raw/master/csl-citation.json"} </w:instrText>
      </w:r>
      <w:r>
        <w:fldChar w:fldCharType="separate"/>
      </w:r>
      <w:r w:rsidRPr="00283711">
        <w:t>(Fruttero and Gauri 2005; Brass 2012b)</w:t>
      </w:r>
      <w:r>
        <w:fldChar w:fldCharType="end"/>
      </w:r>
      <w:r w:rsidRPr="00096BB1">
        <w:t xml:space="preserve">. </w:t>
      </w:r>
      <w:r>
        <w:t xml:space="preserve">The impact of resource dependence may be amplified for large TNGOs which appear to be more effective at securing government funding, but who are consequently less diversified in their income in some cases. Further, the influence of strategic initiatives on location choices may be particularly important in the decision-making process. </w:t>
      </w:r>
    </w:p>
    <w:p w:rsidR="001630DC" w:rsidRPr="000C57A5" w:rsidRDefault="001630DC" w:rsidP="001630DC">
      <w:pPr>
        <w:spacing w:line="480" w:lineRule="auto"/>
        <w:ind w:firstLine="720"/>
        <w:rPr>
          <w:noProof/>
        </w:rPr>
      </w:pPr>
      <w:r w:rsidRPr="000C57A5">
        <w:rPr>
          <w:noProof/>
        </w:rPr>
        <w:t xml:space="preserve">Because the question of whether strategic initiatives influence the geography of </w:t>
      </w:r>
      <w:r>
        <w:rPr>
          <w:noProof/>
        </w:rPr>
        <w:t>TNGO</w:t>
      </w:r>
      <w:r w:rsidRPr="000C57A5">
        <w:rPr>
          <w:noProof/>
        </w:rPr>
        <w:t xml:space="preserve">s is essentially one of resources, resource dependence theory is used as the frame for this sudy. Resource dependence theory states that resources are fundamental to organizational survival, making the assumption that a certain degree of dependence is present in the relationship between those who control the distribution of resources and those who are reliant on said resources for survivial. How dependent the seekers are on the distributors is determined by the concentration of resources </w:t>
      </w:r>
      <w:r>
        <w:rPr>
          <w:noProof/>
        </w:rPr>
        <w:fldChar w:fldCharType="begin"/>
      </w:r>
      <w:r>
        <w:rPr>
          <w:noProof/>
        </w:rPr>
        <w:instrText xml:space="preserve"> ADDIN ZOTERO_ITEM CSL_CITATION {"citationID":"lSybe1Jn","properties":{"formattedCitation":"(Froelich 1999; Pfeffer and Salancik 2003)","plainCitation":"(Froelich 1999; Pfeffer and Salancik 2003)"},"citationItems":[{"id":3165,"uris":["http://zotero.org/users/381007/items/ES6WPZSJ"],"uri":["http://zotero.org/users/381007/items/ES6WPZSJ"],"itemData":{"id":3165,"type":"article-journal","title":"Diversification of Revenue Strategies: Evolving Resource Dependence in Nonprofit Organizations","container-title":"Nonprofit and Voluntary Sector Quarterly","page":"246-268","volume":"28","issue":"3","author":[{"family":"Froelich","given":"Karen A."}],"issued":{"date-parts":[["1999"]]}}},{"id":3155,"uris":["http://zotero.org/users/381007/items/CC5TISTK"],"uri":["http://zotero.org/users/381007/items/CC5TISTK"],"itemData":{"id":3155,"type":"book","title":"The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1978"}}}],"schema":"https://github.com/citation-style-language/schema/raw/master/csl-citation.json"} </w:instrText>
      </w:r>
      <w:r>
        <w:rPr>
          <w:noProof/>
        </w:rPr>
        <w:fldChar w:fldCharType="separate"/>
      </w:r>
      <w:r w:rsidRPr="000C57A5">
        <w:rPr>
          <w:noProof/>
        </w:rPr>
        <w:t>(Froelich 1999; Pfeffer and Salancik 2003)</w:t>
      </w:r>
      <w:r>
        <w:rPr>
          <w:noProof/>
        </w:rPr>
        <w:fldChar w:fldCharType="end"/>
      </w:r>
      <w:r w:rsidRPr="000C57A5">
        <w:rPr>
          <w:noProof/>
        </w:rPr>
        <w:t xml:space="preserve">. Those deriving resources from few distributors become beholden to them, hence the push for resrouce diversification. These outcomes impact not only the policies and procedures of the organization, but also representativeness, legitimacy, and autonomy </w:t>
      </w:r>
      <w:r>
        <w:rPr>
          <w:noProof/>
        </w:rPr>
        <w:fldChar w:fldCharType="begin"/>
      </w:r>
      <w:r>
        <w:rPr>
          <w:noProof/>
        </w:rPr>
        <w:instrText xml:space="preserve"> ADDIN ZOTERO_ITEM CSL_CITATION {"citationID":"gvYFGbXp","properties":{"formattedCitation":"(Edwards and Hulme 1996c; Moulton and Eckerd 2012; Smillie 1995)","plainCitation":"(Edwards and Hulme 1996c; Moulton and Eckerd 2012; Smillie 1995)"},"citationItems":[{"id":971,"uris":["http://zotero.org/users/381007/items/HZAX4RXK"],"uri":["http://zotero.org/users/381007/items/HZAX4RXK"],"itemData":{"id":971,"type":"article-journal","title":"Too Close for Comfort?  The Impact of Official Aid on Nongovernmental Organizations","container-title":"World Development","page":"961-973","volume":"24","issue":"6","abstract":"In promoting a “New Policy Agenda,” bilateral and multilateral donor agencies are keen\nto finance nongovernmental organisations (NGOs) and grassroots organizations (GROs) on the grounds of their economic efficiency and contribution to “good governance.” NGOs viewed as more efficient and cost-effective service providers by many.  \nThis paper reviews the impact of this trend on NGO/GRO programming, performance, legitimacy and accountability. If finds that much of the case for emphasizing the role of NGOs/GROs rests on ideological grounds rather than empirical verification. In addition, though the evidence is inconclusive, there. are signs that greater dependence on official funding may compromise NGO/GRO performance in key areas, distort accountability, and weaken legitimacy. Evidence available suggests that NGOs who wish to remain effective/accountable under the New Policy Agenda should diversify funding sources and prusue strategies to raise funds locally as a means to promote sustainability and legitimacy in the long-term.","author":[{"family":"Edwards","given":"Michael"},{"family":"Hulme","given":"David"}],"issued":{"date-parts":[["1996"]]}}},{"id":3141,"uris":["http://zotero.org/users/381007/items/9SHT8RS7"],"uri":["http://zotero.org/users/381007/items/9SHT8RS7"],"itemData":{"id":3141,"type":"article-journal","title":"Preserving the Publicness of the Nonprofit Sector: Resources, Roles, and Public Values","container-title":"Nonprofit and Voluntary Sector Quarterly","page":"656-685","volume":"41","issue":"4","author":[{"family":"Moulton","given":"Stephanie"},{"family":"Eckerd","given":"Adam"}],"issued":{"date-parts":[["2012"]]}}},{"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rPr>
          <w:noProof/>
        </w:rPr>
        <w:fldChar w:fldCharType="separate"/>
      </w:r>
      <w:r w:rsidRPr="00283711">
        <w:t>(Edwards and Hulme 1996c; Moulton and Eckerd 2012; Smillie 1995)</w:t>
      </w:r>
      <w:r>
        <w:rPr>
          <w:noProof/>
        </w:rPr>
        <w:fldChar w:fldCharType="end"/>
      </w:r>
      <w:r w:rsidRPr="000C57A5">
        <w:rPr>
          <w:noProof/>
        </w:rPr>
        <w:t>.</w:t>
      </w:r>
    </w:p>
    <w:p w:rsidR="001630DC" w:rsidRPr="000C57A5" w:rsidRDefault="001630DC" w:rsidP="001630DC">
      <w:pPr>
        <w:spacing w:line="480" w:lineRule="auto"/>
        <w:ind w:firstLine="720"/>
        <w:rPr>
          <w:noProof/>
        </w:rPr>
      </w:pPr>
      <w:r w:rsidRPr="000C57A5">
        <w:rPr>
          <w:noProof/>
        </w:rPr>
        <w:t xml:space="preserve">Organizations </w:t>
      </w:r>
      <w:r>
        <w:rPr>
          <w:noProof/>
        </w:rPr>
        <w:t>that receive</w:t>
      </w:r>
      <w:r w:rsidRPr="000C57A5">
        <w:rPr>
          <w:noProof/>
        </w:rPr>
        <w:t xml:space="preserve"> government funds for international programs are </w:t>
      </w:r>
      <w:r>
        <w:rPr>
          <w:noProof/>
        </w:rPr>
        <w:t>therefore</w:t>
      </w:r>
      <w:r w:rsidRPr="000C57A5">
        <w:rPr>
          <w:noProof/>
        </w:rPr>
        <w:t xml:space="preserve"> expected to be </w:t>
      </w:r>
      <w:r>
        <w:rPr>
          <w:noProof/>
        </w:rPr>
        <w:t>strongly</w:t>
      </w:r>
      <w:r w:rsidRPr="000C57A5">
        <w:rPr>
          <w:noProof/>
        </w:rPr>
        <w:t xml:space="preserve"> influence</w:t>
      </w:r>
      <w:r>
        <w:rPr>
          <w:noProof/>
        </w:rPr>
        <w:t>d</w:t>
      </w:r>
      <w:r w:rsidRPr="000C57A5">
        <w:rPr>
          <w:noProof/>
        </w:rPr>
        <w:t xml:space="preserve"> by U.S. government strategic initiatives and </w:t>
      </w:r>
      <w:r>
        <w:rPr>
          <w:noProof/>
        </w:rPr>
        <w:t xml:space="preserve">to </w:t>
      </w:r>
      <w:r w:rsidRPr="000C57A5">
        <w:rPr>
          <w:noProof/>
        </w:rPr>
        <w:t xml:space="preserve">acquiescence to donor demands. In </w:t>
      </w:r>
      <w:r>
        <w:rPr>
          <w:noProof/>
        </w:rPr>
        <w:t>one</w:t>
      </w:r>
      <w:r w:rsidRPr="000C57A5">
        <w:rPr>
          <w:noProof/>
        </w:rPr>
        <w:t xml:space="preserve"> </w:t>
      </w:r>
      <w:r>
        <w:rPr>
          <w:noProof/>
        </w:rPr>
        <w:t>study of</w:t>
      </w:r>
      <w:r w:rsidRPr="000C57A5">
        <w:rPr>
          <w:noProof/>
        </w:rPr>
        <w:t xml:space="preserve"> domestic nonprofits, nonprofit density is more sensitive to changes in government grants and program revenues than other types of funding </w:t>
      </w:r>
      <w:r>
        <w:rPr>
          <w:noProof/>
        </w:rPr>
        <w:fldChar w:fldCharType="begin"/>
      </w:r>
      <w:r>
        <w:rPr>
          <w:noProof/>
        </w:rPr>
        <w:instrText xml:space="preserve"> ADDIN ZOTERO_ITEM CSL_CITATION {"citationID":"Wkr5v8BR","properties":{"formattedCitation":"(Lecy and Van Slyke 2012)","plainCitation":"(Lecy and Van Slyke 2012)"},"citationItems":[{"id":1474,"uris":["http://zotero.org/users/381007/items/VSBUJRVU"],"uri":["http://zotero.org/users/381007/items/VSBUJRVU"],"itemData":{"id":1474,"type":"article-journal","title":"Nonprofit Sector Growth and Density: Testing Theories of Government Support","container-title":"Journal of Public Administration Research and Theory","page":"189-214","volume":"23","abstract":"Theories of nonprofit density assume variety of disposition toward the state (suspicion, opposition, indifference, mutual dependence).  This article conducts an empirical test of 2 nonprofit theories: government failure theory and interdependence theory.  Government failure theory characterizes nonprofit activities as substitute or oppositional to state programs, accounting for limitations or failures of government-provided services while interdependence theory emphasizes complementary and collaborative nature of nonprofit activities, focusing on overlapping agendas of nonprofits and the state and the mutual dependency that arises from partnership.  Findings suggest that government funding has a more favorable effect on nonprofit density  than private donations.","DOI":"10.1093/jopart/musO1O","author":[{"family":"Lecy","given":"Jesse D."},{"family":"Van Slyke","given":"David M."}],"issued":{"date-parts":[["2012"]]}}}],"schema":"https://github.com/citation-style-language/schema/raw/master/csl-citation.json"} </w:instrText>
      </w:r>
      <w:r>
        <w:rPr>
          <w:noProof/>
        </w:rPr>
        <w:fldChar w:fldCharType="separate"/>
      </w:r>
      <w:r w:rsidRPr="000C57A5">
        <w:rPr>
          <w:noProof/>
        </w:rPr>
        <w:t>(Lecy and Van Slyke 2012)</w:t>
      </w:r>
      <w:r>
        <w:rPr>
          <w:noProof/>
        </w:rPr>
        <w:fldChar w:fldCharType="end"/>
      </w:r>
      <w:r w:rsidRPr="000C57A5">
        <w:rPr>
          <w:noProof/>
        </w:rPr>
        <w:t xml:space="preserve">. While Lecy and Van Slyke’s study is a comparison of government failure and interdependence theories, their observations about varieties of funding and the stability that domestic organizations draw from government support may be applicable to </w:t>
      </w:r>
      <w:r>
        <w:rPr>
          <w:noProof/>
        </w:rPr>
        <w:t>TNGO</w:t>
      </w:r>
      <w:r w:rsidRPr="000C57A5">
        <w:rPr>
          <w:noProof/>
        </w:rPr>
        <w:t xml:space="preserve">s as well. For </w:t>
      </w:r>
      <w:r>
        <w:rPr>
          <w:noProof/>
        </w:rPr>
        <w:t>TNGO</w:t>
      </w:r>
      <w:r w:rsidRPr="000C57A5">
        <w:rPr>
          <w:noProof/>
        </w:rPr>
        <w:t xml:space="preserve">s, uncertainty about funding </w:t>
      </w:r>
      <w:r>
        <w:rPr>
          <w:noProof/>
        </w:rPr>
        <w:t>and</w:t>
      </w:r>
      <w:r w:rsidRPr="000C57A5">
        <w:rPr>
          <w:noProof/>
        </w:rPr>
        <w:t xml:space="preserve"> the operating environment shapes the work of the organization </w:t>
      </w:r>
      <w:r>
        <w:rPr>
          <w:noProof/>
        </w:rPr>
        <w:fldChar w:fldCharType="begin"/>
      </w:r>
      <w:r>
        <w:rPr>
          <w:noProof/>
        </w:rPr>
        <w:instrText xml:space="preserve"> ADDIN ZOTERO_ITEM CSL_CITATION {"citationID":"0yStQpUO","properties":{"formattedCitation":"(Watkins, Swidler, and Hannan 2012)","plainCitation":"(Watkins, Swidler, and Hannan 2012)"},"citationItems":[{"id":840,"uris":["http://zotero.org/users/381007/items/EAPNI2SA"],"uri":["http://zotero.org/users/381007/items/EAPNI2SA"],"itemData":{"id":840,"type":"article-journal","title":"Outsourcing Social Transformation: Development NGOs as Organizations","container-title":"Annual Review of Sociology","page":"285-315","volume":"38","abstract":"Examines NGO chains and principal-agent challenges posed by donor demands and altruism from afar.  Finds that NGOs often have to use intermediaries in program implemenation and are faced with uncertainty regarding information and funding.  Finds that some types of NGOs are more likely to specialize (humanitarian relief) or the use of technology like social marketing vs. broder focus.  Uncertainty in funding and their environment shapes the work of NGOs and their organization.","author":[{"family":"Watkins","given":"Susan Cotts"},{"family":"Swidler","given":"Ann"},{"family":"Hannan","given":"Thomas"}],"issued":{"date-parts":[["2012"]]}}}],"schema":"https://github.com/citation-style-language/schema/raw/master/csl-citation.json"} </w:instrText>
      </w:r>
      <w:r>
        <w:rPr>
          <w:noProof/>
        </w:rPr>
        <w:fldChar w:fldCharType="separate"/>
      </w:r>
      <w:r w:rsidRPr="000C57A5">
        <w:rPr>
          <w:noProof/>
        </w:rPr>
        <w:t>(Watkins, Swidler, and Hannan 2012)</w:t>
      </w:r>
      <w:r>
        <w:rPr>
          <w:noProof/>
        </w:rPr>
        <w:fldChar w:fldCharType="end"/>
      </w:r>
      <w:r w:rsidRPr="000C57A5">
        <w:rPr>
          <w:noProof/>
        </w:rPr>
        <w:t xml:space="preserve">. </w:t>
      </w:r>
    </w:p>
    <w:p w:rsidR="001630DC" w:rsidRPr="00BA1757" w:rsidRDefault="001630DC" w:rsidP="001630DC">
      <w:pPr>
        <w:spacing w:line="480" w:lineRule="auto"/>
        <w:ind w:firstLine="720"/>
        <w:rPr>
          <w:noProof/>
        </w:rPr>
      </w:pPr>
      <w:r w:rsidRPr="000C57A5">
        <w:rPr>
          <w:noProof/>
        </w:rPr>
        <w:t xml:space="preserve">However, stability is not without costs. As </w:t>
      </w:r>
      <w:r>
        <w:rPr>
          <w:noProof/>
        </w:rPr>
        <w:t>TNGO</w:t>
      </w:r>
      <w:r w:rsidRPr="000C57A5">
        <w:rPr>
          <w:noProof/>
        </w:rPr>
        <w:t xml:space="preserve">s seek to improve efficiency and build donor relationships, they may lose their effectiveness among target populations and thus use the least costly methods to make themselves appealing to donors </w:t>
      </w:r>
      <w:r>
        <w:rPr>
          <w:noProof/>
        </w:rPr>
        <w:fldChar w:fldCharType="begin"/>
      </w:r>
      <w:r>
        <w:rPr>
          <w:noProof/>
        </w:rPr>
        <w:instrText xml:space="preserve"> ADDIN ZOTERO_ITEM CSL_CITATION {"citationID":"uDh2aBVP","properties":{"formattedCitation":"(Reinhardt 2009)","plainCitation":"(Reinhardt 2009)"},"citationItems":[{"id":3177,"uris":["http://zotero.org/users/381007/items/I2VQAC4P"],"uri":["http://zotero.org/users/381007/items/I2VQAC4P"],"itemData":{"id":3177,"type":"article-journal","title":"Matching Donors and NGOs: The Importance of Signaling in Funding Awards","container-title":"Journal of Theoretical Politics","page":"283-309","volume":"21","issue":"3","abstract":"The topic of nonprofit reform has sparked a debate on the battle between efficiency\nand effectiveness. Why do ineffective nonprofits survive? Prospective\ndonors favor applicants likely to fulfill donor priorities. Donors with limited\ntime and energy look for signals that reveal recipients’ true capabilities.\nKnowing this, recipients attempt to send the right signals to prospective\ndonors. If the process of sending and reading signals is efficient, funding decisions\nwill tend toward an optimal outcome in which only effective agencies\nsurvive. What signals do donors consider the most helpful? Are organizations\nthat send such signals receiving the highest payoffs? What is the financial yield\nof each signal to recipients? This article uses a signaling game to sharpen our\nunderstanding of nonprofit fundraising and derive the conditions under which\nsignals will be credible. Interview and survey evidence gathered in Brazil indicate\nthat signals of accessibility, reliability, and credibility attract the highest\npayoffs.","author":[{"family":"Reinhardt","given":"Gina Yannitell"}],"issued":{"date-parts":[["2009"]]}}}],"schema":"https://github.com/citation-style-language/schema/raw/master/csl-citation.json"} </w:instrText>
      </w:r>
      <w:r>
        <w:rPr>
          <w:noProof/>
        </w:rPr>
        <w:fldChar w:fldCharType="separate"/>
      </w:r>
      <w:r w:rsidRPr="000C57A5">
        <w:rPr>
          <w:noProof/>
        </w:rPr>
        <w:t>(Reinhardt 2009, p. 284)</w:t>
      </w:r>
      <w:r>
        <w:rPr>
          <w:noProof/>
        </w:rPr>
        <w:fldChar w:fldCharType="end"/>
      </w:r>
      <w:r w:rsidRPr="000C57A5">
        <w:rPr>
          <w:noProof/>
        </w:rPr>
        <w:t xml:space="preserve">. Others find that </w:t>
      </w:r>
      <w:r>
        <w:rPr>
          <w:noProof/>
        </w:rPr>
        <w:t>TNGO</w:t>
      </w:r>
      <w:r w:rsidRPr="000C57A5">
        <w:rPr>
          <w:noProof/>
        </w:rPr>
        <w:t xml:space="preserve">s with government support are more likely to comply with financial reporting requirements </w:t>
      </w:r>
      <w:r>
        <w:rPr>
          <w:noProof/>
        </w:rPr>
        <w:fldChar w:fldCharType="begin"/>
      </w:r>
      <w:r>
        <w:rPr>
          <w:noProof/>
        </w:rPr>
        <w:instrText xml:space="preserve"> ADDIN ZOTERO_ITEM CSL_CITATION {"citationID":"iFmaMaIN","properties":{"formattedCitation":"(Verbruggen, Christiaens, and Milis 2011)","plainCitation":"(Verbruggen, Christiaens, and Milis 2011)"},"citationItems":[{"id":1065,"uris":["http://zotero.org/users/381007/items/KFM3B4SP"],"uri":["http://zotero.org/users/381007/items/KFM3B4SP"],"itemData":{"id":1065,"type":"article-journal","title":"Can Resource Dependence and Coercive Isomorphism Explain Nonprofit Organizations' Compliance with Reporting Standards?","container-title":"Nonprofit and Voluntary Sector Quarterly","page":"5-32","volume":"40","issue":"1","abstract":"Nonprofit organizations worldwide are confronted with an increasing demand for accountability and improved financial transparency. Financial reporting by nonprofit organizations is no longer an exception; it has become a rule. The usefulness of a financial report to an organization’s stakeholders depends on its quality. The latter is safeguarded by reporting standards as well as the commitment of the organization to fully implement these standards. Although resource dependence and coercive isomorphism have been used in earlier nonprofit organization research, no empirical research has linked these theories to compliance with financial reporting standards.","author":[{"family":"Verbruggen","given":"Sandra"},{"family":"Christiaens","given":"Johan"},{"family":"Milis","given":"Koen"}],"issued":{"date-parts":[["2011"]]}}}],"schema":"https://github.com/citation-style-language/schema/raw/master/csl-citation.json"} </w:instrText>
      </w:r>
      <w:r>
        <w:rPr>
          <w:noProof/>
        </w:rPr>
        <w:fldChar w:fldCharType="separate"/>
      </w:r>
      <w:r w:rsidRPr="000C57A5">
        <w:rPr>
          <w:noProof/>
        </w:rPr>
        <w:t>(Verbruggen, Christiaens, and Milis 2011)</w:t>
      </w:r>
      <w:r>
        <w:rPr>
          <w:noProof/>
        </w:rPr>
        <w:fldChar w:fldCharType="end"/>
      </w:r>
      <w:r w:rsidRPr="000C57A5">
        <w:rPr>
          <w:noProof/>
        </w:rPr>
        <w:t xml:space="preserve"> and that such support can change the dynamics of advocacy as well as representativeness </w:t>
      </w:r>
      <w:r>
        <w:rPr>
          <w:noProof/>
        </w:rPr>
        <w:fldChar w:fldCharType="begin"/>
      </w:r>
      <w:r>
        <w:rPr>
          <w:noProof/>
        </w:rPr>
        <w:instrText xml:space="preserve"> ADDIN ZOTERO_ITEM CSL_CITATION {"citationID":"4St2dZYP","properties":{"formattedCitation":"(Guo 2007; Mosley 2012)","plainCitation":"(Guo 2007; Mosley 2012)"},"citationItems":[{"id":1027,"uris":["http://zotero.org/users/381007/items/JAG7PTE3"],"uri":["http://zotero.org/users/381007/items/JAG7PTE3"],"itemData":{"id":1027,"type":"article-journal","title":"When Government Becomes the Principal Philanthropist: The Effects of Public Funding on Patterns of Nonprofit Governance","container-title":"Public Administration Review","page":"458-473","volume":"67","issue":"3","abstract":"The prevalence of nonprofit orgs in the deliver of public services and the importance of government as a financier to nonprofit contracts continues to increase, this study explores the consequences of this relationship. Smith and Lipsky (1993) argue that nonprofit boards effectively \"embody and represent community interests\" (74) and that growing financial ties to government might transform these boards from agents of the community to agents of the government. Controlling for other relevant environmental and institutional factors, reliance on government funding decreases the likelihood that nonprofits will develop strong, representative boards. The findings suggest that reliance on government funding reduces the representativeness and influences of nonprofit boards, and the democratic function of nonprofit orgs may be seriously constrained.","author":[{"family":"Guo","given":"Chao"}],"issued":{"date-parts":[["2007"]]}}},{"id":796,"uris":["http://zotero.org/users/381007/items/D9RJHU4F"],"uri":["http://zotero.org/users/381007/items/D9RJHU4F"],"itemData":{"id":796,"type":"article-journal","title":"Keeping the Lights On: How Government Funding Concerns Drive the Advocacy Agendas of Nonprofit Homeless Providers","container-title":"Journal of Public Administration Research and Theory","page":"841-866","volume":"22","abstract":"Human service nonprofits have historically played an important role in advocating on behalf\nof the vulnerable populations that they serve. Growth in privatization has led many scholars\nand practitioners to wonder if increased dependence on government funds would\ncompromise this role. The objective of this study is to explore the relationship between\ngovernment funding and advocacy participation, goals, and tactics through a qualitative\ninvestigation of advocacy involvement in the field of homeless services. Results demonstrate\nthat having government funding is associated with managers being highly motivated to\nparticipate in advocacy in the hopes of solidifying funding relationships. As a result, advocacy\ngoals are focused primarily on brokering resources and promoting the organization rather\nthan substantive policy change or client representation. Furthermore, in order to be\nperceived as a legitimate partner to government, organizations reject confrontational\nmethods and advocate as insiders. Overall, these findings indicate perceptions about\nadvocacy may need to shift as increased reliance on government funding has made\nadvocacy participation and participation in collaborative governance virtually indistinguishable.","DOI":"doi:10.1093/jopart/mus003","author":[{"family":"Mosley","given":"Jennifer E."}],"issued":{"date-parts":[["2012"]]},"accessed":{"date-parts":[["2013",10,14]]}}}],"schema":"https://github.com/citation-style-language/schema/raw/master/csl-citation.json"} </w:instrText>
      </w:r>
      <w:r>
        <w:rPr>
          <w:noProof/>
        </w:rPr>
        <w:fldChar w:fldCharType="separate"/>
      </w:r>
      <w:r w:rsidRPr="000C57A5">
        <w:rPr>
          <w:noProof/>
        </w:rPr>
        <w:t>(Guo 2007; Mosley 2012)</w:t>
      </w:r>
      <w:r>
        <w:rPr>
          <w:noProof/>
        </w:rPr>
        <w:fldChar w:fldCharType="end"/>
      </w:r>
      <w:r w:rsidRPr="000C57A5">
        <w:rPr>
          <w:noProof/>
        </w:rPr>
        <w:t xml:space="preserve">. Donor influence and the impact of compliance or non-compliance may be extended to increased activity in strategic initiative countries. It is plausible that location is a mechanism for </w:t>
      </w:r>
      <w:r>
        <w:rPr>
          <w:noProof/>
        </w:rPr>
        <w:t>TNGO</w:t>
      </w:r>
      <w:r w:rsidRPr="000C57A5">
        <w:rPr>
          <w:noProof/>
        </w:rPr>
        <w:t xml:space="preserve">s to respond to donors; greater agency on the part of </w:t>
      </w:r>
      <w:r>
        <w:rPr>
          <w:noProof/>
        </w:rPr>
        <w:t>TNGO</w:t>
      </w:r>
      <w:r w:rsidRPr="000C57A5">
        <w:rPr>
          <w:noProof/>
        </w:rPr>
        <w:t xml:space="preserve">s suggests that resource dependency may hold some value and that </w:t>
      </w:r>
      <w:r>
        <w:rPr>
          <w:noProof/>
        </w:rPr>
        <w:t>TNGO</w:t>
      </w:r>
      <w:r w:rsidRPr="000C57A5">
        <w:rPr>
          <w:noProof/>
        </w:rPr>
        <w:t xml:space="preserve">s are responsive to donor demands, but not without ceratin caveats like mission congruence. </w:t>
      </w:r>
    </w:p>
    <w:p w:rsidR="001630DC" w:rsidRPr="009D7554" w:rsidRDefault="001630DC" w:rsidP="001630DC">
      <w:pPr>
        <w:spacing w:line="480" w:lineRule="auto"/>
        <w:ind w:firstLine="720"/>
        <w:jc w:val="both"/>
      </w:pPr>
      <w:r w:rsidRPr="009D7554">
        <w:t xml:space="preserve">Earlier findings on </w:t>
      </w:r>
      <w:r>
        <w:t>TNGO location</w:t>
      </w:r>
      <w:r w:rsidRPr="009D7554">
        <w:t xml:space="preserve"> at the regional level suggest that larger organizations are more likely to operate in one or more regions, but that multi-regional operations are not significant in relationship to government funding. Disaggregating regional location to country-level data provide</w:t>
      </w:r>
      <w:r>
        <w:t>s</w:t>
      </w:r>
      <w:r w:rsidRPr="009D7554">
        <w:t xml:space="preserve"> greater insight into the geographic scope of </w:t>
      </w:r>
      <w:r>
        <w:t>TNGO</w:t>
      </w:r>
      <w:r w:rsidRPr="009D7554">
        <w:t xml:space="preserve">s. Linking the behavior of </w:t>
      </w:r>
      <w:r>
        <w:t>TNGO</w:t>
      </w:r>
      <w:r w:rsidRPr="009D7554">
        <w:t>s to funding streams adds to the sch</w:t>
      </w:r>
      <w:r>
        <w:t>olarly discussion in two ways. F</w:t>
      </w:r>
      <w:r w:rsidRPr="009D7554">
        <w:t xml:space="preserve">irst, it expands upon the set of domestic cases that are predominant in the nonprofit literature and synthesizes scholarship about </w:t>
      </w:r>
      <w:r>
        <w:t>TNGOs across disciplines. S</w:t>
      </w:r>
      <w:r w:rsidRPr="009D7554">
        <w:t xml:space="preserve">econd, it considers the influence of mission on location in relationship to resource dependence and shifts it from a dependent variable to an independent variable </w:t>
      </w:r>
      <w:r>
        <w:fldChar w:fldCharType="begin"/>
      </w:r>
      <w:r>
        <w:instrText xml:space="preserve"> ADDIN ZOTERO_ITEM CSL_CITATION {"citationID":"7dml4GMA","properties":{"formattedCitation":"(Moulton and Eckerd 2012; Bozeman 1987)","plainCitation":"(Moulton and Eckerd 2012; Bozeman 1987)"},"citationItems":[{"id":3141,"uris":["http://zotero.org/users/381007/items/9SHT8RS7"],"uri":["http://zotero.org/users/381007/items/9SHT8RS7"],"itemData":{"id":3141,"type":"article-journal","title":"Preserving the Publicness of the Nonprofit Sector: Resources, Roles, and Public Values","container-title":"Nonprofit and Voluntary Sector Quarterly","page":"656-685","volume":"41","issue":"4","author":[{"family":"Moulton","given":"Stephanie"},{"family":"Eckerd","given":"Adam"}],"issued":{"date-parts":[["2012"]]}}},{"id":3128,"uris":["http://zotero.org/users/381007/items/76DA8PJD"],"uri":["http://zotero.org/users/381007/items/76DA8PJD"],"itemData":{"id":3128,"type":"book","title":"All Organizations Are Public: Bridging Public and Private Organizational Theories","publisher":"Josey-Bass","publisher-place":"San Francisco","event-place":"San Francisco","author":[{"family":"Bozeman","given":"Barry"}],"issued":{"date-parts":[["1987"]]}}}],"schema":"https://github.com/citation-style-language/schema/raw/master/csl-citation.json"} </w:instrText>
      </w:r>
      <w:r>
        <w:fldChar w:fldCharType="separate"/>
      </w:r>
      <w:r w:rsidRPr="009D7554">
        <w:t>(Moulton and Eckerd 2012; Bozeman 1987)</w:t>
      </w:r>
      <w:r>
        <w:fldChar w:fldCharType="end"/>
      </w:r>
      <w:r w:rsidRPr="009D7554">
        <w:t xml:space="preserve">. </w:t>
      </w:r>
    </w:p>
    <w:p w:rsidR="001630DC" w:rsidRDefault="001630DC" w:rsidP="001630DC">
      <w:pPr>
        <w:spacing w:line="480" w:lineRule="auto"/>
        <w:ind w:firstLine="720"/>
        <w:jc w:val="both"/>
      </w:pPr>
      <w:r w:rsidRPr="009D7554">
        <w:t xml:space="preserve">The result is that </w:t>
      </w:r>
      <w:r>
        <w:t>TNGO</w:t>
      </w:r>
      <w:r w:rsidRPr="009D7554">
        <w:t xml:space="preserve">s are granted greater agency in their pursuit of donors, a greater degree of entrepreneurship, and resource dependence is contextualized. Location may be a function of funding streams, but the public value innate in the charitable sector is also significant in decision-making. </w:t>
      </w:r>
      <w:r w:rsidRPr="009D7554">
        <w:rPr>
          <w:noProof/>
        </w:rPr>
        <w:t xml:space="preserve">Kerlin </w:t>
      </w:r>
      <w:r>
        <w:rPr>
          <w:noProof/>
        </w:rPr>
        <w:fldChar w:fldCharType="begin"/>
      </w:r>
      <w:r>
        <w:rPr>
          <w:noProof/>
        </w:rPr>
        <w:instrText xml:space="preserve"> ADDIN ZOTERO_ITEM CSL_CITATION {"citationID":"kjokr7Xs","properties":{"formattedCitation":"(Kerlin 2006)","plainCitation":"(Kerlin 2006)"},"citationItems":[{"id":3156,"uris":["http://zotero.org/users/381007/items/DPCUX2MV"],"uri":["http://zotero.org/users/381007/items/DPCUX2MV"],"itemData":{"id":3156,"type":"chapter","title":"U.S.-Based International NGOs and Federal Government Foreign Assistance: Out of Alignment?","container-title":"Nonprofits &amp; Government: Collaboration &amp; Conflict","publisher":"The Urban Institute Press","publisher-place":"Washington","page":"373-398","edition":"2","event-place":"Washington","author":[{"family":"Kerlin","given":"Janelle A."}],"editor":[{"family":"Boris","given":"Elizabeth T."},{"family":"Steuerie","given":"C. Eugene"}],"issued":{"date-parts":[["2006"]]}}}],"schema":"https://github.com/citation-style-language/schema/raw/master/csl-citation.json"} </w:instrText>
      </w:r>
      <w:r>
        <w:rPr>
          <w:noProof/>
        </w:rPr>
        <w:fldChar w:fldCharType="separate"/>
      </w:r>
      <w:r w:rsidRPr="009D7554">
        <w:rPr>
          <w:noProof/>
        </w:rPr>
        <w:t>(2006)</w:t>
      </w:r>
      <w:r>
        <w:rPr>
          <w:noProof/>
        </w:rPr>
        <w:fldChar w:fldCharType="end"/>
      </w:r>
      <w:r w:rsidRPr="009D7554">
        <w:rPr>
          <w:noProof/>
        </w:rPr>
        <w:t xml:space="preserve"> argues that although </w:t>
      </w:r>
      <w:r>
        <w:rPr>
          <w:noProof/>
        </w:rPr>
        <w:t>TNGO</w:t>
      </w:r>
      <w:r w:rsidRPr="009D7554">
        <w:rPr>
          <w:noProof/>
        </w:rPr>
        <w:t xml:space="preserve">s often agree with the basic goals of donors, their approach and the ideology that motivates </w:t>
      </w:r>
      <w:r>
        <w:rPr>
          <w:noProof/>
        </w:rPr>
        <w:t>that</w:t>
      </w:r>
      <w:r w:rsidRPr="009D7554">
        <w:rPr>
          <w:noProof/>
        </w:rPr>
        <w:t xml:space="preserve"> work may </w:t>
      </w:r>
      <w:r>
        <w:rPr>
          <w:noProof/>
        </w:rPr>
        <w:t>occassionally</w:t>
      </w:r>
      <w:r w:rsidRPr="009D7554">
        <w:rPr>
          <w:noProof/>
        </w:rPr>
        <w:t xml:space="preserve"> be out of alignment with that of donors, parti</w:t>
      </w:r>
      <w:r>
        <w:rPr>
          <w:noProof/>
        </w:rPr>
        <w:t>cularly governmnet. Rather than pure resource dependence, nonprofits focus on</w:t>
      </w:r>
      <w:r w:rsidRPr="009D7554">
        <w:rPr>
          <w:noProof/>
        </w:rPr>
        <w:t xml:space="preserve"> mission</w:t>
      </w:r>
      <w:r>
        <w:rPr>
          <w:noProof/>
        </w:rPr>
        <w:t xml:space="preserve"> </w:t>
      </w:r>
      <w:r>
        <w:t xml:space="preserve">and relationships are used to maximize substantive policy change. Previous scholarship highlights how power dynamics can shape agent behavior, particularly in cases where financial resources are at stake </w:t>
      </w:r>
      <w:r>
        <w:fldChar w:fldCharType="begin"/>
      </w:r>
      <w:r>
        <w:instrText xml:space="preserve"> ADDIN ZOTERO_ITEM CSL_CITATION {"citationID":"vHAHd1iC","properties":{"formattedCitation":"(Pfeffer and Salancik 2003; Mosley 2012)","plainCitation":"(Pfeffer and Salancik 2003; Mosley 2012)"},"citationItems":[{"id":3155,"uris":["http://zotero.org/users/381007/items/CC5TISTK"],"uri":["http://zotero.org/users/381007/items/CC5TISTK"],"itemData":{"id":3155,"type":"book","title":"The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1978"}}},{"id":796,"uris":["http://zotero.org/users/381007/items/D9RJHU4F"],"uri":["http://zotero.org/users/381007/items/D9RJHU4F"],"itemData":{"id":796,"type":"article-journal","title":"Keeping the Lights On: How Government Funding Concerns Drive the Advocacy Agendas of Nonprofit Homeless Providers","container-title":"Journal of Public Administration Research and Theory","page":"841-866","volume":"22","abstract":"Human service nonprofits have historically played an important role in advocating on behalf\nof the vulnerable populations that they serve. Growth in privatization has led many scholars\nand practitioners to wonder if increased dependence on government funds would\ncompromise this role. The objective of this study is to explore the relationship between\ngovernment funding and advocacy participation, goals, and tactics through a qualitative\ninvestigation of advocacy involvement in the field of homeless services. Results demonstrate\nthat having government funding is associated with managers being highly motivated to\nparticipate in advocacy in the hopes of solidifying funding relationships. As a result, advocacy\ngoals are focused primarily on brokering resources and promoting the organization rather\nthan substantive policy change or client representation. Furthermore, in order to be\nperceived as a legitimate partner to government, organizations reject confrontational\nmethods and advocate as insiders. Overall, these findings indicate perceptions about\nadvocacy may need to shift as increased reliance on government funding has made\nadvocacy participation and participation in collaborative governance virtually indistinguishable.","DOI":"doi:10.1093/jopart/mus003","author":[{"family":"Mosley","given":"Jennifer E."}],"issued":{"date-parts":[["2012"]]},"accessed":{"date-parts":[["2013",10,14]]}}}],"schema":"https://github.com/citation-style-language/schema/raw/master/csl-citation.json"} </w:instrText>
      </w:r>
      <w:r>
        <w:fldChar w:fldCharType="separate"/>
      </w:r>
      <w:r>
        <w:rPr>
          <w:noProof/>
        </w:rPr>
        <w:t>(Pfeffer and Salancik 2003; Mosley 2012)</w:t>
      </w:r>
      <w:r>
        <w:fldChar w:fldCharType="end"/>
      </w:r>
      <w:r>
        <w:t xml:space="preserve">, yet the public administration literature on implementation keenly points out that vague policies are advantageous in mitigating this dynamic. Rather than a top-down dynamic, such vagueness is employed to shape ideas and to implement programs in line with nonprofit vision and goals </w:t>
      </w:r>
      <w:r>
        <w:fldChar w:fldCharType="begin"/>
      </w:r>
      <w:r>
        <w:instrText xml:space="preserve"> ADDIN ZOTERO_ITEM CSL_CITATION {"citationID":"QBUWikt3","properties":{"formattedCitation":"(Bryce 2005; Lipsky 1980; DeMars 2005)","plainCitation":"(Bryce 2005; Lipsky 1980; DeMars 2005)"},"citationItems":[{"id":3233,"uris":["http://zotero.org/users/381007/items/WRSBAIQV"],"uri":["http://zotero.org/users/381007/items/WRSBAIQV"],"itemData":{"id":3233,"type":"book","title":"Players in the Public Policy Process: Nonprofits as Social Capital Agents","publisher":"Palgrave Macmillan","publisher-place":"New York","event-place":"New York","author":[{"family":"Bryce","given":"Herrington J."}],"issued":{"date-parts":[["2005"]]}}},{"id":1189,"uris":["http://zotero.org/users/381007/items/PTBXJDQ5"],"uri":["http://zotero.org/users/381007/items/PTBXJDQ5"],"itemData":{"id":1189,"type":"book","title":"Street-Level Bureaucracy: Dilemmas of the Individual in Public Services","publisher":"Russell Sage Foundation","publisher-place":"New York","event-place":"New York","author":[{"family":"Lipsky","given":"Michael"}],"issued":{"date-parts":[["1980"]],"season":"2010"}}},{"id":3138,"uris":["http://zotero.org/users/381007/items/95AX72CC"],"uri":["http://zotero.org/users/381007/items/95AX72CC"],"itemData":{"id":3138,"type":"book","title":"NGOs and Transnational Networks: Wild Cards in World Politics","publisher":"Pluto Press","publisher-place":"London","event-place":"London","abstract":"Global moral compass asserts confidence to make moral claim and practical judgments anywhere in the world, depends on circumscribed causality, the causality of both the problem and the NGO solution can reliably be isolated from local social and political contexts.  Modular technique is a set of practies the NGO brings anywhere in the world to create a self-evident positive impact (depends on claim of magic bullet causality - that the technique will only influence the porblem at which it is aimed).  Secular sanction invokes the moral authority of global norms above governments to justify action, but relies on hidden claim of enforcement causality (that global norms will create consistent results everywhere rather than contingent) and representative claims cast the NGO as \"acting for the people\" with moral authority originating below governments, which relies upon the claim of empowerment causality (that NGOs actually mobilize the power of those they claim to represent).","author":[{"family":"DeMars","given":"William E."}],"issued":{"date-parts":[["2005"]]}}}],"schema":"https://github.com/citation-style-language/schema/raw/master/csl-citation.json"} </w:instrText>
      </w:r>
      <w:r>
        <w:fldChar w:fldCharType="separate"/>
      </w:r>
      <w:r>
        <w:rPr>
          <w:noProof/>
        </w:rPr>
        <w:t>(Bryce 2005; Lipsky 1980; DeMars 2005)</w:t>
      </w:r>
      <w:r>
        <w:fldChar w:fldCharType="end"/>
      </w:r>
      <w:r>
        <w:t>, thereby making donors and TNGOs mutually dependent.</w:t>
      </w:r>
      <w:r w:rsidRPr="009D7554">
        <w:t xml:space="preserve"> </w:t>
      </w:r>
      <w:r>
        <w:t xml:space="preserve">This has spawned a separate but related literature on accountability, not only upwardly to donors, but also downwardly to beneficiaries </w:t>
      </w:r>
      <w:r>
        <w:fldChar w:fldCharType="begin"/>
      </w:r>
      <w:r>
        <w:instrText xml:space="preserve"> ADDIN ZOTERO_ITEM CSL_CITATION {"citationID":"yfLggYZF","properties":{"formattedCitation":"(Alnoor Ebrahim 2003; Christensen and Ebrahim 2004; Benjamin 2010)","plainCitation":"(Alnoor Ebrahim 2003; Christensen and Ebrahim 2004; Benjamin 2010)"},"citationItems":[{"id":681,"uris":["http://zotero.org/users/381007/items/9NZX5BP5"],"uri":["http://zotero.org/users/381007/items/9NZX5BP5"],"itemData":{"id":681,"type":"article-journal","title":"Accountability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id":802,"uris":["http://zotero.org/users/381007/items/DDG5389Q"],"uri":["http://zotero.org/users/381007/items/DDG5389Q"],"itemData":{"id":802,"type":"paper-conference","title":"How Does Accountability Affect Mission? The Case of a Nonprofit Serving Immigrants and Refugees","publisher-place":"Los Angeles","event":"ARNOVA 2004","event-place":"Los Angeles","abstract":"Examines hte relationship between accountability mechanisms and the mission-based services of nonprofits serving immigrants and refugees in the US.  and how accountability impacts mission based activities.  Finds that strong lateral accountability mechanisms support other levels of accountability, including downward, that are fundamental to achieving the mission of the org. Upward accountability is only given attention of it is perceied to be useful in reaching the organizations goals.","URL":"www.ipg.vt.edu/papers/ChristenseEbrahimARNOVA2004.pdf","author":[{"family":"Christensen","given":"Rachel A."},{"family":"Ebrahim","given":"Alnoor"}],"issued":{"date-parts":[["2004"]]},"accessed":{"date-parts":[["2013",8,30]]}}},{"id":741,"uris":["http://zotero.org/users/381007/items/BMI67UVM"],"uri":["http://zotero.org/users/381007/items/BMI67UVM"],"itemData":{"id":741,"type":"article-journal","title":"Mediating Accountability: How Nonprofit Funding Intermediaries Use Performance Measurement and Why It Matters for Governance","container-title":"Public Performance &amp; Management Review","page":"594-618","volume":"33","issue":"4","abstract":"Performance measurement is an important evaluation tool to ensure accountability in the governance environment when addressing public problems that often take place outside the purview of government.  Much scholarship on measurement in these settings either through contracting relationships or interorganizational networks.  Paper argues that ensuring accountability in a governance environment requires greater attention to how nonstate actors or other principals use performnce measurement.  Focuses on nonprofit funding intermediaries use of performance measurement - intermediaries gather a funding from a range of public and private donors and regrant these moneis to a defined set of local nonprofits. Thus, they occupy a unique position among actors seeking to solve public problems.","author":[{"family":"Benjamin","given":"Lehn M."}],"issued":{"date-parts":[["2010"]]}}}],"schema":"https://github.com/citation-style-language/schema/raw/master/csl-citation.json"} </w:instrText>
      </w:r>
      <w:r>
        <w:fldChar w:fldCharType="separate"/>
      </w:r>
      <w:r w:rsidRPr="00283711">
        <w:t>(Alnoor Ebrahim 2003; Christensen and Ebrahim 2004; Benjamin 2010)</w:t>
      </w:r>
      <w:r>
        <w:fldChar w:fldCharType="end"/>
      </w:r>
      <w:r>
        <w:t xml:space="preserve">. </w:t>
      </w:r>
      <w:r w:rsidRPr="009D7554">
        <w:t xml:space="preserve">As such, this research engages in a theory-building endeavor premised on resource dependency to explain how government-funding </w:t>
      </w:r>
      <w:r>
        <w:t>influences the decision of U.S.-based</w:t>
      </w:r>
      <w:r w:rsidRPr="009D7554">
        <w:t xml:space="preserve"> </w:t>
      </w:r>
      <w:r>
        <w:t>TNGO</w:t>
      </w:r>
      <w:r w:rsidRPr="009D7554">
        <w:t xml:space="preserve">s as both seek to advance their agendas. </w:t>
      </w:r>
    </w:p>
    <w:p w:rsidR="00E67B1D" w:rsidRDefault="00E67B1D" w:rsidP="00E67B1D">
      <w:pPr>
        <w:spacing w:line="480" w:lineRule="auto"/>
        <w:rPr>
          <w:szCs w:val="24"/>
        </w:rPr>
      </w:pPr>
    </w:p>
    <w:p w:rsidR="001630DC" w:rsidRPr="008E1625" w:rsidRDefault="001630DC" w:rsidP="00E67B1D">
      <w:pPr>
        <w:pStyle w:val="Heading2"/>
        <w:numPr>
          <w:ilvl w:val="0"/>
          <w:numId w:val="0"/>
        </w:numPr>
        <w:jc w:val="center"/>
        <w:rPr>
          <w:b/>
          <w:color w:val="auto"/>
          <w:sz w:val="24"/>
          <w:szCs w:val="24"/>
        </w:rPr>
      </w:pPr>
      <w:bookmarkStart w:id="281" w:name="_Toc450079223"/>
      <w:r w:rsidRPr="008E1625">
        <w:rPr>
          <w:b/>
          <w:color w:val="auto"/>
          <w:sz w:val="24"/>
          <w:szCs w:val="24"/>
        </w:rPr>
        <w:t xml:space="preserve">3.3: U.S. Government Attention and </w:t>
      </w:r>
      <w:r>
        <w:rPr>
          <w:b/>
          <w:color w:val="auto"/>
          <w:sz w:val="24"/>
          <w:szCs w:val="24"/>
        </w:rPr>
        <w:t>TNGO</w:t>
      </w:r>
      <w:r w:rsidRPr="008E1625">
        <w:rPr>
          <w:b/>
          <w:color w:val="auto"/>
          <w:sz w:val="24"/>
          <w:szCs w:val="24"/>
        </w:rPr>
        <w:t xml:space="preserve"> Location</w:t>
      </w:r>
      <w:bookmarkEnd w:id="281"/>
    </w:p>
    <w:p w:rsidR="001630DC" w:rsidRPr="005F7559" w:rsidRDefault="001630DC" w:rsidP="001630DC"/>
    <w:p w:rsidR="001630DC" w:rsidRDefault="001630DC" w:rsidP="001630DC">
      <w:pPr>
        <w:tabs>
          <w:tab w:val="left" w:pos="6300"/>
        </w:tabs>
        <w:spacing w:line="480" w:lineRule="auto"/>
        <w:ind w:firstLine="720"/>
      </w:pPr>
      <w:r>
        <w:t>The focus of this chapter is on U.S. government attention directed toward countries in the form of strategic initiatives</w:t>
      </w:r>
      <w:r w:rsidR="00091183">
        <w:t xml:space="preserve"> via foreign policy initiatives</w:t>
      </w:r>
      <w:r>
        <w:t xml:space="preserve">. The emphasis on U.S. government attention is based on the existing literature on resource dependency and the significance of the U.S. government as a sponsor of U.S.-based TNGO activities. The previous chapter addressed what makes a country more or less attractive to U.S.-based TNGOs, finding that the political and operational environments are formative factors in location selection. </w:t>
      </w:r>
    </w:p>
    <w:p w:rsidR="001630DC" w:rsidRDefault="001630DC" w:rsidP="001630DC">
      <w:pPr>
        <w:tabs>
          <w:tab w:val="left" w:pos="6300"/>
        </w:tabs>
        <w:spacing w:line="480" w:lineRule="auto"/>
        <w:ind w:firstLine="720"/>
      </w:pPr>
      <w:r>
        <w:t xml:space="preserve">Here, location is explored through the lens of resources. Are U.S. government supported TNGOs </w:t>
      </w:r>
      <w:r w:rsidRPr="0042199E">
        <w:t>more</w:t>
      </w:r>
      <w:r>
        <w:t xml:space="preserve"> likely to operate in countries identified in strategic initiatives? Need-based and resource dependency arguments focus on the types of programs nonprofit organizations provide. Often service-oriented explanations indirectly touch upon location. For example, the outsourcing of some services for particular populations by government to nonprofits is attached to location. Where there is a prioritized need or population and it is more efficient for a third party to provide the service, one can expect grants and contracts to be organized. The decision-making process driving the prioritization of location by nonprofit organizations, why they go where they go, is less discussed. TNGOs possess finite financial and human resources and must prioritize objectives based on the mission of the organization and its capacity. Increased competition for these resources due to budget cuts, economic downturns, and a greater number of competitors suggests that donors may exercise influence over not only what TNGOs do, but also where they do it. While survival is certainly a priority for nonprofit organizations across the board, it is unlikely that decisions about which locations to pursue occurs in space devoid of mission, the bedrock of any nonprofit. Of course programs cannot run without funds, yet organizations exercise a degree of agency and selectivity in which locations and projects to pursue rather than obligingly following donor cues with little choice. </w:t>
      </w:r>
    </w:p>
    <w:p w:rsidR="00E67B1D" w:rsidRDefault="00E67B1D" w:rsidP="00E67B1D">
      <w:pPr>
        <w:spacing w:line="480" w:lineRule="auto"/>
        <w:rPr>
          <w:szCs w:val="24"/>
        </w:rPr>
      </w:pPr>
    </w:p>
    <w:p w:rsidR="001630DC" w:rsidRDefault="001630DC" w:rsidP="00E67B1D">
      <w:pPr>
        <w:tabs>
          <w:tab w:val="left" w:pos="6300"/>
        </w:tabs>
        <w:spacing w:line="480" w:lineRule="auto"/>
        <w:jc w:val="center"/>
      </w:pPr>
      <w:r>
        <w:rPr>
          <w:i/>
        </w:rPr>
        <w:t>Organizational Characteristics</w:t>
      </w:r>
    </w:p>
    <w:p w:rsidR="001630DC" w:rsidRDefault="001630DC" w:rsidP="001630DC">
      <w:pPr>
        <w:tabs>
          <w:tab w:val="left" w:pos="6300"/>
        </w:tabs>
        <w:spacing w:line="480" w:lineRule="auto"/>
        <w:ind w:firstLine="720"/>
      </w:pPr>
      <w:r>
        <w:t xml:space="preserve">Organizational characteristics play a large role in how TNGOs respond to donor cues. The diversity of an organization’s income portfolio, for example, shapes the responses available to an organization. Those with greater diversification may be less susceptible to donor preferences whereas organizations with one or a few sources of income may have more limited latitude. Diversification is measured as a ratio of government income received in the form of government funds received over total income, excluding non-cash contributions. Total income includes monies raised through membership, federated campaigns, fundraising events, related organizations, and program revenue as reported in Part VIII of the form 990 (questions 1a through 1f). Government funding is defined as grants, payments, or other contributions from local, state, or federal government. Nearly 18 percent of TNGOs included in the dataset report receiving some form of government support between 2008 and 2012. </w:t>
      </w:r>
    </w:p>
    <w:p w:rsidR="001630DC" w:rsidRDefault="001630DC" w:rsidP="001630DC">
      <w:pPr>
        <w:tabs>
          <w:tab w:val="left" w:pos="6300"/>
        </w:tabs>
        <w:spacing w:line="480" w:lineRule="auto"/>
        <w:ind w:firstLine="720"/>
      </w:pPr>
      <w:r>
        <w:t xml:space="preserve">Financial support plays a significant role in the work of nonprofit organizations due to their nature and structure. As noted, other organizational characteristics also play an important role in shaping the actions of the organization. Perhaps one of the most important characteristics is the sector or area of specialization in which the TNGO operates. The sector of the organization is captured as </w:t>
      </w:r>
      <w:r>
        <w:rPr>
          <w:i/>
        </w:rPr>
        <w:t>ntee</w:t>
      </w:r>
      <w:r>
        <w:t xml:space="preserve"> using the National Taxonomy for Exempt Entities (NTEE) housed at the Urban Institute. This dissertation is focused on TNGOs, therefore, the majority of the NTEE codes in the dataset correspond with the “international” (Q) category. Organizations are categorized using up to three codes, which may be derived from different categories depending on the nature of the TNGO’s work. Codes are assigned based on the form 1023 when organizations apply for 501(c)(3) status with the Internal Revenue Service (IRS). This data was collected primarily from the National Center for Charitable Statistics (NCCS) at the Urban Institute, but was also cross-referenced with Guidestar, a similar independent database. If there is are duplicate Employer Identification Number (EIN) entries that have divergent primary NTEE codes between NCCS and Guidestar, the NCCS entry beginning with Q is used as the primary code and is followed by subsequent codes. </w:t>
      </w:r>
    </w:p>
    <w:p w:rsidR="001630DC" w:rsidRDefault="001630DC" w:rsidP="001630DC">
      <w:pPr>
        <w:spacing w:line="480" w:lineRule="auto"/>
        <w:ind w:firstLine="720"/>
        <w:jc w:val="both"/>
      </w:pPr>
      <w:r>
        <w:t xml:space="preserve">International philanthropic traditions can be traced to missionaries. Faith-based organizations continue to be major players in the international philanthropic sphere </w:t>
      </w:r>
      <w:r>
        <w:fldChar w:fldCharType="begin"/>
      </w:r>
      <w:r>
        <w:instrText xml:space="preserve"> ADDIN ZOTERO_ITEM CSL_CITATION {"citationID":"pvBwuPbJ","properties":{"formattedCitation":"(Carbonnier 2013; McCleary and Barro 2008)","plainCitation":"(Carbonnier 2013; McCleary and Barro 2008)"},"citationItems":[{"id":3142,"uris":["http://zotero.org/users/381007/items/9U8FGIMN"],"uri":["http://zotero.org/users/381007/items/9U8FGIMN"],"itemData":{"id":3142,"type":"chapter","title":"Religion and Development: Reconsidering Secularism as the Norm","container-title":"International Development Policy: Religion and Development","publisher":"Palgrave Macmillan","publisher-place":"New York","page":"1-5","event-place":"New York","author":[{"family":"Carbonnier","given":"Gilles"}],"editor":[{"family":"Carbonnier","given":"Gilles"}],"issued":{"date-parts":[["2013"]]}}},{"id":1577,"uris":["http://zotero.org/users/381007/items/ZIDBNG9B"],"uri":["http://zotero.org/users/381007/items/ZIDBNG9B"],"itemData":{"id":1577,"type":"article-journal","title":"Private Voluntary Organizations Engaged in International Assistance, 1939-2004","container-title":"Nonprofit and Voluntary Sector Quarterly","page":"512-536","volume":"37","issue":"3","abstract":"U.S.-based private and voluntary organizations (PVOs) play an important role in\ninternational assistance. To assess this role, the authors constructed a new data set that\ncovers more than 1,600 secular and religious PVOs that registered with the U.S. federal\ngovernment between 1939 and 2004. In the post–World War II period, major revenue\npatterns are the rise of Evangelical PVOs, decline of Jewish PVOs, and rapid growth\nof secular PVOs from the mid-1980s to mid-1990s. Secular PVOs dominated in overall revenue during WWII, but religious PVOs became larger from the end of the war through the 1970s. Secular PVOs expanded from the mid 1980s to the mid 1990s placing them in the lead.  Religious PVOs have sharply expanded in revenue since 2002, and now the field is equally divided in terms of total revenue.  Follwoing WWII, the dominant religious PVOs in revenue terms were Jewish, then Catholic.  Cathlic PVOs became dominant in the mid 50s, but Jewish organizations led in the years of tension (1967-1991) in the middle east, then diminished.","author":[{"family":"McCleary","given":"Rachel M."},{"family":"Barro","given":"Robert J."}],"issued":{"date-parts":[["2008"]]}}}],"schema":"https://github.com/citation-style-language/schema/raw/master/csl-citation.json"} </w:instrText>
      </w:r>
      <w:r>
        <w:fldChar w:fldCharType="separate"/>
      </w:r>
      <w:r>
        <w:rPr>
          <w:noProof/>
        </w:rPr>
        <w:t>(Carbonnier 2013; McCleary and Barro 2008)</w:t>
      </w:r>
      <w:r>
        <w:fldChar w:fldCharType="end"/>
      </w:r>
      <w:r>
        <w:t xml:space="preserve">, conducting activities ranging from education to healthcare to emergency relief across the globe. The size, organizational structure, and the type and degree of religious affiliation vary by organization. For example, some organizations incorporate their faith into daily programs and activities. Others view faith as a guide that shapes the broadly shapes the mission of the organization, but whose activities do not include proselytizing. Faith also influences organizational structure. Decision-making in Catholic organizations tends to follow a top-down hierarchical structure whereas organizations affiliated with the Baptist tradition follow a decentralized decision-making model </w:t>
      </w:r>
      <w:r>
        <w:fldChar w:fldCharType="begin"/>
      </w:r>
      <w:r>
        <w:instrText xml:space="preserve"> ADDIN ZOTERO_ITEM CSL_CITATION {"citationID":"BlGITXw9","properties":{"formattedCitation":"(Wittberg 2013)","plainCitation":"(Wittberg 2013)"},"citationItems":[{"id":"V7nBaY9X/odrOLs7H","uris":["http://zotero.org/users/381007/items/N9X52MEB"],"uri":["http://zotero.org/users/381007/items/N9X52MEB"],"itemData":{"id":"V7nBaY9X/odrOLs7H","type":"article-journal","title":"Faith-Based Umbrella Organizations: Implications for Religious Identity","container-title":"Nonprofit and Voluntary Sector Quarterly","page":"540-562","volume":"42","issue":"3","abstract":"What is the relationship between faith-based organizaions and their sponsoring religious community?  Identifies 3 types of FBOs: Goal-seeking; Economies; and Polities. Goal-seeking are expected to perform intermediary roles for the sponsoring community by safeguarding religious identity (for example, Catholic umbrella organizations are often established by the dioceses to preserve the identity of constitutent FBOs).  Economies are umbrella organizations established to provide services and networking opportunities, they include individual and institutional memberships and function much like a secular professional organization (ex. Jewish Community Centers Association) and preserve the faith identity by providing promising members with educational or professional training (these are distinc because they may be established by the denomination or component organiations).  Polity umbrella organizations work on a common position on a variety of issues, but because the sponsoring community is not directly superior interests/positions on national isues may not always coincide.","author":[{"family":"Wittberg","given":"Patricia A."}],"issued":{"year":2013},"page-first":"540","container-title-short":"Nonprofit Volunt. Sect. Q."}}],"schema":"https://github.com/citation-style-language/schema/raw/master/csl-citation.json"} </w:instrText>
      </w:r>
      <w:r>
        <w:fldChar w:fldCharType="separate"/>
      </w:r>
      <w:r>
        <w:rPr>
          <w:noProof/>
        </w:rPr>
        <w:t>(Wittberg 2013)</w:t>
      </w:r>
      <w:r>
        <w:fldChar w:fldCharType="end"/>
      </w:r>
      <w:r>
        <w:t xml:space="preserve">. </w:t>
      </w:r>
    </w:p>
    <w:p w:rsidR="001630DC" w:rsidRPr="00E9706D" w:rsidRDefault="001630DC" w:rsidP="001630DC">
      <w:pPr>
        <w:spacing w:line="480" w:lineRule="auto"/>
        <w:ind w:firstLine="720"/>
        <w:jc w:val="both"/>
      </w:pPr>
      <w:r>
        <w:t xml:space="preserve">In addition to diversity of decision-making structures, some scholars suggest that faith-based organizations are less susceptible to resource dependency and operate with a larger degree of independence and less collaboration than secular organizations </w:t>
      </w:r>
      <w:r>
        <w:fldChar w:fldCharType="begin"/>
      </w:r>
      <w:r>
        <w:instrText xml:space="preserve"> ADDIN ZOTERO_ITEM CSL_CITATION {"citationID":"iVympFv8","properties":{"formattedCitation":"(Mitchell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Pr>
          <w:noProof/>
        </w:rPr>
        <w:t>(Mitchell 2013)</w:t>
      </w:r>
      <w:r>
        <w:fldChar w:fldCharType="end"/>
      </w:r>
      <w:r>
        <w:t>. Despite this, the U.S. government made several efforts to strengthen faith-based philanthropy under George W. Bush and Barak Obama through initiatives including the White House Office of Faith-based and Neighborhood Partnerships.</w:t>
      </w:r>
      <w:r>
        <w:rPr>
          <w:rStyle w:val="FootnoteReference"/>
        </w:rPr>
        <w:footnoteReference w:id="14"/>
      </w:r>
      <w:r>
        <w:t xml:space="preserve"> To test how U.S. government attention influences the location of faith-based TNGOs, faith is captured as a dichotomous variable (</w:t>
      </w:r>
      <w:r>
        <w:rPr>
          <w:i/>
        </w:rPr>
        <w:t>faith</w:t>
      </w:r>
      <w:r>
        <w:t xml:space="preserve">). Nonprofits are identified as faith-based in the dataset if they are cataloged under NTEE code X (religious) in the NCCS, if the organization explicitly affiliates with a religious tradition or states a broad faith-based affiliation in its mission statement, or if the organization cites a religious tradition in their title. Nonprofits that do not indicate a faith-based orientation or state directly that they are secular are coded as 0. This data is collected from the NCCS summaries, form 990s, and TNGO websites. </w:t>
      </w:r>
    </w:p>
    <w:p w:rsidR="001630DC" w:rsidRPr="000C57A5" w:rsidRDefault="001630DC" w:rsidP="001630DC">
      <w:pPr>
        <w:spacing w:line="480" w:lineRule="auto"/>
        <w:ind w:firstLine="720"/>
        <w:jc w:val="both"/>
      </w:pPr>
      <w:r>
        <w:t xml:space="preserve">Finally, the age of a TNGO may shape its location through experience. More seasoned TNGOs may be more established, possess greater credibility, and operate with a larger degree of independence. The age of an organization is determined in the dataset using its 501(c)(3) ruling date, provided in the NCCS summary. In a few cases, a TNGO’s founding year differed from its ruling date. Rules established by the IRS regarding 501(c)(3) status state that an organization may file for tax-exempt status at any point, but that this status is not retroactive </w:t>
      </w:r>
      <w:r>
        <w:fldChar w:fldCharType="begin"/>
      </w:r>
      <w:r>
        <w:instrText xml:space="preserve"> ADDIN ZOTERO_ITEM CSL_CITATION {"citationID":"yBo7X7Wn","properties":{"formattedCitation":"(Internal Revenue Service 2015)","plainCitation":"(Internal Revenue Service 2015)"},"citationItems":[{"id":3558,"uris":["http://zotero.org/users/381007/items/AEHIPZ69"],"uri":["http://zotero.org/users/381007/items/AEHIPZ69"],"itemData":{"id":3558,"type":"article","title":"Publication 557: Tax-Exempt Status for Your Organization","publisher":"Internal Revenue Service","source":"Google Scholar","URL":"https://www.irs.gov/pub/irs-pdf/p557.pdf","author":[{"family":"Internal Revenue Service","given":""}],"issued":{"date-parts":[["2015"]]},"accessed":{"date-parts":[["2016",1,15]]}}}],"schema":"https://github.com/citation-style-language/schema/raw/master/csl-citation.json"} </w:instrText>
      </w:r>
      <w:r>
        <w:fldChar w:fldCharType="separate"/>
      </w:r>
      <w:r w:rsidRPr="00180DA3">
        <w:t>(Internal Revenue Service 2015)</w:t>
      </w:r>
      <w:r>
        <w:fldChar w:fldCharType="end"/>
      </w:r>
      <w:r>
        <w:t xml:space="preserve">. Consequently, it is in a nonprofit’s interest to file as quickly as possible. Furthermore, the ruling year is the most consistent data point and is available for all organizations regardless of rule changes or non-U.S. origins. Age is calculated as the year of observation (2008 to 2012) less the 501(c)(3) ruling year. </w:t>
      </w:r>
    </w:p>
    <w:p w:rsidR="001630DC" w:rsidRDefault="001630DC" w:rsidP="001630DC">
      <w:pPr>
        <w:spacing w:line="480" w:lineRule="auto"/>
      </w:pPr>
      <w:r>
        <w:tab/>
        <w:t xml:space="preserve">The following proposition is offered based on the literature and organizational characteristics outlined above: </w:t>
      </w:r>
    </w:p>
    <w:p w:rsidR="00270F7E" w:rsidRDefault="001630DC" w:rsidP="001630DC">
      <w:pPr>
        <w:spacing w:line="480" w:lineRule="auto"/>
        <w:rPr>
          <w:i/>
        </w:rPr>
      </w:pPr>
      <w:r w:rsidRPr="009D05FA">
        <w:rPr>
          <w:i/>
        </w:rPr>
        <w:t xml:space="preserve">Hypothesis 1: </w:t>
      </w:r>
      <w:r>
        <w:rPr>
          <w:i/>
        </w:rPr>
        <w:t>U.S.-based</w:t>
      </w:r>
      <w:r w:rsidRPr="009D05FA">
        <w:rPr>
          <w:i/>
        </w:rPr>
        <w:t xml:space="preserve"> </w:t>
      </w:r>
      <w:r>
        <w:rPr>
          <w:i/>
        </w:rPr>
        <w:t>TNGO</w:t>
      </w:r>
      <w:r w:rsidRPr="009D05FA">
        <w:rPr>
          <w:i/>
        </w:rPr>
        <w:t>s with government funding are more likely to be present in countries identified in strategic initiatives.</w:t>
      </w:r>
    </w:p>
    <w:p w:rsidR="008159E1" w:rsidRDefault="008159E1" w:rsidP="001630DC">
      <w:pPr>
        <w:spacing w:line="480" w:lineRule="auto"/>
        <w:rPr>
          <w:i/>
        </w:rPr>
      </w:pPr>
    </w:p>
    <w:p w:rsidR="001630DC" w:rsidRPr="00BC5D13" w:rsidRDefault="001630DC" w:rsidP="008159E1">
      <w:pPr>
        <w:spacing w:line="480" w:lineRule="auto"/>
        <w:ind w:firstLine="720"/>
        <w:rPr>
          <w:szCs w:val="20"/>
        </w:rPr>
      </w:pPr>
      <w:r>
        <w:rPr>
          <w:szCs w:val="20"/>
        </w:rPr>
        <w:t>Where strategic initiatives sway TNGO location selection, it also follows that certain locations may be of higher priority to the U.S. government. This may be indicated by the number of times each is mentioned in the documents described. The number of times a country is mentioned is an aggregated measure across the three documents by year. An additional test of the influence of U.S. attention to countries in strategic initiatives is offered in the following proposition:</w:t>
      </w:r>
    </w:p>
    <w:p w:rsidR="001630DC" w:rsidRPr="009D05FA" w:rsidDel="00DB55A5" w:rsidRDefault="001630DC" w:rsidP="001630DC">
      <w:pPr>
        <w:spacing w:line="480" w:lineRule="auto"/>
        <w:rPr>
          <w:i/>
        </w:rPr>
      </w:pPr>
      <w:r w:rsidRPr="009D05FA">
        <w:rPr>
          <w:i/>
        </w:rPr>
        <w:t xml:space="preserve">Hypothesis 2: Countries with a higher number of mentions in strategic initiatives will have a greater number of </w:t>
      </w:r>
      <w:r>
        <w:rPr>
          <w:i/>
        </w:rPr>
        <w:t>U.S.-based</w:t>
      </w:r>
      <w:r w:rsidRPr="009D05FA">
        <w:rPr>
          <w:i/>
        </w:rPr>
        <w:t xml:space="preserve"> </w:t>
      </w:r>
      <w:r>
        <w:rPr>
          <w:i/>
        </w:rPr>
        <w:t>TNGO</w:t>
      </w:r>
      <w:r w:rsidRPr="009D05FA">
        <w:rPr>
          <w:i/>
        </w:rPr>
        <w:t xml:space="preserve">s in them. </w:t>
      </w:r>
    </w:p>
    <w:p w:rsidR="00E67B1D" w:rsidRDefault="00E67B1D" w:rsidP="00E67B1D">
      <w:pPr>
        <w:spacing w:line="480" w:lineRule="auto"/>
        <w:rPr>
          <w:szCs w:val="24"/>
        </w:rPr>
      </w:pPr>
    </w:p>
    <w:p w:rsidR="001630DC" w:rsidRPr="008E1625" w:rsidRDefault="001630DC" w:rsidP="00E67B1D">
      <w:pPr>
        <w:pStyle w:val="Subheading1"/>
        <w:numPr>
          <w:ilvl w:val="0"/>
          <w:numId w:val="0"/>
        </w:numPr>
        <w:spacing w:line="480" w:lineRule="auto"/>
        <w:rPr>
          <w:sz w:val="24"/>
          <w:szCs w:val="24"/>
        </w:rPr>
      </w:pPr>
      <w:bookmarkStart w:id="282" w:name="_Toc450079224"/>
      <w:r>
        <w:rPr>
          <w:sz w:val="24"/>
          <w:szCs w:val="24"/>
        </w:rPr>
        <w:t>3.4</w:t>
      </w:r>
      <w:r w:rsidRPr="008E1625">
        <w:rPr>
          <w:sz w:val="24"/>
          <w:szCs w:val="24"/>
        </w:rPr>
        <w:t>: Data and Method</w:t>
      </w:r>
      <w:bookmarkEnd w:id="282"/>
    </w:p>
    <w:p w:rsidR="001630DC" w:rsidRPr="001A1CF6" w:rsidRDefault="001630DC" w:rsidP="001630DC">
      <w:pPr>
        <w:spacing w:line="480" w:lineRule="auto"/>
        <w:ind w:firstLine="720"/>
      </w:pPr>
      <w:r w:rsidRPr="000C57A5">
        <w:t xml:space="preserve">To explore the research question, </w:t>
      </w:r>
      <w:r>
        <w:t>a</w:t>
      </w:r>
      <w:r w:rsidRPr="000C57A5">
        <w:t xml:space="preserve"> mixed-methods approach </w:t>
      </w:r>
      <w:r>
        <w:t xml:space="preserve">is used to examine </w:t>
      </w:r>
      <w:r w:rsidRPr="000C57A5">
        <w:t xml:space="preserve">a diverse set of </w:t>
      </w:r>
      <w:r>
        <w:t>U.S.-based</w:t>
      </w:r>
      <w:r w:rsidRPr="000C57A5">
        <w:t xml:space="preserve"> </w:t>
      </w:r>
      <w:r>
        <w:t>TNGO</w:t>
      </w:r>
      <w:r w:rsidRPr="000C57A5">
        <w:t>s representing operations</w:t>
      </w:r>
      <w:r>
        <w:t xml:space="preserve"> 554 organizations conducting a variety of activities in</w:t>
      </w:r>
      <w:r w:rsidRPr="000C57A5">
        <w:t xml:space="preserve"> </w:t>
      </w:r>
      <w:r>
        <w:t>194 countries. The data is collected from documentary government and TNGO sources on organizational and financial characteristics for organizations.</w:t>
      </w:r>
    </w:p>
    <w:p w:rsidR="001630DC" w:rsidRPr="00705FF5" w:rsidRDefault="001630DC" w:rsidP="001630DC">
      <w:pPr>
        <w:spacing w:line="480" w:lineRule="auto"/>
        <w:ind w:firstLine="720"/>
      </w:pPr>
      <w:r>
        <w:t xml:space="preserve">To be included in the dataset, TNGOs must be 501(c)(3) public charities, excluding private foundations. </w:t>
      </w:r>
      <w:r w:rsidRPr="000C57A5">
        <w:t xml:space="preserve">Legal status and the </w:t>
      </w:r>
      <w:r>
        <w:t>NTEE</w:t>
      </w:r>
      <w:r w:rsidRPr="000C57A5">
        <w:t xml:space="preserve"> are employed as a tools to identify </w:t>
      </w:r>
      <w:r>
        <w:t>TNGO</w:t>
      </w:r>
      <w:r w:rsidRPr="000C57A5">
        <w:t xml:space="preserve">s </w:t>
      </w:r>
      <w:r>
        <w:t>using the</w:t>
      </w:r>
      <w:r w:rsidRPr="000C57A5">
        <w:t xml:space="preserve"> </w:t>
      </w:r>
      <w:r>
        <w:t>NCCS</w:t>
      </w:r>
      <w:r w:rsidRPr="000C57A5">
        <w:t xml:space="preserve"> database, a widely accepted source for data on the nonprofit sector in the United States. To identify </w:t>
      </w:r>
      <w:r>
        <w:t>U.S.-based</w:t>
      </w:r>
      <w:r w:rsidRPr="000C57A5">
        <w:t xml:space="preserve"> </w:t>
      </w:r>
      <w:r>
        <w:t>TNGO</w:t>
      </w:r>
      <w:r w:rsidRPr="000C57A5">
        <w:t xml:space="preserve">s, a search of the NCCS database using the NTEE’s international (Q) code was conducted between the years 2008 to 2012. To narrow the population, a second decision rule requiring organizations to have reported at least $1 million USD in revenue in </w:t>
      </w:r>
      <w:r>
        <w:t>the most recent form 990</w:t>
      </w:r>
      <w:r w:rsidRPr="000C57A5">
        <w:t xml:space="preserve"> was added</w:t>
      </w:r>
      <w:r w:rsidRPr="001A348B">
        <w:rPr>
          <w:rStyle w:val="FootnoteReference"/>
        </w:rPr>
        <w:footnoteReference w:id="15"/>
      </w:r>
      <w:r w:rsidRPr="000C57A5">
        <w:t>. A critique of the legal status approach is that it excludes many entities from being identified. Organizations excluded may include those that fall below the threshold for filing the 990</w:t>
      </w:r>
      <w:r>
        <w:t xml:space="preserve"> form</w:t>
      </w:r>
      <w:r w:rsidRPr="000C57A5">
        <w:t xml:space="preserve"> or certain classes of organization per the IRS typology. Furthermore, discrepancies may exist between the federal and state levels. Combined, an inaccurate picture of the sector may be given </w:t>
      </w:r>
      <w:r>
        <w:fldChar w:fldCharType="begin"/>
      </w:r>
      <w:r>
        <w:instrText xml:space="preserve"> ADDIN ZOTERO_ITEM CSL_CITATION {"citationID":"dGpbZK9G","properties":{"formattedCitation":"(Kristen A. Gronbjerg 2003a)","plainCitation":"(Kristen A. Gronbjerg 2003a)"},"citationItems":[{"id":672,"uris":["http://zotero.org/users/381007/items/97QAM3XD"],"uri":["http://zotero.org/users/381007/items/97QAM3XD"],"itemData":{"id":672,"type":"article-journal","title":"Nonprofit Management Education: Taking Advantage of the Public Administration Setting","container-title":"Journal of Public Affairs","page":"165-168","volume":"9","issue":"3","abstract":"Major transformations in public service delivery systems mean that government now relies extensively on a variety of complex tools that require policymkaers to interact with a broad array of institutions.  Public sector agencies have increasingly relied on non-governmental entities, especially non-profits, since the 1960s.  Indirect government now accounts for 21% of all federal activities and 44% if tax expenditures and loan guarantees in areas of interst to nonprofits are included.As a result, govenrment has fueled the growth of nonprofit organizations in the US. These developments help explain the demand for nonprofit management courses and concentrations among MPA programs. Nonprofits have played a major role in several service fields, including health, education, and human services, so that the relationship between nonprofits and govenrments has evovled considerably over time and taken on more market-like characteristics.","author":[{"family":"Gronbjerg","given":"Kristen A."}],"issued":{"date-parts":[["2003"]]}}}],"schema":"https://github.com/citation-style-language/schema/raw/master/csl-citation.json"} </w:instrText>
      </w:r>
      <w:r>
        <w:fldChar w:fldCharType="separate"/>
      </w:r>
      <w:r w:rsidRPr="00283711">
        <w:t>(Gronbjerg 2003a)</w:t>
      </w:r>
      <w:r>
        <w:fldChar w:fldCharType="end"/>
      </w:r>
      <w:r w:rsidRPr="000C57A5">
        <w:rPr>
          <w:noProof/>
        </w:rPr>
        <w:t xml:space="preserve">. Concerns about classes of organization </w:t>
      </w:r>
      <w:r>
        <w:rPr>
          <w:noProof/>
        </w:rPr>
        <w:t>are</w:t>
      </w:r>
      <w:r w:rsidRPr="000C57A5">
        <w:rPr>
          <w:noProof/>
        </w:rPr>
        <w:t xml:space="preserve"> mitigated by the $1 million USD threshold; organizations that meet this decision rule must file 990</w:t>
      </w:r>
      <w:r>
        <w:rPr>
          <w:noProof/>
        </w:rPr>
        <w:t xml:space="preserve"> forms</w:t>
      </w:r>
      <w:r w:rsidRPr="000C57A5">
        <w:rPr>
          <w:noProof/>
        </w:rPr>
        <w:t xml:space="preserve"> and will thus be identifiable through legal status. Gaps between r</w:t>
      </w:r>
      <w:r>
        <w:rPr>
          <w:noProof/>
        </w:rPr>
        <w:t xml:space="preserve">egistries are addressed through </w:t>
      </w:r>
      <w:r w:rsidRPr="000C57A5">
        <w:rPr>
          <w:noProof/>
        </w:rPr>
        <w:t>emphasis on the international rather than domestic sphere and the fact that more than half of the organizations in the dataset receive government funding. The nature of their work and the pursuit of government funds will also make them identifiable through legal status. The lack of data on smaller organizations makes them difficul</w:t>
      </w:r>
      <w:r>
        <w:rPr>
          <w:noProof/>
        </w:rPr>
        <w:t>t</w:t>
      </w:r>
      <w:r w:rsidRPr="000C57A5">
        <w:rPr>
          <w:noProof/>
        </w:rPr>
        <w:t xml:space="preserve"> to study; however, while smaller organizations may conduct international activities, they are more likely to do so through in-kind donations rather than in-country programs and would be excluded based on the decision rules anyhow.</w:t>
      </w:r>
    </w:p>
    <w:p w:rsidR="001630DC" w:rsidRPr="000C57A5" w:rsidRDefault="001630DC" w:rsidP="001630DC">
      <w:pPr>
        <w:spacing w:line="480" w:lineRule="auto"/>
      </w:pPr>
      <w:r>
        <w:tab/>
      </w:r>
      <w:r w:rsidRPr="000C57A5">
        <w:t xml:space="preserve">Earlier analysis of location at the regional level that compared organizations above and below this revenue threshold showed similarities between the two groups, therefore the data is likely to be representative of both groups. Previous studies have also used thresholds as selection criterion, ranging from as low as $25,000 USD to as high as €10 million </w:t>
      </w:r>
      <w:r>
        <w:fldChar w:fldCharType="begin"/>
      </w:r>
      <w:r>
        <w:instrText xml:space="preserve"> ADDIN ZOTERO_ITEM CSL_CITATION {"citationID":"Nqq5uxpr","properties":{"formattedCitation":"(Kerlin 2013; Transnational NGO Initiative 2010; Koch et al. 2009)","plainCitation":"(Kerlin 2013; Transnational NGO Initiative 2010; Koch et al. 2009)"},"citationItems":[{"id":3194,"uris":["http://zotero.org/users/381007/items/MT64P3DQ"],"uri":["http://zotero.org/users/381007/items/MT64P3DQ"],"itemData":{"id":3194,"type":"article-journal","title":"Predicting Variation in Funding for International Nongovernmental Organizations Following Three External Events","container-title":"Nonprofit Management and Leadership","page":"473-490","volume":"23","issue":"4","source":"CrossRef","DOI":"10.1002/nml.21075","ISSN":"10486682","language":"en","author":[{"family":"Kerlin","given":"Janelle A."}],"issued":{"date-parts":[["2013",6]]},"accessed":{"date-parts":[["2014",4,20]]}}},{"id":3187,"uris":["http://zotero.org/users/381007/items/KBMZEDUF"],"uri":["http://zotero.org/users/381007/items/KBMZEDUF"],"itemData":{"id":3187,"type":"article","title":"The Transnational NGO Study: Rationale, Sampling and Research Process","publisher":"Moynihan Institute of Global Affairs, Syracuse University","URL":"http://www1.maxwell.syr.edu/moynihan/tngo/Data/","author":[{"family":"Transnational NGO Initiative","given":""}],"issued":{"date-parts":[["2010"]]},"accessed":{"date-parts":[["2013",9,13]]}}},{"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fldChar w:fldCharType="separate"/>
      </w:r>
      <w:r w:rsidRPr="000C57A5">
        <w:rPr>
          <w:noProof/>
        </w:rPr>
        <w:t xml:space="preserve">(Kerlin 2013; Transnational </w:t>
      </w:r>
      <w:r>
        <w:rPr>
          <w:noProof/>
        </w:rPr>
        <w:t>TNGO</w:t>
      </w:r>
      <w:r w:rsidRPr="000C57A5">
        <w:rPr>
          <w:noProof/>
        </w:rPr>
        <w:t xml:space="preserve"> Initiative 2010; Koch et al. 2009)</w:t>
      </w:r>
      <w:r>
        <w:fldChar w:fldCharType="end"/>
      </w:r>
      <w:r w:rsidRPr="000C57A5">
        <w:t xml:space="preserve">. The </w:t>
      </w:r>
      <w:r>
        <w:t>TNGO</w:t>
      </w:r>
      <w:r w:rsidRPr="000C57A5">
        <w:t xml:space="preserve"> Initiative at Syracuse University uses a threshold of $500,000 USD as one selection criterion, </w:t>
      </w:r>
      <w:r>
        <w:t xml:space="preserve">however, </w:t>
      </w:r>
      <w:r w:rsidRPr="000C57A5">
        <w:t xml:space="preserve">the increase to $1 million USD reflects the scale of operations and support that substantial in-country programs related to strategic initiatives require and that it raises the likelihood of stability for comparable data points over time. This is reinforced by the finding that among European </w:t>
      </w:r>
      <w:r>
        <w:t>TNGO</w:t>
      </w:r>
      <w:r w:rsidRPr="000C57A5">
        <w:t xml:space="preserve">s, 20 percent of organizations engaged in development work control 90 percent of the funds in the sector </w:t>
      </w:r>
      <w:r>
        <w:fldChar w:fldCharType="begin"/>
      </w:r>
      <w:r>
        <w:instrText xml:space="preserve"> ADDIN ZOTERO_ITEM CSL_CITATION {"citationID":"r4GTi2EH","properties":{"formattedCitation":"(Koch et al. 2009)","plainCitation":"(Koch et al. 2009)"},"citationItems":[{"id":961,"uris":["http://zotero.org/users/381007/items/HT6W88M6"],"uri":["http://zotero.org/users/381007/items/HT6W88M6"],"itemData":{"id":961,"type":"article-journal","title":"Keeping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fldChar w:fldCharType="separate"/>
      </w:r>
      <w:r w:rsidRPr="000C57A5">
        <w:rPr>
          <w:noProof/>
        </w:rPr>
        <w:t>(Woods 2000 cited in Koch et al. 2009, p. 904)</w:t>
      </w:r>
      <w:r>
        <w:fldChar w:fldCharType="end"/>
      </w:r>
      <w:r w:rsidRPr="000C57A5">
        <w:t xml:space="preserve">. Finally, it represents a pre-determined category within the NCCS data. </w:t>
      </w:r>
    </w:p>
    <w:p w:rsidR="001630DC" w:rsidRDefault="001630DC" w:rsidP="001630DC">
      <w:pPr>
        <w:spacing w:line="480" w:lineRule="auto"/>
        <w:ind w:firstLine="720"/>
      </w:pPr>
      <w:r w:rsidRPr="000C57A5">
        <w:t>Following the initial Q search of the NCCS data</w:t>
      </w:r>
      <w:r>
        <w:t>base</w:t>
      </w:r>
      <w:r w:rsidRPr="000C57A5">
        <w:t>, a second search using the NCCS code “international” (INT) was conducted to identify additional organizations. These additional organizations possess an international dimension to their programs, but were not included in the Q code search because they are assigned to other NTEE categories. The majority of organizations identified in this search were health and human services organizations (E, M,</w:t>
      </w:r>
      <w:r>
        <w:t xml:space="preserve"> and</w:t>
      </w:r>
      <w:r w:rsidRPr="000C57A5">
        <w:t xml:space="preserve"> P</w:t>
      </w:r>
      <w:r>
        <w:t xml:space="preserve"> categories</w:t>
      </w:r>
      <w:r w:rsidRPr="000C57A5">
        <w:t>) and many operate domestic and international programs. The combined search results represent a variety of sectors and locations internationally and at the state-level.</w:t>
      </w:r>
      <w:r>
        <w:t xml:space="preserve"> </w:t>
      </w:r>
    </w:p>
    <w:p w:rsidR="001630DC" w:rsidRDefault="001630DC" w:rsidP="001630DC">
      <w:pPr>
        <w:spacing w:line="480" w:lineRule="auto"/>
        <w:ind w:firstLine="720"/>
      </w:pPr>
      <w:r w:rsidRPr="006D7041">
        <w:t xml:space="preserve">A snapshot of the dataset is shown in Table 1. The table shows the top NTEE codes listed as primary sector of operation. It is quickly apparent that most of the </w:t>
      </w:r>
      <w:r>
        <w:t>TNGO</w:t>
      </w:r>
      <w:r w:rsidRPr="006D7041">
        <w:t xml:space="preserve">s in the dataset are primarily focus on international development (q30) as it is broadly defined in the NTEE coding scheme. </w:t>
      </w:r>
    </w:p>
    <w:p w:rsidR="001630DC" w:rsidRPr="006D7041" w:rsidRDefault="001630DC" w:rsidP="001630DC">
      <w:pPr>
        <w:spacing w:line="480" w:lineRule="auto"/>
        <w:ind w:firstLine="720"/>
      </w:pPr>
    </w:p>
    <w:tbl>
      <w:tblPr>
        <w:tblW w:w="7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892"/>
        <w:gridCol w:w="797"/>
        <w:gridCol w:w="923"/>
        <w:gridCol w:w="929"/>
        <w:gridCol w:w="750"/>
        <w:gridCol w:w="953"/>
        <w:gridCol w:w="633"/>
        <w:gridCol w:w="1005"/>
      </w:tblGrid>
      <w:tr w:rsidR="001630DC" w:rsidRPr="009944D4">
        <w:trPr>
          <w:jc w:val="center"/>
        </w:trPr>
        <w:tc>
          <w:tcPr>
            <w:tcW w:w="1016" w:type="dxa"/>
          </w:tcPr>
          <w:p w:rsidR="001630DC" w:rsidRPr="009944D4" w:rsidRDefault="001630DC" w:rsidP="001630DC">
            <w:pPr>
              <w:jc w:val="center"/>
              <w:rPr>
                <w:sz w:val="20"/>
                <w:szCs w:val="20"/>
              </w:rPr>
            </w:pPr>
            <w:r w:rsidRPr="009944D4">
              <w:rPr>
                <w:sz w:val="20"/>
                <w:szCs w:val="20"/>
              </w:rPr>
              <w:t>NTEE Code</w:t>
            </w:r>
          </w:p>
        </w:tc>
        <w:tc>
          <w:tcPr>
            <w:tcW w:w="892" w:type="dxa"/>
          </w:tcPr>
          <w:p w:rsidR="001630DC" w:rsidRPr="009944D4" w:rsidRDefault="001630DC" w:rsidP="001630DC">
            <w:pPr>
              <w:jc w:val="center"/>
              <w:rPr>
                <w:sz w:val="20"/>
                <w:szCs w:val="20"/>
              </w:rPr>
            </w:pPr>
            <w:r w:rsidRPr="009944D4">
              <w:rPr>
                <w:sz w:val="20"/>
                <w:szCs w:val="20"/>
              </w:rPr>
              <w:t>Q30: Int.</w:t>
            </w:r>
          </w:p>
          <w:p w:rsidR="001630DC" w:rsidRPr="009944D4" w:rsidRDefault="001630DC" w:rsidP="001630DC">
            <w:pPr>
              <w:jc w:val="center"/>
              <w:rPr>
                <w:sz w:val="20"/>
                <w:szCs w:val="20"/>
              </w:rPr>
            </w:pPr>
            <w:r w:rsidRPr="009944D4">
              <w:rPr>
                <w:sz w:val="20"/>
                <w:szCs w:val="20"/>
              </w:rPr>
              <w:t>Dev.</w:t>
            </w:r>
          </w:p>
        </w:tc>
        <w:tc>
          <w:tcPr>
            <w:tcW w:w="797" w:type="dxa"/>
          </w:tcPr>
          <w:p w:rsidR="001630DC" w:rsidRPr="009944D4" w:rsidRDefault="001630DC" w:rsidP="001630DC">
            <w:pPr>
              <w:jc w:val="center"/>
              <w:rPr>
                <w:sz w:val="20"/>
                <w:szCs w:val="20"/>
              </w:rPr>
            </w:pPr>
            <w:r w:rsidRPr="009944D4">
              <w:rPr>
                <w:sz w:val="20"/>
                <w:szCs w:val="20"/>
              </w:rPr>
              <w:t>Q33: Int. Relief</w:t>
            </w:r>
          </w:p>
        </w:tc>
        <w:tc>
          <w:tcPr>
            <w:tcW w:w="923" w:type="dxa"/>
          </w:tcPr>
          <w:p w:rsidR="001630DC" w:rsidRPr="009944D4" w:rsidRDefault="001630DC" w:rsidP="001630DC">
            <w:pPr>
              <w:jc w:val="center"/>
              <w:rPr>
                <w:sz w:val="20"/>
                <w:szCs w:val="20"/>
              </w:rPr>
            </w:pPr>
            <w:r w:rsidRPr="009944D4">
              <w:rPr>
                <w:sz w:val="20"/>
                <w:szCs w:val="20"/>
              </w:rPr>
              <w:t>Q30: Int. Econ. Dev.</w:t>
            </w:r>
          </w:p>
        </w:tc>
        <w:tc>
          <w:tcPr>
            <w:tcW w:w="929" w:type="dxa"/>
          </w:tcPr>
          <w:p w:rsidR="001630DC" w:rsidRPr="009944D4" w:rsidRDefault="001630DC" w:rsidP="001630DC">
            <w:pPr>
              <w:jc w:val="center"/>
              <w:rPr>
                <w:sz w:val="20"/>
                <w:szCs w:val="20"/>
              </w:rPr>
            </w:pPr>
            <w:r w:rsidRPr="009944D4">
              <w:rPr>
                <w:sz w:val="20"/>
                <w:szCs w:val="20"/>
              </w:rPr>
              <w:t>Q70: Int. Human Rights</w:t>
            </w:r>
          </w:p>
        </w:tc>
        <w:tc>
          <w:tcPr>
            <w:tcW w:w="750" w:type="dxa"/>
          </w:tcPr>
          <w:p w:rsidR="001630DC" w:rsidRPr="009944D4" w:rsidRDefault="001630DC" w:rsidP="001630DC">
            <w:pPr>
              <w:jc w:val="center"/>
              <w:rPr>
                <w:sz w:val="20"/>
                <w:szCs w:val="20"/>
              </w:rPr>
            </w:pPr>
            <w:r w:rsidRPr="009944D4">
              <w:rPr>
                <w:sz w:val="20"/>
                <w:szCs w:val="20"/>
              </w:rPr>
              <w:t>E70: Public Health</w:t>
            </w:r>
          </w:p>
        </w:tc>
        <w:tc>
          <w:tcPr>
            <w:tcW w:w="953" w:type="dxa"/>
          </w:tcPr>
          <w:p w:rsidR="001630DC" w:rsidRPr="009944D4" w:rsidRDefault="001630DC" w:rsidP="001630DC">
            <w:pPr>
              <w:jc w:val="center"/>
              <w:rPr>
                <w:sz w:val="20"/>
                <w:szCs w:val="20"/>
              </w:rPr>
            </w:pPr>
            <w:r w:rsidRPr="009944D4">
              <w:rPr>
                <w:sz w:val="20"/>
                <w:szCs w:val="20"/>
              </w:rPr>
              <w:t>P30: Children &amp; Youth</w:t>
            </w:r>
          </w:p>
        </w:tc>
        <w:tc>
          <w:tcPr>
            <w:tcW w:w="633" w:type="dxa"/>
          </w:tcPr>
          <w:p w:rsidR="001630DC" w:rsidRPr="009944D4" w:rsidRDefault="001630DC" w:rsidP="001630DC">
            <w:pPr>
              <w:jc w:val="center"/>
              <w:rPr>
                <w:sz w:val="20"/>
                <w:szCs w:val="20"/>
              </w:rPr>
            </w:pPr>
            <w:r w:rsidRPr="009944D4">
              <w:rPr>
                <w:sz w:val="20"/>
                <w:szCs w:val="20"/>
              </w:rPr>
              <w:t>Q31: Int. Ag.</w:t>
            </w:r>
          </w:p>
        </w:tc>
        <w:tc>
          <w:tcPr>
            <w:tcW w:w="1005" w:type="dxa"/>
          </w:tcPr>
          <w:p w:rsidR="00B11ABC" w:rsidRDefault="001630DC" w:rsidP="001630DC">
            <w:pPr>
              <w:jc w:val="center"/>
              <w:rPr>
                <w:sz w:val="20"/>
                <w:szCs w:val="20"/>
              </w:rPr>
            </w:pPr>
            <w:r w:rsidRPr="009944D4">
              <w:rPr>
                <w:sz w:val="20"/>
                <w:szCs w:val="20"/>
              </w:rPr>
              <w:t xml:space="preserve">Q02: </w:t>
            </w:r>
          </w:p>
          <w:p w:rsidR="001630DC" w:rsidRPr="009944D4" w:rsidRDefault="001630DC" w:rsidP="001630DC">
            <w:pPr>
              <w:jc w:val="center"/>
              <w:rPr>
                <w:sz w:val="20"/>
                <w:szCs w:val="20"/>
              </w:rPr>
            </w:pPr>
            <w:r w:rsidRPr="009944D4">
              <w:rPr>
                <w:sz w:val="20"/>
                <w:szCs w:val="20"/>
              </w:rPr>
              <w:t>Int. Technical Asst.</w:t>
            </w:r>
          </w:p>
        </w:tc>
      </w:tr>
      <w:tr w:rsidR="001630DC" w:rsidRPr="009944D4">
        <w:trPr>
          <w:jc w:val="center"/>
        </w:trPr>
        <w:tc>
          <w:tcPr>
            <w:tcW w:w="1016" w:type="dxa"/>
          </w:tcPr>
          <w:p w:rsidR="001630DC" w:rsidRPr="009944D4" w:rsidRDefault="001630DC" w:rsidP="001630DC">
            <w:pPr>
              <w:jc w:val="center"/>
              <w:rPr>
                <w:sz w:val="20"/>
                <w:szCs w:val="20"/>
              </w:rPr>
            </w:pPr>
            <w:r w:rsidRPr="009944D4">
              <w:rPr>
                <w:sz w:val="20"/>
                <w:szCs w:val="20"/>
              </w:rPr>
              <w:t>%TNGOs</w:t>
            </w:r>
          </w:p>
        </w:tc>
        <w:tc>
          <w:tcPr>
            <w:tcW w:w="892" w:type="dxa"/>
          </w:tcPr>
          <w:p w:rsidR="001630DC" w:rsidRPr="009944D4" w:rsidRDefault="001630DC" w:rsidP="001630DC">
            <w:pPr>
              <w:jc w:val="center"/>
              <w:rPr>
                <w:sz w:val="20"/>
                <w:szCs w:val="20"/>
              </w:rPr>
            </w:pPr>
            <w:r w:rsidRPr="009944D4">
              <w:rPr>
                <w:sz w:val="20"/>
                <w:szCs w:val="20"/>
              </w:rPr>
              <w:t>23.7%</w:t>
            </w:r>
          </w:p>
        </w:tc>
        <w:tc>
          <w:tcPr>
            <w:tcW w:w="797" w:type="dxa"/>
          </w:tcPr>
          <w:p w:rsidR="001630DC" w:rsidRPr="009944D4" w:rsidRDefault="001630DC" w:rsidP="001630DC">
            <w:pPr>
              <w:jc w:val="center"/>
              <w:rPr>
                <w:sz w:val="20"/>
                <w:szCs w:val="20"/>
              </w:rPr>
            </w:pPr>
            <w:r w:rsidRPr="009944D4">
              <w:rPr>
                <w:sz w:val="20"/>
                <w:szCs w:val="20"/>
              </w:rPr>
              <w:t>23.1%</w:t>
            </w:r>
          </w:p>
        </w:tc>
        <w:tc>
          <w:tcPr>
            <w:tcW w:w="923" w:type="dxa"/>
          </w:tcPr>
          <w:p w:rsidR="001630DC" w:rsidRPr="009944D4" w:rsidRDefault="001630DC" w:rsidP="001630DC">
            <w:pPr>
              <w:jc w:val="center"/>
              <w:rPr>
                <w:sz w:val="20"/>
                <w:szCs w:val="20"/>
              </w:rPr>
            </w:pPr>
            <w:r w:rsidRPr="009944D4">
              <w:rPr>
                <w:sz w:val="20"/>
                <w:szCs w:val="20"/>
              </w:rPr>
              <w:t>5.8%</w:t>
            </w:r>
          </w:p>
        </w:tc>
        <w:tc>
          <w:tcPr>
            <w:tcW w:w="929" w:type="dxa"/>
          </w:tcPr>
          <w:p w:rsidR="001630DC" w:rsidRPr="009944D4" w:rsidRDefault="001630DC" w:rsidP="001630DC">
            <w:pPr>
              <w:jc w:val="center"/>
              <w:rPr>
                <w:sz w:val="20"/>
                <w:szCs w:val="20"/>
              </w:rPr>
            </w:pPr>
            <w:r w:rsidRPr="009944D4">
              <w:rPr>
                <w:sz w:val="20"/>
                <w:szCs w:val="20"/>
              </w:rPr>
              <w:t>3.4%</w:t>
            </w:r>
          </w:p>
        </w:tc>
        <w:tc>
          <w:tcPr>
            <w:tcW w:w="750" w:type="dxa"/>
          </w:tcPr>
          <w:p w:rsidR="001630DC" w:rsidRPr="009944D4" w:rsidRDefault="001630DC" w:rsidP="001630DC">
            <w:pPr>
              <w:jc w:val="center"/>
              <w:rPr>
                <w:sz w:val="20"/>
                <w:szCs w:val="20"/>
              </w:rPr>
            </w:pPr>
            <w:r w:rsidRPr="009944D4">
              <w:rPr>
                <w:sz w:val="20"/>
                <w:szCs w:val="20"/>
              </w:rPr>
              <w:t>2.5%</w:t>
            </w:r>
          </w:p>
        </w:tc>
        <w:tc>
          <w:tcPr>
            <w:tcW w:w="953" w:type="dxa"/>
          </w:tcPr>
          <w:p w:rsidR="001630DC" w:rsidRPr="009944D4" w:rsidRDefault="001630DC" w:rsidP="001630DC">
            <w:pPr>
              <w:jc w:val="center"/>
              <w:rPr>
                <w:sz w:val="20"/>
                <w:szCs w:val="20"/>
              </w:rPr>
            </w:pPr>
            <w:r w:rsidRPr="009944D4">
              <w:rPr>
                <w:sz w:val="20"/>
                <w:szCs w:val="20"/>
              </w:rPr>
              <w:t>2.5%</w:t>
            </w:r>
          </w:p>
        </w:tc>
        <w:tc>
          <w:tcPr>
            <w:tcW w:w="633" w:type="dxa"/>
          </w:tcPr>
          <w:p w:rsidR="001630DC" w:rsidRPr="009944D4" w:rsidRDefault="001630DC" w:rsidP="001630DC">
            <w:pPr>
              <w:jc w:val="center"/>
              <w:rPr>
                <w:sz w:val="20"/>
                <w:szCs w:val="20"/>
              </w:rPr>
            </w:pPr>
            <w:r w:rsidRPr="009944D4">
              <w:rPr>
                <w:sz w:val="20"/>
                <w:szCs w:val="20"/>
              </w:rPr>
              <w:t>2.4%</w:t>
            </w:r>
          </w:p>
        </w:tc>
        <w:tc>
          <w:tcPr>
            <w:tcW w:w="1005" w:type="dxa"/>
          </w:tcPr>
          <w:p w:rsidR="001630DC" w:rsidRPr="009944D4" w:rsidRDefault="001630DC" w:rsidP="001630DC">
            <w:pPr>
              <w:jc w:val="center"/>
              <w:rPr>
                <w:sz w:val="20"/>
                <w:szCs w:val="20"/>
              </w:rPr>
            </w:pPr>
            <w:r w:rsidRPr="009944D4">
              <w:rPr>
                <w:sz w:val="20"/>
                <w:szCs w:val="20"/>
              </w:rPr>
              <w:t>1.5%</w:t>
            </w:r>
          </w:p>
        </w:tc>
      </w:tr>
    </w:tbl>
    <w:p w:rsidR="001630DC" w:rsidRPr="00615E1B" w:rsidRDefault="001630DC" w:rsidP="00D96D01">
      <w:pPr>
        <w:pStyle w:val="Caption"/>
        <w:spacing w:before="240"/>
        <w:jc w:val="center"/>
        <w:rPr>
          <w:b/>
          <w:i w:val="0"/>
          <w:color w:val="auto"/>
          <w:sz w:val="22"/>
          <w:szCs w:val="22"/>
        </w:rPr>
      </w:pPr>
      <w:bookmarkStart w:id="283" w:name="_Toc450069820"/>
      <w:r w:rsidRPr="00615E1B">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3</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1</w:t>
      </w:r>
      <w:r>
        <w:rPr>
          <w:b/>
          <w:i w:val="0"/>
          <w:color w:val="auto"/>
          <w:sz w:val="22"/>
        </w:rPr>
        <w:fldChar w:fldCharType="end"/>
      </w:r>
      <w:r>
        <w:rPr>
          <w:b/>
          <w:i w:val="0"/>
          <w:color w:val="auto"/>
          <w:sz w:val="22"/>
          <w:szCs w:val="22"/>
        </w:rPr>
        <w:t>:</w:t>
      </w:r>
      <w:r w:rsidRPr="00615E1B">
        <w:rPr>
          <w:b/>
          <w:i w:val="0"/>
          <w:color w:val="auto"/>
          <w:sz w:val="22"/>
          <w:szCs w:val="22"/>
        </w:rPr>
        <w:t xml:space="preserve"> </w:t>
      </w:r>
      <w:r>
        <w:rPr>
          <w:b/>
          <w:i w:val="0"/>
          <w:color w:val="auto"/>
          <w:sz w:val="22"/>
          <w:szCs w:val="22"/>
        </w:rPr>
        <w:t>TNGO</w:t>
      </w:r>
      <w:r w:rsidRPr="00615E1B">
        <w:rPr>
          <w:b/>
          <w:i w:val="0"/>
          <w:color w:val="auto"/>
          <w:sz w:val="22"/>
          <w:szCs w:val="22"/>
        </w:rPr>
        <w:t>s in Data by Primary Sector</w:t>
      </w:r>
      <w:bookmarkEnd w:id="283"/>
    </w:p>
    <w:p w:rsidR="001630DC" w:rsidRDefault="001630DC" w:rsidP="001630DC">
      <w:pPr>
        <w:pStyle w:val="FootnoteText"/>
        <w:spacing w:line="480" w:lineRule="auto"/>
      </w:pPr>
    </w:p>
    <w:p w:rsidR="001630DC" w:rsidRPr="00E43BCF" w:rsidRDefault="001630DC" w:rsidP="001630DC">
      <w:pPr>
        <w:pStyle w:val="FootnoteText"/>
        <w:spacing w:line="480" w:lineRule="auto"/>
        <w:ind w:firstLine="720"/>
        <w:rPr>
          <w:sz w:val="24"/>
          <w:szCs w:val="24"/>
        </w:rPr>
      </w:pPr>
      <w:r w:rsidRPr="00E43BCF">
        <w:rPr>
          <w:sz w:val="24"/>
          <w:szCs w:val="24"/>
        </w:rPr>
        <w:t xml:space="preserve">Focusing on </w:t>
      </w:r>
      <w:r>
        <w:rPr>
          <w:sz w:val="24"/>
          <w:szCs w:val="24"/>
        </w:rPr>
        <w:t>TNGO</w:t>
      </w:r>
      <w:r w:rsidRPr="00E43BCF">
        <w:rPr>
          <w:sz w:val="24"/>
          <w:szCs w:val="24"/>
        </w:rPr>
        <w:t>s with in-country programming, each record from the combined searches was reviewed manually. In-country programming is defined as the presence of staff, an office, or a collaborative effort in the country of implementation. In-country programming was determined using program descriptions from the 990 form, mission statements, and organization websites. This has proven to be challenging conceptually. It was sometimes difficult to determine what constitute a sub-contract versus a truly collaborative partnership and to make value judgments on degree of “in-country” of an organization. For example, the coordination, shipment, and delivery of medical supplies compared to volunteer vacations.</w:t>
      </w:r>
    </w:p>
    <w:p w:rsidR="001630DC" w:rsidRPr="000C57A5" w:rsidRDefault="001630DC" w:rsidP="001630DC">
      <w:pPr>
        <w:spacing w:line="480" w:lineRule="auto"/>
        <w:ind w:firstLine="720"/>
      </w:pPr>
      <w:r w:rsidRPr="000C57A5">
        <w:t xml:space="preserve">Private foundations, universities and colleges, and hospitals were excluded. In some instances, these types of organizations met the in-country decision rule, but the lacked location choice based on their mission and association with a pre-existing institution. Many of the </w:t>
      </w:r>
      <w:r>
        <w:t>TNGO</w:t>
      </w:r>
      <w:r w:rsidRPr="000C57A5">
        <w:t xml:space="preserve">s excluded from the dataset were cross-coded as one of the removed Q subcategories, such as research institutes or international exchanges. Others were international in character, but emphasized international programs in the U.S. and lacked in-country programs; these included international visitors’ bureaus and professional or student exchanges. </w:t>
      </w:r>
    </w:p>
    <w:p w:rsidR="001630DC" w:rsidRPr="000C57A5" w:rsidRDefault="001630DC" w:rsidP="001630DC">
      <w:pPr>
        <w:spacing w:line="480" w:lineRule="auto"/>
        <w:ind w:firstLine="720"/>
      </w:pPr>
      <w:r w:rsidRPr="000C57A5">
        <w:t>Data from</w:t>
      </w:r>
      <w:r>
        <w:t xml:space="preserve"> form 990s</w:t>
      </w:r>
      <w:r w:rsidRPr="000C57A5">
        <w:t xml:space="preserve">, the websites of the </w:t>
      </w:r>
      <w:r>
        <w:t>TNGO</w:t>
      </w:r>
      <w:r w:rsidRPr="000C57A5">
        <w:t xml:space="preserve">s, annual reports, and NCCS summaries </w:t>
      </w:r>
      <w:r>
        <w:t xml:space="preserve">was </w:t>
      </w:r>
      <w:r w:rsidRPr="000C57A5">
        <w:t xml:space="preserve">hand-coded by a team of two non-specialists and </w:t>
      </w:r>
      <w:r>
        <w:t>the author</w:t>
      </w:r>
      <w:r w:rsidRPr="000C57A5">
        <w:t xml:space="preserve">. For purposes of inter-coder reliability the two non-specialists were chosen for their familiarity with social science, but neither are public administration </w:t>
      </w:r>
      <w:r>
        <w:t>n</w:t>
      </w:r>
      <w:r w:rsidRPr="000C57A5">
        <w:t>or political science majors. The NCCS presents several advantages over similar sources. First, the data undergoes periodic checks for accuracy by staff. Although not every record is reviewed, this procedure is a valuable tool for reliability. Second, several types of files are available in addition to the 990</w:t>
      </w:r>
      <w:r>
        <w:t xml:space="preserve"> form</w:t>
      </w:r>
      <w:r w:rsidRPr="000C57A5">
        <w:t>, including the IRS Core Files and Master File. This greatly expands the options for data collection and variety. Third, the NCCS attempts to fill missing data and verify the appropriate NTEE code</w:t>
      </w:r>
      <w:r>
        <w:t>.</w:t>
      </w:r>
      <w:r w:rsidRPr="001A348B">
        <w:rPr>
          <w:rStyle w:val="FootnoteReference"/>
        </w:rPr>
        <w:footnoteReference w:id="16"/>
      </w:r>
      <w:r w:rsidRPr="000C57A5">
        <w:t xml:space="preserve"> Finally, the NCCS is housed at the Urban Institute. In addition to the papers published by its team or researchers, the community that surrounds the center establishes a network of scholarship from which to build and through which to communicate. </w:t>
      </w:r>
    </w:p>
    <w:p w:rsidR="001630DC" w:rsidRDefault="001630DC" w:rsidP="001630DC">
      <w:pPr>
        <w:spacing w:line="480" w:lineRule="auto"/>
        <w:ind w:firstLine="720"/>
      </w:pPr>
      <w:r w:rsidRPr="000C57A5">
        <w:t xml:space="preserve">The data </w:t>
      </w:r>
      <w:r>
        <w:t>collected from</w:t>
      </w:r>
      <w:r w:rsidRPr="000C57A5">
        <w:t xml:space="preserve"> the </w:t>
      </w:r>
      <w:r>
        <w:t xml:space="preserve">form </w:t>
      </w:r>
      <w:r w:rsidRPr="000C57A5">
        <w:t>990</w:t>
      </w:r>
      <w:r>
        <w:t xml:space="preserve"> is self-reported. Therefore, both the IRS and scholars rely</w:t>
      </w:r>
      <w:r w:rsidRPr="000C57A5">
        <w:t xml:space="preserve"> on organizations </w:t>
      </w:r>
      <w:r>
        <w:t xml:space="preserve">to </w:t>
      </w:r>
      <w:r w:rsidRPr="000C57A5">
        <w:t xml:space="preserve">accurately </w:t>
      </w:r>
      <w:r>
        <w:t xml:space="preserve">and appropriately </w:t>
      </w:r>
      <w:r w:rsidRPr="000C57A5">
        <w:t xml:space="preserve">report data. This includes categorizing funding streams, succinctly reporting programming, and accurately describing other organizational and financial characteristics. In the case of funding streams, self-reported data may obscure some details if monies are derived from government grants awarded through third parties by sub-contract or a non-monetary collaborative arrangement. However, </w:t>
      </w:r>
      <w:r>
        <w:t>this is not expected</w:t>
      </w:r>
      <w:r w:rsidRPr="000C57A5">
        <w:t xml:space="preserve"> to greatly influence the data as the emphasis of this study is location and the influence of strategic initiatives. Where </w:t>
      </w:r>
      <w:r>
        <w:t>TNGO</w:t>
      </w:r>
      <w:r w:rsidRPr="000C57A5">
        <w:t xml:space="preserve">s choose to partner with other organizations, the programmatic aspects and location of the partnership remains constant. Limitations do exist where such partnerships are unclear and locations are duplicitously reported or where organizations report location at a macro-level, identifying regions rather than countries. It is possible to overcome location reporting in part by triangulating data through organization literature and websites. </w:t>
      </w:r>
    </w:p>
    <w:p w:rsidR="00E67B1D" w:rsidRDefault="00E67B1D" w:rsidP="00E67B1D">
      <w:pPr>
        <w:spacing w:line="480" w:lineRule="auto"/>
        <w:rPr>
          <w:szCs w:val="24"/>
        </w:rPr>
      </w:pPr>
    </w:p>
    <w:p w:rsidR="001630DC" w:rsidRPr="00E7514F" w:rsidRDefault="001630DC" w:rsidP="00E67B1D">
      <w:pPr>
        <w:pStyle w:val="Subheading2"/>
      </w:pPr>
      <w:r w:rsidRPr="00E7514F">
        <w:t>Dependent Variable</w:t>
      </w:r>
      <w:r>
        <w:t>s</w:t>
      </w:r>
    </w:p>
    <w:p w:rsidR="001630DC" w:rsidRPr="000C57A5" w:rsidDel="00A34D4D" w:rsidRDefault="001630DC" w:rsidP="001630DC">
      <w:pPr>
        <w:spacing w:line="480" w:lineRule="auto"/>
        <w:ind w:firstLine="720"/>
      </w:pPr>
      <w:r w:rsidRPr="00F66D1D">
        <w:t>The dependent variable in the first model is an active presence in a strategic initiative country</w:t>
      </w:r>
      <w:r>
        <w:t xml:space="preserve"> between 2008 and 2012</w:t>
      </w:r>
      <w:r w:rsidRPr="00F66D1D">
        <w:t>, constructed as a binary variable</w:t>
      </w:r>
      <w:r>
        <w:t xml:space="preserve">. Each organization is coded as a “1” if it is present in at least one country designated as a strategic initiative country. This data is then cross-referenced with data collected from three strategic documents identified in order to create the </w:t>
      </w:r>
      <w:r>
        <w:rPr>
          <w:i/>
        </w:rPr>
        <w:t>strategic_</w:t>
      </w:r>
      <w:r w:rsidRPr="00557328">
        <w:rPr>
          <w:i/>
        </w:rPr>
        <w:t>country</w:t>
      </w:r>
      <w:r>
        <w:rPr>
          <w:i/>
        </w:rPr>
        <w:t xml:space="preserve"> </w:t>
      </w:r>
      <w:r>
        <w:t xml:space="preserve">variable in which TNGO presence in strategic countries is cataloged. The dependent variable in the second model, </w:t>
      </w:r>
      <w:r>
        <w:rPr>
          <w:i/>
        </w:rPr>
        <w:t>total_TNGO</w:t>
      </w:r>
      <w:r>
        <w:t xml:space="preserve">, represents an aggregated count of U.S.-based TNGOs present in a country in a year between 2008 and 2012. Data on TNGO location is collected from parts III and V of the form 990s and Schedule O: Supplemental Information to 990 and 990-EZ forms. </w:t>
      </w:r>
      <w:r w:rsidRPr="00557328">
        <w:t>The</w:t>
      </w:r>
      <w:r>
        <w:t xml:space="preserve"> period of 2008 to 2012 was selected due to data availability and changes introduced to the form 990 in 2007. </w:t>
      </w:r>
    </w:p>
    <w:p w:rsidR="001630DC" w:rsidRDefault="001630DC" w:rsidP="001630DC">
      <w:pPr>
        <w:spacing w:line="480" w:lineRule="auto"/>
        <w:ind w:firstLine="720"/>
      </w:pPr>
      <w:r w:rsidRPr="000C57A5">
        <w:t xml:space="preserve">Strategic initiative </w:t>
      </w:r>
      <w:r>
        <w:t>countries are identified</w:t>
      </w:r>
      <w:r w:rsidRPr="000C57A5">
        <w:t xml:space="preserve"> </w:t>
      </w:r>
      <w:r>
        <w:t>using three</w:t>
      </w:r>
      <w:r w:rsidRPr="000C57A5">
        <w:t xml:space="preserve"> </w:t>
      </w:r>
      <w:r>
        <w:t>documents</w:t>
      </w:r>
      <w:r w:rsidRPr="000C57A5">
        <w:t>: the National Security Strategy</w:t>
      </w:r>
      <w:r>
        <w:t>; the State of the Union</w:t>
      </w:r>
      <w:r w:rsidRPr="000C57A5">
        <w:t>; and the State Department’s Cr</w:t>
      </w:r>
      <w:r>
        <w:t xml:space="preserve">itical Language Scholarship. The three documents were chosen for their relative accessibility to the public and their ability to signal the government’s interest in particular countries. Together they represent several dimensions of strategic interests of the U.S. government. In addition, they also embody interests particular to a given year and administration. </w:t>
      </w:r>
      <w:r w:rsidRPr="000C57A5">
        <w:t>The number of times a country is mentioned in each document is aggregated into a single score to create a measure of the level of attention a country receives from the U.S. government</w:t>
      </w:r>
      <w:r>
        <w:t xml:space="preserve"> in a particular period. The Critical Language Scholarship</w:t>
      </w:r>
      <w:r w:rsidRPr="000C57A5">
        <w:t xml:space="preserve"> reflects areas of linguistic priority; to translate linguistic priorities </w:t>
      </w:r>
      <w:r>
        <w:t>in</w:t>
      </w:r>
      <w:r w:rsidRPr="000C57A5">
        <w:t xml:space="preserve">to a country measure, each year a language is offered is coded as one mention for each country where </w:t>
      </w:r>
      <w:r>
        <w:t>that language is designated</w:t>
      </w:r>
      <w:r w:rsidRPr="000C57A5">
        <w:t xml:space="preserve"> an official language. Data for each document was collected from the responsible agency, with the exception of the </w:t>
      </w:r>
      <w:r>
        <w:t>State of the Union</w:t>
      </w:r>
      <w:r w:rsidRPr="000C57A5">
        <w:t>, which was collected from the National Archives.</w:t>
      </w:r>
      <w:r w:rsidRPr="001A348B">
        <w:rPr>
          <w:rStyle w:val="FootnoteReference"/>
        </w:rPr>
        <w:footnoteReference w:id="17"/>
      </w:r>
    </w:p>
    <w:p w:rsidR="00E67B1D" w:rsidRDefault="00E67B1D" w:rsidP="00E67B1D">
      <w:pPr>
        <w:spacing w:line="480" w:lineRule="auto"/>
        <w:rPr>
          <w:szCs w:val="24"/>
        </w:rPr>
      </w:pPr>
    </w:p>
    <w:p w:rsidR="001630DC" w:rsidRPr="000C57A5" w:rsidRDefault="001630DC" w:rsidP="00E67B1D">
      <w:pPr>
        <w:pStyle w:val="Subheading2"/>
      </w:pPr>
      <w:r>
        <w:t>Methods</w:t>
      </w:r>
    </w:p>
    <w:p w:rsidR="001630DC" w:rsidRDefault="001630DC" w:rsidP="001630DC">
      <w:pPr>
        <w:spacing w:line="480" w:lineRule="auto"/>
        <w:ind w:firstLine="720"/>
      </w:pPr>
      <w:r w:rsidRPr="000C57A5">
        <w:t xml:space="preserve">Analysis of the data </w:t>
      </w:r>
      <w:r>
        <w:t>uses a</w:t>
      </w:r>
      <w:r w:rsidRPr="000C57A5">
        <w:t xml:space="preserve"> mixed-meth</w:t>
      </w:r>
      <w:r>
        <w:t xml:space="preserve">ods approach that includes </w:t>
      </w:r>
      <w:r w:rsidRPr="001A348B">
        <w:t>content analysis, descriptive statistics, and logistic regression with one-way fixed effects.</w:t>
      </w:r>
      <w:r w:rsidRPr="000C57A5">
        <w:t xml:space="preserve"> Content analysis allows for the examination of documentary evidence from </w:t>
      </w:r>
      <w:r>
        <w:t>TNGO</w:t>
      </w:r>
      <w:r w:rsidRPr="000C57A5">
        <w:t xml:space="preserve"> and government sources, verifying existing or creating new taxonomies as needed and categories for statistical measuring </w:t>
      </w:r>
      <w:r>
        <w:fldChar w:fldCharType="begin"/>
      </w:r>
      <w:r>
        <w:instrText xml:space="preserve"> ADDIN ZOTERO_ITEM CSL_CITATION {"citationID":"mOnb8kIf","properties":{"formattedCitation":"(Charmaz 2006; Schreier 2012)","plainCitation":"(Charmaz 2006; Schreier 2012)"},"citationItems":[{"id":3121,"uris":["http://zotero.org/users/381007/items/5R7WUZTI"],"uri":["http://zotero.org/users/381007/items/5R7WUZTI"],"itemData":{"id":3121,"type":"book","title":"Constructing a Grounded Theory: A Practical Guide Through Qualitative Analysis","publisher":"Sage Publications","publisher-place":"New York","event-place":"New York","author":[{"family":"Charmaz","given":"K."}],"issued":{"date-parts":[["2006"]]}}},{"id":3173,"uris":["http://zotero.org/users/381007/items/GHBIJIN9"],"uri":["http://zotero.org/users/381007/items/GHBIJIN9"],"itemData":{"id":3173,"type":"book","title":"Qualitative Content Analysis In Practice","publisher":"Sage Publications","publisher-place":"Newbury","event-place":"Newbury","author":[{"family":"Schreier","given":"M."}],"issued":{"date-parts":[["2012"]]}}}],"schema":"https://github.com/citation-style-language/schema/raw/master/csl-citation.json"} </w:instrText>
      </w:r>
      <w:r>
        <w:fldChar w:fldCharType="separate"/>
      </w:r>
      <w:r w:rsidRPr="000C57A5">
        <w:rPr>
          <w:noProof/>
        </w:rPr>
        <w:t>(Charmaz 2006; Schreier 2012)</w:t>
      </w:r>
      <w:r>
        <w:fldChar w:fldCharType="end"/>
      </w:r>
      <w:r w:rsidRPr="000C57A5">
        <w:t xml:space="preserve">. </w:t>
      </w:r>
      <w:r>
        <w:t xml:space="preserve">In the first model, the proposition is tested using logistic regression. It is the most appropriate analytical tool because, as constructed, the dependent variable </w:t>
      </w:r>
      <w:r>
        <w:rPr>
          <w:i/>
        </w:rPr>
        <w:t>strategic_</w:t>
      </w:r>
      <w:r w:rsidRPr="00CF5C64">
        <w:rPr>
          <w:i/>
        </w:rPr>
        <w:t>country</w:t>
      </w:r>
      <w:r>
        <w:t xml:space="preserve"> </w:t>
      </w:r>
      <w:r w:rsidRPr="00CF5C64">
        <w:t>is</w:t>
      </w:r>
      <w:r>
        <w:t xml:space="preserve"> dichotomous and logit fits the model for a binary response by maximum likelihood. Results are presented in </w:t>
      </w:r>
      <w:r w:rsidRPr="00180DA3">
        <w:t>Table 3</w:t>
      </w:r>
      <w:r w:rsidR="0084627E">
        <w:t>.3</w:t>
      </w:r>
      <w:r>
        <w:t xml:space="preserve">. </w:t>
      </w:r>
    </w:p>
    <w:p w:rsidR="00E67B1D" w:rsidRPr="0084627E" w:rsidRDefault="001630DC" w:rsidP="0084627E">
      <w:pPr>
        <w:spacing w:line="480" w:lineRule="auto"/>
        <w:ind w:firstLine="720"/>
      </w:pPr>
      <w:r>
        <w:t xml:space="preserve">In the second model, the dependent variable </w:t>
      </w:r>
      <w:r>
        <w:rPr>
          <w:i/>
        </w:rPr>
        <w:t xml:space="preserve">total_TNGO </w:t>
      </w:r>
      <w:r>
        <w:t xml:space="preserve">changes from a dichotomous to a continuous variable, therefore a negative binomial count regression is used instead. This avoids the bias of ordinary least squares regression. The dispersion in the data is greater than would be expected in a traditional Poisson distribution, therefore the negative binomial estimation is a better fit. Robust standard errors are also estimated to increase confidence in the results. Results are presented in </w:t>
      </w:r>
      <w:r w:rsidR="0084627E">
        <w:t>Table 3.4.</w:t>
      </w:r>
      <w:r>
        <w:t xml:space="preserve"> </w:t>
      </w:r>
    </w:p>
    <w:p w:rsidR="001630DC" w:rsidRPr="008E1625" w:rsidRDefault="001630DC" w:rsidP="00E67B1D">
      <w:pPr>
        <w:pStyle w:val="Subheading1"/>
        <w:numPr>
          <w:ilvl w:val="0"/>
          <w:numId w:val="0"/>
        </w:numPr>
        <w:rPr>
          <w:sz w:val="24"/>
          <w:szCs w:val="24"/>
        </w:rPr>
      </w:pPr>
      <w:bookmarkStart w:id="284" w:name="_Toc450079225"/>
      <w:r>
        <w:rPr>
          <w:sz w:val="24"/>
          <w:szCs w:val="24"/>
        </w:rPr>
        <w:t>3.5</w:t>
      </w:r>
      <w:r w:rsidRPr="008E1625">
        <w:rPr>
          <w:sz w:val="24"/>
          <w:szCs w:val="24"/>
        </w:rPr>
        <w:t>: Results</w:t>
      </w:r>
      <w:bookmarkEnd w:id="284"/>
    </w:p>
    <w:tbl>
      <w:tblPr>
        <w:tblpPr w:leftFromText="180" w:rightFromText="180" w:vertAnchor="text" w:horzAnchor="margin" w:tblpX="288" w:tblpY="526"/>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900"/>
        <w:gridCol w:w="810"/>
        <w:gridCol w:w="810"/>
        <w:gridCol w:w="810"/>
        <w:gridCol w:w="918"/>
      </w:tblGrid>
      <w:tr w:rsidR="00C03A9D" w:rsidRPr="00C03A9D">
        <w:trPr>
          <w:trHeight w:val="314"/>
        </w:trPr>
        <w:tc>
          <w:tcPr>
            <w:tcW w:w="3870" w:type="dxa"/>
          </w:tcPr>
          <w:p w:rsidR="001630DC" w:rsidRPr="00C03A9D" w:rsidRDefault="001630DC" w:rsidP="00270F7E">
            <w:pPr>
              <w:rPr>
                <w:b/>
                <w:sz w:val="20"/>
                <w:szCs w:val="20"/>
              </w:rPr>
            </w:pPr>
            <w:r w:rsidRPr="00C03A9D">
              <w:rPr>
                <w:sz w:val="20"/>
                <w:szCs w:val="20"/>
              </w:rPr>
              <w:t>n = 533</w:t>
            </w:r>
          </w:p>
        </w:tc>
        <w:tc>
          <w:tcPr>
            <w:tcW w:w="900" w:type="dxa"/>
          </w:tcPr>
          <w:p w:rsidR="001630DC" w:rsidRPr="00C03A9D" w:rsidRDefault="001630DC" w:rsidP="00270F7E">
            <w:pPr>
              <w:spacing w:line="480" w:lineRule="auto"/>
              <w:jc w:val="center"/>
              <w:rPr>
                <w:b/>
                <w:sz w:val="20"/>
                <w:szCs w:val="20"/>
              </w:rPr>
            </w:pPr>
            <w:r w:rsidRPr="00C03A9D">
              <w:rPr>
                <w:b/>
                <w:sz w:val="20"/>
                <w:szCs w:val="20"/>
              </w:rPr>
              <w:t>2008</w:t>
            </w:r>
          </w:p>
        </w:tc>
        <w:tc>
          <w:tcPr>
            <w:tcW w:w="810" w:type="dxa"/>
          </w:tcPr>
          <w:p w:rsidR="001630DC" w:rsidRPr="00C03A9D" w:rsidRDefault="001630DC" w:rsidP="00270F7E">
            <w:pPr>
              <w:spacing w:line="480" w:lineRule="auto"/>
              <w:jc w:val="center"/>
              <w:rPr>
                <w:b/>
                <w:sz w:val="20"/>
                <w:szCs w:val="20"/>
              </w:rPr>
            </w:pPr>
            <w:r w:rsidRPr="00C03A9D">
              <w:rPr>
                <w:b/>
                <w:sz w:val="20"/>
                <w:szCs w:val="20"/>
              </w:rPr>
              <w:t>2009</w:t>
            </w:r>
          </w:p>
        </w:tc>
        <w:tc>
          <w:tcPr>
            <w:tcW w:w="810" w:type="dxa"/>
          </w:tcPr>
          <w:p w:rsidR="001630DC" w:rsidRPr="00C03A9D" w:rsidRDefault="001630DC" w:rsidP="00270F7E">
            <w:pPr>
              <w:spacing w:line="480" w:lineRule="auto"/>
              <w:jc w:val="center"/>
              <w:rPr>
                <w:b/>
                <w:sz w:val="20"/>
                <w:szCs w:val="20"/>
              </w:rPr>
            </w:pPr>
            <w:r w:rsidRPr="00C03A9D">
              <w:rPr>
                <w:b/>
                <w:sz w:val="20"/>
                <w:szCs w:val="20"/>
              </w:rPr>
              <w:t>2010</w:t>
            </w:r>
          </w:p>
        </w:tc>
        <w:tc>
          <w:tcPr>
            <w:tcW w:w="810" w:type="dxa"/>
          </w:tcPr>
          <w:p w:rsidR="001630DC" w:rsidRPr="00C03A9D" w:rsidRDefault="001630DC" w:rsidP="00270F7E">
            <w:pPr>
              <w:spacing w:line="480" w:lineRule="auto"/>
              <w:jc w:val="center"/>
              <w:rPr>
                <w:b/>
                <w:sz w:val="20"/>
                <w:szCs w:val="20"/>
              </w:rPr>
            </w:pPr>
            <w:r w:rsidRPr="00C03A9D">
              <w:rPr>
                <w:b/>
                <w:sz w:val="20"/>
                <w:szCs w:val="20"/>
              </w:rPr>
              <w:t>2011</w:t>
            </w:r>
          </w:p>
        </w:tc>
        <w:tc>
          <w:tcPr>
            <w:tcW w:w="918" w:type="dxa"/>
          </w:tcPr>
          <w:p w:rsidR="001630DC" w:rsidRPr="00C03A9D" w:rsidRDefault="001630DC" w:rsidP="00270F7E">
            <w:pPr>
              <w:spacing w:line="480" w:lineRule="auto"/>
              <w:jc w:val="center"/>
              <w:rPr>
                <w:b/>
                <w:sz w:val="20"/>
                <w:szCs w:val="20"/>
              </w:rPr>
            </w:pPr>
            <w:r w:rsidRPr="00C03A9D">
              <w:rPr>
                <w:b/>
                <w:sz w:val="20"/>
                <w:szCs w:val="20"/>
              </w:rPr>
              <w:t>2012</w:t>
            </w:r>
          </w:p>
        </w:tc>
      </w:tr>
      <w:tr w:rsidR="00C03A9D" w:rsidRPr="00C03A9D">
        <w:tc>
          <w:tcPr>
            <w:tcW w:w="3870" w:type="dxa"/>
          </w:tcPr>
          <w:p w:rsidR="001630DC" w:rsidRPr="00C03A9D" w:rsidRDefault="001630DC" w:rsidP="00270F7E">
            <w:pPr>
              <w:rPr>
                <w:sz w:val="20"/>
                <w:szCs w:val="20"/>
              </w:rPr>
            </w:pPr>
            <w:r w:rsidRPr="00C03A9D">
              <w:rPr>
                <w:sz w:val="20"/>
                <w:szCs w:val="20"/>
              </w:rPr>
              <w:t>% of TNGOs in at least one strategic initiative country</w:t>
            </w:r>
          </w:p>
        </w:tc>
        <w:tc>
          <w:tcPr>
            <w:tcW w:w="900" w:type="dxa"/>
          </w:tcPr>
          <w:p w:rsidR="001630DC" w:rsidRPr="00C03A9D" w:rsidRDefault="001630DC" w:rsidP="00270F7E">
            <w:pPr>
              <w:spacing w:line="480" w:lineRule="auto"/>
              <w:rPr>
                <w:sz w:val="20"/>
                <w:szCs w:val="20"/>
              </w:rPr>
            </w:pPr>
            <w:r w:rsidRPr="00C03A9D">
              <w:rPr>
                <w:sz w:val="20"/>
                <w:szCs w:val="20"/>
              </w:rPr>
              <w:t>42.6%</w:t>
            </w:r>
          </w:p>
        </w:tc>
        <w:tc>
          <w:tcPr>
            <w:tcW w:w="810" w:type="dxa"/>
          </w:tcPr>
          <w:p w:rsidR="001630DC" w:rsidRPr="00C03A9D" w:rsidRDefault="001630DC" w:rsidP="00270F7E">
            <w:pPr>
              <w:spacing w:line="480" w:lineRule="auto"/>
              <w:rPr>
                <w:sz w:val="20"/>
                <w:szCs w:val="20"/>
              </w:rPr>
            </w:pPr>
            <w:r w:rsidRPr="00C03A9D">
              <w:rPr>
                <w:sz w:val="20"/>
                <w:szCs w:val="20"/>
              </w:rPr>
              <w:t>38.1%</w:t>
            </w:r>
          </w:p>
        </w:tc>
        <w:tc>
          <w:tcPr>
            <w:tcW w:w="810" w:type="dxa"/>
          </w:tcPr>
          <w:p w:rsidR="001630DC" w:rsidRPr="00C03A9D" w:rsidRDefault="001630DC" w:rsidP="00270F7E">
            <w:pPr>
              <w:spacing w:line="480" w:lineRule="auto"/>
              <w:rPr>
                <w:sz w:val="20"/>
                <w:szCs w:val="20"/>
              </w:rPr>
            </w:pPr>
            <w:r w:rsidRPr="00C03A9D">
              <w:rPr>
                <w:sz w:val="20"/>
                <w:szCs w:val="20"/>
              </w:rPr>
              <w:t>44.3%</w:t>
            </w:r>
          </w:p>
        </w:tc>
        <w:tc>
          <w:tcPr>
            <w:tcW w:w="810" w:type="dxa"/>
          </w:tcPr>
          <w:p w:rsidR="001630DC" w:rsidRPr="00C03A9D" w:rsidRDefault="001630DC" w:rsidP="00270F7E">
            <w:pPr>
              <w:spacing w:line="480" w:lineRule="auto"/>
              <w:rPr>
                <w:sz w:val="20"/>
                <w:szCs w:val="20"/>
              </w:rPr>
            </w:pPr>
            <w:r w:rsidRPr="00C03A9D">
              <w:rPr>
                <w:sz w:val="20"/>
                <w:szCs w:val="20"/>
              </w:rPr>
              <w:t>43.3%</w:t>
            </w:r>
          </w:p>
        </w:tc>
        <w:tc>
          <w:tcPr>
            <w:tcW w:w="918" w:type="dxa"/>
          </w:tcPr>
          <w:p w:rsidR="001630DC" w:rsidRPr="00C03A9D" w:rsidRDefault="001630DC" w:rsidP="00270F7E">
            <w:pPr>
              <w:spacing w:line="480" w:lineRule="auto"/>
              <w:rPr>
                <w:sz w:val="20"/>
                <w:szCs w:val="20"/>
              </w:rPr>
            </w:pPr>
            <w:r w:rsidRPr="00C03A9D">
              <w:rPr>
                <w:sz w:val="20"/>
                <w:szCs w:val="20"/>
              </w:rPr>
              <w:t>40.9%</w:t>
            </w:r>
          </w:p>
        </w:tc>
      </w:tr>
      <w:tr w:rsidR="00C03A9D" w:rsidRPr="00C03A9D">
        <w:tc>
          <w:tcPr>
            <w:tcW w:w="3870" w:type="dxa"/>
          </w:tcPr>
          <w:p w:rsidR="001630DC" w:rsidRPr="00C03A9D" w:rsidRDefault="001630DC" w:rsidP="00270F7E">
            <w:pPr>
              <w:rPr>
                <w:sz w:val="20"/>
                <w:szCs w:val="20"/>
              </w:rPr>
            </w:pPr>
            <w:r w:rsidRPr="00C03A9D">
              <w:rPr>
                <w:sz w:val="20"/>
                <w:szCs w:val="20"/>
              </w:rPr>
              <w:t>% of TNGOs w/ government support</w:t>
            </w:r>
          </w:p>
        </w:tc>
        <w:tc>
          <w:tcPr>
            <w:tcW w:w="900" w:type="dxa"/>
          </w:tcPr>
          <w:p w:rsidR="001630DC" w:rsidRPr="00C03A9D" w:rsidRDefault="001630DC" w:rsidP="00270F7E">
            <w:pPr>
              <w:spacing w:line="480" w:lineRule="auto"/>
              <w:rPr>
                <w:sz w:val="20"/>
                <w:szCs w:val="20"/>
              </w:rPr>
            </w:pPr>
            <w:r w:rsidRPr="00C03A9D">
              <w:rPr>
                <w:sz w:val="20"/>
                <w:szCs w:val="20"/>
              </w:rPr>
              <w:t>14.6%</w:t>
            </w:r>
          </w:p>
        </w:tc>
        <w:tc>
          <w:tcPr>
            <w:tcW w:w="810" w:type="dxa"/>
          </w:tcPr>
          <w:p w:rsidR="001630DC" w:rsidRPr="00C03A9D" w:rsidRDefault="001630DC" w:rsidP="00270F7E">
            <w:pPr>
              <w:spacing w:line="480" w:lineRule="auto"/>
              <w:rPr>
                <w:sz w:val="20"/>
                <w:szCs w:val="20"/>
              </w:rPr>
            </w:pPr>
            <w:r w:rsidRPr="00C03A9D">
              <w:rPr>
                <w:sz w:val="20"/>
                <w:szCs w:val="20"/>
              </w:rPr>
              <w:t>14.1%</w:t>
            </w:r>
          </w:p>
        </w:tc>
        <w:tc>
          <w:tcPr>
            <w:tcW w:w="810" w:type="dxa"/>
          </w:tcPr>
          <w:p w:rsidR="001630DC" w:rsidRPr="00C03A9D" w:rsidRDefault="001630DC" w:rsidP="00270F7E">
            <w:pPr>
              <w:spacing w:line="480" w:lineRule="auto"/>
              <w:rPr>
                <w:sz w:val="20"/>
                <w:szCs w:val="20"/>
              </w:rPr>
            </w:pPr>
            <w:r w:rsidRPr="00C03A9D">
              <w:rPr>
                <w:sz w:val="20"/>
                <w:szCs w:val="20"/>
              </w:rPr>
              <w:t>13.4%</w:t>
            </w:r>
          </w:p>
        </w:tc>
        <w:tc>
          <w:tcPr>
            <w:tcW w:w="810" w:type="dxa"/>
          </w:tcPr>
          <w:p w:rsidR="001630DC" w:rsidRPr="00C03A9D" w:rsidRDefault="001630DC" w:rsidP="00270F7E">
            <w:pPr>
              <w:spacing w:line="480" w:lineRule="auto"/>
              <w:rPr>
                <w:sz w:val="20"/>
                <w:szCs w:val="20"/>
              </w:rPr>
            </w:pPr>
            <w:r w:rsidRPr="00C03A9D">
              <w:rPr>
                <w:sz w:val="20"/>
                <w:szCs w:val="20"/>
              </w:rPr>
              <w:t>15.4%</w:t>
            </w:r>
          </w:p>
        </w:tc>
        <w:tc>
          <w:tcPr>
            <w:tcW w:w="918" w:type="dxa"/>
          </w:tcPr>
          <w:p w:rsidR="001630DC" w:rsidRPr="00C03A9D" w:rsidRDefault="001630DC" w:rsidP="00270F7E">
            <w:pPr>
              <w:spacing w:line="480" w:lineRule="auto"/>
              <w:rPr>
                <w:sz w:val="20"/>
                <w:szCs w:val="20"/>
              </w:rPr>
            </w:pPr>
            <w:r w:rsidRPr="00C03A9D">
              <w:rPr>
                <w:sz w:val="20"/>
                <w:szCs w:val="20"/>
              </w:rPr>
              <w:t>29.8%</w:t>
            </w:r>
          </w:p>
        </w:tc>
      </w:tr>
      <w:tr w:rsidR="00C03A9D" w:rsidRPr="00C03A9D">
        <w:tc>
          <w:tcPr>
            <w:tcW w:w="3870" w:type="dxa"/>
          </w:tcPr>
          <w:p w:rsidR="001630DC" w:rsidRPr="00C03A9D" w:rsidRDefault="001630DC" w:rsidP="00270F7E">
            <w:pPr>
              <w:rPr>
                <w:sz w:val="20"/>
                <w:szCs w:val="20"/>
              </w:rPr>
            </w:pPr>
            <w:r w:rsidRPr="00C03A9D">
              <w:rPr>
                <w:sz w:val="20"/>
                <w:szCs w:val="20"/>
              </w:rPr>
              <w:t xml:space="preserve">% of TNGOs w/ operations in multiple strategic initiative countries </w:t>
            </w:r>
          </w:p>
        </w:tc>
        <w:tc>
          <w:tcPr>
            <w:tcW w:w="900" w:type="dxa"/>
          </w:tcPr>
          <w:p w:rsidR="001630DC" w:rsidRPr="00C03A9D" w:rsidRDefault="001630DC" w:rsidP="00270F7E">
            <w:pPr>
              <w:spacing w:line="480" w:lineRule="auto"/>
              <w:rPr>
                <w:sz w:val="20"/>
                <w:szCs w:val="20"/>
              </w:rPr>
            </w:pPr>
            <w:r w:rsidRPr="00C03A9D">
              <w:rPr>
                <w:sz w:val="20"/>
                <w:szCs w:val="20"/>
              </w:rPr>
              <w:t>29.8%</w:t>
            </w:r>
          </w:p>
        </w:tc>
        <w:tc>
          <w:tcPr>
            <w:tcW w:w="810" w:type="dxa"/>
          </w:tcPr>
          <w:p w:rsidR="001630DC" w:rsidRPr="00C03A9D" w:rsidRDefault="001630DC" w:rsidP="00270F7E">
            <w:pPr>
              <w:spacing w:line="480" w:lineRule="auto"/>
              <w:rPr>
                <w:sz w:val="20"/>
                <w:szCs w:val="20"/>
              </w:rPr>
            </w:pPr>
            <w:r w:rsidRPr="00C03A9D">
              <w:rPr>
                <w:sz w:val="20"/>
                <w:szCs w:val="20"/>
              </w:rPr>
              <w:t>30.0%</w:t>
            </w:r>
          </w:p>
        </w:tc>
        <w:tc>
          <w:tcPr>
            <w:tcW w:w="810" w:type="dxa"/>
          </w:tcPr>
          <w:p w:rsidR="001630DC" w:rsidRPr="00C03A9D" w:rsidRDefault="001630DC" w:rsidP="00270F7E">
            <w:pPr>
              <w:spacing w:line="480" w:lineRule="auto"/>
              <w:rPr>
                <w:sz w:val="20"/>
                <w:szCs w:val="20"/>
              </w:rPr>
            </w:pPr>
            <w:r w:rsidRPr="00C03A9D">
              <w:rPr>
                <w:sz w:val="20"/>
                <w:szCs w:val="20"/>
              </w:rPr>
              <w:t>24.8%</w:t>
            </w:r>
          </w:p>
        </w:tc>
        <w:tc>
          <w:tcPr>
            <w:tcW w:w="810" w:type="dxa"/>
          </w:tcPr>
          <w:p w:rsidR="001630DC" w:rsidRPr="00C03A9D" w:rsidRDefault="001630DC" w:rsidP="00270F7E">
            <w:pPr>
              <w:spacing w:line="480" w:lineRule="auto"/>
              <w:rPr>
                <w:sz w:val="20"/>
                <w:szCs w:val="20"/>
              </w:rPr>
            </w:pPr>
            <w:r w:rsidRPr="00C03A9D">
              <w:rPr>
                <w:sz w:val="20"/>
                <w:szCs w:val="20"/>
              </w:rPr>
              <w:t>28.6%</w:t>
            </w:r>
          </w:p>
        </w:tc>
        <w:tc>
          <w:tcPr>
            <w:tcW w:w="918" w:type="dxa"/>
          </w:tcPr>
          <w:p w:rsidR="001630DC" w:rsidRPr="00C03A9D" w:rsidRDefault="001630DC" w:rsidP="00270F7E">
            <w:pPr>
              <w:spacing w:line="480" w:lineRule="auto"/>
              <w:rPr>
                <w:sz w:val="20"/>
                <w:szCs w:val="20"/>
              </w:rPr>
            </w:pPr>
            <w:r w:rsidRPr="00C03A9D">
              <w:rPr>
                <w:sz w:val="20"/>
                <w:szCs w:val="20"/>
              </w:rPr>
              <w:t>24.8%</w:t>
            </w:r>
          </w:p>
        </w:tc>
      </w:tr>
      <w:tr w:rsidR="00C03A9D" w:rsidRPr="00C03A9D">
        <w:tc>
          <w:tcPr>
            <w:tcW w:w="3870" w:type="dxa"/>
          </w:tcPr>
          <w:p w:rsidR="001630DC" w:rsidRPr="00C03A9D" w:rsidRDefault="001630DC" w:rsidP="00270F7E">
            <w:pPr>
              <w:rPr>
                <w:sz w:val="20"/>
                <w:szCs w:val="20"/>
              </w:rPr>
            </w:pPr>
            <w:r w:rsidRPr="00C03A9D">
              <w:rPr>
                <w:sz w:val="20"/>
                <w:szCs w:val="20"/>
              </w:rPr>
              <w:t xml:space="preserve">% TNGOs w/ government support </w:t>
            </w:r>
            <w:r w:rsidRPr="00C03A9D">
              <w:rPr>
                <w:sz w:val="20"/>
                <w:szCs w:val="20"/>
                <w:u w:val="single"/>
              </w:rPr>
              <w:t>and</w:t>
            </w:r>
            <w:r w:rsidRPr="00C03A9D">
              <w:rPr>
                <w:sz w:val="20"/>
                <w:szCs w:val="20"/>
              </w:rPr>
              <w:t xml:space="preserve"> in a strategic country</w:t>
            </w:r>
          </w:p>
        </w:tc>
        <w:tc>
          <w:tcPr>
            <w:tcW w:w="900" w:type="dxa"/>
          </w:tcPr>
          <w:p w:rsidR="001630DC" w:rsidRPr="00C03A9D" w:rsidRDefault="001630DC" w:rsidP="00270F7E">
            <w:pPr>
              <w:spacing w:line="480" w:lineRule="auto"/>
              <w:rPr>
                <w:sz w:val="20"/>
                <w:szCs w:val="20"/>
              </w:rPr>
            </w:pPr>
            <w:r w:rsidRPr="00C03A9D">
              <w:rPr>
                <w:sz w:val="20"/>
                <w:szCs w:val="20"/>
              </w:rPr>
              <w:t>12.1%</w:t>
            </w:r>
          </w:p>
        </w:tc>
        <w:tc>
          <w:tcPr>
            <w:tcW w:w="810" w:type="dxa"/>
          </w:tcPr>
          <w:p w:rsidR="001630DC" w:rsidRPr="00C03A9D" w:rsidRDefault="001630DC" w:rsidP="00270F7E">
            <w:pPr>
              <w:spacing w:line="480" w:lineRule="auto"/>
              <w:rPr>
                <w:sz w:val="20"/>
                <w:szCs w:val="20"/>
              </w:rPr>
            </w:pPr>
            <w:r w:rsidRPr="00C03A9D">
              <w:rPr>
                <w:sz w:val="20"/>
                <w:szCs w:val="20"/>
              </w:rPr>
              <w:t>6.3%</w:t>
            </w:r>
          </w:p>
        </w:tc>
        <w:tc>
          <w:tcPr>
            <w:tcW w:w="810" w:type="dxa"/>
          </w:tcPr>
          <w:p w:rsidR="001630DC" w:rsidRPr="00C03A9D" w:rsidRDefault="001630DC" w:rsidP="00270F7E">
            <w:pPr>
              <w:spacing w:line="480" w:lineRule="auto"/>
              <w:rPr>
                <w:sz w:val="20"/>
                <w:szCs w:val="20"/>
              </w:rPr>
            </w:pPr>
            <w:r w:rsidRPr="00C03A9D">
              <w:rPr>
                <w:sz w:val="20"/>
                <w:szCs w:val="20"/>
              </w:rPr>
              <w:t>10.7%</w:t>
            </w:r>
          </w:p>
        </w:tc>
        <w:tc>
          <w:tcPr>
            <w:tcW w:w="810" w:type="dxa"/>
          </w:tcPr>
          <w:p w:rsidR="001630DC" w:rsidRPr="00C03A9D" w:rsidRDefault="001630DC" w:rsidP="00270F7E">
            <w:pPr>
              <w:spacing w:line="480" w:lineRule="auto"/>
              <w:rPr>
                <w:sz w:val="20"/>
                <w:szCs w:val="20"/>
              </w:rPr>
            </w:pPr>
            <w:r w:rsidRPr="00C03A9D">
              <w:rPr>
                <w:sz w:val="20"/>
                <w:szCs w:val="20"/>
              </w:rPr>
              <w:t>12.3%</w:t>
            </w:r>
          </w:p>
        </w:tc>
        <w:tc>
          <w:tcPr>
            <w:tcW w:w="918" w:type="dxa"/>
          </w:tcPr>
          <w:p w:rsidR="001630DC" w:rsidRPr="00C03A9D" w:rsidRDefault="001630DC" w:rsidP="00270F7E">
            <w:pPr>
              <w:spacing w:line="480" w:lineRule="auto"/>
              <w:rPr>
                <w:sz w:val="20"/>
                <w:szCs w:val="20"/>
              </w:rPr>
            </w:pPr>
            <w:r w:rsidRPr="00C03A9D">
              <w:rPr>
                <w:sz w:val="20"/>
                <w:szCs w:val="20"/>
              </w:rPr>
              <w:t>18.4%</w:t>
            </w:r>
          </w:p>
        </w:tc>
      </w:tr>
    </w:tbl>
    <w:p w:rsidR="00B75D82" w:rsidRDefault="00B75D82" w:rsidP="001630DC">
      <w:pPr>
        <w:spacing w:line="480" w:lineRule="auto"/>
        <w:ind w:firstLine="720"/>
      </w:pPr>
    </w:p>
    <w:p w:rsidR="00B75D82" w:rsidRDefault="00B75D82" w:rsidP="00B75D82">
      <w:pPr>
        <w:pStyle w:val="Caption"/>
        <w:spacing w:before="240"/>
        <w:jc w:val="center"/>
        <w:rPr>
          <w:b/>
          <w:i w:val="0"/>
          <w:color w:val="auto"/>
          <w:sz w:val="22"/>
          <w:szCs w:val="22"/>
        </w:rPr>
      </w:pPr>
      <w:bookmarkStart w:id="285" w:name="_Toc450069821"/>
      <w:r w:rsidRPr="00615E1B">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3</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2</w:t>
      </w:r>
      <w:r>
        <w:rPr>
          <w:b/>
          <w:i w:val="0"/>
          <w:color w:val="auto"/>
          <w:sz w:val="22"/>
        </w:rPr>
        <w:fldChar w:fldCharType="end"/>
      </w:r>
      <w:r w:rsidRPr="00615E1B">
        <w:rPr>
          <w:b/>
          <w:i w:val="0"/>
          <w:color w:val="auto"/>
          <w:sz w:val="22"/>
        </w:rPr>
        <w:t xml:space="preserve">: </w:t>
      </w:r>
      <w:r>
        <w:rPr>
          <w:b/>
          <w:i w:val="0"/>
          <w:color w:val="auto"/>
          <w:sz w:val="22"/>
          <w:szCs w:val="22"/>
        </w:rPr>
        <w:t>TNGO</w:t>
      </w:r>
      <w:r w:rsidRPr="00615E1B">
        <w:rPr>
          <w:b/>
          <w:i w:val="0"/>
          <w:color w:val="auto"/>
          <w:sz w:val="22"/>
          <w:szCs w:val="22"/>
        </w:rPr>
        <w:t xml:space="preserve"> Location and Support 2008 – 2012</w:t>
      </w:r>
      <w:bookmarkEnd w:id="285"/>
    </w:p>
    <w:p w:rsidR="00B75D82" w:rsidRPr="00B75D82" w:rsidRDefault="00B75D82" w:rsidP="00B75D82"/>
    <w:p w:rsidR="001630DC" w:rsidRDefault="001630DC" w:rsidP="001630DC">
      <w:pPr>
        <w:spacing w:line="480" w:lineRule="auto"/>
        <w:ind w:firstLine="720"/>
      </w:pPr>
      <w:r>
        <w:t xml:space="preserve">Table </w:t>
      </w:r>
      <w:r w:rsidR="008159E1">
        <w:t>3.</w:t>
      </w:r>
      <w:r>
        <w:t xml:space="preserve">2 shows the number of TNGOs operating in at least one strategic country. This number dips in 2009, but recovers to reach a peak of 44.3 percent in 2010 and is subsequently followed by a slight downward trend. The pattern for organizations operating in multiple strategic initiative countries shows a similar pattern. </w:t>
      </w:r>
      <w:r w:rsidRPr="000C57A5">
        <w:t xml:space="preserve">Across all years, </w:t>
      </w:r>
      <w:r>
        <w:t xml:space="preserve">17.5 percent </w:t>
      </w:r>
      <w:r w:rsidRPr="000C57A5">
        <w:t xml:space="preserve">of the </w:t>
      </w:r>
      <w:r>
        <w:t>TNGO</w:t>
      </w:r>
      <w:r w:rsidRPr="000C57A5">
        <w:t xml:space="preserve">s contained in the dataset received government </w:t>
      </w:r>
      <w:r>
        <w:t>grants or contributions</w:t>
      </w:r>
      <w:r w:rsidRPr="000C57A5">
        <w:t xml:space="preserve">. </w:t>
      </w:r>
      <w:r>
        <w:t>T</w:t>
      </w:r>
      <w:r w:rsidRPr="000C57A5">
        <w:t xml:space="preserve">he number of </w:t>
      </w:r>
      <w:r>
        <w:t xml:space="preserve">government funded </w:t>
      </w:r>
      <w:r w:rsidRPr="000C57A5">
        <w:t>organizations remains relatively static</w:t>
      </w:r>
      <w:r>
        <w:t xml:space="preserve"> from 2008 to 2011, followed by a 14.4 percent increase in 2012. This</w:t>
      </w:r>
      <w:r w:rsidRPr="000C57A5">
        <w:t xml:space="preserve"> may be in response to external events</w:t>
      </w:r>
      <w:r>
        <w:t>,</w:t>
      </w:r>
      <w:r w:rsidRPr="000C57A5">
        <w:t xml:space="preserve"> including political stability or natural</w:t>
      </w:r>
      <w:r>
        <w:t xml:space="preserve"> disasters, or an anomaly due to self-reported data. The pattern for TNGOs operating in strategic initiative countries and that also have government support diverges from overall government support in 2009, but the two move together in a steady upward trend. </w:t>
      </w:r>
    </w:p>
    <w:p w:rsidR="001630DC" w:rsidRPr="007C0E8C" w:rsidRDefault="001630DC" w:rsidP="001630DC">
      <w:pPr>
        <w:spacing w:line="480" w:lineRule="auto"/>
        <w:ind w:firstLine="720"/>
      </w:pPr>
      <w:r>
        <w:t xml:space="preserve">Analysis of organizational characteristics and TNGO location in strategic initiative countries underpins the larger question of what drives TNGO country selection. Using logit with one-way fixed effects on the year, the first model narrates the relationship between U.S. government attention and TNGO presence in strategic initiative countries. </w:t>
      </w:r>
    </w:p>
    <w:p w:rsidR="001630DC" w:rsidRDefault="001630DC" w:rsidP="001630DC">
      <w:pPr>
        <w:spacing w:line="480" w:lineRule="auto"/>
        <w:rPr>
          <w:i/>
        </w:rPr>
      </w:pPr>
      <w:r w:rsidRPr="00E0224B">
        <w:rPr>
          <w:i/>
        </w:rPr>
        <w:tab/>
      </w:r>
      <w:r>
        <w:rPr>
          <w:i/>
        </w:rPr>
        <w:t>Hypothesis</w:t>
      </w:r>
      <w:r w:rsidRPr="00E0224B">
        <w:rPr>
          <w:i/>
        </w:rPr>
        <w:t xml:space="preserve"> 1: </w:t>
      </w:r>
      <w:r>
        <w:rPr>
          <w:i/>
        </w:rPr>
        <w:t>U.S.-based</w:t>
      </w:r>
      <w:r w:rsidRPr="00E0224B">
        <w:rPr>
          <w:i/>
        </w:rPr>
        <w:t xml:space="preserve"> </w:t>
      </w:r>
      <w:r>
        <w:rPr>
          <w:i/>
        </w:rPr>
        <w:t>TNGO</w:t>
      </w:r>
      <w:r w:rsidRPr="00E0224B">
        <w:rPr>
          <w:i/>
        </w:rPr>
        <w:t>s with government funding are more likely to be present in countries identified in strategic initiatives.</w:t>
      </w:r>
    </w:p>
    <w:p w:rsidR="001630DC" w:rsidRDefault="001630DC" w:rsidP="001630DC">
      <w:pPr>
        <w:spacing w:line="480" w:lineRule="auto"/>
        <w:rPr>
          <w:i/>
        </w:rPr>
      </w:pPr>
    </w:p>
    <w:p w:rsidR="001630DC" w:rsidRPr="00FF0A8B" w:rsidRDefault="001630DC" w:rsidP="001630DC">
      <w:pPr>
        <w:spacing w:line="480" w:lineRule="auto"/>
        <w:ind w:firstLine="720"/>
      </w:pPr>
      <w:r w:rsidRPr="00F838C0">
        <w:t>Table 3</w:t>
      </w:r>
      <w:r w:rsidR="008159E1">
        <w:t>.3</w:t>
      </w:r>
      <w:r w:rsidRPr="00F838C0">
        <w:t xml:space="preserve"> clearly</w:t>
      </w:r>
      <w:r>
        <w:t xml:space="preserve"> illustrates that some categories are more influential than others on the number of TNGOs in strategic initiative countries. The hypothesis is that recipients of government support are more likely to locate in countries identified in strategic initiatives, as indicated by mentions in the SOTU, NSS, and CLS. The results show that in the period between 2008 and 2012, the relationship between location in a strategic initiative country and government funding is positive and significant at a level of .001. This relationship remains significant at the same level when government funding is operationalized as a percentage of a TNGO’s total income (</w:t>
      </w:r>
      <w:r>
        <w:rPr>
          <w:i/>
        </w:rPr>
        <w:t>gov_percent</w:t>
      </w:r>
      <w:r>
        <w:t>) and as a dummy variable (</w:t>
      </w:r>
      <w:r>
        <w:rPr>
          <w:i/>
        </w:rPr>
        <w:t>gov_funded</w:t>
      </w:r>
      <w:r>
        <w:t xml:space="preserve">). This suggests that TNGOs with government support are more likely to operate in strategic initiative countries than those without such funding. However, it takes time to apply for and to be awarded a grant, and to stand up operations in a country. When a one-year lag is introduced to the dependent variable, the direction of the relationship with </w:t>
      </w:r>
      <w:r>
        <w:rPr>
          <w:i/>
        </w:rPr>
        <w:t>gov_percent</w:t>
      </w:r>
      <w:r>
        <w:t xml:space="preserve"> maintains direction, but loses significance. When the same lag is introduced to the </w:t>
      </w:r>
      <w:r>
        <w:rPr>
          <w:i/>
        </w:rPr>
        <w:t>gov_funded</w:t>
      </w:r>
      <w:r>
        <w:t xml:space="preserve"> model, the direction and significance of the relationship remain the same. Consequently, receipt of government funds may matter more than the amount of support for TNGOs for location over time. </w:t>
      </w:r>
    </w:p>
    <w:p w:rsidR="001630DC" w:rsidRPr="00E0224B" w:rsidRDefault="001630DC" w:rsidP="001630DC">
      <w:pPr>
        <w:rPr>
          <w:i/>
        </w:rPr>
      </w:pPr>
    </w:p>
    <w:tbl>
      <w:tblPr>
        <w:tblpPr w:leftFromText="180" w:rightFromText="180" w:vertAnchor="text" w:horzAnchor="margin" w:tblpX="165" w:tblpY="-49"/>
        <w:tblW w:w="8085" w:type="dxa"/>
        <w:tblLayout w:type="fixed"/>
        <w:tblCellMar>
          <w:left w:w="75" w:type="dxa"/>
          <w:right w:w="75" w:type="dxa"/>
        </w:tblCellMar>
        <w:tblLook w:val="0000" w:firstRow="0" w:lastRow="0" w:firstColumn="0" w:lastColumn="0" w:noHBand="0" w:noVBand="0"/>
      </w:tblPr>
      <w:tblGrid>
        <w:gridCol w:w="2583"/>
        <w:gridCol w:w="1056"/>
        <w:gridCol w:w="1467"/>
        <w:gridCol w:w="1780"/>
        <w:gridCol w:w="1199"/>
      </w:tblGrid>
      <w:tr w:rsidR="001630DC" w:rsidRPr="007C0E8C">
        <w:tc>
          <w:tcPr>
            <w:tcW w:w="2583" w:type="dxa"/>
          </w:tcPr>
          <w:p w:rsidR="001630DC" w:rsidRPr="007C0E8C" w:rsidRDefault="001630DC" w:rsidP="009F390E">
            <w:pPr>
              <w:widowControl w:val="0"/>
              <w:autoSpaceDE w:val="0"/>
              <w:autoSpaceDN w:val="0"/>
              <w:adjustRightInd w:val="0"/>
              <w:rPr>
                <w:b/>
                <w:sz w:val="20"/>
                <w:szCs w:val="20"/>
              </w:rPr>
            </w:pPr>
            <w:r w:rsidRPr="007C0E8C">
              <w:rPr>
                <w:b/>
                <w:sz w:val="20"/>
                <w:szCs w:val="20"/>
              </w:rPr>
              <w:t>DV: Strategic Country</w:t>
            </w:r>
          </w:p>
          <w:p w:rsidR="001630DC" w:rsidRPr="007C0E8C" w:rsidRDefault="001630DC" w:rsidP="009F390E">
            <w:pPr>
              <w:widowControl w:val="0"/>
              <w:autoSpaceDE w:val="0"/>
              <w:autoSpaceDN w:val="0"/>
              <w:adjustRightInd w:val="0"/>
              <w:rPr>
                <w:b/>
                <w:sz w:val="20"/>
                <w:szCs w:val="20"/>
              </w:rPr>
            </w:pPr>
            <w:r w:rsidRPr="007C0E8C">
              <w:rPr>
                <w:b/>
                <w:sz w:val="20"/>
                <w:szCs w:val="20"/>
              </w:rPr>
              <w:t>Presence, Dichotomous</w:t>
            </w:r>
          </w:p>
        </w:tc>
        <w:tc>
          <w:tcPr>
            <w:tcW w:w="1056" w:type="dxa"/>
          </w:tcPr>
          <w:p w:rsidR="001630DC" w:rsidRPr="007C0E8C" w:rsidRDefault="001630DC" w:rsidP="009F390E">
            <w:pPr>
              <w:widowControl w:val="0"/>
              <w:autoSpaceDE w:val="0"/>
              <w:autoSpaceDN w:val="0"/>
              <w:adjustRightInd w:val="0"/>
              <w:jc w:val="center"/>
              <w:rPr>
                <w:sz w:val="20"/>
                <w:szCs w:val="20"/>
              </w:rPr>
            </w:pPr>
            <w:r w:rsidRPr="007C0E8C">
              <w:rPr>
                <w:sz w:val="20"/>
                <w:szCs w:val="20"/>
              </w:rPr>
              <w:t>(1)</w:t>
            </w:r>
          </w:p>
          <w:p w:rsidR="001630DC" w:rsidRPr="007C0E8C" w:rsidRDefault="001630DC" w:rsidP="009F390E">
            <w:pPr>
              <w:widowControl w:val="0"/>
              <w:autoSpaceDE w:val="0"/>
              <w:autoSpaceDN w:val="0"/>
              <w:adjustRightInd w:val="0"/>
              <w:jc w:val="center"/>
              <w:rPr>
                <w:sz w:val="20"/>
                <w:szCs w:val="20"/>
              </w:rPr>
            </w:pPr>
            <w:r w:rsidRPr="007C0E8C">
              <w:rPr>
                <w:sz w:val="20"/>
                <w:szCs w:val="20"/>
              </w:rPr>
              <w:t>Gov’t %</w:t>
            </w:r>
          </w:p>
        </w:tc>
        <w:tc>
          <w:tcPr>
            <w:tcW w:w="1467" w:type="dxa"/>
          </w:tcPr>
          <w:p w:rsidR="001630DC" w:rsidRPr="007C0E8C" w:rsidRDefault="001630DC" w:rsidP="009F390E">
            <w:pPr>
              <w:widowControl w:val="0"/>
              <w:autoSpaceDE w:val="0"/>
              <w:autoSpaceDN w:val="0"/>
              <w:adjustRightInd w:val="0"/>
              <w:jc w:val="center"/>
              <w:rPr>
                <w:sz w:val="20"/>
                <w:szCs w:val="20"/>
              </w:rPr>
            </w:pPr>
            <w:r w:rsidRPr="007C0E8C">
              <w:rPr>
                <w:sz w:val="20"/>
                <w:szCs w:val="20"/>
              </w:rPr>
              <w:t xml:space="preserve">(2) </w:t>
            </w:r>
          </w:p>
          <w:p w:rsidR="001630DC" w:rsidRPr="007C0E8C" w:rsidRDefault="001630DC" w:rsidP="009F390E">
            <w:pPr>
              <w:widowControl w:val="0"/>
              <w:autoSpaceDE w:val="0"/>
              <w:autoSpaceDN w:val="0"/>
              <w:adjustRightInd w:val="0"/>
              <w:jc w:val="center"/>
              <w:rPr>
                <w:sz w:val="20"/>
                <w:szCs w:val="20"/>
              </w:rPr>
            </w:pPr>
            <w:r w:rsidRPr="007C0E8C">
              <w:rPr>
                <w:sz w:val="20"/>
                <w:szCs w:val="20"/>
              </w:rPr>
              <w:t>Gov’t %, Lag</w:t>
            </w:r>
          </w:p>
        </w:tc>
        <w:tc>
          <w:tcPr>
            <w:tcW w:w="1780" w:type="dxa"/>
          </w:tcPr>
          <w:p w:rsidR="001630DC" w:rsidRPr="007C0E8C" w:rsidRDefault="001630DC" w:rsidP="009F390E">
            <w:pPr>
              <w:widowControl w:val="0"/>
              <w:autoSpaceDE w:val="0"/>
              <w:autoSpaceDN w:val="0"/>
              <w:adjustRightInd w:val="0"/>
              <w:jc w:val="center"/>
              <w:rPr>
                <w:sz w:val="20"/>
                <w:szCs w:val="20"/>
              </w:rPr>
            </w:pPr>
            <w:r w:rsidRPr="007C0E8C">
              <w:rPr>
                <w:sz w:val="20"/>
                <w:szCs w:val="20"/>
              </w:rPr>
              <w:t xml:space="preserve">(3) </w:t>
            </w:r>
          </w:p>
          <w:p w:rsidR="001630DC" w:rsidRPr="007C0E8C" w:rsidRDefault="001630DC" w:rsidP="009F390E">
            <w:pPr>
              <w:widowControl w:val="0"/>
              <w:autoSpaceDE w:val="0"/>
              <w:autoSpaceDN w:val="0"/>
              <w:adjustRightInd w:val="0"/>
              <w:jc w:val="center"/>
              <w:rPr>
                <w:sz w:val="20"/>
                <w:szCs w:val="20"/>
              </w:rPr>
            </w:pPr>
            <w:r w:rsidRPr="007C0E8C">
              <w:rPr>
                <w:sz w:val="20"/>
                <w:szCs w:val="20"/>
              </w:rPr>
              <w:t>Gov’t Funded</w:t>
            </w:r>
          </w:p>
        </w:tc>
        <w:tc>
          <w:tcPr>
            <w:tcW w:w="1199" w:type="dxa"/>
          </w:tcPr>
          <w:p w:rsidR="001630DC" w:rsidRPr="007C0E8C" w:rsidRDefault="001630DC" w:rsidP="009F390E">
            <w:pPr>
              <w:widowControl w:val="0"/>
              <w:autoSpaceDE w:val="0"/>
              <w:autoSpaceDN w:val="0"/>
              <w:adjustRightInd w:val="0"/>
              <w:jc w:val="center"/>
              <w:rPr>
                <w:sz w:val="20"/>
                <w:szCs w:val="20"/>
              </w:rPr>
            </w:pPr>
            <w:r w:rsidRPr="007C0E8C">
              <w:rPr>
                <w:sz w:val="20"/>
                <w:szCs w:val="20"/>
              </w:rPr>
              <w:t xml:space="preserve">(4) </w:t>
            </w:r>
          </w:p>
          <w:p w:rsidR="001630DC" w:rsidRPr="007C0E8C" w:rsidRDefault="001630DC" w:rsidP="009F390E">
            <w:pPr>
              <w:widowControl w:val="0"/>
              <w:autoSpaceDE w:val="0"/>
              <w:autoSpaceDN w:val="0"/>
              <w:adjustRightInd w:val="0"/>
              <w:jc w:val="center"/>
              <w:rPr>
                <w:sz w:val="20"/>
                <w:szCs w:val="20"/>
              </w:rPr>
            </w:pPr>
            <w:r w:rsidRPr="007C0E8C">
              <w:rPr>
                <w:sz w:val="20"/>
                <w:szCs w:val="20"/>
              </w:rPr>
              <w:t>Gov’t Funded, Lag</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VARIABLES</w:t>
            </w:r>
          </w:p>
        </w:tc>
        <w:tc>
          <w:tcPr>
            <w:tcW w:w="1056"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467"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780"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199"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Government %</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0.299***</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-18.414</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(0.060)</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(19.897)</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Pr>
                <w:sz w:val="20"/>
                <w:szCs w:val="20"/>
              </w:rPr>
              <w:t>TNGO</w:t>
            </w:r>
            <w:r w:rsidRPr="007C0E8C">
              <w:rPr>
                <w:sz w:val="20"/>
                <w:szCs w:val="20"/>
              </w:rPr>
              <w:t xml:space="preserve"> Age</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0.004***</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-1.205**</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0.003***</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-0.246***</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(0.001)</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(0.379)</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(0.001)</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(0.203)</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Faith-based</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-0.092*</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5.914</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-0.0987***</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-10.639***</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(0.040)</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(13.367)</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(0.019)</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(6.327)</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Int’l Development</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-0.009</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-90.647***</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-0.484*</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-76.314*</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(0.041)</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(13.739)</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(0.022)</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(7.265)</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Int’l Agriculture</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-0.066</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-96.540***</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-0.026</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-54.206</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(0.063)</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(21.060)</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(0.047)</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(15.505)</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Int’l Economic Asst.</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0.048</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-0.695</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0.052</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-7.765</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(0.050)</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(16.569)</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(0.033)</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(10.927)</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Int’l Relief</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-0.278*</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-44.376**</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-0.037</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-42.127</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(0.045)</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(14.965)</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(0.024)</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(7.734)</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Int’l Migration</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0.124</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-39.898</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-0.038</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-21.502</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(0.110)</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(36.622)</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(0.082)</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(15.198)</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Government Funded</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0.279***</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-25.916***</w:t>
            </w:r>
          </w:p>
        </w:tc>
      </w:tr>
      <w:tr w:rsidR="001630DC" w:rsidRPr="007C0E8C">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(0.026)</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(8.604)</w:t>
            </w:r>
          </w:p>
        </w:tc>
      </w:tr>
      <w:tr w:rsidR="001630DC" w:rsidRPr="007C0E8C">
        <w:trPr>
          <w:trHeight w:val="80"/>
        </w:trPr>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Observations</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710</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710</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2650</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2650</w:t>
            </w:r>
          </w:p>
        </w:tc>
      </w:tr>
      <w:tr w:rsidR="001630DC" w:rsidRPr="007C0E8C">
        <w:trPr>
          <w:trHeight w:val="80"/>
        </w:trPr>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p>
        </w:tc>
      </w:tr>
      <w:tr w:rsidR="001630DC" w:rsidRPr="007C0E8C">
        <w:trPr>
          <w:trHeight w:val="80"/>
        </w:trPr>
        <w:tc>
          <w:tcPr>
            <w:tcW w:w="2583" w:type="dxa"/>
          </w:tcPr>
          <w:p w:rsidR="001630DC" w:rsidRPr="007C0E8C" w:rsidRDefault="001630DC" w:rsidP="009F390E">
            <w:pPr>
              <w:widowControl w:val="0"/>
              <w:autoSpaceDE w:val="0"/>
              <w:autoSpaceDN w:val="0"/>
              <w:adjustRightInd w:val="0"/>
              <w:spacing w:before="100" w:beforeAutospacing="1" w:after="100" w:afterAutospacing="1"/>
              <w:rPr>
                <w:sz w:val="20"/>
                <w:szCs w:val="20"/>
              </w:rPr>
            </w:pPr>
            <w:r w:rsidRPr="007C0E8C">
              <w:rPr>
                <w:sz w:val="20"/>
                <w:szCs w:val="20"/>
              </w:rPr>
              <w:t>R-squared within</w:t>
            </w:r>
          </w:p>
        </w:tc>
        <w:tc>
          <w:tcPr>
            <w:tcW w:w="1056"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0.0658</w:t>
            </w:r>
          </w:p>
        </w:tc>
        <w:tc>
          <w:tcPr>
            <w:tcW w:w="1467"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0.1034</w:t>
            </w:r>
          </w:p>
        </w:tc>
        <w:tc>
          <w:tcPr>
            <w:tcW w:w="1780"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0.0879</w:t>
            </w:r>
          </w:p>
        </w:tc>
        <w:tc>
          <w:tcPr>
            <w:tcW w:w="1199" w:type="dxa"/>
          </w:tcPr>
          <w:p w:rsidR="001630DC" w:rsidRPr="007C0E8C" w:rsidRDefault="001630DC" w:rsidP="009F390E">
            <w:pPr>
              <w:widowControl w:val="0"/>
              <w:autoSpaceDE w:val="0"/>
              <w:autoSpaceDN w:val="0"/>
              <w:adjustRightInd w:val="0"/>
              <w:spacing w:before="100" w:beforeAutospacing="1" w:after="100" w:afterAutospacing="1"/>
              <w:jc w:val="center"/>
              <w:rPr>
                <w:sz w:val="20"/>
                <w:szCs w:val="20"/>
              </w:rPr>
            </w:pPr>
            <w:r w:rsidRPr="007C0E8C">
              <w:rPr>
                <w:sz w:val="20"/>
                <w:szCs w:val="20"/>
              </w:rPr>
              <w:t>0.0566</w:t>
            </w:r>
          </w:p>
        </w:tc>
      </w:tr>
    </w:tbl>
    <w:p w:rsidR="001630DC" w:rsidRPr="008E1625" w:rsidRDefault="001630DC" w:rsidP="001630DC">
      <w:pPr>
        <w:pStyle w:val="Caption"/>
        <w:jc w:val="center"/>
        <w:rPr>
          <w:b/>
          <w:i w:val="0"/>
          <w:color w:val="auto"/>
          <w:sz w:val="22"/>
          <w:szCs w:val="22"/>
        </w:rPr>
      </w:pPr>
      <w:bookmarkStart w:id="286" w:name="_Toc450069822"/>
      <w:r w:rsidRPr="00615E1B">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3</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3</w:t>
      </w:r>
      <w:r>
        <w:rPr>
          <w:b/>
          <w:i w:val="0"/>
          <w:color w:val="auto"/>
          <w:sz w:val="22"/>
        </w:rPr>
        <w:fldChar w:fldCharType="end"/>
      </w:r>
      <w:r w:rsidRPr="00615E1B">
        <w:rPr>
          <w:b/>
          <w:i w:val="0"/>
          <w:color w:val="auto"/>
          <w:sz w:val="22"/>
          <w:szCs w:val="22"/>
        </w:rPr>
        <w:t>: Regression</w:t>
      </w:r>
      <w:r w:rsidRPr="008E1625">
        <w:rPr>
          <w:b/>
          <w:i w:val="0"/>
          <w:color w:val="auto"/>
          <w:sz w:val="22"/>
          <w:szCs w:val="22"/>
        </w:rPr>
        <w:t xml:space="preserve"> Analysis of Strategic Country Presence 2008—2012, Fixed Effects</w:t>
      </w:r>
      <w:bookmarkEnd w:id="286"/>
    </w:p>
    <w:p w:rsidR="0084627E" w:rsidRDefault="0084627E" w:rsidP="0084627E">
      <w:pPr>
        <w:spacing w:line="480" w:lineRule="auto"/>
        <w:ind w:firstLine="720"/>
      </w:pPr>
    </w:p>
    <w:p w:rsidR="001630DC" w:rsidRDefault="001630DC" w:rsidP="0084627E">
      <w:pPr>
        <w:spacing w:line="480" w:lineRule="auto"/>
        <w:ind w:firstLine="720"/>
      </w:pPr>
      <w:r>
        <w:t xml:space="preserve">Other organizational characteristics are also influential on location in strategic initiative countries. When all else is held constant, the age of an organization is significant at a level of .01 or better across all of the models; however, the direction of the relationship turns negative when a lag is introduced in both cases. This may indicate that while older organizations are more likely to operate in strategic initiative countries, they are less influenced by cues in some cases. For example, older organizations are likely to have more stable funding and may also possess more diversification. As a result, they exhibit less need to respond to government cues. Earlier findings using regional level data showed that older organizations were more likely to operate in multiple regions and that they were also more likely to secure government funding. Together, these may describe TNGOs with more experience and success in securing funding regardless of source and therefore actively present in more countries due to their survivability. </w:t>
      </w:r>
    </w:p>
    <w:p w:rsidR="001630DC" w:rsidRDefault="001630DC" w:rsidP="001630DC">
      <w:pPr>
        <w:spacing w:line="480" w:lineRule="auto"/>
        <w:ind w:firstLine="720"/>
      </w:pPr>
      <w:r>
        <w:t xml:space="preserve">Faith-based TNGOs are less likely to be present in strategic initiative countries, all else held constant. </w:t>
      </w:r>
      <w:r>
        <w:rPr>
          <w:i/>
        </w:rPr>
        <w:t>Faith</w:t>
      </w:r>
      <w:r>
        <w:t xml:space="preserve"> is negative and significant in three of the four models, but changes direction when the one-year lag is introduced with </w:t>
      </w:r>
      <w:r>
        <w:rPr>
          <w:i/>
        </w:rPr>
        <w:t xml:space="preserve">gov_percent. </w:t>
      </w:r>
      <w:r>
        <w:t xml:space="preserve">In this last case, </w:t>
      </w:r>
      <w:r>
        <w:rPr>
          <w:i/>
        </w:rPr>
        <w:t xml:space="preserve">faith </w:t>
      </w:r>
      <w:r>
        <w:t xml:space="preserve">is not significant. </w:t>
      </w:r>
      <w:r w:rsidRPr="003052C4">
        <w:t>This</w:t>
      </w:r>
      <w:r>
        <w:t xml:space="preserve"> result supports previous research showing that faith-based organizations are less likely to collaborate and that certain sectors are also less likely to partner with government </w:t>
      </w:r>
      <w:r>
        <w:fldChar w:fldCharType="begin"/>
      </w:r>
      <w:r>
        <w:instrText xml:space="preserve"> ADDIN ZOTERO_ITEM CSL_CITATION {"citationID":"LAJxLVga","properties":{"formattedCitation":"(Mitchell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sidRPr="003052C4">
        <w:t>(Mitchell 2013)</w:t>
      </w:r>
      <w:r>
        <w:fldChar w:fldCharType="end"/>
      </w:r>
      <w:r>
        <w:t xml:space="preserve">. </w:t>
      </w:r>
      <w:r w:rsidRPr="007D45DD">
        <w:t>This finding</w:t>
      </w:r>
      <w:r w:rsidRPr="000C57A5">
        <w:t xml:space="preserve"> is also supported by research that shows that faith-based groups are more likely to be supported by a donor base made up of individuals and less likely to accept funds from government.</w:t>
      </w:r>
    </w:p>
    <w:p w:rsidR="001630DC" w:rsidRDefault="001630DC" w:rsidP="001630DC">
      <w:pPr>
        <w:spacing w:line="480" w:lineRule="auto"/>
        <w:ind w:firstLine="720"/>
      </w:pPr>
      <w:r>
        <w:t>Using international migration as the constant, international development and international agricultural development are both significant. International development (</w:t>
      </w:r>
      <w:r>
        <w:rPr>
          <w:i/>
        </w:rPr>
        <w:t>int_dev</w:t>
      </w:r>
      <w:r>
        <w:t xml:space="preserve">) was negative in all models and significant in three of four models when all else is held constant. When a one-year lag is introduced to the model calculating government support as a percentage, it reaches a significance level of .001; however, when </w:t>
      </w:r>
      <w:r>
        <w:rPr>
          <w:i/>
        </w:rPr>
        <w:t>gov_percent</w:t>
      </w:r>
      <w:r>
        <w:t xml:space="preserve"> is introduced without a lag, international development is negative but not significant. International agriculture (</w:t>
      </w:r>
      <w:r>
        <w:rPr>
          <w:i/>
        </w:rPr>
        <w:t>int_ag</w:t>
      </w:r>
      <w:r>
        <w:t>) was also negative and significant, but only in the lagged model with government support as a percentage. International relief (</w:t>
      </w:r>
      <w:r>
        <w:rPr>
          <w:i/>
        </w:rPr>
        <w:t>int_relief</w:t>
      </w:r>
      <w:r>
        <w:t xml:space="preserve">) was also negative and significant in this same model. </w:t>
      </w:r>
    </w:p>
    <w:p w:rsidR="001630DC" w:rsidRDefault="001630DC" w:rsidP="001630DC">
      <w:pPr>
        <w:spacing w:line="480" w:lineRule="auto"/>
        <w:ind w:firstLine="720"/>
      </w:pPr>
      <w:r>
        <w:t xml:space="preserve">International economic development and international migration are not significant, but the direction of the relationship may provide support for previous findings. For example, if migration is considered under the header of human rights, the direction of the relationship might be explained by the premium the sector places on neutrality </w:t>
      </w:r>
      <w:r>
        <w:fldChar w:fldCharType="begin"/>
      </w:r>
      <w:r>
        <w:instrText xml:space="preserve"> ADDIN ZOTERO_ITEM CSL_CITATION {"citationID":"klTg1koe","properties":{"formattedCitation":"(Keck and Sikkink 1998; Mitchell 2013)","plainCitation":"(Keck and Sikkink 1998; Mitchell 2013)"},"citationItems":[{"id":3216,"uris":["http://zotero.org/users/381007/items/S3PFUTDP"],"uri":["http://zotero.org/users/381007/items/S3PFUTDP"],"itemData":{"id":3216,"type":"book","title":"Activists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Pr>
          <w:noProof/>
        </w:rPr>
        <w:t>(Keck and Sikkink 1998; Mitchell 2013)</w:t>
      </w:r>
      <w:r>
        <w:fldChar w:fldCharType="end"/>
      </w:r>
      <w:r>
        <w:t xml:space="preserve">. However, international human rights is shown here as a distinct NTEE category and does not exhibit a negative relationship (with the exception of the model using a lag and </w:t>
      </w:r>
      <w:r>
        <w:rPr>
          <w:i/>
        </w:rPr>
        <w:t>gov_percent</w:t>
      </w:r>
      <w:r>
        <w:t xml:space="preserve">). Although these sectors are not significant, the direction of the relationship may provide support for previous findings. For example, if migration is considered under the header of human rights, the direction of the relationship might be explained by the premium the sector places on neutrality </w:t>
      </w:r>
      <w:r>
        <w:fldChar w:fldCharType="begin"/>
      </w:r>
      <w:r>
        <w:instrText xml:space="preserve"> ADDIN ZOTERO_ITEM CSL_CITATION {"citationID":"G5xGUPWw","properties":{"formattedCitation":"(Keck and Sikkink 1998; Mitchell 2013)","plainCitation":"(Keck and Sikkink 1998; Mitchell 2013)"},"citationItems":[{"id":3216,"uris":["http://zotero.org/users/381007/items/S3PFUTDP"],"uri":["http://zotero.org/users/381007/items/S3PFUTDP"],"itemData":{"id":3216,"type":"book","title":"Activists Beyond Borders: Advocacy Networks in International Politics","publisher":"Cornell University Press","publisher-place":"Ithaca","event-place":"Ithaca","abstract":"The emergence of transnational advocacy networks helped instigate and sustain change between 1968 and 1993.  International activism around human rights finds historical echoes in past campaigns like abolition of slavery and women's suffrage.  Networks appear most likely to emerge around certain issues and groups in a network share values.  Rather than serving as vehicles for the spread of western liberal institutions, networks serve as mechanisms for communication, sometimes transforming individual, group, or state values.","author":[{"family":"Keck","given":"Margaret E."},{"family":"Sikkink","given":"Kathryn"}],"issued":{"date-parts":[["1998"]]}}},{"id":574,"uris":["http://zotero.org/users/381007/items/6SXN9XVC"],"uri":["http://zotero.org/users/381007/items/6SXN9XVC"],"itemData":{"id":574,"type":"article-journal","title":"Collaborative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Pr>
          <w:noProof/>
        </w:rPr>
        <w:t>(Keck and Sikkink 1998; Mitchell 2013)</w:t>
      </w:r>
      <w:r>
        <w:fldChar w:fldCharType="end"/>
      </w:r>
      <w:r>
        <w:t>. However, international human rights is shown here as a distinct NTEE category and does not exhibit a negative relationship. Perhaps a more straightforward explanation is simply that it is easier to secure government funding for less politically charged scopes of work.</w:t>
      </w:r>
    </w:p>
    <w:p w:rsidR="001630DC" w:rsidRDefault="001630DC" w:rsidP="008159E1">
      <w:pPr>
        <w:spacing w:line="480" w:lineRule="auto"/>
        <w:ind w:firstLine="720"/>
      </w:pPr>
      <w:r>
        <w:t>Of any sectors, one expect</w:t>
      </w:r>
      <w:r w:rsidR="00D96D01">
        <w:t>s</w:t>
      </w:r>
      <w:r>
        <w:t xml:space="preserve"> international relief to be most likely to be correlated with location in strategic initiative countries. </w:t>
      </w:r>
      <w:r w:rsidR="00D96D01">
        <w:t xml:space="preserve">On January 10, </w:t>
      </w:r>
      <w:r>
        <w:t xml:space="preserve">2010, Haiti experienced a catastrophic 7.0 earthquake </w:t>
      </w:r>
      <w:r w:rsidR="00D96D01">
        <w:t>that</w:t>
      </w:r>
      <w:r>
        <w:t xml:space="preserve"> </w:t>
      </w:r>
      <w:r w:rsidR="00D96D01">
        <w:t>led to</w:t>
      </w:r>
      <w:r>
        <w:t xml:space="preserve"> a large-scale humanitarian response. On January 27, 2010, President Obama delivered his State of the Union Address in which only Afghanistan received as many mentions as Haiti. The following year, the count for Tunisia sharply increased on the heels of unrest in late 2010 and into 2011. </w:t>
      </w:r>
      <w:r w:rsidR="00D96D01">
        <w:t>T</w:t>
      </w:r>
      <w:r>
        <w:t xml:space="preserve">here appears to be some overlap between countries of interest to the international relief community and countries that are of importance to the U.S. government, </w:t>
      </w:r>
      <w:r w:rsidR="00D96D01">
        <w:t xml:space="preserve">but </w:t>
      </w:r>
      <w:r>
        <w:t xml:space="preserve">each may be responding to external stimuli. </w:t>
      </w:r>
    </w:p>
    <w:p w:rsidR="001630DC" w:rsidRDefault="001630DC" w:rsidP="001630DC">
      <w:pPr>
        <w:spacing w:line="480" w:lineRule="auto"/>
        <w:ind w:firstLine="720"/>
      </w:pPr>
      <w:r>
        <w:t>Although government support and operations in at least one strategic initiative country are correlated, it is difficult to discern whether TNGOs follow U.S. government cues or whether the U.S. government uses TNGOs as the proverbial canary in the coalmine. To delve deeper into the directionality of this relationship, the second model approaches the same question from a different perspective. Rather than focusing on government support and location, it examines the total TNGO presence in a country and the number of times a country is mentioned in a strategic document</w:t>
      </w:r>
    </w:p>
    <w:p w:rsidR="00E67B1D" w:rsidRDefault="00E67B1D" w:rsidP="00E67B1D">
      <w:pPr>
        <w:spacing w:line="480" w:lineRule="auto"/>
        <w:rPr>
          <w:szCs w:val="24"/>
        </w:rPr>
      </w:pPr>
    </w:p>
    <w:p w:rsidR="008159E1" w:rsidRPr="00E0224B" w:rsidDel="00DB55A5" w:rsidRDefault="001630DC" w:rsidP="001630DC">
      <w:pPr>
        <w:spacing w:line="480" w:lineRule="auto"/>
        <w:rPr>
          <w:i/>
        </w:rPr>
      </w:pPr>
      <w:r>
        <w:rPr>
          <w:i/>
        </w:rPr>
        <w:t>Hypothesis</w:t>
      </w:r>
      <w:r w:rsidRPr="00E0224B">
        <w:rPr>
          <w:i/>
        </w:rPr>
        <w:t xml:space="preserve"> 2: Countries with a higher number of mentions in strategic initiatives will have a greater number of </w:t>
      </w:r>
      <w:r>
        <w:rPr>
          <w:i/>
        </w:rPr>
        <w:t>U.S.-based</w:t>
      </w:r>
      <w:r w:rsidRPr="00E0224B">
        <w:rPr>
          <w:i/>
        </w:rPr>
        <w:t xml:space="preserve"> </w:t>
      </w:r>
      <w:r>
        <w:rPr>
          <w:i/>
        </w:rPr>
        <w:t>TNGO</w:t>
      </w:r>
      <w:r w:rsidRPr="00E0224B">
        <w:rPr>
          <w:i/>
        </w:rPr>
        <w:t xml:space="preserve">s in them. </w:t>
      </w:r>
    </w:p>
    <w:p w:rsidR="001630DC" w:rsidRDefault="001630DC" w:rsidP="001630DC">
      <w:pPr>
        <w:spacing w:line="480" w:lineRule="auto"/>
      </w:pPr>
      <w:r>
        <w:tab/>
        <w:t>Holding all else constant, strategic mentions (</w:t>
      </w:r>
      <w:r>
        <w:rPr>
          <w:i/>
        </w:rPr>
        <w:t>strategic</w:t>
      </w:r>
      <w:r>
        <w:t>) is negative and significant at a level of .05. The more often a country is mentioned in the SOTU, NSS, or CLS, the lower the total number of U.S.-based TNGOs located there. As noted in the previous chapter, certain country characteristics also attract a higher number of U.S.-based TNGOs. Freedom of domestic movement (</w:t>
      </w:r>
      <w:r>
        <w:rPr>
          <w:i/>
        </w:rPr>
        <w:t>dommovfix</w:t>
      </w:r>
      <w:r>
        <w:t>)</w:t>
      </w:r>
      <w:r>
        <w:rPr>
          <w:i/>
        </w:rPr>
        <w:t xml:space="preserve"> </w:t>
      </w:r>
      <w:r>
        <w:t>and the measure of political stability (</w:t>
      </w:r>
      <w:r w:rsidRPr="00A32031">
        <w:rPr>
          <w:i/>
        </w:rPr>
        <w:t>polity</w:t>
      </w:r>
      <w:r>
        <w:rPr>
          <w:i/>
        </w:rPr>
        <w:t>fix</w:t>
      </w:r>
      <w:r w:rsidRPr="00A32031">
        <w:t>) is</w:t>
      </w:r>
      <w:r>
        <w:t xml:space="preserve"> positive and significant whereas measures of low physical integrity are negative and significant (</w:t>
      </w:r>
      <w:r w:rsidRPr="00A32031">
        <w:rPr>
          <w:i/>
        </w:rPr>
        <w:t>killfix</w:t>
      </w:r>
      <w:r>
        <w:t xml:space="preserve"> and </w:t>
      </w:r>
      <w:r>
        <w:rPr>
          <w:i/>
        </w:rPr>
        <w:t>tortfix</w:t>
      </w:r>
      <w:r>
        <w:t>). This corresponds with earlier findings that the operating environment is important to the location choices of TNGOs, as is the political environment. Cell usage (</w:t>
      </w:r>
      <w:r>
        <w:rPr>
          <w:i/>
        </w:rPr>
        <w:t>hcell_ppc</w:t>
      </w:r>
      <w:r>
        <w:t xml:space="preserve">) is negative and significant, suggesting that there are fewer TNGOs where cell phones are more accessible, which may address wealth or infrastructure development. </w:t>
      </w:r>
    </w:p>
    <w:p w:rsidR="00B97971" w:rsidRDefault="00B97971" w:rsidP="001630DC">
      <w:pPr>
        <w:spacing w:line="480" w:lineRule="auto"/>
      </w:pPr>
    </w:p>
    <w:p w:rsidR="00B97971" w:rsidRDefault="00B97971" w:rsidP="001630DC">
      <w:pPr>
        <w:spacing w:line="480" w:lineRule="auto"/>
      </w:pPr>
    </w:p>
    <w:p w:rsidR="00B97971" w:rsidRDefault="00B97971" w:rsidP="001630DC">
      <w:pPr>
        <w:spacing w:line="480" w:lineRule="auto"/>
      </w:pPr>
    </w:p>
    <w:p w:rsidR="00B97971" w:rsidRDefault="00B97971" w:rsidP="001630DC">
      <w:pPr>
        <w:spacing w:line="480" w:lineRule="auto"/>
      </w:pPr>
    </w:p>
    <w:p w:rsidR="00B97971" w:rsidRDefault="00B97971" w:rsidP="001630DC">
      <w:pPr>
        <w:spacing w:line="480" w:lineRule="auto"/>
      </w:pPr>
    </w:p>
    <w:p w:rsidR="00B97971" w:rsidRDefault="00B97971" w:rsidP="001630DC">
      <w:pPr>
        <w:spacing w:line="480" w:lineRule="auto"/>
      </w:pPr>
    </w:p>
    <w:tbl>
      <w:tblPr>
        <w:tblW w:w="5310" w:type="dxa"/>
        <w:jc w:val="center"/>
        <w:tblLayout w:type="fixed"/>
        <w:tblCellMar>
          <w:left w:w="75" w:type="dxa"/>
          <w:right w:w="75" w:type="dxa"/>
        </w:tblCellMar>
        <w:tblLook w:val="0000" w:firstRow="0" w:lastRow="0" w:firstColumn="0" w:lastColumn="0" w:noHBand="0" w:noVBand="0"/>
      </w:tblPr>
      <w:tblGrid>
        <w:gridCol w:w="2748"/>
        <w:gridCol w:w="2562"/>
      </w:tblGrid>
      <w:tr w:rsidR="008159E1" w:rsidRPr="007C0E8C" w:rsidTr="008D289A">
        <w:trPr>
          <w:jc w:val="center"/>
        </w:trPr>
        <w:tc>
          <w:tcPr>
            <w:tcW w:w="2748" w:type="dxa"/>
            <w:tcBorders>
              <w:top w:val="single" w:sz="6" w:space="0" w:color="auto"/>
              <w:left w:val="nil"/>
              <w:bottom w:val="nil"/>
              <w:right w:val="nil"/>
            </w:tcBorders>
          </w:tcPr>
          <w:p w:rsidR="008159E1" w:rsidRPr="00697A14" w:rsidRDefault="008159E1" w:rsidP="008D289A">
            <w:pPr>
              <w:widowControl w:val="0"/>
              <w:autoSpaceDE w:val="0"/>
              <w:autoSpaceDN w:val="0"/>
              <w:adjustRightInd w:val="0"/>
              <w:rPr>
                <w:b/>
                <w:sz w:val="20"/>
                <w:szCs w:val="20"/>
              </w:rPr>
            </w:pPr>
            <w:r>
              <w:rPr>
                <w:b/>
                <w:sz w:val="20"/>
                <w:szCs w:val="20"/>
              </w:rPr>
              <w:t>DV: Total # TNGOs in a Country</w:t>
            </w:r>
          </w:p>
        </w:tc>
        <w:tc>
          <w:tcPr>
            <w:tcW w:w="2562" w:type="dxa"/>
            <w:tcBorders>
              <w:top w:val="single" w:sz="6" w:space="0" w:color="auto"/>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 xml:space="preserve">(1) </w:t>
            </w:r>
          </w:p>
          <w:p w:rsidR="008159E1" w:rsidRPr="007C0E8C" w:rsidRDefault="008159E1" w:rsidP="008D289A">
            <w:pPr>
              <w:widowControl w:val="0"/>
              <w:autoSpaceDE w:val="0"/>
              <w:autoSpaceDN w:val="0"/>
              <w:adjustRightInd w:val="0"/>
              <w:ind w:left="-33" w:right="-117" w:firstLine="33"/>
              <w:jc w:val="center"/>
              <w:rPr>
                <w:sz w:val="20"/>
                <w:szCs w:val="20"/>
              </w:rPr>
            </w:pPr>
            <w:r w:rsidRPr="007C0E8C">
              <w:rPr>
                <w:sz w:val="20"/>
                <w:szCs w:val="20"/>
              </w:rPr>
              <w:t>Strat. Mentions</w:t>
            </w:r>
          </w:p>
        </w:tc>
      </w:tr>
      <w:tr w:rsidR="008159E1" w:rsidRPr="007C0E8C" w:rsidTr="008D289A">
        <w:trPr>
          <w:jc w:val="center"/>
        </w:trPr>
        <w:tc>
          <w:tcPr>
            <w:tcW w:w="2748" w:type="dxa"/>
            <w:tcBorders>
              <w:top w:val="nil"/>
              <w:left w:val="nil"/>
              <w:bottom w:val="single" w:sz="6" w:space="0" w:color="auto"/>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VARIABLES</w:t>
            </w:r>
          </w:p>
        </w:tc>
        <w:tc>
          <w:tcPr>
            <w:tcW w:w="2562" w:type="dxa"/>
            <w:tcBorders>
              <w:top w:val="nil"/>
              <w:left w:val="nil"/>
              <w:bottom w:val="single" w:sz="6" w:space="0" w:color="auto"/>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total_</w:t>
            </w:r>
            <w:r>
              <w:rPr>
                <w:sz w:val="20"/>
                <w:szCs w:val="20"/>
              </w:rPr>
              <w:t>TNGO</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Strategic Mentions</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-0.094*</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(0.043)</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Frdm. of Domestic Mvmnt.</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0.022***</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(0.055)</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Frdm. of Speech</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0.088</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(0.060)</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Conflict Magnitude</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0.046*</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(0.022)</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Cell Phones ppc</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-0.008***</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(0.001)</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Polity IV</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0.016*</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(0.007)</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Extrajudicial Kill.</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-0.517***</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(0.054)</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Torture</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-0.670***</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(0.056</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Population</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0.001***</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(.0001)</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Unemployment %</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-0.018***</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(0.004)</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Constant</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4.262</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(0.148)</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Lnalpha  Constant</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-.868</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(0.066)</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Alpha</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0.420</w:t>
            </w:r>
          </w:p>
        </w:tc>
      </w:tr>
      <w:tr w:rsidR="008159E1" w:rsidRPr="007C0E8C" w:rsidTr="008D289A">
        <w:trPr>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(0.028)</w:t>
            </w:r>
          </w:p>
        </w:tc>
      </w:tr>
      <w:tr w:rsidR="008159E1" w:rsidRPr="007C0E8C" w:rsidTr="008D289A">
        <w:trPr>
          <w:trHeight w:val="80"/>
          <w:jc w:val="center"/>
        </w:trPr>
        <w:tc>
          <w:tcPr>
            <w:tcW w:w="2748" w:type="dxa"/>
            <w:tcBorders>
              <w:top w:val="nil"/>
              <w:left w:val="nil"/>
              <w:bottom w:val="nil"/>
              <w:right w:val="nil"/>
            </w:tcBorders>
          </w:tcPr>
          <w:p w:rsidR="008159E1" w:rsidRPr="007C0E8C" w:rsidRDefault="008159E1" w:rsidP="008D289A">
            <w:pPr>
              <w:widowControl w:val="0"/>
              <w:autoSpaceDE w:val="0"/>
              <w:autoSpaceDN w:val="0"/>
              <w:adjustRightInd w:val="0"/>
              <w:rPr>
                <w:sz w:val="20"/>
                <w:szCs w:val="20"/>
              </w:rPr>
            </w:pPr>
            <w:r w:rsidRPr="007C0E8C">
              <w:rPr>
                <w:sz w:val="20"/>
                <w:szCs w:val="20"/>
              </w:rPr>
              <w:t>Observations</w:t>
            </w:r>
          </w:p>
        </w:tc>
        <w:tc>
          <w:tcPr>
            <w:tcW w:w="2562" w:type="dxa"/>
            <w:tcBorders>
              <w:top w:val="nil"/>
              <w:left w:val="nil"/>
              <w:bottom w:val="nil"/>
              <w:right w:val="nil"/>
            </w:tcBorders>
          </w:tcPr>
          <w:p w:rsidR="008159E1" w:rsidRPr="007C0E8C" w:rsidRDefault="008159E1" w:rsidP="008D289A">
            <w:pPr>
              <w:widowControl w:val="0"/>
              <w:autoSpaceDE w:val="0"/>
              <w:autoSpaceDN w:val="0"/>
              <w:adjustRightInd w:val="0"/>
              <w:jc w:val="center"/>
              <w:rPr>
                <w:sz w:val="20"/>
                <w:szCs w:val="20"/>
              </w:rPr>
            </w:pPr>
            <w:r w:rsidRPr="007C0E8C">
              <w:rPr>
                <w:sz w:val="20"/>
                <w:szCs w:val="20"/>
              </w:rPr>
              <w:t>626</w:t>
            </w:r>
          </w:p>
        </w:tc>
      </w:tr>
    </w:tbl>
    <w:p w:rsidR="008159E1" w:rsidRPr="004100C2" w:rsidRDefault="008159E1" w:rsidP="008159E1">
      <w:pPr>
        <w:pStyle w:val="Caption"/>
        <w:keepNext/>
        <w:spacing w:before="240"/>
        <w:jc w:val="center"/>
        <w:rPr>
          <w:b/>
          <w:i w:val="0"/>
          <w:color w:val="auto"/>
          <w:sz w:val="22"/>
          <w:szCs w:val="22"/>
        </w:rPr>
      </w:pPr>
      <w:bookmarkStart w:id="287" w:name="_Toc450069823"/>
      <w:r w:rsidRPr="004100C2">
        <w:rPr>
          <w:b/>
          <w:i w:val="0"/>
          <w:color w:val="auto"/>
          <w:sz w:val="22"/>
          <w:szCs w:val="22"/>
        </w:rPr>
        <w:t xml:space="preserve">Table </w:t>
      </w:r>
      <w:r>
        <w:rPr>
          <w:b/>
          <w:i w:val="0"/>
          <w:color w:val="auto"/>
          <w:sz w:val="22"/>
          <w:szCs w:val="22"/>
        </w:rPr>
        <w:fldChar w:fldCharType="begin"/>
      </w:r>
      <w:r>
        <w:rPr>
          <w:b/>
          <w:i w:val="0"/>
          <w:color w:val="auto"/>
          <w:sz w:val="22"/>
          <w:szCs w:val="22"/>
        </w:rPr>
        <w:instrText xml:space="preserve"> STYLEREF 1 \s </w:instrText>
      </w:r>
      <w:r>
        <w:rPr>
          <w:b/>
          <w:i w:val="0"/>
          <w:color w:val="auto"/>
          <w:sz w:val="22"/>
          <w:szCs w:val="22"/>
        </w:rPr>
        <w:fldChar w:fldCharType="separate"/>
      </w:r>
      <w:r w:rsidR="001517D5">
        <w:rPr>
          <w:b/>
          <w:i w:val="0"/>
          <w:noProof/>
          <w:color w:val="auto"/>
          <w:sz w:val="22"/>
          <w:szCs w:val="22"/>
          <w:cs/>
        </w:rPr>
        <w:t>‎</w:t>
      </w:r>
      <w:r w:rsidR="001517D5">
        <w:rPr>
          <w:b/>
          <w:i w:val="0"/>
          <w:noProof/>
          <w:color w:val="auto"/>
          <w:sz w:val="22"/>
          <w:szCs w:val="22"/>
        </w:rPr>
        <w:t>3</w:t>
      </w:r>
      <w:r>
        <w:rPr>
          <w:b/>
          <w:i w:val="0"/>
          <w:color w:val="auto"/>
          <w:sz w:val="22"/>
          <w:szCs w:val="22"/>
        </w:rPr>
        <w:fldChar w:fldCharType="end"/>
      </w:r>
      <w:r>
        <w:rPr>
          <w:b/>
          <w:i w:val="0"/>
          <w:color w:val="auto"/>
          <w:sz w:val="22"/>
          <w:szCs w:val="22"/>
        </w:rPr>
        <w:t>.</w:t>
      </w:r>
      <w:r>
        <w:rPr>
          <w:b/>
          <w:i w:val="0"/>
          <w:color w:val="auto"/>
          <w:sz w:val="22"/>
          <w:szCs w:val="22"/>
        </w:rPr>
        <w:fldChar w:fldCharType="begin"/>
      </w:r>
      <w:r>
        <w:rPr>
          <w:b/>
          <w:i w:val="0"/>
          <w:color w:val="auto"/>
          <w:sz w:val="22"/>
          <w:szCs w:val="22"/>
        </w:rPr>
        <w:instrText xml:space="preserve"> SEQ Table \* ARABIC \s 1 </w:instrText>
      </w:r>
      <w:r>
        <w:rPr>
          <w:b/>
          <w:i w:val="0"/>
          <w:color w:val="auto"/>
          <w:sz w:val="22"/>
          <w:szCs w:val="22"/>
        </w:rPr>
        <w:fldChar w:fldCharType="separate"/>
      </w:r>
      <w:r w:rsidR="001517D5">
        <w:rPr>
          <w:b/>
          <w:i w:val="0"/>
          <w:noProof/>
          <w:color w:val="auto"/>
          <w:sz w:val="22"/>
          <w:szCs w:val="22"/>
        </w:rPr>
        <w:t>4</w:t>
      </w:r>
      <w:r>
        <w:rPr>
          <w:b/>
          <w:i w:val="0"/>
          <w:color w:val="auto"/>
          <w:sz w:val="22"/>
          <w:szCs w:val="22"/>
        </w:rPr>
        <w:fldChar w:fldCharType="end"/>
      </w:r>
      <w:r>
        <w:rPr>
          <w:b/>
          <w:i w:val="0"/>
          <w:color w:val="auto"/>
          <w:sz w:val="22"/>
          <w:szCs w:val="22"/>
        </w:rPr>
        <w:t>:</w:t>
      </w:r>
      <w:r w:rsidRPr="004100C2">
        <w:rPr>
          <w:b/>
          <w:i w:val="0"/>
          <w:color w:val="auto"/>
          <w:sz w:val="22"/>
          <w:szCs w:val="22"/>
        </w:rPr>
        <w:t xml:space="preserve"> Regression Analysis of Strategic Mentions 2008--2012, Robustness Check</w:t>
      </w:r>
      <w:bookmarkEnd w:id="287"/>
    </w:p>
    <w:p w:rsidR="0084627E" w:rsidRDefault="0084627E" w:rsidP="008159E1">
      <w:pPr>
        <w:spacing w:line="480" w:lineRule="auto"/>
      </w:pPr>
    </w:p>
    <w:p w:rsidR="008159E1" w:rsidRDefault="008159E1" w:rsidP="008159E1">
      <w:pPr>
        <w:spacing w:line="480" w:lineRule="auto"/>
      </w:pPr>
      <w:r>
        <w:t>Conflict (</w:t>
      </w:r>
      <w:r>
        <w:rPr>
          <w:i/>
        </w:rPr>
        <w:t>actotal</w:t>
      </w:r>
      <w:r>
        <w:t>) and the size of the population (</w:t>
      </w:r>
      <w:r>
        <w:rPr>
          <w:i/>
        </w:rPr>
        <w:t>mpop_total</w:t>
      </w:r>
      <w:r>
        <w:t xml:space="preserve">) are positive and significant. Therefore, TNGOs are drawn to hardship areas as well as locations where impact among the population is maximized. Taken together, the negative finding for the relationship between strategic mentions and the total number of TNGOs and the previous models points to TNGOs as important advocates for certain causes and locations, regardless of funding. At the same time, donor cues are perhaps noteworthy to organizations that have an already established relationship with that donor. </w:t>
      </w:r>
    </w:p>
    <w:p w:rsidR="008159E1" w:rsidRDefault="008159E1" w:rsidP="001630DC">
      <w:pPr>
        <w:spacing w:line="480" w:lineRule="auto"/>
      </w:pPr>
    </w:p>
    <w:p w:rsidR="001630DC" w:rsidRPr="004100C2" w:rsidRDefault="001630DC" w:rsidP="0084627E">
      <w:pPr>
        <w:pStyle w:val="Subheading1"/>
        <w:numPr>
          <w:ilvl w:val="0"/>
          <w:numId w:val="0"/>
        </w:numPr>
        <w:rPr>
          <w:sz w:val="24"/>
          <w:szCs w:val="24"/>
        </w:rPr>
      </w:pPr>
      <w:bookmarkStart w:id="288" w:name="_Toc450079226"/>
      <w:r>
        <w:rPr>
          <w:sz w:val="24"/>
          <w:szCs w:val="24"/>
        </w:rPr>
        <w:t>3.6</w:t>
      </w:r>
      <w:r w:rsidRPr="004100C2">
        <w:rPr>
          <w:sz w:val="24"/>
          <w:szCs w:val="24"/>
        </w:rPr>
        <w:t>: Discussion</w:t>
      </w:r>
      <w:bookmarkEnd w:id="288"/>
    </w:p>
    <w:p w:rsidR="001630DC" w:rsidRDefault="001630DC" w:rsidP="001630DC">
      <w:pPr>
        <w:rPr>
          <w:b/>
        </w:rPr>
      </w:pPr>
    </w:p>
    <w:p w:rsidR="001630DC" w:rsidRDefault="001630DC" w:rsidP="001630DC">
      <w:pPr>
        <w:spacing w:line="480" w:lineRule="auto"/>
        <w:ind w:firstLine="720"/>
      </w:pPr>
      <w:r w:rsidRPr="003C2D8C">
        <w:t xml:space="preserve">The investigation </w:t>
      </w:r>
      <w:r>
        <w:t xml:space="preserve">of U.S. government attention to particular countries via strategic initiatives seeks to explain when and how donors shape the decisions and behavior of U.S.-based TNGOs in terms of location selection. Existing scholarship discusses resource dependency and income diversification, but lacks an international focus. The nonprofit literature emphasizes resource dependency, but focuses on domestic cases and programmatic expertise. The TNGO and accountability literatures touch upon altruism from afar </w:t>
      </w:r>
      <w:r>
        <w:fldChar w:fldCharType="begin"/>
      </w:r>
      <w:r>
        <w:instrText xml:space="preserve"> ADDIN ZOTERO_ITEM CSL_CITATION {"citationID":"VIGUTf05","properties":{"formattedCitation":"(Smillie 1995)","plainCitation":"(Smillie 1995)"},"citationItems":[{"id":1514,"uris":["http://zotero.org/users/381007/items/WM8HZZ76"],"uri":["http://zotero.org/users/381007/items/WM8HZZ76"],"itemData":{"id":1514,"type":"book","title":"The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fldChar w:fldCharType="separate"/>
      </w:r>
      <w:r w:rsidRPr="005A115F">
        <w:t>(Smillie 1995)</w:t>
      </w:r>
      <w:r>
        <w:fldChar w:fldCharType="end"/>
      </w:r>
      <w:r>
        <w:t xml:space="preserve"> and upward and downward accountability, yet location decision-making receives limited attention and space. This chapter contributes to the literature by building on existing scholarship and testing to what degree donors shape TNGO location. The type of income and how diversified it is, in addition to organizational characteristics, may help to explain when and why TNGOs decide to operate in certain countries. However, the directionality of the relationship remains muddied and requires further research. </w:t>
      </w:r>
    </w:p>
    <w:p w:rsidR="001630DC" w:rsidRDefault="001630DC" w:rsidP="001630DC">
      <w:pPr>
        <w:spacing w:line="480" w:lineRule="auto"/>
        <w:ind w:firstLine="720"/>
      </w:pPr>
      <w:r>
        <w:t xml:space="preserve">The results for the dependent variable, presence in at least one strategic initiative country, in the first set of models shows that there is a correlation between government support received by U.S.-based TNGO and operations in one or more strategic initiative countries. The findings provide some evidence for the resource dependency argument as a result, for example recipients of government monies may be more inclined to follow government cues either through isomorphism or as a competitive strategy to secure funding. However, the question of whether TNGOs create government attention through advocacy, follow government cues, or both respond to external cues makes it difficult to identify directionality of the relationship. Nonetheless, certain organizational characteristics beyond resources also influence the likelihood that an organization will operate in a strategic country. </w:t>
      </w:r>
    </w:p>
    <w:p w:rsidR="001630DC" w:rsidRDefault="001630DC" w:rsidP="001630DC">
      <w:pPr>
        <w:spacing w:line="480" w:lineRule="auto"/>
        <w:ind w:firstLine="720"/>
      </w:pPr>
      <w:r>
        <w:t xml:space="preserve">As expected, there is a strong relationship between TNGO location in strategic countries and government funding. This result supports a finding presented in the previous chapter: the greater the amount of U.S. economic aid a country receives, the higher the number of U.S.-based TNGOs there. The magnitude of economic aid was small compared to other factors though, which may lend an additional clue to the directionality of the relationship between government cues, support, and TNGO location. Beyond funding types, other organizational characteristics also matter. The age of an organization is also correlated with an increased presence in strategic initiative countries. This may be an indication of the breadth of an organization developed over time or its government savvy. However, when a one-year lag is introduced, the direction of the relationship changes to negative. Perhaps older TNGOs possess more stable funding and are less susceptible to donor cues over time. This result is also indicate a break in the age category, and may be a reflection of the push for collaboration by donors. Consistent with the literature, faith-based TNGOs are less likely to be in strategic initiative countries. This result is significant in three of the four models, and negative in all models where it was significant. Despite domestic initiatives by the U.S. government to extend more support to faith-based community organizations, organizations abroad are less likely to partner with government. One explanation for this reluctance relates to the operating and political environments noted in the previous chapter, and the emphasis placed on neutrality noted by previous scholars </w:t>
      </w:r>
      <w:r>
        <w:fldChar w:fldCharType="begin"/>
      </w:r>
      <w:r>
        <w:instrText xml:space="preserve"> ADDIN ZOTERO_ITEM CSL_CITATION {"citationID":"YibgnHFH","properties":{"formattedCitation":"(Mitchell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fldChar w:fldCharType="separate"/>
      </w:r>
      <w:r w:rsidRPr="00180DA3">
        <w:t>(Mitchell 2013)</w:t>
      </w:r>
      <w:r>
        <w:fldChar w:fldCharType="end"/>
      </w:r>
      <w:r>
        <w:t xml:space="preserve">. </w:t>
      </w:r>
    </w:p>
    <w:p w:rsidR="001630DC" w:rsidRDefault="001630DC" w:rsidP="001630DC">
      <w:pPr>
        <w:spacing w:line="480" w:lineRule="auto"/>
        <w:ind w:firstLine="720"/>
      </w:pPr>
      <w:r>
        <w:t xml:space="preserve">Contrary to expectations, the type of work a TNGO does is negative in each model where the sector in question is significant. International development, the broadest category, was negative and significant in three of the four models. While not significant in the model where government support was calculated as a percentage, the sign is still negative. The international agriculture and international relief sector results were also significant and negative. Both were significant in the model in which government support was calculated as a percentage and lagged, and international relief was also significant in the percent model without a lag. In each case, U.S.-based TNGOs claiming these sectors as their primary NTEE code are less likely to be in strategic initiative countries. International relief, like faith-based organizations, may value the neutrality and impartiality of the organization and therefore be less likely to partner with government. A second possible explanation rests with the interests of the U.S. government and the selection of sectors included in the model. Although some of the largest international sector categories, these may not capture the government interests as expressed in the strategic initiatives. For example, the most frequently mentioned countries include Afghanistan. Aid here includes relief and development, but also requires a foundation for delivery and may be best implemented by local organizations rather than U.S.-based TNGOs. TNGOs choose locations based on need, but they are also concerned with the safety embodied by the political and operating environments, a factor overlooked by the existing literature by discussed in-depth in this dissertation. </w:t>
      </w:r>
    </w:p>
    <w:p w:rsidR="001630DC" w:rsidRDefault="001630DC" w:rsidP="001630DC">
      <w:pPr>
        <w:spacing w:line="480" w:lineRule="auto"/>
        <w:ind w:firstLine="720"/>
      </w:pPr>
      <w:r>
        <w:t xml:space="preserve">Approached a different way, the second section of this chapter weights TNGO location and the number of strategic mentions a country receives, whereas in the previous models location was explored as a dichotomous variable. The number of strategic mentions is negative and significant when the total number of TNGOs present in a country is introduced as the dependent variable, meaning that TNGOs are less likely to be present in a country the more often it is mentioned in the SOTU, NSS, or CLS when other country characteristics are held constant. This lends some directionality to the relationships outlined in the previous model. There, a positive correlation between government funding and the location of TNGOs in strategic countries exists, but it is unclear which precedes the other. This suggests that TNGOs possess greater agency than resource dependency allows and re-emphasizes the importance of organizational characteristics. Cues appear to be more important to some types of TNGOs than others, namely those already in receipt of government funds. Further, TNGOs pay attention to the stability and security of their locations. In strategic initiatives, instability and catastrophe may overtake more mundane long-term development goals. With certain exceptions, such countries geographically or economically significant to the U.S., the relationship between the number of mentions and the total number of TNGOs would be expected to be negative. </w:t>
      </w:r>
    </w:p>
    <w:p w:rsidR="001630DC" w:rsidRDefault="001630DC" w:rsidP="001630DC">
      <w:pPr>
        <w:spacing w:line="480" w:lineRule="auto"/>
        <w:ind w:firstLine="720"/>
      </w:pPr>
    </w:p>
    <w:p w:rsidR="001630DC" w:rsidRDefault="001630DC" w:rsidP="00D96D01">
      <w:pPr>
        <w:pStyle w:val="Subheading2"/>
      </w:pPr>
      <w:r>
        <w:t>Implications for Practitioners</w:t>
      </w:r>
    </w:p>
    <w:p w:rsidR="001630DC" w:rsidRDefault="001630DC" w:rsidP="001630DC">
      <w:pPr>
        <w:spacing w:line="480" w:lineRule="auto"/>
        <w:ind w:firstLine="720"/>
      </w:pPr>
      <w:r w:rsidRPr="00180DA3">
        <w:t xml:space="preserve">Information about </w:t>
      </w:r>
      <w:r>
        <w:t>TNGO</w:t>
      </w:r>
      <w:r w:rsidRPr="00180DA3">
        <w:t xml:space="preserve"> location and the decision-making surrounding such choices is useful to practitioners and scholars. For donors and </w:t>
      </w:r>
      <w:r>
        <w:t>TNGO</w:t>
      </w:r>
      <w:r w:rsidRPr="00180DA3">
        <w:t xml:space="preserve">s, it helps to build a more layered and nuanced explanation about not only why </w:t>
      </w:r>
      <w:r>
        <w:t>TNGO</w:t>
      </w:r>
      <w:r w:rsidRPr="00180DA3">
        <w:t xml:space="preserve">s do what they do, but where they do it. Furthermore, examining location through this lens helps policymakers and </w:t>
      </w:r>
      <w:r>
        <w:t>TNGO</w:t>
      </w:r>
      <w:r w:rsidRPr="00180DA3">
        <w:t>s to better understand and to navigate the priorities and strategies of the other. This produces more clarity in communications, accountability, and agenda setting. Stronger</w:t>
      </w:r>
      <w:r>
        <w:t xml:space="preserve"> partnerships mean greater capacity to reach goals and beneficiaries. Finally, this lens helps dispel the myth of singularly resource dependent organizations. While some evidence is provided to support resource dependency arguments, the results show that overall TNGOs possess greater agency as advocates and implementers. This ultimately helps practitioners improve decision-making by equipping them with the tools to rationalize decisions and to demonstrate independence to the Board of Directors, donors, and beneficiaries. </w:t>
      </w:r>
    </w:p>
    <w:p w:rsidR="00E67B1D" w:rsidRDefault="00E67B1D" w:rsidP="00E67B1D">
      <w:pPr>
        <w:spacing w:line="480" w:lineRule="auto"/>
        <w:rPr>
          <w:szCs w:val="24"/>
        </w:rPr>
      </w:pPr>
    </w:p>
    <w:p w:rsidR="001630DC" w:rsidRPr="004100C2" w:rsidRDefault="001630DC" w:rsidP="00E67B1D">
      <w:pPr>
        <w:pStyle w:val="Subheading1"/>
        <w:numPr>
          <w:ilvl w:val="0"/>
          <w:numId w:val="0"/>
        </w:numPr>
        <w:rPr>
          <w:sz w:val="24"/>
          <w:szCs w:val="24"/>
        </w:rPr>
      </w:pPr>
      <w:bookmarkStart w:id="289" w:name="_Toc450079227"/>
      <w:r>
        <w:rPr>
          <w:sz w:val="24"/>
          <w:szCs w:val="24"/>
        </w:rPr>
        <w:t>3.7</w:t>
      </w:r>
      <w:r w:rsidRPr="004100C2">
        <w:rPr>
          <w:sz w:val="24"/>
          <w:szCs w:val="24"/>
        </w:rPr>
        <w:t>: Conclusion</w:t>
      </w:r>
      <w:bookmarkEnd w:id="289"/>
    </w:p>
    <w:p w:rsidR="001630DC" w:rsidRPr="000C57A5" w:rsidRDefault="001630DC" w:rsidP="001630DC">
      <w:pPr>
        <w:rPr>
          <w:b/>
        </w:rPr>
      </w:pPr>
    </w:p>
    <w:p w:rsidR="001630DC" w:rsidRDefault="001630DC" w:rsidP="001630DC">
      <w:pPr>
        <w:spacing w:line="480" w:lineRule="auto"/>
        <w:ind w:firstLine="720"/>
      </w:pPr>
      <w:r>
        <w:t xml:space="preserve">This chapter asks whether U.S. government attention to certain countries between 2008 and 2012 (measured using SOTU, NSS, and CLS) encourages TNGOs to locate in those countries. It finds a correlation between the presence of U.S. government attention to a country and the presence of U.S.-based TNGOs in that country, with certain caveats. For example, faith-based TNGOs are less likely to be present, which supports previous scholarship on U.S. government and faith-based TNGO collaboration (Mitchell 2012). Explanations for TNGO location are often singular, emphasizing one side of the decision-making process. For example, level of need proponents exclude security and resources while resource dependency overlooks elements included in counter-arguments. The findings in this chapter also corroborate findings presented earlier concerning country characteristics and the place of operating and political environments in the location decision-making process. This chapter finds evidence to support the resource dependency argument for location in the correlation between U.S. government attention and the presence of certain types of U.S.-based TNGOs in countries of interest. However, it should be noted that there are important organizational characteristics that impact the generalizability of this finding to the TNGO sector as a whole. Far from a generalizable explanation, attention must be paid to an organization’s scope of work, its mission, and its self-perception. </w:t>
      </w:r>
    </w:p>
    <w:p w:rsidR="001630DC" w:rsidRDefault="001630DC" w:rsidP="001630DC">
      <w:pPr>
        <w:spacing w:line="480" w:lineRule="auto"/>
        <w:ind w:firstLine="720"/>
      </w:pPr>
      <w:r>
        <w:t>The receipt of government support as a dummy variable and a percentage of total income showed a positive and highly significant relationship with TNGO location in strategic initiative countries. This suggests that recipients of U.S. government support are more likely to locate in strategic initiative countries. Other organization characteristics were also important factors. More experienced organizations also show a positive and highly significant relationship with the dependent variable. International development, international agriculture, and international relief are significant and negative, which may reflect the priorities of government in different ways. In an effort to determine causality, a second model weighting the number of strategic initiative mentions per country and the total number of U.S.-based TNGOs in a country was investigated. This showed that the more frequently a country is mentioned in strategic documents, the lower the number of U.S.-based TNGOs in that country. As noted, political and operating environments figure into location decision-making by TNGOs. The negative relationship in this second model lends further support to this finding. It also demonstrates that strategic initiative cues are may be more influential for certain U.S.-based TNGOs than others depending on organizational characteristics such as faith-based orientation, previous U.S. government funding, and scope of work.</w:t>
      </w:r>
    </w:p>
    <w:p w:rsidR="001630DC" w:rsidRDefault="001630DC" w:rsidP="001630DC">
      <w:pPr>
        <w:spacing w:line="480" w:lineRule="auto"/>
        <w:ind w:firstLine="720"/>
      </w:pPr>
      <w:r>
        <w:t xml:space="preserve">Location raises interesting questions about how TNGOs decide where to go and the nature of resource dependence. The resource dependency argument appears to hold some weight, but the sector and organizational characteristics show that there is more to consider, including whether the strategic interests and not just the country fit within the scope of mission of TNGOs. This research presents a more nuanced understanding of U.S.-based TNGO location choices. It shows that U.S. government interest in a country and how U.S.-based TNGOs respond to that interest is not purely based on resources. Instead, </w:t>
      </w:r>
      <w:r w:rsidRPr="00180DA3">
        <w:t>the influence U.S. gove</w:t>
      </w:r>
      <w:r>
        <w:t>rnment attention exercises over U.S.-based TNGO</w:t>
      </w:r>
      <w:r w:rsidRPr="00180DA3">
        <w:t xml:space="preserve"> location </w:t>
      </w:r>
      <w:r>
        <w:t xml:space="preserve">varies. A </w:t>
      </w:r>
      <w:r w:rsidRPr="00180DA3">
        <w:t>more complex explanation is supported</w:t>
      </w:r>
      <w:r>
        <w:t>, which is important in foreign policy conversations where the U.S. government depends on TNGOs as delivery vehicles and soft power</w:t>
      </w:r>
      <w:r w:rsidRPr="00180DA3">
        <w:t xml:space="preserve">. Rather than </w:t>
      </w:r>
      <w:r>
        <w:t>TNGO</w:t>
      </w:r>
      <w:r w:rsidRPr="00180DA3">
        <w:t>s being influenced by strategic initiatives and subject to resource dependency, they themselves may be influencers with considerable agency.</w:t>
      </w:r>
      <w:r>
        <w:t xml:space="preserve"> </w:t>
      </w:r>
    </w:p>
    <w:p w:rsidR="00E67B1D" w:rsidRDefault="00E67B1D" w:rsidP="00E67B1D">
      <w:pPr>
        <w:spacing w:line="480" w:lineRule="auto"/>
        <w:rPr>
          <w:szCs w:val="24"/>
        </w:rPr>
      </w:pPr>
    </w:p>
    <w:p w:rsidR="001630DC" w:rsidRPr="004100C2" w:rsidRDefault="001630DC" w:rsidP="00E67B1D">
      <w:pPr>
        <w:pStyle w:val="Heading2"/>
        <w:numPr>
          <w:ilvl w:val="0"/>
          <w:numId w:val="0"/>
        </w:numPr>
        <w:jc w:val="center"/>
        <w:rPr>
          <w:b/>
          <w:color w:val="auto"/>
          <w:sz w:val="24"/>
          <w:szCs w:val="24"/>
        </w:rPr>
      </w:pPr>
      <w:bookmarkStart w:id="290" w:name="_Toc450079228"/>
      <w:r>
        <w:rPr>
          <w:b/>
          <w:color w:val="auto"/>
          <w:sz w:val="24"/>
          <w:szCs w:val="24"/>
        </w:rPr>
        <w:t>3.8</w:t>
      </w:r>
      <w:r w:rsidRPr="004100C2">
        <w:rPr>
          <w:b/>
          <w:color w:val="auto"/>
          <w:sz w:val="24"/>
          <w:szCs w:val="24"/>
        </w:rPr>
        <w:t>: Future Research</w:t>
      </w:r>
      <w:bookmarkEnd w:id="290"/>
    </w:p>
    <w:p w:rsidR="001630DC" w:rsidRDefault="001630DC" w:rsidP="001630DC"/>
    <w:p w:rsidR="001630DC" w:rsidRDefault="001630DC" w:rsidP="001630DC">
      <w:pPr>
        <w:spacing w:line="480" w:lineRule="auto"/>
        <w:ind w:firstLine="720"/>
      </w:pPr>
      <w:r>
        <w:t xml:space="preserve">A better understanding of how and when donor cues, the U.S. government in particular, shape the behavior of U.S.-based TNGOs necessitates future research. Further data collection on TNGOs and prioritization of location may give a stronger indication of directionality: do TNGOs follow government cues, or is it government that is following TNGO cues? To do so, scholars may be interested in pursuing a multi-method approach that includes qualitative interviews with decision-makers in TNGOs. In addition, an analysis of the networks between TNGOs and between TNGOs and government would illustrate more clearly the levels of donor influence toward primary awardees and sub-awardees. A survival analysis of TNGO location in relationship to government funding and strategic initiatives may also yield beneficial information to scholars exploring TNGO status, location, and influence. </w:t>
      </w:r>
    </w:p>
    <w:p w:rsidR="001630DC" w:rsidRPr="00E0224B" w:rsidRDefault="001630DC" w:rsidP="001630DC">
      <w:pPr>
        <w:pStyle w:val="Heading2"/>
        <w:jc w:val="center"/>
        <w:rPr>
          <w:b/>
          <w:color w:val="auto"/>
          <w:sz w:val="24"/>
          <w:szCs w:val="24"/>
        </w:rPr>
      </w:pPr>
      <w:r w:rsidRPr="00E0224B">
        <w:rPr>
          <w:b/>
          <w:color w:val="auto"/>
          <w:sz w:val="24"/>
          <w:szCs w:val="24"/>
        </w:rPr>
        <w:br w:type="page"/>
      </w:r>
      <w:bookmarkStart w:id="291" w:name="_Toc450079229"/>
      <w:r w:rsidRPr="00E0224B">
        <w:rPr>
          <w:b/>
          <w:color w:val="auto"/>
          <w:sz w:val="24"/>
          <w:szCs w:val="24"/>
        </w:rPr>
        <w:t>3.7</w:t>
      </w:r>
      <w:r>
        <w:rPr>
          <w:b/>
          <w:color w:val="auto"/>
          <w:sz w:val="24"/>
          <w:szCs w:val="24"/>
        </w:rPr>
        <w:t>:</w:t>
      </w:r>
      <w:r w:rsidRPr="00E0224B">
        <w:rPr>
          <w:b/>
          <w:color w:val="auto"/>
          <w:sz w:val="24"/>
          <w:szCs w:val="24"/>
        </w:rPr>
        <w:t xml:space="preserve"> Works Cited</w:t>
      </w:r>
      <w:bookmarkEnd w:id="291"/>
    </w:p>
    <w:p w:rsidR="001630DC" w:rsidRPr="000C57A5" w:rsidRDefault="001630DC" w:rsidP="001630DC">
      <w:pPr>
        <w:jc w:val="center"/>
        <w:rPr>
          <w:b/>
        </w:rPr>
      </w:pPr>
    </w:p>
    <w:p w:rsidR="001630DC" w:rsidRDefault="001630DC" w:rsidP="00B11ABC">
      <w:pPr>
        <w:pStyle w:val="GridTable21"/>
        <w:spacing w:before="240"/>
      </w:pPr>
      <w:r>
        <w:rPr>
          <w:b/>
        </w:rPr>
        <w:fldChar w:fldCharType="begin"/>
      </w:r>
      <w:r>
        <w:rPr>
          <w:b/>
        </w:rPr>
        <w:instrText xml:space="preserve"> ADDIN ZOTERO_BIBL {"custom":[]} CSL_BIBLIOGRAPHY </w:instrText>
      </w:r>
      <w:r>
        <w:rPr>
          <w:b/>
        </w:rPr>
        <w:fldChar w:fldCharType="separate"/>
      </w:r>
      <w:r>
        <w:t>AbouAssi, Khal</w:t>
      </w:r>
      <w:r w:rsidR="00075F70">
        <w:t xml:space="preserve">doun. 2012. “Mercurial Donors: </w:t>
      </w:r>
      <w:r>
        <w:t xml:space="preserve">NGO Response to Shifting Funding Priorities.” </w:t>
      </w:r>
      <w:r>
        <w:rPr>
          <w:i/>
          <w:iCs/>
        </w:rPr>
        <w:t>Nonprofit and Voluntary Sector Quarterly</w:t>
      </w:r>
      <w:r>
        <w:t xml:space="preserve"> 42 (3): 584–602.</w:t>
      </w:r>
    </w:p>
    <w:p w:rsidR="001630DC" w:rsidRDefault="001630DC" w:rsidP="00B11ABC">
      <w:pPr>
        <w:pStyle w:val="GridTable21"/>
        <w:spacing w:before="240"/>
      </w:pPr>
      <w:r>
        <w:t xml:space="preserve">Acheson, James M., and Roy Gardner. 2005. “Spatial Strategies and Territoriality in the Maine Lobster Industry.” </w:t>
      </w:r>
      <w:r>
        <w:rPr>
          <w:i/>
          <w:iCs/>
        </w:rPr>
        <w:t>Rationality and Society</w:t>
      </w:r>
      <w:r>
        <w:t xml:space="preserve"> 17 (3): 309–41.</w:t>
      </w:r>
    </w:p>
    <w:p w:rsidR="001630DC" w:rsidRDefault="001630DC" w:rsidP="00B11ABC">
      <w:pPr>
        <w:pStyle w:val="GridTable21"/>
        <w:spacing w:before="240"/>
      </w:pPr>
      <w:r>
        <w:t xml:space="preserve">Anheier, Helmut K., Regina List, Stefan Toepler, and S. Wojciech Sokolowski. 1999. </w:t>
      </w:r>
      <w:r>
        <w:rPr>
          <w:i/>
          <w:iCs/>
        </w:rPr>
        <w:t>Global Civil Society: Dimensions of the Nonprofit Sector</w:t>
      </w:r>
      <w:r>
        <w:t>. Edited by Lester M. Salamon. Baltimore: The Johns Hopkins Center for Civil Society Studies.</w:t>
      </w:r>
    </w:p>
    <w:p w:rsidR="001630DC" w:rsidRDefault="001630DC" w:rsidP="00B11ABC">
      <w:pPr>
        <w:pStyle w:val="GridTable21"/>
        <w:spacing w:before="240"/>
      </w:pPr>
      <w:r>
        <w:t xml:space="preserve">Appe, Susan. 2013. “Deconstructing Civil Society ‘Maps’: The Case of Ecuador.” </w:t>
      </w:r>
      <w:r>
        <w:rPr>
          <w:i/>
          <w:iCs/>
        </w:rPr>
        <w:t>Administrative Theory &amp; Praxis</w:t>
      </w:r>
      <w:r>
        <w:t xml:space="preserve"> 35 (1): 63–80. </w:t>
      </w:r>
    </w:p>
    <w:p w:rsidR="006A663C" w:rsidRDefault="001630DC" w:rsidP="00B11ABC">
      <w:pPr>
        <w:pStyle w:val="GridTable21"/>
        <w:spacing w:before="240"/>
      </w:pPr>
      <w:r>
        <w:t xml:space="preserve">Bates, Robert H. 1974. “Ethnic Competition and Modernization in Contemporary Africa.” </w:t>
      </w:r>
      <w:r>
        <w:rPr>
          <w:i/>
          <w:iCs/>
        </w:rPr>
        <w:t>Comparative Political Studies</w:t>
      </w:r>
      <w:r>
        <w:t xml:space="preserve"> 6 (4): 457–84. </w:t>
      </w:r>
    </w:p>
    <w:p w:rsidR="001630DC" w:rsidRDefault="001630DC" w:rsidP="00B11ABC">
      <w:pPr>
        <w:pStyle w:val="GridTable21"/>
        <w:spacing w:before="240"/>
      </w:pPr>
      <w:r>
        <w:t xml:space="preserve">Bates, Robert H. 1981. </w:t>
      </w:r>
      <w:r>
        <w:rPr>
          <w:i/>
          <w:iCs/>
        </w:rPr>
        <w:t>Markets and States in Tropical Africa: The Political Basis of Agricultural Policies</w:t>
      </w:r>
      <w:r>
        <w:t>. Berkeley: University of California Press.</w:t>
      </w:r>
    </w:p>
    <w:p w:rsidR="001630DC" w:rsidRDefault="001630DC" w:rsidP="00B11ABC">
      <w:pPr>
        <w:pStyle w:val="GridTable21"/>
        <w:spacing w:before="240"/>
      </w:pPr>
      <w:r>
        <w:t xml:space="preserve">Bayart, Jean-Francois. 1986. “Civil Society in Africa.” In </w:t>
      </w:r>
      <w:r>
        <w:rPr>
          <w:i/>
          <w:iCs/>
        </w:rPr>
        <w:t>Political Domination in Africa</w:t>
      </w:r>
      <w:r>
        <w:t>, edited by Patrick Chabal, 109–22. Cambridge: Cambridge University Press.</w:t>
      </w:r>
    </w:p>
    <w:p w:rsidR="001630DC" w:rsidRDefault="001630DC" w:rsidP="00B11ABC">
      <w:pPr>
        <w:pStyle w:val="GridTable21"/>
        <w:spacing w:before="240"/>
      </w:pPr>
      <w:r>
        <w:t>Bebbington, A., and R. Riddell. 1997. “Heavy Hands, Hidden Hands, Holdi</w:t>
      </w:r>
      <w:r w:rsidR="00862CCB">
        <w:t xml:space="preserve">ng Hands? Donors, Intermediary </w:t>
      </w:r>
      <w:r>
        <w:t xml:space="preserve">NGOs and Civil Society Organisations.” In </w:t>
      </w:r>
      <w:r>
        <w:rPr>
          <w:i/>
          <w:iCs/>
        </w:rPr>
        <w:t>NGOs, States and Donors: Too Close for Comfort?</w:t>
      </w:r>
      <w:r>
        <w:t>, edited by David Hulme and Michael Edwards, 107–27. New York: St. Martin’s Press.</w:t>
      </w:r>
    </w:p>
    <w:p w:rsidR="001630DC" w:rsidRDefault="001630DC" w:rsidP="00B11ABC">
      <w:pPr>
        <w:pStyle w:val="GridTable21"/>
        <w:spacing w:before="240"/>
      </w:pPr>
      <w:r>
        <w:t xml:space="preserve">Benjamin, Lehn M. 2010. “Mediating Accountability: How Nonprofit Funding Intermediaries Use Performance Measurement and Why It Matters for Governance.” </w:t>
      </w:r>
      <w:r>
        <w:rPr>
          <w:i/>
          <w:iCs/>
        </w:rPr>
        <w:t>Public Performance &amp; Management Review</w:t>
      </w:r>
      <w:r>
        <w:t xml:space="preserve"> 33 (4): 594–618.</w:t>
      </w:r>
    </w:p>
    <w:p w:rsidR="001630DC" w:rsidRDefault="001630DC" w:rsidP="00B11ABC">
      <w:pPr>
        <w:pStyle w:val="GridTable21"/>
        <w:spacing w:before="240"/>
      </w:pPr>
      <w:r>
        <w:t>Berlan, David, and Tosca Bruno-van Vijfeijken. 2013. “The Planned Close of a</w:t>
      </w:r>
      <w:r w:rsidR="00862CCB">
        <w:t xml:space="preserve">n </w:t>
      </w:r>
      <w:r>
        <w:t xml:space="preserve">NGO: Evidence for a New Organizational Form?” </w:t>
      </w:r>
      <w:r>
        <w:rPr>
          <w:i/>
          <w:iCs/>
        </w:rPr>
        <w:t>VOLUNTAS: International Journal of Voluntary and Nonprofit Organizations</w:t>
      </w:r>
      <w:r>
        <w:t xml:space="preserve"> 24 (1): 262–75. doi:10.1007/s11266-012-9300-2.</w:t>
      </w:r>
    </w:p>
    <w:p w:rsidR="001630DC" w:rsidRDefault="001630DC" w:rsidP="00B11ABC">
      <w:pPr>
        <w:pStyle w:val="GridTable21"/>
        <w:spacing w:before="240"/>
      </w:pPr>
      <w:r>
        <w:t xml:space="preserve">Bevan, Philippa. 2004. “The Dynamics of Africa’s In/security Regimes.” In </w:t>
      </w:r>
      <w:r>
        <w:rPr>
          <w:i/>
          <w:iCs/>
        </w:rPr>
        <w:t>Insecurity and Welfare Regimes in Asia, Africa and Latin America: Social Policy in Development Contexts</w:t>
      </w:r>
      <w:r>
        <w:t>, by Gough, Ian, Wood, Geof, Barrientos, Armando, Bevan, Philippa, Davis, Peter, and Room, Graham, 202–52. Cambridge: Cambridge University Press.</w:t>
      </w:r>
    </w:p>
    <w:p w:rsidR="001630DC" w:rsidRDefault="001630DC" w:rsidP="00B11ABC">
      <w:pPr>
        <w:pStyle w:val="GridTable21"/>
        <w:spacing w:before="240"/>
      </w:pPr>
      <w:r>
        <w:t xml:space="preserve">Bexell, Magdalena, Jonas Tallberg, and Anders Uhlin. 2010. “Democracy in Global Governance: The Promises and Pitfalls of Transnational Actors.” </w:t>
      </w:r>
      <w:r>
        <w:rPr>
          <w:i/>
          <w:iCs/>
        </w:rPr>
        <w:t>Global Governance</w:t>
      </w:r>
      <w:r>
        <w:t xml:space="preserve"> 16: 81–101.</w:t>
      </w:r>
    </w:p>
    <w:p w:rsidR="001630DC" w:rsidRDefault="001630DC" w:rsidP="00B11ABC">
      <w:pPr>
        <w:pStyle w:val="GridTable21"/>
        <w:spacing w:before="240"/>
      </w:pPr>
      <w:r>
        <w:t xml:space="preserve">Björkman, Ingmar, Wilhelm Barner-Rasmussen, and Li Li. 2004. “Managing Knowledge Transfer in MNCs: The Impact of Headquarters Control Mechanisms.” </w:t>
      </w:r>
      <w:r>
        <w:rPr>
          <w:i/>
          <w:iCs/>
        </w:rPr>
        <w:t>Journal of International Business Studies</w:t>
      </w:r>
      <w:r>
        <w:t xml:space="preserve"> 35 (5): 443–55.</w:t>
      </w:r>
    </w:p>
    <w:p w:rsidR="001630DC" w:rsidRDefault="001630DC" w:rsidP="00B11ABC">
      <w:pPr>
        <w:pStyle w:val="GridTable21"/>
        <w:spacing w:before="240"/>
      </w:pPr>
      <w:r>
        <w:t xml:space="preserve">Blanton, Robert, T. David Mason, and Brian Athow. 2001. “Colonial Style and Post-Colonial Ethnic Conflict in Africa.” </w:t>
      </w:r>
      <w:r>
        <w:rPr>
          <w:i/>
          <w:iCs/>
        </w:rPr>
        <w:t>Journal of Peace Research</w:t>
      </w:r>
      <w:r>
        <w:t xml:space="preserve"> 38 (4): 473–91.</w:t>
      </w:r>
    </w:p>
    <w:p w:rsidR="001630DC" w:rsidRDefault="001630DC" w:rsidP="00B11ABC">
      <w:pPr>
        <w:pStyle w:val="GridTable21"/>
        <w:spacing w:before="240"/>
      </w:pPr>
      <w:r>
        <w:t>Bloodgood, E.A., and J. Tremblay-Boire. 2014. “Explaining Non-Governmental Organizations in the OECD and Beyond: The Role of Political Parties.” Washington: APSA.</w:t>
      </w:r>
    </w:p>
    <w:p w:rsidR="001630DC" w:rsidRDefault="001630DC" w:rsidP="00B11ABC">
      <w:pPr>
        <w:pStyle w:val="GridTable21"/>
        <w:spacing w:before="240"/>
      </w:pPr>
      <w:r>
        <w:t xml:space="preserve">Boix, Carles, and Stokes, Susan C. 2003. “Endogenous Democratization.” </w:t>
      </w:r>
      <w:r>
        <w:rPr>
          <w:i/>
          <w:iCs/>
        </w:rPr>
        <w:t>World Politics</w:t>
      </w:r>
      <w:r>
        <w:t xml:space="preserve"> 55 (4): 517–49.</w:t>
      </w:r>
    </w:p>
    <w:p w:rsidR="001630DC" w:rsidRDefault="001630DC" w:rsidP="00B11ABC">
      <w:pPr>
        <w:pStyle w:val="GridTable21"/>
        <w:spacing w:before="240"/>
      </w:pPr>
      <w:r>
        <w:t xml:space="preserve">Boone, Catherine. 2003. </w:t>
      </w:r>
      <w:r>
        <w:rPr>
          <w:i/>
          <w:iCs/>
        </w:rPr>
        <w:t>The Political Topographies of the African State: Territorial Authority and Institutional Choice</w:t>
      </w:r>
      <w:r>
        <w:t>. Cambridge: Cambridge University Press.</w:t>
      </w:r>
    </w:p>
    <w:p w:rsidR="001630DC" w:rsidRDefault="001630DC" w:rsidP="00B11ABC">
      <w:pPr>
        <w:pStyle w:val="GridTable21"/>
        <w:spacing w:before="240"/>
      </w:pPr>
      <w:r>
        <w:t xml:space="preserve">Bozeman, Barry. 1987. </w:t>
      </w:r>
      <w:r>
        <w:rPr>
          <w:i/>
          <w:iCs/>
        </w:rPr>
        <w:t>All Organizations Are Public: Bridging Public and Private Organizational Theories</w:t>
      </w:r>
      <w:r>
        <w:t>. San Francisco: Josey-Bass.</w:t>
      </w:r>
    </w:p>
    <w:p w:rsidR="001630DC" w:rsidRDefault="001630DC" w:rsidP="00B11ABC">
      <w:pPr>
        <w:pStyle w:val="GridTable21"/>
        <w:spacing w:before="240"/>
      </w:pPr>
      <w:r>
        <w:t xml:space="preserve">Bozeman, Barry, and Stuart Bretschneider. 1994. “The ‘Publicness Puzzle’ in Organization Theory: A Test of Alternative Explanations of Differences between Public and Private Organizations.” </w:t>
      </w:r>
      <w:r>
        <w:rPr>
          <w:i/>
          <w:iCs/>
        </w:rPr>
        <w:t>Journal of Public Administration Research and Theory</w:t>
      </w:r>
      <w:r>
        <w:t xml:space="preserve"> 4 (2): 197–223.</w:t>
      </w:r>
    </w:p>
    <w:p w:rsidR="001630DC" w:rsidRDefault="001630DC" w:rsidP="00B11ABC">
      <w:pPr>
        <w:pStyle w:val="GridTable21"/>
        <w:spacing w:before="240"/>
      </w:pPr>
      <w:r>
        <w:t xml:space="preserve">Bozeman, Barry, and Sanjay K. Pandey. 2004. “Public Management Decision Making: Effects of Decision Content.” </w:t>
      </w:r>
      <w:r>
        <w:rPr>
          <w:i/>
          <w:iCs/>
        </w:rPr>
        <w:t>Public Administration Review</w:t>
      </w:r>
      <w:r>
        <w:t xml:space="preserve"> 64 (5): 553–535.</w:t>
      </w:r>
    </w:p>
    <w:p w:rsidR="001630DC" w:rsidRDefault="001630DC" w:rsidP="00B11ABC">
      <w:pPr>
        <w:pStyle w:val="GridTable21"/>
        <w:spacing w:before="240"/>
      </w:pPr>
      <w:r>
        <w:t xml:space="preserve">Bozeman, Barry, Pamela N. Reed, and Patrick Scott. 1992. “Red Tape and Task Delays in Public and Private Organizations.” </w:t>
      </w:r>
      <w:r>
        <w:rPr>
          <w:i/>
          <w:iCs/>
        </w:rPr>
        <w:t>Administration &amp; Society</w:t>
      </w:r>
      <w:r>
        <w:t xml:space="preserve"> 24 (3): 290–322.</w:t>
      </w:r>
    </w:p>
    <w:p w:rsidR="001630DC" w:rsidRDefault="001630DC" w:rsidP="00B11ABC">
      <w:pPr>
        <w:pStyle w:val="GridTable21"/>
        <w:spacing w:before="240"/>
      </w:pPr>
      <w:r>
        <w:t xml:space="preserve">Bradshaw, Pat, Vic Murray, and Jacob Wolpin. 1992. “Do Nonprofit Boards Make a Difference? An Exploration of the Relationships among Board Structure, Process, and Effectiveness.” </w:t>
      </w:r>
      <w:r>
        <w:rPr>
          <w:i/>
          <w:iCs/>
        </w:rPr>
        <w:t>Nonprofit and Voluntary Sector Quarterly</w:t>
      </w:r>
      <w:r>
        <w:t xml:space="preserve"> 21 (3): 227–49.</w:t>
      </w:r>
    </w:p>
    <w:p w:rsidR="001630DC" w:rsidRDefault="001630DC" w:rsidP="00B11ABC">
      <w:pPr>
        <w:pStyle w:val="GridTable21"/>
        <w:spacing w:before="240"/>
      </w:pPr>
      <w:r>
        <w:t xml:space="preserve">Brass, Jennifer N. 2012a. “Blurring </w:t>
      </w:r>
      <w:r w:rsidR="008159E1">
        <w:t xml:space="preserve">Boundaries: The Integration of </w:t>
      </w:r>
      <w:r>
        <w:t xml:space="preserve">NGOs into Governance in Kenya.” </w:t>
      </w:r>
      <w:r>
        <w:rPr>
          <w:i/>
          <w:iCs/>
        </w:rPr>
        <w:t>Governance</w:t>
      </w:r>
      <w:r>
        <w:t xml:space="preserve"> 25 (2): 209–35.</w:t>
      </w:r>
    </w:p>
    <w:p w:rsidR="001630DC" w:rsidRDefault="00075F70" w:rsidP="00B11ABC">
      <w:pPr>
        <w:pStyle w:val="GridTable21"/>
        <w:spacing w:before="240"/>
      </w:pPr>
      <w:r>
        <w:t xml:space="preserve">———. 2012b. “Why Do </w:t>
      </w:r>
      <w:r w:rsidR="001630DC">
        <w:t xml:space="preserve">NGOs Go Where They Go?  Evidence from Kenya.” </w:t>
      </w:r>
      <w:r w:rsidR="001630DC">
        <w:rPr>
          <w:i/>
          <w:iCs/>
        </w:rPr>
        <w:t>World Development</w:t>
      </w:r>
      <w:r w:rsidR="001630DC">
        <w:t xml:space="preserve"> 40 (2): 387–401.</w:t>
      </w:r>
    </w:p>
    <w:p w:rsidR="001630DC" w:rsidRDefault="001630DC" w:rsidP="00B11ABC">
      <w:pPr>
        <w:pStyle w:val="GridTable21"/>
        <w:spacing w:before="240"/>
      </w:pPr>
      <w:r>
        <w:t xml:space="preserve">Bratton, Michael. 1989a. “Beyond the State: Civil Society and Associational Life in Africa.” </w:t>
      </w:r>
      <w:r>
        <w:rPr>
          <w:i/>
          <w:iCs/>
        </w:rPr>
        <w:t>World Politics</w:t>
      </w:r>
      <w:r>
        <w:t xml:space="preserve"> 41 (3): 407–30.</w:t>
      </w:r>
    </w:p>
    <w:p w:rsidR="001630DC" w:rsidRDefault="001630DC" w:rsidP="00B11ABC">
      <w:pPr>
        <w:pStyle w:val="GridTable21"/>
        <w:spacing w:before="240"/>
      </w:pPr>
      <w:r>
        <w:t>———. 1989</w:t>
      </w:r>
      <w:r w:rsidR="00075F70">
        <w:t>b. “The Politics of Government-</w:t>
      </w:r>
      <w:r>
        <w:t xml:space="preserve">NGO Relations in Africa.” </w:t>
      </w:r>
      <w:r>
        <w:rPr>
          <w:i/>
          <w:iCs/>
        </w:rPr>
        <w:t>World Development</w:t>
      </w:r>
      <w:r>
        <w:t xml:space="preserve"> 17 (4): 569–87.</w:t>
      </w:r>
    </w:p>
    <w:p w:rsidR="001630DC" w:rsidRDefault="001630DC" w:rsidP="00B11ABC">
      <w:pPr>
        <w:pStyle w:val="GridTable21"/>
        <w:spacing w:before="240"/>
      </w:pPr>
      <w:r>
        <w:t xml:space="preserve">Bratton, Michael. 1990. “Non-Governmental Organizations in Africa: Can They Influence Public Policy?” </w:t>
      </w:r>
      <w:r>
        <w:rPr>
          <w:i/>
          <w:iCs/>
        </w:rPr>
        <w:t>Development and Change</w:t>
      </w:r>
      <w:r>
        <w:t xml:space="preserve"> 21: 87–118.</w:t>
      </w:r>
    </w:p>
    <w:p w:rsidR="001630DC" w:rsidRDefault="001630DC" w:rsidP="00B11ABC">
      <w:pPr>
        <w:pStyle w:val="GridTable21"/>
        <w:spacing w:before="240"/>
      </w:pPr>
      <w:r>
        <w:t xml:space="preserve">Brooks, Jeremy, Kerry Ann Waylen, and Monique Borgerhoff Mulder. 2013. “Assessing Community-Based Conservation Projects: A Systematic Review and Multilevel Analysis of Attitudinal, Behavioral, Ecological, and Economic Outcome.” </w:t>
      </w:r>
      <w:r>
        <w:rPr>
          <w:i/>
          <w:iCs/>
        </w:rPr>
        <w:t>Environmental Evidence</w:t>
      </w:r>
      <w:r>
        <w:t xml:space="preserve"> 2 (2): 1–34.</w:t>
      </w:r>
    </w:p>
    <w:p w:rsidR="006A663C" w:rsidRDefault="001630DC" w:rsidP="00B11ABC">
      <w:pPr>
        <w:pStyle w:val="GridTable21"/>
        <w:spacing w:before="240"/>
      </w:pPr>
      <w:r>
        <w:t xml:space="preserve">Brown, W. A. 2004. “Exploring Strategy and Board Structure in Nonprofit Organizations.” </w:t>
      </w:r>
      <w:r>
        <w:rPr>
          <w:i/>
          <w:iCs/>
        </w:rPr>
        <w:t>Nonprofit and Voluntary Sector Quarterly</w:t>
      </w:r>
      <w:r>
        <w:t xml:space="preserve"> 33 (3): 377–400. </w:t>
      </w:r>
    </w:p>
    <w:p w:rsidR="001630DC" w:rsidRDefault="001630DC" w:rsidP="00B11ABC">
      <w:pPr>
        <w:pStyle w:val="GridTable21"/>
        <w:spacing w:before="240"/>
      </w:pPr>
      <w:r>
        <w:t xml:space="preserve">Brown, William A. 2005. “Exploring the Association between Board and Organizational Performance in Nonprofit Organizations.” </w:t>
      </w:r>
      <w:r>
        <w:rPr>
          <w:i/>
          <w:iCs/>
        </w:rPr>
        <w:t>Nonprofit Management and Leadership</w:t>
      </w:r>
      <w:r>
        <w:t xml:space="preserve"> 15 (3): 317–39.</w:t>
      </w:r>
    </w:p>
    <w:p w:rsidR="001630DC" w:rsidRDefault="001630DC" w:rsidP="00B11ABC">
      <w:pPr>
        <w:pStyle w:val="GridTable21"/>
        <w:spacing w:before="240"/>
      </w:pPr>
      <w:r>
        <w:t xml:space="preserve">Bruno-van Vijfeijken, Tosca, and Hans Peter Schmitz. 2011. “Commentary: A Gap between Ambition and Effectiveness.” </w:t>
      </w:r>
      <w:r>
        <w:rPr>
          <w:i/>
          <w:iCs/>
        </w:rPr>
        <w:t>Journal of Civil Society</w:t>
      </w:r>
      <w:r>
        <w:t xml:space="preserve"> 7 (3): 287–92.</w:t>
      </w:r>
    </w:p>
    <w:p w:rsidR="001630DC" w:rsidRDefault="001630DC" w:rsidP="00B11ABC">
      <w:pPr>
        <w:pStyle w:val="GridTable21"/>
        <w:spacing w:before="240"/>
      </w:pPr>
      <w:r>
        <w:t xml:space="preserve">Bryce, Herrington J. 2005. </w:t>
      </w:r>
      <w:r>
        <w:rPr>
          <w:i/>
          <w:iCs/>
        </w:rPr>
        <w:t>Players in the Public Policy Process: Nonprofits as Social Capital Agents</w:t>
      </w:r>
      <w:r>
        <w:t>. New York: Palgrave Macmillan.</w:t>
      </w:r>
    </w:p>
    <w:p w:rsidR="001630DC" w:rsidRDefault="001630DC" w:rsidP="00B11ABC">
      <w:pPr>
        <w:pStyle w:val="GridTable21"/>
        <w:spacing w:before="240"/>
      </w:pPr>
      <w:r>
        <w:t xml:space="preserve">Busby, Joshua. 2007. “Bono Made Jesse Helms Cry: Jubilee 2000, Debt Relief, and Moral Action in International Politics.” </w:t>
      </w:r>
      <w:r>
        <w:rPr>
          <w:i/>
          <w:iCs/>
        </w:rPr>
        <w:t>International Studies Quarterly</w:t>
      </w:r>
      <w:r>
        <w:t xml:space="preserve"> 51 (3): 247–75.</w:t>
      </w:r>
    </w:p>
    <w:p w:rsidR="001630DC" w:rsidRDefault="001630DC" w:rsidP="00B11ABC">
      <w:pPr>
        <w:pStyle w:val="GridTable21"/>
        <w:spacing w:before="240"/>
      </w:pPr>
      <w:r>
        <w:t xml:space="preserve">Carbonnier, Gilles. 2013. “Religion and Development: Reconsidering Secularism as the Norm.” In </w:t>
      </w:r>
      <w:r>
        <w:rPr>
          <w:i/>
          <w:iCs/>
        </w:rPr>
        <w:t>International Development Policy: Religion and Development</w:t>
      </w:r>
      <w:r>
        <w:t>, edited by Gilles Carbonnier, 1–5. New York: Palgrave Macmillan.</w:t>
      </w:r>
    </w:p>
    <w:p w:rsidR="001630DC" w:rsidRDefault="001630DC" w:rsidP="00B11ABC">
      <w:pPr>
        <w:pStyle w:val="GridTable21"/>
        <w:spacing w:before="240"/>
      </w:pPr>
      <w:r>
        <w:t xml:space="preserve">Carothers, Thomas. 2002. “The End of the Transition Paradigm.” </w:t>
      </w:r>
      <w:r>
        <w:rPr>
          <w:i/>
          <w:iCs/>
        </w:rPr>
        <w:t>Journal of Democracy</w:t>
      </w:r>
      <w:r>
        <w:t xml:space="preserve"> 13 (1): 5–21.</w:t>
      </w:r>
    </w:p>
    <w:p w:rsidR="001630DC" w:rsidRDefault="001630DC" w:rsidP="00B11ABC">
      <w:pPr>
        <w:pStyle w:val="GridTable21"/>
        <w:spacing w:before="240"/>
      </w:pPr>
      <w:r>
        <w:t>Central Intelligence Agency. 2005. “CIA World Factbook: Uganda.” Washington: CIA. https://www.cia.gov/library/publications/resources/the-world-factbook/docs/refmaps.html.</w:t>
      </w:r>
    </w:p>
    <w:p w:rsidR="001630DC" w:rsidRDefault="001630DC" w:rsidP="00B11ABC">
      <w:pPr>
        <w:pStyle w:val="GridTable21"/>
        <w:spacing w:before="240"/>
      </w:pPr>
      <w:r>
        <w:t>Chahim, D</w:t>
      </w:r>
      <w:r w:rsidR="00862CCB">
        <w:t>ean, and Aseem Prakash. 2014. “</w:t>
      </w:r>
      <w:r>
        <w:t xml:space="preserve">NGOization, Foreign Funding, and the Nicaraguan Civil Society.” </w:t>
      </w:r>
      <w:r>
        <w:rPr>
          <w:i/>
          <w:iCs/>
        </w:rPr>
        <w:t>VOLUNTAS: International Journal of Voluntary and Nonprofit Organizations</w:t>
      </w:r>
      <w:r>
        <w:t xml:space="preserve"> 25 (2): 487–513.</w:t>
      </w:r>
    </w:p>
    <w:p w:rsidR="001630DC" w:rsidRDefault="001630DC" w:rsidP="00B11ABC">
      <w:pPr>
        <w:pStyle w:val="GridTable21"/>
        <w:spacing w:before="240"/>
      </w:pPr>
      <w:r>
        <w:t xml:space="preserve">Charmaz, K. 2006. </w:t>
      </w:r>
      <w:r>
        <w:rPr>
          <w:i/>
          <w:iCs/>
        </w:rPr>
        <w:t>Constructing a Grounded Theory: A Practical Guide Through Qualitative Analysis</w:t>
      </w:r>
      <w:r>
        <w:t>. New York: Sage Publications.</w:t>
      </w:r>
    </w:p>
    <w:p w:rsidR="001630DC" w:rsidRDefault="001630DC" w:rsidP="00B11ABC">
      <w:pPr>
        <w:pStyle w:val="GridTable21"/>
        <w:spacing w:before="240"/>
      </w:pPr>
      <w:r>
        <w:t xml:space="preserve">Child, John. 1975. “Managerial and Organizational Factors Associated with Company Performance - Part II. A Contingency Analysis.” </w:t>
      </w:r>
      <w:r>
        <w:rPr>
          <w:i/>
          <w:iCs/>
        </w:rPr>
        <w:t>The Journal of Management Studies</w:t>
      </w:r>
      <w:r>
        <w:t xml:space="preserve"> 12 (1-2): 12–27.</w:t>
      </w:r>
    </w:p>
    <w:p w:rsidR="001630DC" w:rsidRDefault="008A0BB4" w:rsidP="00B11ABC">
      <w:pPr>
        <w:pStyle w:val="GridTable21"/>
        <w:spacing w:before="240"/>
      </w:pPr>
      <w:r>
        <w:t xml:space="preserve">Christensen, Rachel A., </w:t>
      </w:r>
      <w:r w:rsidR="001630DC">
        <w:t>and Alnoor Ebrahim. 2004. “How Does Accountability Affect Mission? The Case of a Nonprofit Serving Immigrants and Refugees.” Los Angeles. www.ipg.vt.edu/papers/ChristenseEbrahimARNOVA2004.pdf.</w:t>
      </w:r>
    </w:p>
    <w:p w:rsidR="001630DC" w:rsidRDefault="001630DC" w:rsidP="00B11ABC">
      <w:pPr>
        <w:pStyle w:val="GridTable21"/>
        <w:spacing w:before="240"/>
      </w:pPr>
      <w:r>
        <w:t>Cingranelli, David L., David L. Richards, and K. Chad Clay. 2014. “The CIRI Human Rights Dataset.” http://www.humanrightsdata.com.</w:t>
      </w:r>
    </w:p>
    <w:p w:rsidR="001630DC" w:rsidRDefault="001630DC" w:rsidP="00B11ABC">
      <w:pPr>
        <w:pStyle w:val="GridTable21"/>
        <w:spacing w:before="240"/>
      </w:pPr>
      <w:r>
        <w:t xml:space="preserve">Clark, John. 1995. “The State, Popular Participation, and the Voluntary Sector.” </w:t>
      </w:r>
      <w:r>
        <w:rPr>
          <w:i/>
          <w:iCs/>
        </w:rPr>
        <w:t>World Development</w:t>
      </w:r>
      <w:r>
        <w:t xml:space="preserve"> 23 (4): 593–601.</w:t>
      </w:r>
    </w:p>
    <w:p w:rsidR="001630DC" w:rsidRDefault="001630DC" w:rsidP="00B11ABC">
      <w:pPr>
        <w:pStyle w:val="GridTable21"/>
        <w:spacing w:before="240"/>
      </w:pPr>
      <w:r>
        <w:t xml:space="preserve">Cohen, Michael D., James G. March, and Jonah P. Olsen. 1972. “A Garbage Can Model of Organizational Choice.” </w:t>
      </w:r>
      <w:r>
        <w:rPr>
          <w:i/>
          <w:iCs/>
        </w:rPr>
        <w:t>Administrative Science Quarterly</w:t>
      </w:r>
      <w:r>
        <w:t>, 1–25.</w:t>
      </w:r>
    </w:p>
    <w:p w:rsidR="001630DC" w:rsidRDefault="001630DC" w:rsidP="00B11ABC">
      <w:pPr>
        <w:pStyle w:val="GridTable21"/>
        <w:spacing w:before="240"/>
      </w:pPr>
      <w:r>
        <w:t xml:space="preserve">Comaroff, John L., and Jean Comaroff. 2009. </w:t>
      </w:r>
      <w:r>
        <w:rPr>
          <w:i/>
          <w:iCs/>
        </w:rPr>
        <w:t>Ethnicity, Inc.</w:t>
      </w:r>
      <w:r>
        <w:t xml:space="preserve"> Chicago: University of Chicago Press.</w:t>
      </w:r>
    </w:p>
    <w:p w:rsidR="001630DC" w:rsidRDefault="001630DC" w:rsidP="00B11ABC">
      <w:pPr>
        <w:pStyle w:val="GridTable21"/>
        <w:spacing w:before="240"/>
      </w:pPr>
      <w:r>
        <w:t xml:space="preserve">Corbin, John J. 1999. “A Study of Factors Influencing the Growth of Nonprofits in Social Services.” </w:t>
      </w:r>
      <w:r>
        <w:rPr>
          <w:i/>
          <w:iCs/>
        </w:rPr>
        <w:t>Nonprofit and Voluntary Sector Quarterly</w:t>
      </w:r>
      <w:r>
        <w:t xml:space="preserve"> 28 (3): 296–314.</w:t>
      </w:r>
    </w:p>
    <w:p w:rsidR="001630DC" w:rsidRDefault="001630DC" w:rsidP="00B11ABC">
      <w:pPr>
        <w:pStyle w:val="GridTable21"/>
        <w:spacing w:before="240"/>
      </w:pPr>
      <w:r>
        <w:t>Daley, John Michael, and Julio Angulo. 1994. “Understanding the Dynamics of Diversity Within Nonprofit Boards” 25 (2): 172–88.</w:t>
      </w:r>
    </w:p>
    <w:p w:rsidR="001630DC" w:rsidRDefault="001630DC" w:rsidP="00B11ABC">
      <w:pPr>
        <w:pStyle w:val="GridTable21"/>
        <w:spacing w:before="240"/>
      </w:pPr>
      <w:r>
        <w:t xml:space="preserve">DeMars, William E. 2005. </w:t>
      </w:r>
      <w:r>
        <w:rPr>
          <w:i/>
          <w:iCs/>
        </w:rPr>
        <w:t>NGOs and Transnational Networks: Wild Cards in World Politics</w:t>
      </w:r>
      <w:r>
        <w:t>. London: Pluto Press.</w:t>
      </w:r>
    </w:p>
    <w:p w:rsidR="001630DC" w:rsidRDefault="001630DC" w:rsidP="00B11ABC">
      <w:pPr>
        <w:pStyle w:val="GridTable21"/>
        <w:spacing w:before="240"/>
      </w:pPr>
      <w:r>
        <w:t xml:space="preserve">DiMaggio, Paul, and Walter W. Powell. 1983. “The Iron Cage Revisited: Institutional Isomorphism and Collective Rationality in Organizational Fields.” </w:t>
      </w:r>
      <w:r>
        <w:rPr>
          <w:i/>
          <w:iCs/>
        </w:rPr>
        <w:t>American Sociological Review</w:t>
      </w:r>
      <w:r>
        <w:t xml:space="preserve"> 48 (April): 147–60.</w:t>
      </w:r>
    </w:p>
    <w:p w:rsidR="001630DC" w:rsidRDefault="001630DC" w:rsidP="00B11ABC">
      <w:pPr>
        <w:pStyle w:val="GridTable21"/>
        <w:spacing w:before="240"/>
      </w:pPr>
      <w:r>
        <w:t xml:space="preserve">Donaldson, Lex. 2001. </w:t>
      </w:r>
      <w:r>
        <w:rPr>
          <w:i/>
          <w:iCs/>
        </w:rPr>
        <w:t>The Contingency Theory of Organizations</w:t>
      </w:r>
      <w:r>
        <w:t>. Thousand Oaks: Sage Publications, Ltd.</w:t>
      </w:r>
    </w:p>
    <w:p w:rsidR="006A663C" w:rsidRDefault="001630DC" w:rsidP="00B11ABC">
      <w:pPr>
        <w:pStyle w:val="GridTable21"/>
        <w:spacing w:before="240"/>
      </w:pPr>
      <w:r>
        <w:t xml:space="preserve">Drazin, Robert, and Andrew H. Van de Ven. 1985. “Alternative Forms of Fit in Contingency Theory.” </w:t>
      </w:r>
      <w:r>
        <w:rPr>
          <w:i/>
          <w:iCs/>
        </w:rPr>
        <w:t>Administrative Science Quarterly</w:t>
      </w:r>
      <w:r>
        <w:t xml:space="preserve"> 30 (4): 514. </w:t>
      </w:r>
    </w:p>
    <w:p w:rsidR="001630DC" w:rsidRDefault="001630DC" w:rsidP="00B11ABC">
      <w:pPr>
        <w:pStyle w:val="GridTable21"/>
        <w:spacing w:before="240"/>
      </w:pPr>
      <w:r>
        <w:t>Dupuy, Kendra, James Ron, and Aseem Prakash. 2015. “Who Survived? Ethiopia’s Regulato</w:t>
      </w:r>
      <w:r w:rsidR="008611A5">
        <w:t xml:space="preserve">ry Crackdown on Foreign-Funded </w:t>
      </w:r>
      <w:r>
        <w:t xml:space="preserve">NGOs.” </w:t>
      </w:r>
      <w:r>
        <w:rPr>
          <w:i/>
          <w:iCs/>
        </w:rPr>
        <w:t>Review in International Political Economy</w:t>
      </w:r>
      <w:r>
        <w:t xml:space="preserve"> 22 (2): 419–56.</w:t>
      </w:r>
    </w:p>
    <w:p w:rsidR="001630DC" w:rsidRDefault="001630DC" w:rsidP="00B11ABC">
      <w:pPr>
        <w:pStyle w:val="GridTable21"/>
        <w:spacing w:before="240"/>
      </w:pPr>
      <w:r>
        <w:t xml:space="preserve">Easterly, William. 2009. “Can the West Save Africa?” </w:t>
      </w:r>
      <w:r>
        <w:rPr>
          <w:i/>
          <w:iCs/>
        </w:rPr>
        <w:t>Journal of Economic Literature</w:t>
      </w:r>
      <w:r>
        <w:t xml:space="preserve"> 47 (2): 373–447.</w:t>
      </w:r>
    </w:p>
    <w:p w:rsidR="001630DC" w:rsidRDefault="001630DC" w:rsidP="00B11ABC">
      <w:pPr>
        <w:pStyle w:val="GridTable21"/>
        <w:spacing w:before="240"/>
      </w:pPr>
      <w:r>
        <w:t>Ebrahim, A. 2002. “Information Struggles: The Role of Info</w:t>
      </w:r>
      <w:r w:rsidR="00E40FA0">
        <w:t xml:space="preserve">rmation in the Reproduction of </w:t>
      </w:r>
      <w:r>
        <w:t xml:space="preserve">NGO-Funder Relationships.” </w:t>
      </w:r>
      <w:r>
        <w:rPr>
          <w:i/>
          <w:iCs/>
        </w:rPr>
        <w:t>Nonprofit and Voluntary Sector Quarterly</w:t>
      </w:r>
      <w:r>
        <w:t xml:space="preserve"> 31 (1): 84–114. </w:t>
      </w:r>
    </w:p>
    <w:p w:rsidR="001630DC" w:rsidRDefault="001630DC" w:rsidP="00B11ABC">
      <w:pPr>
        <w:pStyle w:val="GridTable21"/>
        <w:spacing w:before="240"/>
      </w:pPr>
      <w:r>
        <w:t>Ebrahim, Alnoor. 2003. “Accountability in Practice: Mechan</w:t>
      </w:r>
      <w:r w:rsidR="008611A5">
        <w:t xml:space="preserve">isms for </w:t>
      </w:r>
      <w:r>
        <w:t xml:space="preserve">NGOs.” </w:t>
      </w:r>
      <w:r>
        <w:rPr>
          <w:i/>
          <w:iCs/>
        </w:rPr>
        <w:t>World Development</w:t>
      </w:r>
      <w:r>
        <w:t xml:space="preserve"> 31 (5): 813–29.</w:t>
      </w:r>
    </w:p>
    <w:p w:rsidR="001630DC" w:rsidRDefault="001630DC" w:rsidP="00B11ABC">
      <w:pPr>
        <w:pStyle w:val="GridTable21"/>
        <w:spacing w:before="240"/>
      </w:pPr>
      <w:r>
        <w:t xml:space="preserve">Edwards, Michael, and David Hulme. 1996a. “Beyond the Magic Bullet?  Lessons and Conclusions.” In </w:t>
      </w:r>
      <w:r w:rsidR="008611A5">
        <w:rPr>
          <w:i/>
          <w:iCs/>
        </w:rPr>
        <w:t xml:space="preserve">Beyond the Magic Bullet: </w:t>
      </w:r>
      <w:r>
        <w:rPr>
          <w:i/>
          <w:iCs/>
        </w:rPr>
        <w:t>NGO Performance and Accountability in the Post-Cold War World</w:t>
      </w:r>
      <w:r>
        <w:t>, edited by Michael Edwards and David Hulme, 254–66. Kumarian Press.</w:t>
      </w:r>
    </w:p>
    <w:p w:rsidR="001630DC" w:rsidRDefault="00F1318A" w:rsidP="00B11ABC">
      <w:pPr>
        <w:pStyle w:val="GridTable21"/>
        <w:spacing w:before="240"/>
      </w:pPr>
      <w:r>
        <w:t xml:space="preserve">———. 1996b. “Introduction: </w:t>
      </w:r>
      <w:r w:rsidR="001630DC">
        <w:t xml:space="preserve">NGO Performance and Accountability.” In </w:t>
      </w:r>
      <w:r w:rsidR="008611A5">
        <w:rPr>
          <w:i/>
          <w:iCs/>
        </w:rPr>
        <w:t xml:space="preserve">Beyond the Magic Bullet: </w:t>
      </w:r>
      <w:r w:rsidR="001630DC">
        <w:rPr>
          <w:i/>
          <w:iCs/>
        </w:rPr>
        <w:t>NGO Performance and Accountability in the Post-Cold War World</w:t>
      </w:r>
      <w:r w:rsidR="001630DC">
        <w:t>, edited by Michael Edwards and David Hulme, 1–20. Kumarian Press.</w:t>
      </w:r>
    </w:p>
    <w:p w:rsidR="001630DC" w:rsidRDefault="001630DC" w:rsidP="00B11ABC">
      <w:pPr>
        <w:pStyle w:val="GridTable21"/>
        <w:spacing w:before="240"/>
      </w:pPr>
      <w:r>
        <w:t xml:space="preserve">———. 1996c. “Too Close for Comfort?  The Impact of Official Aid on </w:t>
      </w:r>
      <w:r w:rsidR="009944D4">
        <w:t>Nongovernmental</w:t>
      </w:r>
      <w:r>
        <w:t xml:space="preserve"> Organizations.” </w:t>
      </w:r>
      <w:r>
        <w:rPr>
          <w:i/>
          <w:iCs/>
        </w:rPr>
        <w:t>World Development</w:t>
      </w:r>
      <w:r>
        <w:t xml:space="preserve"> 24 (6): 961–73.</w:t>
      </w:r>
    </w:p>
    <w:p w:rsidR="001630DC" w:rsidRDefault="001630DC" w:rsidP="00B11ABC">
      <w:pPr>
        <w:pStyle w:val="GridTable21"/>
        <w:spacing w:before="240"/>
      </w:pPr>
      <w:r>
        <w:t xml:space="preserve">Eifert, Benn, Edward Miguel, and Daniel N. Posner. 2010. “Political Competition and Ethnic Identification in Africa.” </w:t>
      </w:r>
      <w:r>
        <w:rPr>
          <w:i/>
          <w:iCs/>
        </w:rPr>
        <w:t>American Journal of Political Science</w:t>
      </w:r>
      <w:r>
        <w:t xml:space="preserve"> 54 (2): 494–510.</w:t>
      </w:r>
    </w:p>
    <w:p w:rsidR="001630DC" w:rsidRDefault="001630DC" w:rsidP="00B11ABC">
      <w:pPr>
        <w:pStyle w:val="GridTable21"/>
        <w:spacing w:before="240"/>
      </w:pPr>
      <w:r>
        <w:t xml:space="preserve">Ekeh, Peter P. 1975. “Colonialism and the Two Publics in Africa: A Theoretical Statement.” </w:t>
      </w:r>
      <w:r>
        <w:rPr>
          <w:i/>
          <w:iCs/>
        </w:rPr>
        <w:t>Comparative Studies in Society and History</w:t>
      </w:r>
      <w:r>
        <w:t xml:space="preserve"> 17 (1): 91–112.</w:t>
      </w:r>
    </w:p>
    <w:p w:rsidR="001630DC" w:rsidRDefault="001630DC" w:rsidP="00B11ABC">
      <w:pPr>
        <w:pStyle w:val="GridTable21"/>
        <w:spacing w:before="240"/>
      </w:pPr>
      <w:r>
        <w:t>Elliott, Charles. 1987. “Some Aspects of Relations Betw</w:t>
      </w:r>
      <w:r w:rsidR="00E40FA0">
        <w:t xml:space="preserve">een the North and South in the </w:t>
      </w:r>
      <w:r>
        <w:t xml:space="preserve">NGO Sector.” </w:t>
      </w:r>
      <w:r>
        <w:rPr>
          <w:i/>
          <w:iCs/>
        </w:rPr>
        <w:t>World Development</w:t>
      </w:r>
      <w:r>
        <w:t xml:space="preserve"> 15 (Supplement): 57–68.</w:t>
      </w:r>
    </w:p>
    <w:p w:rsidR="001630DC" w:rsidRDefault="001630DC" w:rsidP="00B11ABC">
      <w:pPr>
        <w:pStyle w:val="GridTable21"/>
        <w:spacing w:before="240"/>
      </w:pPr>
      <w:r>
        <w:t xml:space="preserve">Englebert, Pierre. 2000. </w:t>
      </w:r>
      <w:r>
        <w:rPr>
          <w:i/>
          <w:iCs/>
        </w:rPr>
        <w:t>State Legitimacy and Development in Africa</w:t>
      </w:r>
      <w:r>
        <w:t>. Boulder: Lynne Rienner Publishers.</w:t>
      </w:r>
    </w:p>
    <w:p w:rsidR="001630DC" w:rsidRDefault="001630DC" w:rsidP="00B11ABC">
      <w:pPr>
        <w:pStyle w:val="GridTable21"/>
        <w:spacing w:before="240"/>
      </w:pPr>
      <w:r>
        <w:t xml:space="preserve">Esping-Andersen, Gosta. 1990. </w:t>
      </w:r>
      <w:r>
        <w:rPr>
          <w:i/>
          <w:iCs/>
        </w:rPr>
        <w:t>The Three Worlds of Welfare Capitalism</w:t>
      </w:r>
      <w:r>
        <w:t>. Princeton: Princeton University Press.</w:t>
      </w:r>
    </w:p>
    <w:p w:rsidR="001630DC" w:rsidRDefault="001630DC" w:rsidP="00B11ABC">
      <w:pPr>
        <w:pStyle w:val="GridTable21"/>
        <w:spacing w:before="240"/>
      </w:pPr>
      <w:r>
        <w:t xml:space="preserve">Fearon, James D., and David D. Laitin. 2003. “Ethnicity, Insurgency, and Civil War.” </w:t>
      </w:r>
      <w:r>
        <w:rPr>
          <w:i/>
          <w:iCs/>
        </w:rPr>
        <w:t>The American Political Science Review</w:t>
      </w:r>
      <w:r>
        <w:t xml:space="preserve"> 97 (1): 75–90.</w:t>
      </w:r>
    </w:p>
    <w:p w:rsidR="001630DC" w:rsidRDefault="001630DC" w:rsidP="00B11ABC">
      <w:pPr>
        <w:pStyle w:val="GridTable21"/>
        <w:spacing w:before="240"/>
      </w:pPr>
      <w:r>
        <w:t xml:space="preserve">Fearon, James D., and David D. Laitin. 1996. “Explaining Interethnic Cooperation.” </w:t>
      </w:r>
      <w:r>
        <w:rPr>
          <w:i/>
          <w:iCs/>
        </w:rPr>
        <w:t>The American Political Science Review</w:t>
      </w:r>
      <w:r>
        <w:t xml:space="preserve"> 90 (4): 715–35.</w:t>
      </w:r>
    </w:p>
    <w:p w:rsidR="001630DC" w:rsidRDefault="001630DC" w:rsidP="00B11ABC">
      <w:pPr>
        <w:pStyle w:val="GridTable21"/>
        <w:spacing w:before="240"/>
      </w:pPr>
      <w:r>
        <w:t xml:space="preserve">Fisher, Julie. 1998. </w:t>
      </w:r>
      <w:r>
        <w:rPr>
          <w:i/>
          <w:iCs/>
        </w:rPr>
        <w:t>No</w:t>
      </w:r>
      <w:r w:rsidR="00862CCB">
        <w:rPr>
          <w:i/>
          <w:iCs/>
        </w:rPr>
        <w:t xml:space="preserve">ngovernments: </w:t>
      </w:r>
      <w:r>
        <w:rPr>
          <w:i/>
          <w:iCs/>
        </w:rPr>
        <w:t>NGOs and the Political Development of the Third World</w:t>
      </w:r>
      <w:r>
        <w:t>. West Hartford: Kumarian press.</w:t>
      </w:r>
    </w:p>
    <w:p w:rsidR="001630DC" w:rsidRDefault="001630DC" w:rsidP="00B11ABC">
      <w:pPr>
        <w:pStyle w:val="GridTable21"/>
        <w:spacing w:before="240"/>
      </w:pPr>
      <w:r>
        <w:t xml:space="preserve">Forje, John W. 2008. “Political Leadership, State-Civil Society Relations and the Search for Development Alternatives.” In </w:t>
      </w:r>
      <w:r>
        <w:rPr>
          <w:i/>
          <w:iCs/>
        </w:rPr>
        <w:t>Civil Society and the Search for Development Alternatives in Cameroon</w:t>
      </w:r>
      <w:r>
        <w:t>, edited by Emmanuel Yenshu Vubo, 191–205. Dakar: CODESRIA.</w:t>
      </w:r>
    </w:p>
    <w:p w:rsidR="001630DC" w:rsidRDefault="001630DC" w:rsidP="00B11ABC">
      <w:pPr>
        <w:pStyle w:val="GridTable21"/>
        <w:spacing w:before="240"/>
      </w:pPr>
      <w:r>
        <w:t xml:space="preserve">Frederickson, David G., and H. George Frederickson. 2006. </w:t>
      </w:r>
      <w:r>
        <w:rPr>
          <w:i/>
          <w:iCs/>
        </w:rPr>
        <w:t>Measuring the Performance of the Hollow State</w:t>
      </w:r>
      <w:r>
        <w:t>. Washington: Georgetown University Press.</w:t>
      </w:r>
    </w:p>
    <w:p w:rsidR="001630DC" w:rsidRDefault="001630DC" w:rsidP="00B11ABC">
      <w:pPr>
        <w:pStyle w:val="GridTable21"/>
        <w:spacing w:before="240"/>
      </w:pPr>
      <w:r>
        <w:t xml:space="preserve">Froelich, Karen A. 1999. “Diversification of Revenue Strategies: Evolving Resource Dependence in Nonprofit Organizations.” </w:t>
      </w:r>
      <w:r>
        <w:rPr>
          <w:i/>
          <w:iCs/>
        </w:rPr>
        <w:t>Nonprofit and Voluntary Sector Quarterly</w:t>
      </w:r>
      <w:r>
        <w:t xml:space="preserve"> 28 (3): 246–68.</w:t>
      </w:r>
    </w:p>
    <w:p w:rsidR="001630DC" w:rsidRDefault="001630DC" w:rsidP="00B11ABC">
      <w:pPr>
        <w:pStyle w:val="GridTable21"/>
        <w:spacing w:before="240"/>
      </w:pPr>
      <w:r>
        <w:t>Fruttero, Anna, and Varun Gauri. 2</w:t>
      </w:r>
      <w:r w:rsidR="008611A5">
        <w:t xml:space="preserve">005. “The Strategic Choices of </w:t>
      </w:r>
      <w:r>
        <w:t xml:space="preserve">NGOs: Location Decisions in Rural Bangladesh.” </w:t>
      </w:r>
      <w:r>
        <w:rPr>
          <w:i/>
          <w:iCs/>
        </w:rPr>
        <w:t>The Journal of Development Studies</w:t>
      </w:r>
      <w:r>
        <w:t xml:space="preserve"> 41 (5): 759–87.</w:t>
      </w:r>
    </w:p>
    <w:p w:rsidR="001630DC" w:rsidRDefault="001630DC" w:rsidP="00B11ABC">
      <w:pPr>
        <w:pStyle w:val="GridTable21"/>
        <w:spacing w:before="240"/>
      </w:pPr>
      <w:r>
        <w:t>Galway, Lindsay P., Kitty K. Corbett, and Lei</w:t>
      </w:r>
      <w:r w:rsidR="008611A5">
        <w:t xml:space="preserve">lei Zeng. 2012. “Where Are the </w:t>
      </w:r>
      <w:r>
        <w:t>NGOs and Why? The Distribu</w:t>
      </w:r>
      <w:r w:rsidR="00E40FA0">
        <w:t xml:space="preserve">tion of Health and Development </w:t>
      </w:r>
      <w:r>
        <w:t xml:space="preserve">NGOs in Bolivia.” </w:t>
      </w:r>
      <w:r>
        <w:rPr>
          <w:i/>
          <w:iCs/>
        </w:rPr>
        <w:t>Globalization and Health</w:t>
      </w:r>
      <w:r>
        <w:t xml:space="preserve"> 8 (1): 38.</w:t>
      </w:r>
    </w:p>
    <w:p w:rsidR="001630DC" w:rsidRDefault="001630DC" w:rsidP="00B11ABC">
      <w:pPr>
        <w:pStyle w:val="GridTable21"/>
        <w:spacing w:before="240"/>
      </w:pPr>
      <w:r>
        <w:t xml:space="preserve">Garrow, Eve E. 2010. “Receipt of Government Revenue among Human Service Organizations.” </w:t>
      </w:r>
      <w:r>
        <w:rPr>
          <w:i/>
          <w:iCs/>
        </w:rPr>
        <w:t>Journal of Public Administration Research and Theory</w:t>
      </w:r>
      <w:r>
        <w:t xml:space="preserve"> 21 (3): 445–71.</w:t>
      </w:r>
    </w:p>
    <w:p w:rsidR="001630DC" w:rsidRDefault="001630DC" w:rsidP="00B11ABC">
      <w:pPr>
        <w:pStyle w:val="GridTable21"/>
        <w:spacing w:before="240"/>
      </w:pPr>
      <w:r>
        <w:t xml:space="preserve">Gazley, Beth. 2008. “Beyond the Contract: The Scope and Nature of Informal Government-Nonprofit Partnerships.” </w:t>
      </w:r>
      <w:r>
        <w:rPr>
          <w:i/>
          <w:iCs/>
        </w:rPr>
        <w:t>Public Administration Review</w:t>
      </w:r>
      <w:r>
        <w:t xml:space="preserve"> 68 (1): 141–54.</w:t>
      </w:r>
    </w:p>
    <w:p w:rsidR="006A663C" w:rsidRDefault="001630DC" w:rsidP="00B11ABC">
      <w:pPr>
        <w:pStyle w:val="GridTable21"/>
        <w:spacing w:before="240"/>
      </w:pPr>
      <w:r>
        <w:t xml:space="preserve">Gerdin, Martin, Patrice Chataigner, Leonie Tax, Anne Kubai, and Johan von Schreeb. 2014. “Does Need Matter? Needs Assessments and Decision-Making among Major Humanitarian Health Agencies.” </w:t>
      </w:r>
      <w:r>
        <w:rPr>
          <w:i/>
          <w:iCs/>
        </w:rPr>
        <w:t>Disasters</w:t>
      </w:r>
      <w:r>
        <w:t xml:space="preserve"> 38 (3): 451–64. </w:t>
      </w:r>
    </w:p>
    <w:p w:rsidR="006A663C" w:rsidRDefault="001630DC" w:rsidP="00B11ABC">
      <w:pPr>
        <w:pStyle w:val="GridTable21"/>
        <w:spacing w:before="240"/>
      </w:pPr>
      <w:r>
        <w:t xml:space="preserve">Ghoshal, Sumantra, and Christopher A. Bartlett. 1990. “The Multinational Corporation as an Interorganizational Network.” </w:t>
      </w:r>
      <w:r>
        <w:rPr>
          <w:i/>
          <w:iCs/>
        </w:rPr>
        <w:t>The Academy of Management Review</w:t>
      </w:r>
      <w:r>
        <w:t xml:space="preserve"> 15 (4): 603. </w:t>
      </w:r>
    </w:p>
    <w:p w:rsidR="001630DC" w:rsidRDefault="001630DC" w:rsidP="00B11ABC">
      <w:pPr>
        <w:pStyle w:val="GridTable21"/>
        <w:spacing w:before="240"/>
      </w:pPr>
      <w:r>
        <w:t xml:space="preserve">Ghoshal, Sumantra, and Nitin Nohria. 1989. “Internal Differentiation within Multinational Corporations.” </w:t>
      </w:r>
      <w:r>
        <w:rPr>
          <w:i/>
          <w:iCs/>
        </w:rPr>
        <w:t>Strategic Management Journal</w:t>
      </w:r>
      <w:r>
        <w:t xml:space="preserve"> 10 (4): 323–37.</w:t>
      </w:r>
    </w:p>
    <w:p w:rsidR="001630DC" w:rsidRDefault="001630DC" w:rsidP="00B11ABC">
      <w:pPr>
        <w:pStyle w:val="GridTable21"/>
        <w:spacing w:before="240"/>
      </w:pPr>
      <w:r>
        <w:t xml:space="preserve">Gibelman, Margaret, and Sheldon R. Gelman. 2004. “A Loss of Credibility: Patterns of Wrongdoing Among </w:t>
      </w:r>
      <w:r w:rsidR="009944D4">
        <w:t>Nongovernmental</w:t>
      </w:r>
      <w:r>
        <w:t xml:space="preserve"> Organizations.” </w:t>
      </w:r>
      <w:r>
        <w:rPr>
          <w:i/>
          <w:iCs/>
        </w:rPr>
        <w:t>Voluntas: International Journal of Voluntary and Nonprofit Organizations</w:t>
      </w:r>
      <w:r>
        <w:t xml:space="preserve"> 15 (4): 355–81.</w:t>
      </w:r>
    </w:p>
    <w:p w:rsidR="001630DC" w:rsidRDefault="001630DC" w:rsidP="00B11ABC">
      <w:pPr>
        <w:pStyle w:val="GridTable21"/>
        <w:spacing w:before="240"/>
      </w:pPr>
      <w:r>
        <w:t xml:space="preserve">Green, Maia. 2012. “Anticipatory Development: Mobilizing Civil Society in Tanzania.” </w:t>
      </w:r>
      <w:r>
        <w:rPr>
          <w:i/>
          <w:iCs/>
        </w:rPr>
        <w:t>Critique of Anthropology</w:t>
      </w:r>
      <w:r>
        <w:t xml:space="preserve"> 32 (3): 309–33.</w:t>
      </w:r>
    </w:p>
    <w:p w:rsidR="006A663C" w:rsidRDefault="001630DC" w:rsidP="00B11ABC">
      <w:pPr>
        <w:pStyle w:val="GridTable21"/>
        <w:spacing w:before="240"/>
      </w:pPr>
      <w:r>
        <w:t xml:space="preserve">Gronbjerg, K. A., H. K. Liu, and T. H. Pollak. 2010. “Incorporated but Not IRS-Registered: Exploring the (Dark) Grey Fringes of the Nonprofit Universe.” </w:t>
      </w:r>
      <w:r>
        <w:rPr>
          <w:i/>
          <w:iCs/>
        </w:rPr>
        <w:t>Nonprofit and Voluntary Sector Quarterly</w:t>
      </w:r>
      <w:r>
        <w:t xml:space="preserve"> 39 (5): 925–45. </w:t>
      </w:r>
    </w:p>
    <w:p w:rsidR="001630DC" w:rsidRDefault="001630DC" w:rsidP="00B11ABC">
      <w:pPr>
        <w:pStyle w:val="GridTable21"/>
        <w:spacing w:before="240"/>
      </w:pPr>
      <w:r>
        <w:t xml:space="preserve">Gronbjerg, Kristen A. 2003a.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pPr>
      <w:r>
        <w:t xml:space="preserve">———. 2003b.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pPr>
      <w:r>
        <w:rPr>
          <w:i/>
          <w:iCs/>
        </w:rPr>
        <w:t>Guidestar-NCCS National Nonprofit Research Database</w:t>
      </w:r>
      <w:r>
        <w:t>. 2015. Washington: The Urban Institute. nccsweb.urban.org.</w:t>
      </w:r>
    </w:p>
    <w:p w:rsidR="001630DC" w:rsidRDefault="001630DC" w:rsidP="00B11ABC">
      <w:pPr>
        <w:pStyle w:val="GridTable21"/>
        <w:spacing w:before="240"/>
      </w:pPr>
      <w:r>
        <w:t xml:space="preserve">Guo, Chao. 2007. “When Government Becomes the Principal Philanthropist: The Effects of Public Funding on Patterns of Nonprofit Governance.” </w:t>
      </w:r>
      <w:r>
        <w:rPr>
          <w:i/>
          <w:iCs/>
        </w:rPr>
        <w:t>Public Administration Review</w:t>
      </w:r>
      <w:r>
        <w:t xml:space="preserve"> 67 (3): 458–73.</w:t>
      </w:r>
    </w:p>
    <w:p w:rsidR="001630DC" w:rsidRDefault="001630DC" w:rsidP="00B11ABC">
      <w:pPr>
        <w:pStyle w:val="GridTable21"/>
        <w:spacing w:before="240"/>
      </w:pPr>
      <w:r>
        <w:t xml:space="preserve">Gupta, Anil K., and Vijay Govindarajan. 2000. “Knowledge Flows Within Multinational Corporations.” </w:t>
      </w:r>
      <w:r>
        <w:rPr>
          <w:i/>
          <w:iCs/>
        </w:rPr>
        <w:t>Strategic Management Journal</w:t>
      </w:r>
      <w:r>
        <w:t xml:space="preserve"> 21: 473–96.</w:t>
      </w:r>
    </w:p>
    <w:p w:rsidR="001630DC" w:rsidRDefault="001630DC" w:rsidP="00B11ABC">
      <w:pPr>
        <w:pStyle w:val="GridTable21"/>
        <w:spacing w:before="240"/>
      </w:pPr>
      <w:r>
        <w:t xml:space="preserve">Habyarimana, James, Macartan Humphreys, Daniel N. Posner, and Jeremy M. Weinstein. 2007. “Why Does Ethnic Diversity Undermine Public Goods Provision?” </w:t>
      </w:r>
      <w:r>
        <w:rPr>
          <w:i/>
          <w:iCs/>
        </w:rPr>
        <w:t>American Political Science Review</w:t>
      </w:r>
      <w:r>
        <w:t xml:space="preserve"> 101 (04): 709–25.</w:t>
      </w:r>
    </w:p>
    <w:p w:rsidR="001630DC" w:rsidRDefault="001630DC" w:rsidP="00B11ABC">
      <w:pPr>
        <w:pStyle w:val="GridTable21"/>
        <w:spacing w:before="240"/>
      </w:pPr>
      <w:r>
        <w:t>Hailey, John, and Rick James. 2004. “‘Trees Die From the Top’:</w:t>
      </w:r>
      <w:r w:rsidR="008611A5">
        <w:t xml:space="preserve"> International Perspectives on </w:t>
      </w:r>
      <w:r>
        <w:t xml:space="preserve">NGO Leadership Development.” </w:t>
      </w:r>
      <w:r>
        <w:rPr>
          <w:i/>
          <w:iCs/>
        </w:rPr>
        <w:t>Voluntas: International Journal of Voluntary and Nonprofit Organizations</w:t>
      </w:r>
      <w:r>
        <w:t xml:space="preserve"> 15 (4): 343–53.</w:t>
      </w:r>
    </w:p>
    <w:p w:rsidR="001630DC" w:rsidRDefault="001630DC" w:rsidP="00B11ABC">
      <w:pPr>
        <w:pStyle w:val="GridTable21"/>
        <w:spacing w:before="240"/>
      </w:pPr>
      <w:r>
        <w:t xml:space="preserve">Hann, Chris. 1996. “Introduction: Political Society and Civil Anthropology.” In </w:t>
      </w:r>
      <w:r>
        <w:rPr>
          <w:i/>
          <w:iCs/>
        </w:rPr>
        <w:t>Civil Society: Challenging Western Models</w:t>
      </w:r>
      <w:r>
        <w:t>, edited by Chris Hann and Dunn, 1–26. London: Routledge.</w:t>
      </w:r>
    </w:p>
    <w:p w:rsidR="001630DC" w:rsidRDefault="008611A5" w:rsidP="00B11ABC">
      <w:pPr>
        <w:pStyle w:val="GridTable21"/>
        <w:spacing w:before="240"/>
      </w:pPr>
      <w:r>
        <w:t xml:space="preserve">Hearn, Julie. 2007. “African </w:t>
      </w:r>
      <w:r w:rsidR="001630DC">
        <w:t xml:space="preserve">NGOs: The New Compradors?” </w:t>
      </w:r>
      <w:r w:rsidR="001630DC">
        <w:rPr>
          <w:i/>
          <w:iCs/>
        </w:rPr>
        <w:t>Development &amp; Change</w:t>
      </w:r>
      <w:r w:rsidR="001630DC">
        <w:t xml:space="preserve"> 38 (6): 1095–1110.</w:t>
      </w:r>
    </w:p>
    <w:p w:rsidR="001630DC" w:rsidRDefault="001630DC" w:rsidP="00B11ABC">
      <w:pPr>
        <w:pStyle w:val="GridTable21"/>
        <w:spacing w:before="240"/>
      </w:pPr>
      <w:r>
        <w:t xml:space="preserve">Heinrich, Carolyn J., Laurence E. Jr. Lynn, and H. Brinton Milward. 2010. “A State of Agents? Sharpening the Debate and Evidence over the Extent and Impact of the Transformation of Governance.” </w:t>
      </w:r>
      <w:r>
        <w:rPr>
          <w:i/>
          <w:iCs/>
        </w:rPr>
        <w:t>Journal of Public Administration Research and Theory</w:t>
      </w:r>
      <w:r>
        <w:t xml:space="preserve"> 20 (Supplemental 1): i3–19.</w:t>
      </w:r>
    </w:p>
    <w:p w:rsidR="001630DC" w:rsidRDefault="001630DC" w:rsidP="00B11ABC">
      <w:pPr>
        <w:pStyle w:val="GridTable21"/>
        <w:spacing w:before="240"/>
      </w:pPr>
      <w:r>
        <w:t xml:space="preserve">Heinze, E.A. 2007. “The Rhetoric of Genocide in US Foreign Policy: Rwanda and Darfur Compared.” </w:t>
      </w:r>
      <w:r>
        <w:rPr>
          <w:i/>
          <w:iCs/>
        </w:rPr>
        <w:t>Political Science Quarterly</w:t>
      </w:r>
      <w:r>
        <w:t xml:space="preserve"> 122 (3): 359–83.</w:t>
      </w:r>
    </w:p>
    <w:p w:rsidR="001630DC" w:rsidRDefault="001630DC" w:rsidP="00B11ABC">
      <w:pPr>
        <w:pStyle w:val="GridTable21"/>
        <w:spacing w:before="240"/>
      </w:pPr>
      <w:r>
        <w:t xml:space="preserve">Herbst, Jeffery. 1990. “The Structural Adjustment of Politics in Africa.” </w:t>
      </w:r>
      <w:r>
        <w:rPr>
          <w:i/>
          <w:iCs/>
        </w:rPr>
        <w:t>World Development</w:t>
      </w:r>
      <w:r>
        <w:t xml:space="preserve"> 18 (7): 949–58.</w:t>
      </w:r>
    </w:p>
    <w:p w:rsidR="001630DC" w:rsidRDefault="001630DC" w:rsidP="00B11ABC">
      <w:pPr>
        <w:pStyle w:val="GridTable21"/>
        <w:spacing w:before="240"/>
      </w:pPr>
      <w:r>
        <w:t xml:space="preserve">Herbst, Jeffrey. 2000. </w:t>
      </w:r>
      <w:r>
        <w:rPr>
          <w:i/>
          <w:iCs/>
        </w:rPr>
        <w:t>States and Power in Africa: Comparative Lessons in Authority and Control</w:t>
      </w:r>
      <w:r>
        <w:t>. Princeton: Princeton University Press.</w:t>
      </w:r>
    </w:p>
    <w:p w:rsidR="001630DC" w:rsidRDefault="001630DC" w:rsidP="00B11ABC">
      <w:pPr>
        <w:pStyle w:val="GridTable21"/>
        <w:spacing w:before="240"/>
      </w:pPr>
      <w:r>
        <w:t xml:space="preserve">Herman, Robert D., and David O. Renz. 1999. “Theses on Nonprofit Organizational Effectiveness.” </w:t>
      </w:r>
      <w:r>
        <w:rPr>
          <w:i/>
          <w:iCs/>
        </w:rPr>
        <w:t>Nonprofit and Voluntary Sector Quarterly</w:t>
      </w:r>
      <w:r>
        <w:t xml:space="preserve"> 28 (2): 107–26.</w:t>
      </w:r>
    </w:p>
    <w:p w:rsidR="001630DC" w:rsidRDefault="001630DC" w:rsidP="00B11ABC">
      <w:pPr>
        <w:pStyle w:val="GridTable21"/>
        <w:spacing w:before="240"/>
      </w:pPr>
      <w:r>
        <w:t xml:space="preserve">Hertzke, Allen. 2004. </w:t>
      </w:r>
      <w:r>
        <w:rPr>
          <w:i/>
          <w:iCs/>
        </w:rPr>
        <w:t>Freeing God’s Children: The Unlikely Alliance for Global Human Rights</w:t>
      </w:r>
      <w:r>
        <w:t>. New York: Rowman &amp; Littlefield Publishers Inc.</w:t>
      </w:r>
    </w:p>
    <w:p w:rsidR="001630DC" w:rsidRDefault="001630DC" w:rsidP="00B11ABC">
      <w:pPr>
        <w:pStyle w:val="GridTable21"/>
        <w:spacing w:before="240"/>
      </w:pPr>
      <w:r>
        <w:t xml:space="preserve">Hicklin, Alisa, and Erik Godwin. 2009. “Agents of Change: The Role of Public Managers in Public Policy.” </w:t>
      </w:r>
      <w:r>
        <w:rPr>
          <w:i/>
          <w:iCs/>
        </w:rPr>
        <w:t>The Policy Studies Journal</w:t>
      </w:r>
      <w:r>
        <w:t xml:space="preserve"> 37 (1): 13–20.</w:t>
      </w:r>
    </w:p>
    <w:p w:rsidR="001630DC" w:rsidRDefault="008611A5" w:rsidP="00B11ABC">
      <w:pPr>
        <w:pStyle w:val="GridTable21"/>
        <w:spacing w:before="240"/>
      </w:pPr>
      <w:r>
        <w:t>Hudson, Bryant A.</w:t>
      </w:r>
      <w:r w:rsidR="001630DC">
        <w:t xml:space="preserve"> and Wolfgang Bielefeld. 1997. “Structures of Multinational Nonprofit Organizations.” </w:t>
      </w:r>
      <w:r w:rsidR="001630DC">
        <w:rPr>
          <w:i/>
          <w:iCs/>
        </w:rPr>
        <w:t>Nonprofit Management and Leadership</w:t>
      </w:r>
      <w:r w:rsidR="001630DC">
        <w:t xml:space="preserve"> 8 (1): 31–49.</w:t>
      </w:r>
    </w:p>
    <w:p w:rsidR="001630DC" w:rsidRDefault="001630DC" w:rsidP="00B11ABC">
      <w:pPr>
        <w:pStyle w:val="GridTable21"/>
        <w:spacing w:before="240"/>
      </w:pPr>
      <w:r>
        <w:t>Humanitarian Outcomes. 2015. “Aid Worker Security Database.” https://aidworkersecurity.org/incidents/report/summary.</w:t>
      </w:r>
    </w:p>
    <w:p w:rsidR="001630DC" w:rsidRDefault="001630DC" w:rsidP="00B11ABC">
      <w:pPr>
        <w:pStyle w:val="GridTable21"/>
        <w:spacing w:before="240"/>
      </w:pPr>
      <w:r>
        <w:t xml:space="preserve">Hyden, Goran. 2000. “The Governance Challenge in Africa.” In </w:t>
      </w:r>
      <w:r>
        <w:rPr>
          <w:i/>
          <w:iCs/>
        </w:rPr>
        <w:t>African Perspectives on Governance</w:t>
      </w:r>
      <w:r>
        <w:t>, edited by Goran Hyden, Hastings W.O. Okoth-Ogendo, and Bamidele Olowu, 1–32. Trenton: Africa World Press, Inc.</w:t>
      </w:r>
    </w:p>
    <w:p w:rsidR="001630DC" w:rsidRDefault="001630DC" w:rsidP="00B11ABC">
      <w:pPr>
        <w:pStyle w:val="GridTable21"/>
        <w:spacing w:before="240"/>
      </w:pPr>
      <w:r>
        <w:t>ICNL. 2015. “Country Reports: Sub-Saharan Africa.” http://www.icnl.org/research.</w:t>
      </w:r>
    </w:p>
    <w:p w:rsidR="001630DC" w:rsidRDefault="00F1318A" w:rsidP="00B11ABC">
      <w:pPr>
        <w:pStyle w:val="GridTable21"/>
        <w:spacing w:before="240"/>
      </w:pPr>
      <w:r>
        <w:t>———. 2016. “</w:t>
      </w:r>
      <w:r w:rsidR="001630DC">
        <w:t>NGO Law Monitor: Uganda.” The International Center for Not-for-Profit Law. http://www.icnl.org/research/monitor/uganda.html.</w:t>
      </w:r>
    </w:p>
    <w:p w:rsidR="001630DC" w:rsidRDefault="001630DC" w:rsidP="00B11ABC">
      <w:pPr>
        <w:pStyle w:val="GridTable21"/>
        <w:spacing w:before="240"/>
      </w:pPr>
      <w:r>
        <w:t xml:space="preserve">Igoe, Jim, and Tim Kelsall. 2005. “Introduction: Between a Rock and a Hard Place.” In </w:t>
      </w:r>
      <w:r>
        <w:rPr>
          <w:i/>
          <w:iCs/>
        </w:rPr>
        <w:t>Between a Rock and a H</w:t>
      </w:r>
      <w:r w:rsidR="00F1318A">
        <w:rPr>
          <w:i/>
          <w:iCs/>
        </w:rPr>
        <w:t xml:space="preserve">ard Place: African </w:t>
      </w:r>
      <w:r>
        <w:rPr>
          <w:i/>
          <w:iCs/>
        </w:rPr>
        <w:t>NGOs, Donors, and the State</w:t>
      </w:r>
      <w:r>
        <w:t>, edited by Jim Igoe and Tim Kelsall, 1–33. Durham: Carolina Academic Press.</w:t>
      </w:r>
    </w:p>
    <w:p w:rsidR="001630DC" w:rsidRDefault="001630DC" w:rsidP="00B11ABC">
      <w:pPr>
        <w:pStyle w:val="GridTable21"/>
        <w:spacing w:before="240"/>
      </w:pPr>
      <w:r>
        <w:t xml:space="preserve">Inglehart, Ronald. 1997. </w:t>
      </w:r>
      <w:r>
        <w:rPr>
          <w:i/>
          <w:iCs/>
        </w:rPr>
        <w:t>Modernization and Postmodernization: Cultural, Economic, and Political Change in 43 Societies</w:t>
      </w:r>
      <w:r>
        <w:t>. Princeton, NJ: Princeton University Press.</w:t>
      </w:r>
    </w:p>
    <w:p w:rsidR="001630DC" w:rsidRDefault="001630DC" w:rsidP="00B11ABC">
      <w:pPr>
        <w:pStyle w:val="GridTable21"/>
        <w:spacing w:before="240"/>
      </w:pPr>
      <w:r>
        <w:t xml:space="preserve">Inglehart, Ronald, and Christian Welzel. 2005. </w:t>
      </w:r>
      <w:r>
        <w:rPr>
          <w:i/>
          <w:iCs/>
        </w:rPr>
        <w:t>Modernization, Cultural Change and Democracy: The Human Development Sequence</w:t>
      </w:r>
      <w:r>
        <w:t>. Cambridge: Cambridge University Press.</w:t>
      </w:r>
    </w:p>
    <w:p w:rsidR="001630DC" w:rsidRDefault="001630DC" w:rsidP="00B11ABC">
      <w:pPr>
        <w:pStyle w:val="GridTable21"/>
        <w:spacing w:before="240"/>
      </w:pPr>
      <w:r>
        <w:t>Internal Revenue Service. 2015. “Publication 557: Tax-Exempt Status for Your Organization.” Internal Revenue Service. https://www.irs.gov/pub/irs-pdf/p557.pdf.</w:t>
      </w:r>
    </w:p>
    <w:p w:rsidR="001630DC" w:rsidRDefault="001630DC" w:rsidP="00B11ABC">
      <w:pPr>
        <w:pStyle w:val="GridTable21"/>
        <w:spacing w:before="240"/>
      </w:pPr>
      <w:r>
        <w:t xml:space="preserve">Jackson, Terrence. 2009. “A Critical Cross-Cultural Perspective for Developing Nonprofit International Management Capacity.” </w:t>
      </w:r>
      <w:r>
        <w:rPr>
          <w:i/>
          <w:iCs/>
        </w:rPr>
        <w:t>Nonprofit Management &amp; Leadership</w:t>
      </w:r>
      <w:r>
        <w:t xml:space="preserve"> 19 (4): 443–66.</w:t>
      </w:r>
    </w:p>
    <w:p w:rsidR="001630DC" w:rsidRDefault="001630DC" w:rsidP="00B11ABC">
      <w:pPr>
        <w:pStyle w:val="GridTable21"/>
        <w:spacing w:before="240"/>
      </w:pPr>
      <w:r>
        <w:t>Jackson, Terrence, and Richard Haines. 2007. “Cross-Cultur</w:t>
      </w:r>
      <w:r w:rsidR="00F1318A">
        <w:t xml:space="preserve">al Management in South African </w:t>
      </w:r>
      <w:r>
        <w:t xml:space="preserve">NGOs.” </w:t>
      </w:r>
      <w:r>
        <w:rPr>
          <w:i/>
          <w:iCs/>
        </w:rPr>
        <w:t>South African Review of Sociology</w:t>
      </w:r>
      <w:r>
        <w:t xml:space="preserve"> 38 (1): 85–98.</w:t>
      </w:r>
    </w:p>
    <w:p w:rsidR="001630DC" w:rsidRDefault="001630DC" w:rsidP="00B11ABC">
      <w:pPr>
        <w:pStyle w:val="GridTable21"/>
        <w:spacing w:before="240"/>
      </w:pPr>
      <w:r>
        <w:t>Jaggers, Keith, Monty Marshall, and Ted Robert Gurr. 2013. “Polity IV.” Center for Systemic Peace. http://www.systemicpeace.org/polity/polity4.htm.</w:t>
      </w:r>
    </w:p>
    <w:p w:rsidR="001630DC" w:rsidRDefault="001630DC" w:rsidP="00B11ABC">
      <w:pPr>
        <w:pStyle w:val="GridTable21"/>
        <w:spacing w:before="240"/>
      </w:pPr>
      <w:r>
        <w:t xml:space="preserve">James, Estelle. 1989. “The Nonprofit Sector in Developing Countries: The Case of Sri Lanka.” In </w:t>
      </w:r>
      <w:r>
        <w:rPr>
          <w:i/>
          <w:iCs/>
        </w:rPr>
        <w:t>The Nonprofit Sector in International Perspective: Studies in Comparative Culture and Policy</w:t>
      </w:r>
      <w:r>
        <w:t>, edited by Estelle James, 289–318. New York: Oxford University Press.</w:t>
      </w:r>
    </w:p>
    <w:p w:rsidR="001630DC" w:rsidRDefault="001630DC" w:rsidP="00B11ABC">
      <w:pPr>
        <w:pStyle w:val="GridTable21"/>
        <w:spacing w:before="240"/>
      </w:pPr>
      <w:r>
        <w:t xml:space="preserve">James, Rick. 2008. “Leadership Development Inside-Out in Africa.” </w:t>
      </w:r>
      <w:r>
        <w:rPr>
          <w:i/>
          <w:iCs/>
        </w:rPr>
        <w:t>Nonprofit Management &amp; Leadership</w:t>
      </w:r>
      <w:r>
        <w:t xml:space="preserve"> 18 (3): 359–75.</w:t>
      </w:r>
    </w:p>
    <w:p w:rsidR="001630DC" w:rsidRDefault="001630DC" w:rsidP="00B11ABC">
      <w:pPr>
        <w:pStyle w:val="GridTable21"/>
        <w:spacing w:before="240"/>
      </w:pPr>
      <w:r>
        <w:t xml:space="preserve">Jenkins-Smith, Hank C., and Paul A. Sabatier. 1993. “The Study of the Public Policy Process.” In </w:t>
      </w:r>
      <w:r>
        <w:rPr>
          <w:i/>
          <w:iCs/>
        </w:rPr>
        <w:t>Policy Change and Learning: An Advocacy Coalition Approach</w:t>
      </w:r>
      <w:r>
        <w:t>, edited by Paul A. Sabatier and Hank C. Jenkins-Smith, 1–9. Boulder: Westview Press.</w:t>
      </w:r>
    </w:p>
    <w:p w:rsidR="001630DC" w:rsidRDefault="001630DC" w:rsidP="00B11ABC">
      <w:pPr>
        <w:pStyle w:val="GridTable21"/>
        <w:spacing w:before="240"/>
      </w:pPr>
      <w:r>
        <w:t xml:space="preserve">Jones, Bryan D. 2001. </w:t>
      </w:r>
      <w:r>
        <w:rPr>
          <w:i/>
          <w:iCs/>
        </w:rPr>
        <w:t>Politics and the Architecture of Choice: Bounded Rationality and Governance</w:t>
      </w:r>
      <w:r>
        <w:t>. Chicago: The University of Chicago Press.</w:t>
      </w:r>
    </w:p>
    <w:p w:rsidR="001630DC" w:rsidRDefault="001630DC" w:rsidP="00B11ABC">
      <w:pPr>
        <w:pStyle w:val="GridTable21"/>
        <w:spacing w:before="240"/>
      </w:pPr>
      <w:r>
        <w:t xml:space="preserve">Juma, Calestous, and Norman Clark. 1995. “Policy Research in Sub-Saharan Africa: An Exploration.” </w:t>
      </w:r>
      <w:r>
        <w:rPr>
          <w:i/>
          <w:iCs/>
        </w:rPr>
        <w:t>Public Administration and Development</w:t>
      </w:r>
      <w:r>
        <w:t xml:space="preserve"> 15: 121–37.</w:t>
      </w:r>
    </w:p>
    <w:p w:rsidR="001630DC" w:rsidRDefault="001630DC" w:rsidP="00B11ABC">
      <w:pPr>
        <w:pStyle w:val="GridTable21"/>
        <w:spacing w:before="240"/>
      </w:pPr>
      <w:r>
        <w:t>Kamruzzaman, Palash. 2013. “Civil Society or ‘Comprador Class’,</w:t>
      </w:r>
      <w:r w:rsidR="006A663C">
        <w:t xml:space="preserve"> Participation or Parroting?</w:t>
      </w:r>
      <w:r>
        <w:t xml:space="preserve">” </w:t>
      </w:r>
      <w:r>
        <w:rPr>
          <w:i/>
          <w:iCs/>
        </w:rPr>
        <w:t>Progress in Development Studies</w:t>
      </w:r>
      <w:r>
        <w:t xml:space="preserve"> 13 (1): 31–49.</w:t>
      </w:r>
    </w:p>
    <w:p w:rsidR="001630DC" w:rsidRDefault="001630DC" w:rsidP="00B11ABC">
      <w:pPr>
        <w:pStyle w:val="GridTable21"/>
        <w:spacing w:before="240"/>
      </w:pPr>
      <w:r>
        <w:t xml:space="preserve">Kasara, Kimuli. 2007. “Tax Me If You Can: Ethnic Geography, Democracy, and the Taxation of Agriculture in Africa.” </w:t>
      </w:r>
      <w:r>
        <w:rPr>
          <w:i/>
          <w:iCs/>
        </w:rPr>
        <w:t>American Political Science Review</w:t>
      </w:r>
      <w:r>
        <w:t xml:space="preserve"> 101 (1): 159–72.</w:t>
      </w:r>
    </w:p>
    <w:p w:rsidR="001630DC" w:rsidRDefault="001630DC" w:rsidP="00B11ABC">
      <w:pPr>
        <w:pStyle w:val="GridTable21"/>
        <w:spacing w:before="240"/>
      </w:pPr>
      <w:r>
        <w:t xml:space="preserve">Keck, Margaret E., and Kathryn Sikkink. 1998. </w:t>
      </w:r>
      <w:r>
        <w:rPr>
          <w:i/>
          <w:iCs/>
        </w:rPr>
        <w:t>Activists Beyond Borders: Advocacy Networks in International Politics</w:t>
      </w:r>
      <w:r>
        <w:t>. Ithaca: Cornell University Press.</w:t>
      </w:r>
    </w:p>
    <w:p w:rsidR="001630DC" w:rsidRDefault="001630DC" w:rsidP="00B11ABC">
      <w:pPr>
        <w:pStyle w:val="GridTable21"/>
        <w:spacing w:before="240"/>
      </w:pPr>
      <w:r>
        <w:t>Kerlin, Janelle A. 2</w:t>
      </w:r>
      <w:r w:rsidR="00DC64B0">
        <w:t xml:space="preserve">006. “U.S.-Based International </w:t>
      </w:r>
      <w:r>
        <w:t xml:space="preserve">NGOs and Federal Government Foreign Assistance: Out of Alignment?” In </w:t>
      </w:r>
      <w:r>
        <w:rPr>
          <w:i/>
          <w:iCs/>
        </w:rPr>
        <w:t>Nonprofits &amp; Government: Collaboration &amp; Conflict</w:t>
      </w:r>
      <w:r>
        <w:t>, edited by Elizabeth T. Boris and C. Eugene Steuerie, 2nd ed., 373–98. Washington: The Urban Institute Press.</w:t>
      </w:r>
    </w:p>
    <w:p w:rsidR="006A663C" w:rsidRDefault="001630DC" w:rsidP="00B11ABC">
      <w:pPr>
        <w:pStyle w:val="GridTable21"/>
        <w:spacing w:before="240"/>
      </w:pPr>
      <w:r>
        <w:t xml:space="preserve">———. 2013. “Predicting Variation in Funding for International </w:t>
      </w:r>
      <w:r w:rsidR="009944D4">
        <w:t>Nongovernmental</w:t>
      </w:r>
      <w:r>
        <w:t xml:space="preserve"> Organizations Following Three External Events.” </w:t>
      </w:r>
      <w:r>
        <w:rPr>
          <w:i/>
          <w:iCs/>
        </w:rPr>
        <w:t>Nonprofit Management and Leadership</w:t>
      </w:r>
      <w:r>
        <w:t xml:space="preserve"> 23 (4): 473–90. </w:t>
      </w:r>
    </w:p>
    <w:p w:rsidR="001630DC" w:rsidRDefault="001630DC" w:rsidP="00B11ABC">
      <w:pPr>
        <w:pStyle w:val="GridTable21"/>
        <w:spacing w:before="240"/>
      </w:pPr>
      <w:r>
        <w:t xml:space="preserve">Khilnani, Sunil. 2001. “The Development of Civil Society.” In </w:t>
      </w:r>
      <w:r>
        <w:rPr>
          <w:i/>
          <w:iCs/>
        </w:rPr>
        <w:t>Civil Society: History and Possibilities</w:t>
      </w:r>
      <w:r>
        <w:t>, edited by Sudipta Kaviraj and Sunil Khilnani, 11–32. Cambridge: Cambridge University Press.</w:t>
      </w:r>
    </w:p>
    <w:p w:rsidR="001630DC" w:rsidRDefault="001630DC" w:rsidP="00B11ABC">
      <w:pPr>
        <w:pStyle w:val="GridTable21"/>
        <w:spacing w:before="240"/>
      </w:pPr>
      <w:r>
        <w:t xml:space="preserve">Kirk, G., and S. Beth Nolan. 2010. “Nonprofit Mission Statement Focus and Financial Performance.” </w:t>
      </w:r>
      <w:r>
        <w:rPr>
          <w:i/>
          <w:iCs/>
        </w:rPr>
        <w:t>Nonprofit Management &amp; Leadership</w:t>
      </w:r>
      <w:r>
        <w:t xml:space="preserve"> 20 (4): 473–90.</w:t>
      </w:r>
    </w:p>
    <w:p w:rsidR="001630DC" w:rsidRDefault="001630DC" w:rsidP="00B11ABC">
      <w:pPr>
        <w:pStyle w:val="GridTable21"/>
        <w:spacing w:before="240"/>
      </w:pPr>
      <w:r>
        <w:t xml:space="preserve">Koch, Dirk-Jan, Axel Dreher, Peter Nunnenkamp, and Rainer Thiele. 2009. “Keeping a Low Profile: What Determines the Allocation of Aid by Non-Governmental Organizations?” </w:t>
      </w:r>
      <w:r>
        <w:rPr>
          <w:i/>
          <w:iCs/>
        </w:rPr>
        <w:t>World Development</w:t>
      </w:r>
      <w:r>
        <w:t xml:space="preserve"> 37 (5): 902–18.</w:t>
      </w:r>
    </w:p>
    <w:p w:rsidR="001630DC" w:rsidRDefault="001630DC" w:rsidP="00B11ABC">
      <w:pPr>
        <w:pStyle w:val="GridTable21"/>
        <w:spacing w:before="240"/>
      </w:pPr>
      <w:r>
        <w:t xml:space="preserve">Lawrence, Paul R., and Davis Dyer. 1983. </w:t>
      </w:r>
      <w:r>
        <w:rPr>
          <w:i/>
          <w:iCs/>
        </w:rPr>
        <w:t>Renewing American Industry</w:t>
      </w:r>
      <w:r>
        <w:t>. London: Collier Macmillan Publishers.</w:t>
      </w:r>
    </w:p>
    <w:p w:rsidR="001630DC" w:rsidRDefault="001630DC" w:rsidP="00B11ABC">
      <w:pPr>
        <w:pStyle w:val="GridTable21"/>
        <w:spacing w:before="240"/>
      </w:pPr>
      <w:r>
        <w:t xml:space="preserve">Lawrence, Paul R., and Jay W. Lorsch. 1967. “Differentiation and Integration in Complex Organizations.” </w:t>
      </w:r>
      <w:r>
        <w:rPr>
          <w:i/>
          <w:iCs/>
        </w:rPr>
        <w:t>Administrative Science Quarterly</w:t>
      </w:r>
      <w:r>
        <w:t xml:space="preserve"> 12 (1): 1. doi:10.2307/2391211.</w:t>
      </w:r>
    </w:p>
    <w:p w:rsidR="001630DC" w:rsidRDefault="001630DC" w:rsidP="00B11ABC">
      <w:pPr>
        <w:pStyle w:val="GridTable21"/>
        <w:spacing w:before="240"/>
      </w:pPr>
      <w:r>
        <w:t xml:space="preserve">Lecy, Jesse D., and David M. Van Slyke. 2012. “Nonprofit Sector Growth and Density: Testing Theories of Government Support.” </w:t>
      </w:r>
      <w:r>
        <w:rPr>
          <w:i/>
          <w:iCs/>
        </w:rPr>
        <w:t>Journal of Public Administration Research and Theory</w:t>
      </w:r>
      <w:r>
        <w:t xml:space="preserve"> 23: 189–214. doi:10.1093/jopart/musO1O.</w:t>
      </w:r>
    </w:p>
    <w:p w:rsidR="001630DC" w:rsidRDefault="001630DC" w:rsidP="00B11ABC">
      <w:pPr>
        <w:pStyle w:val="GridTable21"/>
        <w:spacing w:before="240"/>
      </w:pPr>
      <w:r>
        <w:t xml:space="preserve">Leonard, David K., and Scott Straus. 2003. </w:t>
      </w:r>
      <w:r>
        <w:rPr>
          <w:i/>
          <w:iCs/>
        </w:rPr>
        <w:t>Africa’s Stalled Development: International Causes and Cures</w:t>
      </w:r>
      <w:r>
        <w:t>. Boulder: Lynne Rienner Publishers.</w:t>
      </w:r>
    </w:p>
    <w:p w:rsidR="001630DC" w:rsidRDefault="001630DC" w:rsidP="00B11ABC">
      <w:pPr>
        <w:pStyle w:val="GridTable21"/>
        <w:spacing w:before="240"/>
      </w:pPr>
      <w:r>
        <w:t xml:space="preserve">LeRoux, Kelly, and N.S. Wright. 2010. “Findings from a National Survey of Nonprofit Social Service Agencies, Does Performance Measurement Improve Strategic Decision Making?” </w:t>
      </w:r>
      <w:r>
        <w:rPr>
          <w:i/>
          <w:iCs/>
        </w:rPr>
        <w:t>Nonprofit and Voluntary Sector Quarterly</w:t>
      </w:r>
      <w:r>
        <w:t xml:space="preserve"> 39 (4): 571–87.</w:t>
      </w:r>
    </w:p>
    <w:p w:rsidR="001630DC" w:rsidRDefault="001630DC" w:rsidP="00B11ABC">
      <w:pPr>
        <w:pStyle w:val="GridTable21"/>
        <w:spacing w:before="240"/>
      </w:pPr>
      <w:r>
        <w:t xml:space="preserve">Lewis, David. 2002. “Civil Society in African Contexts: Reflections on the ‘Usefulness’ of a Concept.” </w:t>
      </w:r>
      <w:r>
        <w:rPr>
          <w:i/>
          <w:iCs/>
        </w:rPr>
        <w:t>Development and Change</w:t>
      </w:r>
      <w:r>
        <w:t xml:space="preserve"> 33 (4): 569–86.</w:t>
      </w:r>
    </w:p>
    <w:p w:rsidR="001630DC" w:rsidRDefault="001630DC" w:rsidP="00B11ABC">
      <w:pPr>
        <w:pStyle w:val="GridTable21"/>
        <w:spacing w:before="240"/>
      </w:pPr>
      <w:r>
        <w:t xml:space="preserve">Lieberman, Evan S. 2009. </w:t>
      </w:r>
      <w:r>
        <w:rPr>
          <w:i/>
          <w:iCs/>
        </w:rPr>
        <w:t>Boundaries of Contagion: How Ethnic Politics Have Shaped Government Responses to AIDS</w:t>
      </w:r>
      <w:r>
        <w:t>. Princeton: Princeton University Press.</w:t>
      </w:r>
    </w:p>
    <w:p w:rsidR="001630DC" w:rsidRDefault="001630DC" w:rsidP="00B11ABC">
      <w:pPr>
        <w:pStyle w:val="GridTable21"/>
        <w:spacing w:before="240"/>
      </w:pPr>
      <w:r>
        <w:t xml:space="preserve">Lindblom, Charles E. 1959. “The Science of ‘Muddling Through.’” </w:t>
      </w:r>
      <w:r>
        <w:rPr>
          <w:i/>
          <w:iCs/>
        </w:rPr>
        <w:t>Public Administration Review</w:t>
      </w:r>
      <w:r>
        <w:t xml:space="preserve"> 19 (2): 79–88.</w:t>
      </w:r>
    </w:p>
    <w:p w:rsidR="001630DC" w:rsidRDefault="001630DC" w:rsidP="00B11ABC">
      <w:pPr>
        <w:pStyle w:val="GridTable21"/>
        <w:spacing w:before="240"/>
      </w:pPr>
      <w:r>
        <w:t>Lindenberg, Marc, and J. Patrick Dobel. 1999. “The Challenges of Globalization for Northern Intern</w:t>
      </w:r>
      <w:r w:rsidR="00DC64B0">
        <w:t xml:space="preserve">ational Relief and Development </w:t>
      </w:r>
      <w:r>
        <w:t xml:space="preserve">NGOs.” </w:t>
      </w:r>
      <w:r>
        <w:rPr>
          <w:i/>
          <w:iCs/>
        </w:rPr>
        <w:t>Nonprofit and Voluntary Sector Quarterly</w:t>
      </w:r>
      <w:r>
        <w:t xml:space="preserve"> 28 (4): 4–24.</w:t>
      </w:r>
    </w:p>
    <w:p w:rsidR="001630DC" w:rsidRDefault="001630DC" w:rsidP="00B11ABC">
      <w:pPr>
        <w:pStyle w:val="GridTable21"/>
        <w:spacing w:before="240"/>
      </w:pPr>
      <w:r>
        <w:t xml:space="preserve">Lipsky, Michael. 1980. </w:t>
      </w:r>
      <w:r>
        <w:rPr>
          <w:i/>
          <w:iCs/>
        </w:rPr>
        <w:t>Street-Level Bureaucracy: Dilemmas of the Individual in Public Services</w:t>
      </w:r>
      <w:r>
        <w:t>. New York: Russell Sage Foundation.</w:t>
      </w:r>
    </w:p>
    <w:p w:rsidR="001630DC" w:rsidRDefault="001630DC" w:rsidP="00B11ABC">
      <w:pPr>
        <w:pStyle w:val="GridTable21"/>
        <w:spacing w:before="240"/>
      </w:pPr>
      <w:r>
        <w:t>Lussier, Danielle N., and M. Steven Fish. 2012. “Indonesia: The Benefits of Civic Engagement.”</w:t>
      </w:r>
    </w:p>
    <w:p w:rsidR="001630DC" w:rsidRDefault="001630DC" w:rsidP="00B11ABC">
      <w:pPr>
        <w:pStyle w:val="GridTable21"/>
        <w:spacing w:before="240"/>
      </w:pPr>
      <w:r>
        <w:t xml:space="preserve">Lynn, Laurence E. Jr., Carolyn J. Heinrich, and Carolyn J. Hill. 2001. “A Logic for Governance Research.” In </w:t>
      </w:r>
      <w:r w:rsidR="00DC64B0">
        <w:rPr>
          <w:i/>
          <w:iCs/>
        </w:rPr>
        <w:t xml:space="preserve">Improving Governance: </w:t>
      </w:r>
      <w:r>
        <w:rPr>
          <w:i/>
          <w:iCs/>
        </w:rPr>
        <w:t>A New Logic for Empirical Research</w:t>
      </w:r>
      <w:r>
        <w:t>. Washington: Georgetown University Press.</w:t>
      </w:r>
    </w:p>
    <w:p w:rsidR="001630DC" w:rsidRDefault="001630DC" w:rsidP="00B11ABC">
      <w:pPr>
        <w:pStyle w:val="GridTable21"/>
        <w:spacing w:before="240"/>
      </w:pPr>
      <w:r>
        <w:t>Ma</w:t>
      </w:r>
      <w:r w:rsidR="00DC64B0">
        <w:t>rcussen, Henrik Secher. 1996. “</w:t>
      </w:r>
      <w:r>
        <w:t xml:space="preserve">NGOs, the State and Civil Society.” </w:t>
      </w:r>
      <w:r>
        <w:rPr>
          <w:i/>
          <w:iCs/>
        </w:rPr>
        <w:t>Review of African Political Economy</w:t>
      </w:r>
      <w:r>
        <w:t xml:space="preserve"> 23 (69): 405–23.</w:t>
      </w:r>
    </w:p>
    <w:p w:rsidR="001630DC" w:rsidRDefault="001630DC" w:rsidP="00B11ABC">
      <w:pPr>
        <w:pStyle w:val="GridTable21"/>
        <w:spacing w:before="240"/>
      </w:pPr>
      <w:r>
        <w:t xml:space="preserve">Markham, William T., Margaret A. Johnson, and Charles M. Bonjean. 1999. “Nonprofit Decision Making and Resource Allocation: The Importance of Membership Preferences, Community Needs, and Interorganizational Ties.” </w:t>
      </w:r>
      <w:r>
        <w:rPr>
          <w:i/>
          <w:iCs/>
        </w:rPr>
        <w:t>Nonprofit and Voluntary Sector Quarterly</w:t>
      </w:r>
      <w:r>
        <w:t xml:space="preserve"> 28 (2): 152–84.</w:t>
      </w:r>
    </w:p>
    <w:p w:rsidR="001630DC" w:rsidRDefault="001630DC" w:rsidP="00B11ABC">
      <w:pPr>
        <w:pStyle w:val="GridTable21"/>
        <w:spacing w:before="240"/>
      </w:pPr>
      <w:r>
        <w:t xml:space="preserve">Marwell, N. P. 2005. “The Nonprofit/For-Profit Continuum: Theorizing the Dynamics of Mixed-Form Markets.” </w:t>
      </w:r>
      <w:r>
        <w:rPr>
          <w:i/>
          <w:iCs/>
        </w:rPr>
        <w:t>Nonprofit and Voluntary Sector Quarterly</w:t>
      </w:r>
      <w:r>
        <w:t xml:space="preserve"> 34 (1): 7–28. </w:t>
      </w:r>
    </w:p>
    <w:p w:rsidR="001630DC" w:rsidRDefault="001630DC" w:rsidP="00B11ABC">
      <w:pPr>
        <w:pStyle w:val="GridTable21"/>
        <w:spacing w:before="240"/>
      </w:pPr>
      <w:r>
        <w:t xml:space="preserve">McCleary, Rachel M., and Robert J. Barro. 2008. “Private Voluntary Organizations Engaged in International Assistance, 1939-2004.” </w:t>
      </w:r>
      <w:r>
        <w:rPr>
          <w:i/>
          <w:iCs/>
        </w:rPr>
        <w:t>Nonprofit and Voluntary Sector Quarterly</w:t>
      </w:r>
      <w:r>
        <w:t xml:space="preserve"> 37 (3): 512–36.</w:t>
      </w:r>
    </w:p>
    <w:p w:rsidR="001630DC" w:rsidRDefault="001630DC" w:rsidP="00B11ABC">
      <w:pPr>
        <w:pStyle w:val="GridTable21"/>
        <w:spacing w:before="240"/>
      </w:pPr>
      <w:r>
        <w:t xml:space="preserve">McDougle, Lindsey. 2015. “The Accuracy of the Core Files for Studying Nonprofit Location: How Many Nonprofits Are There?” </w:t>
      </w:r>
      <w:r>
        <w:rPr>
          <w:i/>
          <w:iCs/>
        </w:rPr>
        <w:t>Nonprofit and Voluntary Sector Quarterly</w:t>
      </w:r>
      <w:r>
        <w:t xml:space="preserve"> 44 (3).</w:t>
      </w:r>
    </w:p>
    <w:p w:rsidR="001630DC" w:rsidRDefault="001630DC" w:rsidP="00B11ABC">
      <w:pPr>
        <w:pStyle w:val="GridTable21"/>
        <w:spacing w:before="240"/>
      </w:pPr>
      <w:r>
        <w:t xml:space="preserve">McKeever, Brice S., and Sarah L. Pettijohn. 2014. “The Nonprofit Sector in Brief 2014.” </w:t>
      </w:r>
      <w:r>
        <w:rPr>
          <w:i/>
          <w:iCs/>
        </w:rPr>
        <w:t>Washington, DC: Urban Institute</w:t>
      </w:r>
      <w:r>
        <w:t>. http://www.urban.org/sites/default/files/alfresco/publication-pdfs/413277-The-Nonprofit-Sector-in-Brief--.PDF?RSSFeed=UI_CenteronNonprofitsandPhilanthropy.xml.</w:t>
      </w:r>
    </w:p>
    <w:p w:rsidR="001630DC" w:rsidRDefault="001630DC" w:rsidP="00B11ABC">
      <w:pPr>
        <w:pStyle w:val="GridTable21"/>
        <w:spacing w:before="240"/>
      </w:pPr>
      <w:r>
        <w:t xml:space="preserve">McNabb, David E. 2010. </w:t>
      </w:r>
      <w:r>
        <w:rPr>
          <w:i/>
          <w:iCs/>
        </w:rPr>
        <w:t>Case Research in Public Management</w:t>
      </w:r>
      <w:r>
        <w:t>. Armonk: M.E. Sharpe.</w:t>
      </w:r>
    </w:p>
    <w:p w:rsidR="001630DC" w:rsidRDefault="00DC64B0" w:rsidP="00B11ABC">
      <w:pPr>
        <w:pStyle w:val="GridTable21"/>
        <w:spacing w:before="240"/>
      </w:pPr>
      <w:r>
        <w:t>Mercer, Claire. 2002. “</w:t>
      </w:r>
      <w:r w:rsidR="001630DC">
        <w:t xml:space="preserve">NGOs, Civil Society and Democratization: A Critical Review of the Literature.” </w:t>
      </w:r>
      <w:r w:rsidR="001630DC">
        <w:rPr>
          <w:i/>
          <w:iCs/>
        </w:rPr>
        <w:t>Progress in Development Studies</w:t>
      </w:r>
      <w:r w:rsidR="001630DC">
        <w:t xml:space="preserve"> 2 (1): 5–22.</w:t>
      </w:r>
    </w:p>
    <w:p w:rsidR="001630DC" w:rsidRDefault="001630DC" w:rsidP="00B11ABC">
      <w:pPr>
        <w:pStyle w:val="GridTable21"/>
        <w:spacing w:before="240"/>
      </w:pPr>
      <w:r>
        <w:t xml:space="preserve">Milward, H. Brinton. 1994. “Non-Profit Contracting and the Hollow State.” </w:t>
      </w:r>
      <w:r>
        <w:rPr>
          <w:i/>
          <w:iCs/>
        </w:rPr>
        <w:t>Public Administration Review</w:t>
      </w:r>
      <w:r>
        <w:t xml:space="preserve"> 54 (1): 73–77.</w:t>
      </w:r>
    </w:p>
    <w:p w:rsidR="001630DC" w:rsidRDefault="001630DC" w:rsidP="00B11ABC">
      <w:pPr>
        <w:pStyle w:val="GridTable21"/>
        <w:spacing w:before="240"/>
      </w:pPr>
      <w:r>
        <w:t xml:space="preserve">Milward, H. Brinton, and Keith Provan. 2000. “Governing the Hollow State.” </w:t>
      </w:r>
      <w:r>
        <w:rPr>
          <w:i/>
          <w:iCs/>
        </w:rPr>
        <w:t>Journal of Public Administration Research and Theory</w:t>
      </w:r>
      <w:r>
        <w:t xml:space="preserve"> 10 (2): 359–80.</w:t>
      </w:r>
    </w:p>
    <w:p w:rsidR="001630DC" w:rsidRDefault="001630DC" w:rsidP="00B11ABC">
      <w:pPr>
        <w:pStyle w:val="GridTable21"/>
        <w:spacing w:before="240"/>
      </w:pPr>
      <w:r>
        <w:t xml:space="preserve">Mitchell, George E. 2012a. “Strategic Responses to Resource </w:t>
      </w:r>
      <w:r w:rsidR="00F1318A">
        <w:t xml:space="preserve">Dependence Among Transnational </w:t>
      </w:r>
      <w:r>
        <w:t xml:space="preserve">NGOs Registered in the United States.” </w:t>
      </w:r>
      <w:r>
        <w:rPr>
          <w:i/>
          <w:iCs/>
        </w:rPr>
        <w:t>Voluntas</w:t>
      </w:r>
      <w:r>
        <w:t>. doi:10.1007/s11266-012-9329-2.</w:t>
      </w:r>
    </w:p>
    <w:p w:rsidR="001630DC" w:rsidRDefault="001630DC" w:rsidP="00B11ABC">
      <w:pPr>
        <w:pStyle w:val="GridTable21"/>
        <w:spacing w:before="240"/>
      </w:pPr>
      <w:r>
        <w:t xml:space="preserve">———. 2012b. “The Construct of Organizational Effectiveness: Perspectives From Leaders of International Nonprofits in the United States.” </w:t>
      </w:r>
      <w:r>
        <w:rPr>
          <w:i/>
          <w:iCs/>
        </w:rPr>
        <w:t>Nonprofit and Voluntary Sector Quarterly</w:t>
      </w:r>
      <w:r>
        <w:t xml:space="preserve"> 42 (2): 324–45.</w:t>
      </w:r>
    </w:p>
    <w:p w:rsidR="001630DC" w:rsidRDefault="001630DC" w:rsidP="00B11ABC">
      <w:pPr>
        <w:pStyle w:val="GridTable21"/>
        <w:spacing w:before="240"/>
      </w:pPr>
      <w:r>
        <w:t>———. 2013. “Collaborative Pr</w:t>
      </w:r>
      <w:r w:rsidR="00DC64B0">
        <w:t xml:space="preserve">opensities Among Transnational </w:t>
      </w:r>
      <w:r>
        <w:t xml:space="preserve">NGOs Registered in the United States.” </w:t>
      </w:r>
      <w:r>
        <w:rPr>
          <w:i/>
          <w:iCs/>
        </w:rPr>
        <w:t>American Review of Public Administration</w:t>
      </w:r>
      <w:r>
        <w:t xml:space="preserve"> XX (X): 1–25.</w:t>
      </w:r>
    </w:p>
    <w:p w:rsidR="001630DC" w:rsidRDefault="001630DC" w:rsidP="00B11ABC">
      <w:pPr>
        <w:pStyle w:val="GridTable21"/>
        <w:spacing w:before="240"/>
      </w:pPr>
      <w:r>
        <w:t xml:space="preserve">Mitlin, Diana, Sam Hickey, and Anthony Bebbington. </w:t>
      </w:r>
      <w:r w:rsidR="00F1318A">
        <w:t xml:space="preserve">2007. “Reclaiming Development? </w:t>
      </w:r>
      <w:r>
        <w:t xml:space="preserve">NGOs and the Challenge of Alternatives.” </w:t>
      </w:r>
      <w:r>
        <w:rPr>
          <w:i/>
          <w:iCs/>
        </w:rPr>
        <w:t>World Development</w:t>
      </w:r>
      <w:r>
        <w:t xml:space="preserve"> 35 (10): 1699–1720.</w:t>
      </w:r>
    </w:p>
    <w:p w:rsidR="001630DC" w:rsidRDefault="001630DC" w:rsidP="00B11ABC">
      <w:pPr>
        <w:pStyle w:val="GridTable21"/>
        <w:spacing w:before="240"/>
      </w:pPr>
      <w:r>
        <w:t xml:space="preserve">Moe, Terry M. 1984. “The New Economics of Organization.” </w:t>
      </w:r>
      <w:r>
        <w:rPr>
          <w:i/>
          <w:iCs/>
        </w:rPr>
        <w:t>American Journal of Political Science</w:t>
      </w:r>
      <w:r>
        <w:t xml:space="preserve"> 28 (4): 739–77.</w:t>
      </w:r>
    </w:p>
    <w:p w:rsidR="001630DC" w:rsidRDefault="001630DC" w:rsidP="00B11ABC">
      <w:pPr>
        <w:pStyle w:val="GridTable21"/>
        <w:spacing w:before="240"/>
      </w:pPr>
      <w:r>
        <w:t xml:space="preserve">Mosley, Jennifer E. 2012. “Keeping the Lights On: How Government Funding Concerns Drive the Advocacy Agendas of Nonprofit Homeless Providers.” </w:t>
      </w:r>
      <w:r>
        <w:rPr>
          <w:i/>
          <w:iCs/>
        </w:rPr>
        <w:t>Journal of Public Administration Research and Theory</w:t>
      </w:r>
      <w:r>
        <w:t xml:space="preserve"> 22: 841–66. </w:t>
      </w:r>
    </w:p>
    <w:p w:rsidR="001630DC" w:rsidRDefault="001630DC" w:rsidP="00B11ABC">
      <w:pPr>
        <w:pStyle w:val="GridTable21"/>
        <w:spacing w:before="240"/>
      </w:pPr>
      <w:r>
        <w:t xml:space="preserve">Moulton, Stephanie, and Adam Eckerd. 2012. “Preserving the Publicness of the Nonprofit Sector: Resources, Roles, and Public Values.” </w:t>
      </w:r>
      <w:r>
        <w:rPr>
          <w:i/>
          <w:iCs/>
        </w:rPr>
        <w:t>Nonprofit and Voluntary Sector Quarterly</w:t>
      </w:r>
      <w:r>
        <w:t xml:space="preserve"> 41 (4): 656–85.</w:t>
      </w:r>
    </w:p>
    <w:p w:rsidR="001630DC" w:rsidRDefault="001630DC" w:rsidP="00B11ABC">
      <w:pPr>
        <w:pStyle w:val="GridTable21"/>
        <w:spacing w:before="240"/>
      </w:pPr>
      <w:r>
        <w:t xml:space="preserve">Moyo, Dambisa. 2009. </w:t>
      </w:r>
      <w:r>
        <w:rPr>
          <w:i/>
          <w:iCs/>
        </w:rPr>
        <w:t>Dead Aid: Why Aid Is Not Working And How There I</w:t>
      </w:r>
      <w:r w:rsidR="00862CCB">
        <w:rPr>
          <w:i/>
          <w:iCs/>
        </w:rPr>
        <w:t xml:space="preserve">s </w:t>
      </w:r>
      <w:r>
        <w:rPr>
          <w:i/>
          <w:iCs/>
        </w:rPr>
        <w:t>Better Way For Africa</w:t>
      </w:r>
      <w:r>
        <w:t>. New York: Farrar, Straus and Giroux.</w:t>
      </w:r>
    </w:p>
    <w:p w:rsidR="001630DC" w:rsidRDefault="001630DC" w:rsidP="00B11ABC">
      <w:pPr>
        <w:pStyle w:val="GridTable21"/>
        <w:spacing w:before="240"/>
      </w:pPr>
      <w:r>
        <w:t xml:space="preserve">North, Douglass C. 1990. </w:t>
      </w:r>
      <w:r>
        <w:rPr>
          <w:i/>
          <w:iCs/>
        </w:rPr>
        <w:t>Institutions, Institutional Change and Economic Performance</w:t>
      </w:r>
      <w:r>
        <w:t>. Cambridge: Cambridge University Press.</w:t>
      </w:r>
    </w:p>
    <w:p w:rsidR="001630DC" w:rsidRDefault="001630DC" w:rsidP="00B11ABC">
      <w:pPr>
        <w:pStyle w:val="GridTable21"/>
        <w:spacing w:before="240"/>
      </w:pPr>
      <w:r>
        <w:t>Nunnenkamp, Peter, Janina Weingarth, a</w:t>
      </w:r>
      <w:r w:rsidR="00F1318A">
        <w:t xml:space="preserve">nd Johannes Weisser. 2009. “Is </w:t>
      </w:r>
      <w:r>
        <w:t xml:space="preserve">NGO Aid Not so Different after All? Comparing the Allocation of Swiss Aid by Private and Official Donors.” </w:t>
      </w:r>
      <w:r>
        <w:rPr>
          <w:i/>
          <w:iCs/>
        </w:rPr>
        <w:t>European Journal of Political Economy</w:t>
      </w:r>
      <w:r>
        <w:t xml:space="preserve"> 25: 422–38.</w:t>
      </w:r>
    </w:p>
    <w:p w:rsidR="001630DC" w:rsidRDefault="001630DC" w:rsidP="00B11ABC">
      <w:pPr>
        <w:pStyle w:val="GridTable21"/>
        <w:spacing w:before="240"/>
      </w:pPr>
      <w:r>
        <w:t xml:space="preserve">Nutt, P. C. 2005. “Comparing Public and Private Sector Decision-Making Practices.” </w:t>
      </w:r>
      <w:r>
        <w:rPr>
          <w:i/>
          <w:iCs/>
        </w:rPr>
        <w:t>Journal of Public Administration Research and Theory</w:t>
      </w:r>
      <w:r>
        <w:t xml:space="preserve"> 16 (2): 289–318..</w:t>
      </w:r>
    </w:p>
    <w:p w:rsidR="001630DC" w:rsidRDefault="001630DC" w:rsidP="00B11ABC">
      <w:pPr>
        <w:pStyle w:val="GridTable21"/>
        <w:spacing w:before="240"/>
      </w:pPr>
      <w:r>
        <w:t xml:space="preserve">Nye, J.S. 2008. “Public Diplomacy and Soft Power.” </w:t>
      </w:r>
      <w:r>
        <w:rPr>
          <w:i/>
          <w:iCs/>
        </w:rPr>
        <w:t>The Annals of the American Academy of Political and Social Science</w:t>
      </w:r>
      <w:r>
        <w:t xml:space="preserve"> 616 (1): 94–109.</w:t>
      </w:r>
    </w:p>
    <w:p w:rsidR="001630DC" w:rsidRDefault="001630DC" w:rsidP="00B11ABC">
      <w:pPr>
        <w:pStyle w:val="GridTable21"/>
        <w:spacing w:before="240"/>
      </w:pPr>
      <w:r>
        <w:t xml:space="preserve">Obadare, Ebenezer. 2011. “Civil Society in Sub-Saharan Africa.” In </w:t>
      </w:r>
      <w:r>
        <w:rPr>
          <w:i/>
          <w:iCs/>
        </w:rPr>
        <w:t>The Oxford Handbook of Civil Society</w:t>
      </w:r>
      <w:r>
        <w:t>, edited by Michael Edwards, 183–219. Oxford: Oxford University Press.</w:t>
      </w:r>
    </w:p>
    <w:p w:rsidR="001630DC" w:rsidRDefault="001630DC" w:rsidP="00B11ABC">
      <w:pPr>
        <w:pStyle w:val="GridTable21"/>
        <w:spacing w:before="240"/>
      </w:pPr>
      <w:r>
        <w:t xml:space="preserve">Okuku, Juma Anthony. 2002. “Civil Society and Democratisation Processes in Kenya and Uganda: A Comparative Analysis of the </w:t>
      </w:r>
      <w:r w:rsidR="006816F9">
        <w:t xml:space="preserve">Contribution of the Church and </w:t>
      </w:r>
      <w:r>
        <w:t xml:space="preserve">NGOs.” </w:t>
      </w:r>
      <w:r>
        <w:rPr>
          <w:i/>
          <w:iCs/>
        </w:rPr>
        <w:t>African Journal of Political Science</w:t>
      </w:r>
      <w:r>
        <w:t xml:space="preserve"> 7 (2): 81–97.</w:t>
      </w:r>
    </w:p>
    <w:p w:rsidR="001630DC" w:rsidRDefault="001630DC" w:rsidP="00B11ABC">
      <w:pPr>
        <w:pStyle w:val="GridTable21"/>
        <w:spacing w:before="240"/>
      </w:pPr>
      <w:r>
        <w:t xml:space="preserve">Olzak, Susan. 2011. “Does Globalization Breed Ethnic Discontent?” </w:t>
      </w:r>
      <w:r>
        <w:rPr>
          <w:i/>
          <w:iCs/>
        </w:rPr>
        <w:t>Journal of Conflict Resolution</w:t>
      </w:r>
      <w:r>
        <w:t xml:space="preserve"> 55 (3): 3–32.</w:t>
      </w:r>
    </w:p>
    <w:p w:rsidR="001630DC" w:rsidRDefault="001630DC" w:rsidP="00B11ABC">
      <w:pPr>
        <w:pStyle w:val="GridTable21"/>
        <w:spacing w:before="240"/>
      </w:pPr>
      <w:r>
        <w:t xml:space="preserve">O’Regan, Katherine, and Sharon M. Oster. 2005. “Does the Structure and Composition of the Board Matter?  The Case of Nonprofit Organizations.” </w:t>
      </w:r>
      <w:r>
        <w:rPr>
          <w:i/>
          <w:iCs/>
        </w:rPr>
        <w:t>Journal of Law, Economics &amp; Organization</w:t>
      </w:r>
      <w:r>
        <w:t xml:space="preserve"> 21 (1): 205–27.</w:t>
      </w:r>
    </w:p>
    <w:p w:rsidR="001630DC" w:rsidRDefault="001630DC" w:rsidP="00B11ABC">
      <w:pPr>
        <w:pStyle w:val="GridTable21"/>
        <w:spacing w:before="240"/>
      </w:pPr>
      <w:r>
        <w:t>Organization C. 2</w:t>
      </w:r>
      <w:r w:rsidR="00DC64B0">
        <w:t xml:space="preserve">016. International Development </w:t>
      </w:r>
      <w:r w:rsidR="00F1318A">
        <w:t>T</w:t>
      </w:r>
      <w:r>
        <w:t>NGO, Kampala. In person.</w:t>
      </w:r>
    </w:p>
    <w:p w:rsidR="001630DC" w:rsidRDefault="001630DC" w:rsidP="00B11ABC">
      <w:pPr>
        <w:pStyle w:val="GridTable21"/>
        <w:spacing w:before="240"/>
      </w:pPr>
      <w:r>
        <w:t xml:space="preserve">Ostrom, Elinor. 1990. </w:t>
      </w:r>
      <w:r>
        <w:rPr>
          <w:i/>
          <w:iCs/>
        </w:rPr>
        <w:t>Governing the Commons: The Evolution of Institutions for Collective Action</w:t>
      </w:r>
      <w:r>
        <w:t>. Cambridge: Cambridge University Press.</w:t>
      </w:r>
    </w:p>
    <w:p w:rsidR="001630DC" w:rsidRDefault="001630DC" w:rsidP="00B11ABC">
      <w:pPr>
        <w:pStyle w:val="GridTable21"/>
        <w:spacing w:before="240"/>
      </w:pPr>
      <w:r>
        <w:t xml:space="preserve">Pfeffer, Jeffrey, and Gerald R. Salancik. 2003. </w:t>
      </w:r>
      <w:r>
        <w:rPr>
          <w:i/>
          <w:iCs/>
        </w:rPr>
        <w:t>The External Control of Organizations</w:t>
      </w:r>
      <w:r>
        <w:t>. Stanford: Stanford University Press.</w:t>
      </w:r>
    </w:p>
    <w:p w:rsidR="001630DC" w:rsidRDefault="001630DC" w:rsidP="00B11ABC">
      <w:pPr>
        <w:pStyle w:val="GridTable21"/>
        <w:spacing w:before="240"/>
      </w:pPr>
      <w:r>
        <w:t xml:space="preserve">Provan, Keith G. 1983. “The Federation as an Interorganizational Linkage Network.” </w:t>
      </w:r>
      <w:r>
        <w:rPr>
          <w:i/>
          <w:iCs/>
        </w:rPr>
        <w:t>The Academy of Management Review</w:t>
      </w:r>
      <w:r w:rsidR="006816F9">
        <w:t xml:space="preserve"> 8 (1): 79. </w:t>
      </w:r>
    </w:p>
    <w:p w:rsidR="001630DC" w:rsidRDefault="001630DC" w:rsidP="00B11ABC">
      <w:pPr>
        <w:pStyle w:val="GridTable21"/>
        <w:spacing w:before="240"/>
      </w:pPr>
      <w:r>
        <w:t xml:space="preserve">Przeworski, Adam. 2000. “Economic Development and Political Regimes.” In </w:t>
      </w:r>
      <w:r>
        <w:rPr>
          <w:i/>
          <w:iCs/>
        </w:rPr>
        <w:t>Development and Democracy</w:t>
      </w:r>
      <w:r>
        <w:t>.</w:t>
      </w:r>
    </w:p>
    <w:p w:rsidR="001630DC" w:rsidRDefault="001630DC" w:rsidP="00B11ABC">
      <w:pPr>
        <w:pStyle w:val="GridTable21"/>
        <w:spacing w:before="240"/>
      </w:pPr>
      <w:r>
        <w:t xml:space="preserve">Przeworski, Adam, and Fernando Limongi. 1993. “Political Regimes and Economic Growth.” </w:t>
      </w:r>
      <w:r>
        <w:rPr>
          <w:i/>
          <w:iCs/>
        </w:rPr>
        <w:t>The Journal of Economic Perspectives</w:t>
      </w:r>
      <w:r>
        <w:t xml:space="preserve"> 7 (3): 51–69.</w:t>
      </w:r>
    </w:p>
    <w:p w:rsidR="001630DC" w:rsidRDefault="001630DC" w:rsidP="00B11ABC">
      <w:pPr>
        <w:pStyle w:val="GridTable21"/>
        <w:spacing w:before="240"/>
      </w:pPr>
      <w:r>
        <w:t xml:space="preserve">Putnam, Robert. 1993. </w:t>
      </w:r>
      <w:r>
        <w:rPr>
          <w:i/>
          <w:iCs/>
        </w:rPr>
        <w:t>Making Democracy Work: Civic Traditions in Modern Italy</w:t>
      </w:r>
      <w:r>
        <w:t>. Princeton: Princeton University Press.</w:t>
      </w:r>
    </w:p>
    <w:p w:rsidR="001630DC" w:rsidRDefault="001630DC" w:rsidP="00B11ABC">
      <w:pPr>
        <w:pStyle w:val="GridTable21"/>
        <w:spacing w:before="240"/>
      </w:pPr>
      <w:r>
        <w:t xml:space="preserve">Rainey, Hal, John C. Ronquillo, and Claudia N. Avellaneda. 2010. “Decision Making in Public Organizations.” In </w:t>
      </w:r>
      <w:r>
        <w:rPr>
          <w:i/>
          <w:iCs/>
        </w:rPr>
        <w:t>Handbook of Decision Making</w:t>
      </w:r>
      <w:r>
        <w:t>, 349–78. Chichester: John Wiley &amp; Sons.</w:t>
      </w:r>
    </w:p>
    <w:p w:rsidR="001630DC" w:rsidRDefault="001630DC" w:rsidP="00B11ABC">
      <w:pPr>
        <w:pStyle w:val="GridTable21"/>
        <w:spacing w:before="240"/>
      </w:pPr>
      <w:r>
        <w:t xml:space="preserve">Raschky, Paul A., and Manijeh Schwindt. 2012. “On the Channel and Type of Aid: The Case of International Disaster Assistance.” </w:t>
      </w:r>
      <w:r>
        <w:rPr>
          <w:i/>
          <w:iCs/>
        </w:rPr>
        <w:t>European Journal of Political Economy</w:t>
      </w:r>
      <w:r w:rsidR="006816F9">
        <w:t xml:space="preserve"> 28 (1): 119–31. </w:t>
      </w:r>
    </w:p>
    <w:p w:rsidR="001630DC" w:rsidRDefault="001630DC" w:rsidP="00B11ABC">
      <w:pPr>
        <w:pStyle w:val="GridTable21"/>
        <w:spacing w:before="240"/>
      </w:pPr>
      <w:r>
        <w:t>Reinhardt, Gina Yannite</w:t>
      </w:r>
      <w:r w:rsidR="00F1318A">
        <w:t xml:space="preserve">ll. 2009. “Matching Donors and </w:t>
      </w:r>
      <w:r>
        <w:t xml:space="preserve">NGOs: The Importance of Signaling in Funding Awards.” </w:t>
      </w:r>
      <w:r>
        <w:rPr>
          <w:i/>
          <w:iCs/>
        </w:rPr>
        <w:t>Journal of Theoretical Politics</w:t>
      </w:r>
      <w:r>
        <w:t xml:space="preserve"> 21 (3): 283–309.</w:t>
      </w:r>
    </w:p>
    <w:p w:rsidR="001630DC" w:rsidRDefault="001630DC" w:rsidP="00B11ABC">
      <w:pPr>
        <w:pStyle w:val="GridTable21"/>
        <w:spacing w:before="240"/>
      </w:pPr>
      <w:r>
        <w:t xml:space="preserve">Riddell, J. Barry. 1992. “Things Fall Apart Again: Structural Adjustment Programmes in Sub-Saharan Africa.” </w:t>
      </w:r>
      <w:r>
        <w:rPr>
          <w:i/>
          <w:iCs/>
        </w:rPr>
        <w:t>The Journal of Modern African Studies</w:t>
      </w:r>
      <w:r>
        <w:t xml:space="preserve"> 30 (1): 53–68.</w:t>
      </w:r>
    </w:p>
    <w:p w:rsidR="001630DC" w:rsidRDefault="00F1318A" w:rsidP="00B11ABC">
      <w:pPr>
        <w:pStyle w:val="GridTable21"/>
        <w:spacing w:before="240"/>
      </w:pPr>
      <w:r>
        <w:t>Roberts, Bill. 2000. “</w:t>
      </w:r>
      <w:r w:rsidR="001630DC">
        <w:t xml:space="preserve">NGO Leadership, Success, and Growth in Senegal: Lessons From Ground Level.” </w:t>
      </w:r>
      <w:r w:rsidR="001630DC">
        <w:rPr>
          <w:i/>
          <w:iCs/>
        </w:rPr>
        <w:t>Urban Anthropology and Studies of Cultural Systems and World Economic Development</w:t>
      </w:r>
      <w:r w:rsidR="001630DC">
        <w:t xml:space="preserve"> 29 (2): 143–80.</w:t>
      </w:r>
    </w:p>
    <w:p w:rsidR="001630DC" w:rsidRDefault="001630DC" w:rsidP="00B11ABC">
      <w:pPr>
        <w:pStyle w:val="GridTable21"/>
        <w:spacing w:before="240"/>
      </w:pPr>
      <w:r>
        <w:t>Roberts, Susan M., John Paul III Jone</w:t>
      </w:r>
      <w:r w:rsidR="00293B32">
        <w:t>s, and Oliver Frohling. 2005. “</w:t>
      </w:r>
      <w:r>
        <w:t xml:space="preserve">NGOs and the Globalization of Managerialism: A Research Framework.” </w:t>
      </w:r>
      <w:r>
        <w:rPr>
          <w:i/>
          <w:iCs/>
        </w:rPr>
        <w:t>World Development</w:t>
      </w:r>
      <w:r>
        <w:t xml:space="preserve"> 33 (11): 1845–64.</w:t>
      </w:r>
    </w:p>
    <w:p w:rsidR="001630DC" w:rsidRDefault="001630DC" w:rsidP="00B11ABC">
      <w:pPr>
        <w:pStyle w:val="GridTable21"/>
        <w:spacing w:before="240"/>
      </w:pPr>
      <w:r>
        <w:t xml:space="preserve">Rogers, Katrina S. </w:t>
      </w:r>
      <w:r w:rsidR="00293B32">
        <w:t xml:space="preserve">2011. “Soft Power, </w:t>
      </w:r>
      <w:r>
        <w:t xml:space="preserve">NGOs, and Climate Change: The Case of The Nature Conservancy.” In </w:t>
      </w:r>
      <w:r>
        <w:rPr>
          <w:i/>
          <w:iCs/>
        </w:rPr>
        <w:t>Climate Change and Environmental Ethics</w:t>
      </w:r>
      <w:r>
        <w:t>, edited by Ved P. Nanda, 217–35. New Brunswick: Transaction Publishers.</w:t>
      </w:r>
    </w:p>
    <w:p w:rsidR="001630DC" w:rsidRDefault="001630DC" w:rsidP="00B11ABC">
      <w:pPr>
        <w:pStyle w:val="GridTable21"/>
        <w:spacing w:before="240"/>
      </w:pPr>
      <w:r>
        <w:t xml:space="preserve">Rohrschneider, Robert, and Russell J. Dalton. 2002. “A Global Network? Transnational Cooperation among Environmental Groups.” </w:t>
      </w:r>
      <w:r>
        <w:rPr>
          <w:i/>
          <w:iCs/>
        </w:rPr>
        <w:t>The Journal of Politics</w:t>
      </w:r>
      <w:r>
        <w:t xml:space="preserve"> 64 (2): 510–33.</w:t>
      </w:r>
    </w:p>
    <w:p w:rsidR="001630DC" w:rsidRDefault="001630DC" w:rsidP="00B11ABC">
      <w:pPr>
        <w:pStyle w:val="GridTable21"/>
        <w:spacing w:before="240"/>
      </w:pPr>
      <w:r>
        <w:t xml:space="preserve">Rojas, Ronald R. 2000. “A Review of Models for Measuring Organizational Effectiveness Among For-Profit and Nonprofit Organizations.” </w:t>
      </w:r>
      <w:r>
        <w:rPr>
          <w:i/>
          <w:iCs/>
        </w:rPr>
        <w:t>Nonprofit Management and Leadership</w:t>
      </w:r>
      <w:r>
        <w:t xml:space="preserve"> 11 (1): 97–104.</w:t>
      </w:r>
    </w:p>
    <w:p w:rsidR="001630DC" w:rsidRDefault="001630DC" w:rsidP="00B11ABC">
      <w:pPr>
        <w:pStyle w:val="GridTable21"/>
        <w:spacing w:before="240"/>
      </w:pPr>
      <w:r>
        <w:t xml:space="preserve">Salamon, Lester M. 1994. “The Rise of the Nonprofit Sector.” </w:t>
      </w:r>
      <w:r>
        <w:rPr>
          <w:i/>
          <w:iCs/>
        </w:rPr>
        <w:t>Foreign Affairs</w:t>
      </w:r>
      <w:r>
        <w:t xml:space="preserve"> 73: 109–109.</w:t>
      </w:r>
    </w:p>
    <w:p w:rsidR="001630DC" w:rsidRDefault="001630DC" w:rsidP="00B11ABC">
      <w:pPr>
        <w:pStyle w:val="GridTable21"/>
        <w:spacing w:before="240"/>
      </w:pPr>
      <w:r>
        <w:t xml:space="preserve">———. 2010. “Putting the Civil Society Sector on the Economic Map of the World.” </w:t>
      </w:r>
      <w:r>
        <w:rPr>
          <w:i/>
          <w:iCs/>
        </w:rPr>
        <w:t>Annals of Public and Cooperative Economics</w:t>
      </w:r>
      <w:r>
        <w:t xml:space="preserve"> 81 (2): 167–210.</w:t>
      </w:r>
    </w:p>
    <w:p w:rsidR="001630DC" w:rsidRDefault="001630DC" w:rsidP="00B11ABC">
      <w:pPr>
        <w:pStyle w:val="GridTable21"/>
        <w:spacing w:before="240"/>
      </w:pPr>
      <w:r>
        <w:t xml:space="preserve">Sarkees, Meredith Reid, and Frank Wayman. 2010. </w:t>
      </w:r>
      <w:r>
        <w:rPr>
          <w:i/>
          <w:iCs/>
        </w:rPr>
        <w:t>Resort to War: 1816 - 2007</w:t>
      </w:r>
      <w:r>
        <w:t>. Washington: CQ Press.</w:t>
      </w:r>
    </w:p>
    <w:p w:rsidR="001630DC" w:rsidRDefault="001630DC" w:rsidP="00B11ABC">
      <w:pPr>
        <w:pStyle w:val="GridTable21"/>
        <w:spacing w:before="240"/>
      </w:pPr>
      <w:r>
        <w:t xml:space="preserve">Schmitz, Hans, Paloma Raggo, and Tosca Bruno-van Vijfeijken. 2012. “Accountability of Transnational TNGOs: Aspiration vs. Practice.” </w:t>
      </w:r>
      <w:r>
        <w:rPr>
          <w:i/>
          <w:iCs/>
        </w:rPr>
        <w:t>Nonprofit and Voluntary Sector Quarterly</w:t>
      </w:r>
      <w:r>
        <w:t xml:space="preserve"> 41 (6): 1175–94.</w:t>
      </w:r>
    </w:p>
    <w:p w:rsidR="001630DC" w:rsidRDefault="001630DC" w:rsidP="00B11ABC">
      <w:pPr>
        <w:pStyle w:val="GridTable21"/>
        <w:spacing w:before="240"/>
      </w:pPr>
      <w:r>
        <w:t>Schneider, Jo Anne. 2012. “Comparing Stewardship Across Faith-Based Organizations” 42 (3): 517–39.</w:t>
      </w:r>
    </w:p>
    <w:p w:rsidR="001630DC" w:rsidRDefault="001630DC" w:rsidP="00B11ABC">
      <w:pPr>
        <w:pStyle w:val="GridTable21"/>
        <w:spacing w:before="240"/>
      </w:pPr>
      <w:r>
        <w:t xml:space="preserve">Schoonhoven, Claudia Bird. 1981. “Problems with Contingency Theory: Testing Assumptions Hidden within the Language of Contingency ‘Theory.’” </w:t>
      </w:r>
      <w:r>
        <w:rPr>
          <w:i/>
          <w:iCs/>
        </w:rPr>
        <w:t>Administrative Science Quarterly</w:t>
      </w:r>
      <w:r w:rsidR="006816F9">
        <w:t xml:space="preserve"> 26 (3): 349</w:t>
      </w:r>
      <w:r>
        <w:t>.</w:t>
      </w:r>
    </w:p>
    <w:p w:rsidR="001630DC" w:rsidRDefault="001630DC" w:rsidP="00B11ABC">
      <w:pPr>
        <w:pStyle w:val="GridTable21"/>
        <w:spacing w:before="240"/>
      </w:pPr>
      <w:r>
        <w:t xml:space="preserve">Schreier, M. 2012. </w:t>
      </w:r>
      <w:r>
        <w:rPr>
          <w:i/>
          <w:iCs/>
        </w:rPr>
        <w:t>Qualitative Content Analysis In Practice</w:t>
      </w:r>
      <w:r>
        <w:t>. Newbury: Sage Publications.</w:t>
      </w:r>
    </w:p>
    <w:p w:rsidR="001630DC" w:rsidRDefault="001630DC" w:rsidP="00B11ABC">
      <w:pPr>
        <w:pStyle w:val="GridTable21"/>
        <w:spacing w:before="240"/>
      </w:pPr>
      <w:r>
        <w:t xml:space="preserve">Simon, Herbert A. 1946. “The Proverbs of Administration.” </w:t>
      </w:r>
      <w:r>
        <w:rPr>
          <w:i/>
          <w:iCs/>
        </w:rPr>
        <w:t>Public Administration Review</w:t>
      </w:r>
      <w:r>
        <w:t xml:space="preserve"> 6 (1): 53–67.</w:t>
      </w:r>
    </w:p>
    <w:p w:rsidR="001630DC" w:rsidRDefault="001630DC" w:rsidP="00B11ABC">
      <w:pPr>
        <w:pStyle w:val="GridTable21"/>
        <w:spacing w:before="240"/>
      </w:pPr>
      <w:r>
        <w:t xml:space="preserve">Sloan, Margaret F. 2009. “The Effects of Nonprofit Accountability Ratings on Donor Behavior.” </w:t>
      </w:r>
      <w:r>
        <w:rPr>
          <w:i/>
          <w:iCs/>
        </w:rPr>
        <w:t>Nonprofit and Voluntary Sector Quarterly</w:t>
      </w:r>
      <w:r>
        <w:t xml:space="preserve"> 38 (2): 220–36.</w:t>
      </w:r>
    </w:p>
    <w:p w:rsidR="001630DC" w:rsidRDefault="001630DC" w:rsidP="00B11ABC">
      <w:pPr>
        <w:pStyle w:val="GridTable21"/>
        <w:spacing w:before="240"/>
      </w:pPr>
      <w:r>
        <w:t xml:space="preserve">Smillie, Ian. 1995. </w:t>
      </w:r>
      <w:r>
        <w:rPr>
          <w:i/>
          <w:iCs/>
        </w:rPr>
        <w:t>The Alms Bazaar: Altruism Under Fire - Non-Profit Organizations And International Development</w:t>
      </w:r>
      <w:r>
        <w:t>. London: Intermediate Technology Publications Ltd.</w:t>
      </w:r>
    </w:p>
    <w:p w:rsidR="001630DC" w:rsidRDefault="001630DC" w:rsidP="00B11ABC">
      <w:pPr>
        <w:pStyle w:val="GridTable21"/>
        <w:spacing w:before="240"/>
      </w:pPr>
      <w:r>
        <w:t xml:space="preserve">Smith, Brian H. 1989. “More than Altruism: The Politics of European International Charities.” In </w:t>
      </w:r>
      <w:r>
        <w:rPr>
          <w:i/>
          <w:iCs/>
        </w:rPr>
        <w:t>The Nonprofit Sector in International Perspective: Studies in Comparative Culture and Policy</w:t>
      </w:r>
      <w:r>
        <w:t>, edited by Estelle James, 319–38. New York: Oxford University Press.</w:t>
      </w:r>
    </w:p>
    <w:p w:rsidR="001630DC" w:rsidRDefault="001630DC" w:rsidP="00B11ABC">
      <w:pPr>
        <w:pStyle w:val="GridTable21"/>
        <w:spacing w:before="240"/>
      </w:pPr>
      <w:r>
        <w:t xml:space="preserve">Sowa, Jessica E. 2009. “The Collaboration Decision in Nonprofit Organizations: Views From the Front Line.” </w:t>
      </w:r>
      <w:r>
        <w:rPr>
          <w:i/>
          <w:iCs/>
        </w:rPr>
        <w:t>Nonprofit and Voluntary Sector Quarterly</w:t>
      </w:r>
      <w:r>
        <w:t xml:space="preserve"> 38 (6): 1003–25.</w:t>
      </w:r>
    </w:p>
    <w:p w:rsidR="001630DC" w:rsidRDefault="001630DC" w:rsidP="00B11ABC">
      <w:pPr>
        <w:pStyle w:val="GridTable21"/>
        <w:spacing w:before="240"/>
      </w:pPr>
      <w:r>
        <w:t xml:space="preserve">Stater, Keeley Jones. 2010. “How Permeable Is the Nonprofit Sector? Linking Resources, Demand, and Government Provision to the Distribution of Organizations Across Nonprofit Mission-Based Fields.” </w:t>
      </w:r>
      <w:r>
        <w:rPr>
          <w:i/>
          <w:iCs/>
        </w:rPr>
        <w:t>Nonprofit and Voluntary Sector Quarterly</w:t>
      </w:r>
      <w:r>
        <w:t xml:space="preserve"> 39 (4): 674–95.</w:t>
      </w:r>
    </w:p>
    <w:p w:rsidR="001630DC" w:rsidRDefault="001630DC" w:rsidP="00B11ABC">
      <w:pPr>
        <w:pStyle w:val="GridTable21"/>
        <w:spacing w:before="240"/>
      </w:pPr>
      <w:r>
        <w:t xml:space="preserve">Stone, Melissa Middelton, Mark A. Hager, and Jennifer J. Griffin. 2001. “Organizational Characteristics and Funding Environments: A Study of a Population of United Way-Affiliated Nonprofits.” </w:t>
      </w:r>
      <w:r>
        <w:rPr>
          <w:i/>
          <w:iCs/>
        </w:rPr>
        <w:t>Public Administration Review</w:t>
      </w:r>
      <w:r>
        <w:t xml:space="preserve"> 61 (3): 276–89.</w:t>
      </w:r>
    </w:p>
    <w:p w:rsidR="001630DC" w:rsidRDefault="001630DC" w:rsidP="00B11ABC">
      <w:pPr>
        <w:pStyle w:val="GridTable21"/>
        <w:spacing w:before="240"/>
      </w:pPr>
      <w:r>
        <w:t xml:space="preserve">Stroup, Sarah S. 2012. </w:t>
      </w:r>
      <w:r>
        <w:rPr>
          <w:i/>
          <w:iCs/>
        </w:rPr>
        <w:t xml:space="preserve">Borders </w:t>
      </w:r>
      <w:r w:rsidR="00293B32">
        <w:rPr>
          <w:i/>
          <w:iCs/>
        </w:rPr>
        <w:t xml:space="preserve">Among Activists: International </w:t>
      </w:r>
      <w:r>
        <w:rPr>
          <w:i/>
          <w:iCs/>
        </w:rPr>
        <w:t>NGOs in the United States, Britain, and France</w:t>
      </w:r>
      <w:r>
        <w:t>. Ithaca: Cornell University Press.</w:t>
      </w:r>
    </w:p>
    <w:p w:rsidR="001630DC" w:rsidRDefault="001630DC" w:rsidP="00B11ABC">
      <w:pPr>
        <w:pStyle w:val="GridTable21"/>
        <w:spacing w:before="240"/>
      </w:pPr>
      <w:r>
        <w:t xml:space="preserve">Suzuki, N. 1988. </w:t>
      </w:r>
      <w:r w:rsidR="00293B32">
        <w:rPr>
          <w:i/>
          <w:iCs/>
        </w:rPr>
        <w:t xml:space="preserve">Inside </w:t>
      </w:r>
      <w:r>
        <w:rPr>
          <w:i/>
          <w:iCs/>
        </w:rPr>
        <w:t>NGOs</w:t>
      </w:r>
      <w:r>
        <w:t>. London: Intermediate Technology Publications Ltd.</w:t>
      </w:r>
    </w:p>
    <w:p w:rsidR="001630DC" w:rsidRDefault="001630DC" w:rsidP="00B11ABC">
      <w:pPr>
        <w:pStyle w:val="GridTable21"/>
        <w:spacing w:before="240"/>
      </w:pPr>
      <w:r>
        <w:t xml:space="preserve">Taylor, Frederick W. 1912. “Scientific Management.” In </w:t>
      </w:r>
      <w:r>
        <w:rPr>
          <w:i/>
          <w:iCs/>
        </w:rPr>
        <w:t>Classics of Public Administration</w:t>
      </w:r>
      <w:r>
        <w:t>, edited by Jay M. Shafritz and Albert C. Hyde, 7th ed., 37–39. Boston: Wadsworth.</w:t>
      </w:r>
    </w:p>
    <w:p w:rsidR="001630DC" w:rsidRDefault="001630DC" w:rsidP="00B11ABC">
      <w:pPr>
        <w:pStyle w:val="GridTable21"/>
        <w:spacing w:before="240"/>
      </w:pPr>
      <w:r>
        <w:t xml:space="preserve">Temudo, Marina Padrao. 2005. “Western Beliefs and Local Myths: A Case Study on </w:t>
      </w:r>
      <w:r w:rsidR="00293B32">
        <w:t xml:space="preserve">the Interface Between Farmers, </w:t>
      </w:r>
      <w:r>
        <w:t xml:space="preserve">NGOs and the State in Guinea-Bissau Rural Development Interventions.” In </w:t>
      </w:r>
      <w:r>
        <w:rPr>
          <w:i/>
          <w:iCs/>
        </w:rPr>
        <w:t xml:space="preserve">Between a </w:t>
      </w:r>
      <w:r w:rsidR="00293B32">
        <w:rPr>
          <w:i/>
          <w:iCs/>
        </w:rPr>
        <w:t xml:space="preserve">Rock and a Hard Place: African </w:t>
      </w:r>
      <w:r>
        <w:rPr>
          <w:i/>
          <w:iCs/>
        </w:rPr>
        <w:t>NGOs, Donors, and the State</w:t>
      </w:r>
      <w:r>
        <w:t>, edited by Jim Igoe and Tim Kelsall, 253–77. Durham: Carolina Academic Press.</w:t>
      </w:r>
    </w:p>
    <w:p w:rsidR="001630DC" w:rsidRDefault="001630DC" w:rsidP="00B11ABC">
      <w:pPr>
        <w:pStyle w:val="GridTable21"/>
        <w:spacing w:before="240"/>
      </w:pPr>
      <w:r>
        <w:t>The World Bank. 2013. “World Development Indicators.” The World Bank. http://data.worldbank.org/indicator.</w:t>
      </w:r>
    </w:p>
    <w:p w:rsidR="001630DC" w:rsidRDefault="001630DC" w:rsidP="00B11ABC">
      <w:pPr>
        <w:pStyle w:val="GridTable21"/>
        <w:spacing w:before="240"/>
      </w:pPr>
      <w:r>
        <w:t>Transnational TNGO Initia</w:t>
      </w:r>
      <w:r w:rsidR="00F1318A">
        <w:t xml:space="preserve">tive. 2010. “The Transnational </w:t>
      </w:r>
      <w:r>
        <w:t>NGO Study: Rationale, Sampling and Research Process.” Moynihan Institute of Global Affairs, Syracuse University. http://www1.maxwell.syr.edu/moynihan/TNGO/Data/.</w:t>
      </w:r>
    </w:p>
    <w:p w:rsidR="001630DC" w:rsidRDefault="001630DC" w:rsidP="00B11ABC">
      <w:pPr>
        <w:pStyle w:val="GridTable21"/>
        <w:spacing w:before="240"/>
      </w:pPr>
      <w:r>
        <w:t>United Nations Statistics Division. 2015. “Demographic Yearbook.” unstats.un.org/unsd/demographic.</w:t>
      </w:r>
    </w:p>
    <w:p w:rsidR="001630DC" w:rsidRDefault="001630DC" w:rsidP="00B11ABC">
      <w:pPr>
        <w:pStyle w:val="GridTable21"/>
        <w:spacing w:before="240"/>
      </w:pPr>
      <w:r>
        <w:t>USAID. 2015. “U.S. Overseas Loans and Grants.” https://eads.usaid.gov/gbk/.</w:t>
      </w:r>
    </w:p>
    <w:p w:rsidR="001630DC" w:rsidRDefault="001630DC" w:rsidP="00B11ABC">
      <w:pPr>
        <w:pStyle w:val="GridTable21"/>
        <w:spacing w:before="240"/>
      </w:pPr>
      <w:r>
        <w:t xml:space="preserve">Van de Walle, Nicolas. 2001. “Decision Making in Post Colonial Africa.” In </w:t>
      </w:r>
      <w:r>
        <w:rPr>
          <w:i/>
          <w:iCs/>
        </w:rPr>
        <w:t>African Economies and the Politics of Permanent Crisis: 1979-1999</w:t>
      </w:r>
      <w:r>
        <w:t>, 113–51. Cambridge: Cambridge University Press.</w:t>
      </w:r>
    </w:p>
    <w:p w:rsidR="001630DC" w:rsidRDefault="001630DC" w:rsidP="00B11ABC">
      <w:pPr>
        <w:pStyle w:val="GridTable21"/>
        <w:spacing w:before="240"/>
      </w:pPr>
      <w:r>
        <w:t xml:space="preserve">Van Slyke, David M. 2006. “Agents or Stewards: Using Theory to Understand the Government-Nonprofit Social Service Contracting Relationship.” </w:t>
      </w:r>
      <w:r>
        <w:rPr>
          <w:i/>
          <w:iCs/>
        </w:rPr>
        <w:t>Journal of Public Administration Research and Theory</w:t>
      </w:r>
      <w:r>
        <w:t xml:space="preserve"> 17: 157–87.</w:t>
      </w:r>
    </w:p>
    <w:p w:rsidR="001630DC" w:rsidRDefault="001630DC" w:rsidP="00B11ABC">
      <w:pPr>
        <w:pStyle w:val="GridTable21"/>
        <w:spacing w:before="240"/>
      </w:pPr>
      <w:r>
        <w:t xml:space="preserve">Varshney, Ashutosh. 2001. “Ethnic Conflict and Civil Society: India and Beyond.” </w:t>
      </w:r>
      <w:r>
        <w:rPr>
          <w:i/>
          <w:iCs/>
        </w:rPr>
        <w:t>World Politics</w:t>
      </w:r>
      <w:r>
        <w:t xml:space="preserve"> 53 (3): 362–98.</w:t>
      </w:r>
    </w:p>
    <w:p w:rsidR="001630DC" w:rsidRDefault="001630DC" w:rsidP="00B11ABC">
      <w:pPr>
        <w:pStyle w:val="GridTable21"/>
        <w:spacing w:before="240"/>
      </w:pPr>
      <w:r>
        <w:t xml:space="preserve">Verbruggen, Sandra, Johan Christiaens, and Koen Milis. 2011. “Can Resource Dependence and Coercive Isomorphism Explain Nonprofit Organizations’ Compliance with Reporting Standards?” </w:t>
      </w:r>
      <w:r>
        <w:rPr>
          <w:i/>
          <w:iCs/>
        </w:rPr>
        <w:t>Nonprofit and Voluntary Sector Quarterly</w:t>
      </w:r>
      <w:r>
        <w:t xml:space="preserve"> 40 (1): 5–32.</w:t>
      </w:r>
    </w:p>
    <w:p w:rsidR="001630DC" w:rsidRDefault="001630DC" w:rsidP="00B11ABC">
      <w:pPr>
        <w:pStyle w:val="GridTable21"/>
        <w:spacing w:before="240"/>
      </w:pPr>
      <w:r>
        <w:t xml:space="preserve">Watkins, Susan Cotts, Ann Swidler, and Thomas Hannan. 2012. “Outsourcing Social Transformation: Development TNGOs as Organizations.” </w:t>
      </w:r>
      <w:r>
        <w:rPr>
          <w:i/>
          <w:iCs/>
        </w:rPr>
        <w:t>Annual Review of Sociology</w:t>
      </w:r>
      <w:r>
        <w:t xml:space="preserve"> 38: 285–315.</w:t>
      </w:r>
    </w:p>
    <w:p w:rsidR="001630DC" w:rsidRDefault="001630DC" w:rsidP="00B11ABC">
      <w:pPr>
        <w:pStyle w:val="GridTable21"/>
        <w:spacing w:before="240"/>
      </w:pPr>
      <w:r>
        <w:t xml:space="preserve">Wilson, James Q. 1973. </w:t>
      </w:r>
      <w:r>
        <w:rPr>
          <w:i/>
          <w:iCs/>
        </w:rPr>
        <w:t>Political Organizations</w:t>
      </w:r>
      <w:r>
        <w:t>. New York: Basic Books.</w:t>
      </w:r>
    </w:p>
    <w:p w:rsidR="001630DC" w:rsidRDefault="001630DC" w:rsidP="00B11ABC">
      <w:pPr>
        <w:pStyle w:val="GridTable21"/>
        <w:spacing w:before="240"/>
      </w:pPr>
      <w:r>
        <w:t xml:space="preserve">Wittberg, Patricia A. 2013. “Faith-Based Umbrella Organizations: Implications for Religious Identity.” </w:t>
      </w:r>
      <w:r>
        <w:rPr>
          <w:i/>
          <w:iCs/>
        </w:rPr>
        <w:t>Nonprofit and Voluntary Sector Quarterly</w:t>
      </w:r>
      <w:r>
        <w:t xml:space="preserve"> 42 (3): 540–62.</w:t>
      </w:r>
    </w:p>
    <w:p w:rsidR="001630DC" w:rsidRDefault="001630DC" w:rsidP="00B11ABC">
      <w:pPr>
        <w:pStyle w:val="GridTable21"/>
        <w:spacing w:before="240"/>
      </w:pPr>
      <w:r>
        <w:t>Wood, Geof, and Gough, Ian. n.d. “Welfare Regimes: Linking Social Policy to Social Development.” staff.bath.ac.uk/hssgdw/wood-gough.pdf.</w:t>
      </w:r>
    </w:p>
    <w:p w:rsidR="001630DC" w:rsidRDefault="001630DC" w:rsidP="00B11ABC">
      <w:pPr>
        <w:pStyle w:val="GridTable21"/>
        <w:spacing w:before="240"/>
      </w:pPr>
      <w:r>
        <w:t xml:space="preserve">Wood, Geof, and Ian Gough. 2006. “A Comparative Welfare Regime Approach to Global Social Policy.” </w:t>
      </w:r>
      <w:r>
        <w:rPr>
          <w:i/>
          <w:iCs/>
        </w:rPr>
        <w:t>World Development</w:t>
      </w:r>
      <w:r>
        <w:t xml:space="preserve"> 34 (10): 1696–1712. doi:10.1016/j.worlddev.2006.02.001.</w:t>
      </w:r>
    </w:p>
    <w:p w:rsidR="001630DC" w:rsidRDefault="001630DC" w:rsidP="00B11ABC">
      <w:pPr>
        <w:pStyle w:val="GridTable21"/>
        <w:spacing w:before="240"/>
      </w:pPr>
      <w:r>
        <w:t xml:space="preserve">Young, Dennis R. 2001. “Organizational Identity in Nonprofit Organizations: Strategic and Structural Implications.” </w:t>
      </w:r>
      <w:r>
        <w:rPr>
          <w:i/>
          <w:iCs/>
        </w:rPr>
        <w:t>Nonprofit Management and Leadership</w:t>
      </w:r>
      <w:r>
        <w:t xml:space="preserve"> 12 (2): 139–57.</w:t>
      </w:r>
    </w:p>
    <w:p w:rsidR="001630DC" w:rsidRDefault="001630DC" w:rsidP="00B11ABC">
      <w:pPr>
        <w:pStyle w:val="GridTable21"/>
        <w:spacing w:before="240" w:after="240"/>
      </w:pPr>
      <w:r>
        <w:t xml:space="preserve">Young, Dennis R., Bonnie L. Koenig, Adil Najam, and Julie Fisher. 1999. “Strategy and Structure in Managing Global Associations.” </w:t>
      </w:r>
      <w:r>
        <w:rPr>
          <w:i/>
          <w:iCs/>
        </w:rPr>
        <w:t>Voluntas: International Journal of Voluntary and Nonprofit Organizations</w:t>
      </w:r>
      <w:r>
        <w:t xml:space="preserve"> 10 (4): 323–43.</w:t>
      </w:r>
    </w:p>
    <w:p w:rsidR="001630DC" w:rsidRDefault="001630DC" w:rsidP="00B11ABC">
      <w:pPr>
        <w:pStyle w:val="GridTable21"/>
        <w:spacing w:before="240" w:after="240"/>
      </w:pPr>
      <w:r>
        <w:t xml:space="preserve">Zald, M.N., and R.A. Garner. 1987. “Social Movement Organizations: Growth, Decay, and Change.” In </w:t>
      </w:r>
      <w:r>
        <w:rPr>
          <w:i/>
          <w:iCs/>
        </w:rPr>
        <w:t>Social Movements in an Organizational Society</w:t>
      </w:r>
      <w:r>
        <w:t>, edited by M.N. Zald and J.D. McCarthy, 161–80. New Brunswick: Transaction Publishers.</w:t>
      </w:r>
    </w:p>
    <w:p w:rsidR="001630DC" w:rsidRDefault="001630DC" w:rsidP="00B11ABC">
      <w:pPr>
        <w:spacing w:before="240"/>
        <w:rPr>
          <w:b/>
        </w:rPr>
      </w:pPr>
      <w:r>
        <w:rPr>
          <w:b/>
        </w:rPr>
        <w:fldChar w:fldCharType="end"/>
      </w: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C03A9D" w:rsidRDefault="00C03A9D" w:rsidP="00B11ABC">
      <w:pPr>
        <w:spacing w:before="240"/>
        <w:rPr>
          <w:b/>
        </w:rPr>
      </w:pPr>
    </w:p>
    <w:p w:rsidR="001630DC" w:rsidRPr="002737E8" w:rsidRDefault="001630DC" w:rsidP="001630DC">
      <w:pPr>
        <w:pStyle w:val="Heading1"/>
        <w:rPr>
          <w:b/>
          <w:color w:val="auto"/>
          <w:sz w:val="28"/>
        </w:rPr>
      </w:pPr>
      <w:bookmarkStart w:id="292" w:name="_Toc450079230"/>
      <w:r w:rsidRPr="002737E8">
        <w:rPr>
          <w:b/>
          <w:color w:val="auto"/>
          <w:sz w:val="28"/>
        </w:rPr>
        <w:t xml:space="preserve">: Internal Dynamics of International Development </w:t>
      </w:r>
      <w:r>
        <w:rPr>
          <w:b/>
          <w:color w:val="auto"/>
          <w:sz w:val="28"/>
        </w:rPr>
        <w:t>TNGO</w:t>
      </w:r>
      <w:r w:rsidRPr="002737E8">
        <w:rPr>
          <w:b/>
          <w:color w:val="auto"/>
          <w:sz w:val="28"/>
        </w:rPr>
        <w:t>s</w:t>
      </w:r>
      <w:bookmarkEnd w:id="292"/>
    </w:p>
    <w:p w:rsidR="001630DC" w:rsidRPr="00812CB0" w:rsidRDefault="001630DC" w:rsidP="001630DC"/>
    <w:p w:rsidR="00E67B1D" w:rsidRDefault="00E67B1D" w:rsidP="00E67B1D">
      <w:pPr>
        <w:spacing w:line="480" w:lineRule="auto"/>
        <w:rPr>
          <w:szCs w:val="24"/>
        </w:rPr>
      </w:pPr>
    </w:p>
    <w:p w:rsidR="001630DC" w:rsidRPr="00E0224B" w:rsidRDefault="001630DC" w:rsidP="00E67B1D">
      <w:pPr>
        <w:pStyle w:val="Heading2"/>
        <w:numPr>
          <w:ilvl w:val="0"/>
          <w:numId w:val="0"/>
        </w:numPr>
        <w:jc w:val="center"/>
        <w:rPr>
          <w:b/>
          <w:color w:val="auto"/>
          <w:sz w:val="24"/>
          <w:szCs w:val="24"/>
        </w:rPr>
      </w:pPr>
      <w:bookmarkStart w:id="293" w:name="_Toc450079231"/>
      <w:r>
        <w:rPr>
          <w:b/>
          <w:color w:val="auto"/>
          <w:sz w:val="24"/>
          <w:szCs w:val="24"/>
        </w:rPr>
        <w:t xml:space="preserve">4.1: </w:t>
      </w:r>
      <w:r w:rsidRPr="00E0224B">
        <w:rPr>
          <w:b/>
          <w:color w:val="auto"/>
          <w:sz w:val="24"/>
          <w:szCs w:val="24"/>
        </w:rPr>
        <w:t>Introduction</w:t>
      </w:r>
      <w:bookmarkEnd w:id="293"/>
    </w:p>
    <w:p w:rsidR="001630DC" w:rsidRPr="00812CB0" w:rsidRDefault="001630DC" w:rsidP="001630DC"/>
    <w:p w:rsidR="001630DC" w:rsidRPr="00812CB0" w:rsidRDefault="001630DC" w:rsidP="001630DC">
      <w:pPr>
        <w:spacing w:line="480" w:lineRule="auto"/>
      </w:pPr>
      <w:r w:rsidRPr="00812CB0">
        <w:tab/>
        <w:t xml:space="preserve">The internal dynamics of transnational </w:t>
      </w:r>
      <w:r w:rsidR="009944D4">
        <w:t>nongovernmental</w:t>
      </w:r>
      <w:r w:rsidRPr="00812CB0">
        <w:t xml:space="preserve"> organizations (</w:t>
      </w:r>
      <w:r>
        <w:t>TNGO</w:t>
      </w:r>
      <w:r w:rsidRPr="00812CB0">
        <w:t xml:space="preserve">s) plays an important role in organizational decision-making for both programs and location choices. Understanding the internal dynamics of decision-making is important because organizational structure dictates the way in which priorities are set and communicated and shapes the manner in which units compete for attention and resources. More specifically, it places information collected from the external environment within the context of a </w:t>
      </w:r>
      <w:r>
        <w:t>TNGO</w:t>
      </w:r>
      <w:r w:rsidRPr="00812CB0">
        <w:t xml:space="preserve">’s mission and values. The previous two empirical chapters show that decision-making by </w:t>
      </w:r>
      <w:r>
        <w:t>TNGO</w:t>
      </w:r>
      <w:r w:rsidRPr="00812CB0">
        <w:t xml:space="preserve">s is more layered and complex than existing theoretical lenses allow. As open systems, </w:t>
      </w:r>
      <w:r>
        <w:t>TNGO</w:t>
      </w:r>
      <w:r w:rsidRPr="00812CB0">
        <w:t xml:space="preserve">s rely on external resources to pursue their objectives, yet decision-making involves more than only donor imperatives. As a result, a more detailed examination of the factors driving location decisions must include organizational structure and the internal dynamics of </w:t>
      </w:r>
      <w:r>
        <w:t>TNGO</w:t>
      </w:r>
      <w:r w:rsidRPr="00812CB0">
        <w:t xml:space="preserve">s. </w:t>
      </w:r>
    </w:p>
    <w:p w:rsidR="001630DC" w:rsidRPr="00812CB0" w:rsidRDefault="001630DC" w:rsidP="001630DC">
      <w:pPr>
        <w:spacing w:line="480" w:lineRule="auto"/>
        <w:rPr>
          <w:szCs w:val="24"/>
        </w:rPr>
      </w:pPr>
      <w:r w:rsidRPr="00812CB0">
        <w:tab/>
        <w:t xml:space="preserve">This chapter is tasked with explaining who sets priorities and how those priorities are communicated within </w:t>
      </w:r>
      <w:r>
        <w:t>TNGO</w:t>
      </w:r>
      <w:r w:rsidRPr="00812CB0">
        <w:t xml:space="preserve">s. Studies find that transnational organizations, </w:t>
      </w:r>
      <w:r w:rsidR="009944D4">
        <w:t>nongovernmental</w:t>
      </w:r>
      <w:r w:rsidRPr="00812CB0">
        <w:t xml:space="preserve"> organizations and multinational corporations (MNCs) included, are more likely to resemble the structure and culture of entities in their home countries </w:t>
      </w:r>
      <w:r w:rsidRPr="00812CB0">
        <w:fldChar w:fldCharType="begin"/>
      </w:r>
      <w:r>
        <w:instrText xml:space="preserve"> ADDIN ZOTERO_ITEM CSL_CITATION {"citationID":"j7vGH7aU","properties":{"formattedCitation":"(Stroup 2012; Ghoshal and Nohria 1989)","plainCitation":"(Stroup 2012; Ghoshal and Nohria 1989)"},"citationItems":[{"id":3109,"uris":["http://zotero.org/users/381007/items/49Q6M98X"],"uri":["http://zotero.org/users/381007/items/49Q6M98X"],"itemData":{"id":3109,"type":"book","title":"Borders Among Activists: International NGOs in the United States, Britain, and France","publisher":"Cornell University Press","publisher-place":"Ithaca","event-place":"Ithaca","abstract":"Many iNGOs are increasingly active in int'l arenas, but Stroup argues that actual organizational structures and strategies are deeply tied to national environments. Example: CARE, Oxfam, and MSF resemble charities from their home countries more than they do humanitarian relief groups around the world. As a result, durable transnational campaigns are unlikely.  Uses dimensions of professionalization/management; fundraising; and government relations/issue selection.","author":[{"family":"Stroup","given":"Sarah S."}],"issued":{"date-parts":[["2012"]]}}},{"id":3569,"uris":["http://zotero.org/users/381007/items/J3D73KIZ"],"uri":["http://zotero.org/users/381007/items/J3D73KIZ"],"itemData":{"id":3569,"type":"article-journal","title":"Internal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fldChar w:fldCharType="separate"/>
      </w:r>
      <w:r w:rsidRPr="00812CB0">
        <w:rPr>
          <w:noProof/>
        </w:rPr>
        <w:t>(Stroup 2012; Ghoshal and Nohria 1989)</w:t>
      </w:r>
      <w:r w:rsidRPr="00812CB0">
        <w:fldChar w:fldCharType="end"/>
      </w:r>
      <w:r w:rsidRPr="00812CB0">
        <w:t xml:space="preserve">. As an American </w:t>
      </w:r>
      <w:r>
        <w:t>TNGO</w:t>
      </w:r>
      <w:r w:rsidRPr="00812CB0">
        <w:t xml:space="preserve">, CARE will share more traits with the American Red Cross, Heifer International, and Landesa than with Oxfam or </w:t>
      </w:r>
      <w:r w:rsidRPr="00812CB0">
        <w:rPr>
          <w:szCs w:val="24"/>
        </w:rPr>
        <w:t>Médicins sans Frontières</w:t>
      </w:r>
      <w:r>
        <w:rPr>
          <w:szCs w:val="24"/>
        </w:rPr>
        <w:t xml:space="preserve"> (MSF / Doctors Without Borders)</w:t>
      </w:r>
      <w:r w:rsidRPr="00812CB0">
        <w:rPr>
          <w:szCs w:val="24"/>
        </w:rPr>
        <w:t xml:space="preserve">. Similar to a formative event in an individual’s life, the home country environment is so determinative that </w:t>
      </w:r>
      <w:r>
        <w:rPr>
          <w:szCs w:val="24"/>
        </w:rPr>
        <w:t>U.S.-based</w:t>
      </w:r>
      <w:r w:rsidRPr="00812CB0">
        <w:rPr>
          <w:szCs w:val="24"/>
        </w:rPr>
        <w:t xml:space="preserve"> </w:t>
      </w:r>
      <w:r>
        <w:rPr>
          <w:szCs w:val="24"/>
        </w:rPr>
        <w:t>TNGO</w:t>
      </w:r>
      <w:r w:rsidRPr="00812CB0">
        <w:rPr>
          <w:szCs w:val="24"/>
        </w:rPr>
        <w:t xml:space="preserve">s are likely to resemble each other more than any other organization. Formative events are used by </w:t>
      </w:r>
      <w:r w:rsidRPr="00812CB0">
        <w:rPr>
          <w:szCs w:val="24"/>
        </w:rPr>
        <w:fldChar w:fldCharType="begin"/>
      </w:r>
      <w:r>
        <w:rPr>
          <w:szCs w:val="24"/>
        </w:rPr>
        <w:instrText xml:space="preserve"> ADDIN ZOTERO_ITEM CSL_CITATION {"citationID":"1YWeQqEB","properties":{"formattedCitation":"(Inglehart and Welzel 2005)","plainCitation":"(Inglehart and Welzel 2005)"},"citationItems":[{"id":1441,"uris":["http://zotero.org/users/381007/items/UTFZAG42"],"uri":["http://zotero.org/users/381007/items/UTFZAG42"],"itemData":{"id":1441,"type":"book","title":"Modernization, Cultural Change and Democracy: The Human Development Sequence","publisher":"Cambridge University Press","publisher-place":"Cambridge","event-place":"Cambridge","author":[{"family":"Inglehart","given":"Ronald"},{"family":"Welzel","given":"Christian"}],"issued":{"date-parts":[["2005"]]}}}],"schema":"https://github.com/citation-style-language/schema/raw/master/csl-citation.json"} </w:instrText>
      </w:r>
      <w:r w:rsidRPr="00812CB0">
        <w:rPr>
          <w:szCs w:val="24"/>
        </w:rPr>
        <w:fldChar w:fldCharType="separate"/>
      </w:r>
      <w:r w:rsidRPr="00812CB0">
        <w:rPr>
          <w:szCs w:val="24"/>
        </w:rPr>
        <w:t>Inglehart and Welzel (2005)</w:t>
      </w:r>
      <w:r w:rsidRPr="00812CB0">
        <w:rPr>
          <w:szCs w:val="24"/>
        </w:rPr>
        <w:fldChar w:fldCharType="end"/>
      </w:r>
      <w:r w:rsidRPr="00812CB0">
        <w:rPr>
          <w:szCs w:val="24"/>
        </w:rPr>
        <w:t xml:space="preserve"> to explain shifts in values, and in particular, democratization. Part of a larger body of work, including the World Values Survey, they find that shifts in intergenerational values are limited. Importantly, however, shifts reflect first-hand experiences. Such formative experiences are the produce of the socioeconomic and political environments in which might experience war, hunger, or significant economic growth and security. Such experiences are broad and shared across generations, creating strong preferences for certain values, outcomes, and forms of expression. In the case of organizations, the socioeconomic and political environment also produces formative experiences that help to shape organizations. As with individuals, such experiences are broad and generational. For example, the </w:t>
      </w:r>
      <w:r>
        <w:rPr>
          <w:szCs w:val="24"/>
        </w:rPr>
        <w:t xml:space="preserve">overall </w:t>
      </w:r>
      <w:r w:rsidRPr="00812CB0">
        <w:rPr>
          <w:szCs w:val="24"/>
        </w:rPr>
        <w:t xml:space="preserve">growth of the nonprofit sector and </w:t>
      </w:r>
      <w:r>
        <w:rPr>
          <w:szCs w:val="24"/>
        </w:rPr>
        <w:t xml:space="preserve">the </w:t>
      </w:r>
      <w:r w:rsidRPr="00812CB0">
        <w:rPr>
          <w:szCs w:val="24"/>
        </w:rPr>
        <w:t>push toward social entrepreneurship</w:t>
      </w:r>
      <w:r>
        <w:rPr>
          <w:szCs w:val="24"/>
        </w:rPr>
        <w:t xml:space="preserve"> </w:t>
      </w:r>
      <w:r w:rsidRPr="00812CB0">
        <w:rPr>
          <w:szCs w:val="24"/>
        </w:rPr>
        <w:t>by</w:t>
      </w:r>
      <w:r>
        <w:rPr>
          <w:szCs w:val="24"/>
        </w:rPr>
        <w:t xml:space="preserve"> that is prevalent among</w:t>
      </w:r>
      <w:r w:rsidRPr="00812CB0">
        <w:rPr>
          <w:szCs w:val="24"/>
        </w:rPr>
        <w:t xml:space="preserve"> Millennials. In an organizational context, governance and decision-making by consequence, are embedded in a broader social, fiscal, political, and cultural environment that thereby shapes practices and outcomes </w:t>
      </w:r>
      <w:r w:rsidRPr="00812CB0">
        <w:rPr>
          <w:szCs w:val="24"/>
        </w:rPr>
        <w:fldChar w:fldCharType="begin"/>
      </w:r>
      <w:r>
        <w:rPr>
          <w:szCs w:val="24"/>
        </w:rPr>
        <w:instrText xml:space="preserve"> ADDIN ZOTERO_ITEM CSL_CITATION {"citationID":"7zuDndfB","properties":{"formattedCitation":"(Lynn, Heinrich, and Hill 2001, 17)","plainCitation":"(Lynn, Heinrich, and Hill 2001, 17)"},"citationItems":[{"id":3223,"uris":["http://zotero.org/users/381007/items/UHPUVGSR"],"uri":["http://zotero.org/users/381007/items/UHPUVGSR"],"itemData":{"id":3223,"type":"chapter","title":"A Logic for Governance Research","container-title":"Improving Governance:  A New Logic for Empirical Research","publisher":"Georgetown University Press","publisher-place":"Washington","event-place":"Washington","abstract":"Authors propose a three levels of dynamic governance, noting that although the public and private sectors are distinct in terms of management, that they are subject to some of the same influnces.  Particularly important are categories of culture, global, and socioeconomic categories broadly.  These levels are dynamic, but represent interaction between stakeholders, legislators, and institutions. \n\nInstitutional (public choice) level of governance is concerned with the establishment of governing relations or broad strategic alignments at legislative level (relationships between g,a,b,c,d or between public/stakeholders and legislators, between legislative prefs and formal authority governing public agencies, and between formal authority and the org and management of public agencies and programs\n\nThe managerial level of governance is concerned with further shaping of governing relations or the elaboration of strategies by organizational actors - comprising relationships between d and e (interactions between organization, management, and administration and the core technologies and primary work of public agencies\n\nThe technical level of governance is concerned with further shaping of governance at the primary work level where strategic alignments are given their operational expression comprising of relationships between e and f (interactions between primary workers and consequences/outcomes for service recipients/stakeholders) (36)","author":[{"family":"Lynn","given":"Laurence E. Jr."},{"family":"Heinrich","given":"Carolyn J."},{"family":"Hill","given":"Carolyn J."}],"issued":{"date-parts":[["2001"]]}},"locator":"17"}],"schema":"https://github.com/citation-style-language/schema/raw/master/csl-citation.json"} </w:instrText>
      </w:r>
      <w:r w:rsidRPr="00812CB0">
        <w:rPr>
          <w:szCs w:val="24"/>
        </w:rPr>
        <w:fldChar w:fldCharType="separate"/>
      </w:r>
      <w:r w:rsidRPr="00812CB0">
        <w:t>(Lynn, Heinrich, and Hill 2001, 17)</w:t>
      </w:r>
      <w:r w:rsidRPr="00812CB0">
        <w:rPr>
          <w:szCs w:val="24"/>
        </w:rPr>
        <w:fldChar w:fldCharType="end"/>
      </w:r>
      <w:r w:rsidRPr="00812CB0">
        <w:rPr>
          <w:szCs w:val="24"/>
        </w:rPr>
        <w:t xml:space="preserve">. </w:t>
      </w:r>
    </w:p>
    <w:p w:rsidR="001630DC" w:rsidRPr="00812CB0" w:rsidRDefault="001630DC" w:rsidP="001630DC">
      <w:pPr>
        <w:spacing w:line="480" w:lineRule="auto"/>
      </w:pPr>
      <w:r w:rsidRPr="00812CB0">
        <w:rPr>
          <w:szCs w:val="24"/>
        </w:rPr>
        <w:tab/>
        <w:t xml:space="preserve">Still, little scholarship focuses on patterns of communication and organizational structure among </w:t>
      </w:r>
      <w:r>
        <w:rPr>
          <w:szCs w:val="24"/>
        </w:rPr>
        <w:t>TNGO</w:t>
      </w:r>
      <w:r w:rsidRPr="00812CB0">
        <w:rPr>
          <w:szCs w:val="24"/>
        </w:rPr>
        <w:t xml:space="preserve">s. Federated bodies have been examined in the domestic context </w:t>
      </w:r>
      <w:r w:rsidRPr="00812CB0">
        <w:rPr>
          <w:szCs w:val="24"/>
        </w:rPr>
        <w:fldChar w:fldCharType="begin"/>
      </w:r>
      <w:r>
        <w:rPr>
          <w:szCs w:val="24"/>
        </w:rPr>
        <w:instrText xml:space="preserve"> ADDIN ZOTERO_ITEM CSL_CITATION {"citationID":"FrHq7UQX","properties":{"formattedCitation":"(Provan 1983; Stone, Hager, and Griffin 2001)","plainCitation":"(Provan 1983; Stone, Hager, and Griffin 2001)"},"citationItems":[{"id":3563,"uris":["http://zotero.org/users/381007/items/3775XS6Q"],"uri":["http://zotero.org/users/381007/items/3775XS6Q"],"itemData":{"id":3563,"type":"article-journal","title":"The Federation as an Interorganizational Linkage Network","container-title":"The Academy of Management Review","page":"79","volume":"8","issue":"1","source":"CrossRef","abstract":"Provan (1983): 3 types of federations. Approach is to focus on clusters of dyadic rltns within orgs rather than comparing across orgs (see Evan 1966; Pfeffer &amp; Nowak 1976) and implications (Aiken &amp; Hage 1968; Molnar &amp; Rogers 1979). Interog rltns are often too complex to be explained by focusing only on dyads. 3rd approach is network of linked orgs, field in which federations are understudied. In federation, affiliates relinquish control over certain activities to the federation’s management; in return, mgmnt minimize the complexity of the linkage network and reduce environmental uncertainty. Focus of paper is on impact of federation affiliations on capacity of affiliates to make strategic level decisions autonomously. Pfeffer and Salancik (1978) refer to “organized coordination of interdependence” among orgs, suggesting that there are many firms developing linkages and hierarchical structures to manage interdependencies. Collective management structures.","DOI":"10.2307/257170","ISSN":"03637425","author":[{"family":"Provan","given":"Keith G."}],"issued":{"date-parts":[["1983"]]},"accessed":{"date-parts":[["2016",2,4]]}}},{"id":3186,"uris":["http://zotero.org/users/381007/items/JUBXE845"],"uri":["http://zotero.org/users/381007/items/JUBXE845"],"itemData":{"id":3186,"type":"article-journal","title":"Organizational Characeristics and Funding Environments: A Study of a Population of United Way-Affilated Nonprofits","container-title":"Public Administration Review","page":"276-289","volume":"61","issue":"3","author":[{"family":"Stone","given":"Melissa Middelton"},{"family":"Hager","given":"Mark A."},{"family":"Griffin","given":"Jennifer J."}],"issued":{"date-parts":[["2001"]]}}}],"schema":"https://github.com/citation-style-language/schema/raw/master/csl-citation.json"} </w:instrText>
      </w:r>
      <w:r w:rsidRPr="00812CB0">
        <w:rPr>
          <w:szCs w:val="24"/>
        </w:rPr>
        <w:fldChar w:fldCharType="separate"/>
      </w:r>
      <w:r w:rsidRPr="00812CB0">
        <w:rPr>
          <w:noProof/>
          <w:szCs w:val="24"/>
        </w:rPr>
        <w:t>(Provan 1983; Stone, Hager, and Griffin 2001)</w:t>
      </w:r>
      <w:r w:rsidRPr="00812CB0">
        <w:rPr>
          <w:szCs w:val="24"/>
        </w:rPr>
        <w:fldChar w:fldCharType="end"/>
      </w:r>
      <w:r w:rsidRPr="00812CB0">
        <w:rPr>
          <w:szCs w:val="24"/>
        </w:rPr>
        <w:t xml:space="preserve"> and the role of organization identity in the international context </w:t>
      </w:r>
      <w:r w:rsidRPr="00812CB0">
        <w:rPr>
          <w:szCs w:val="24"/>
        </w:rPr>
        <w:fldChar w:fldCharType="begin"/>
      </w:r>
      <w:r>
        <w:rPr>
          <w:szCs w:val="24"/>
        </w:rPr>
        <w:instrText xml:space="preserve"> ADDIN ZOTERO_ITEM CSL_CITATION {"citationID":"VyXGsGFx","properties":{"formattedCitation":"(Young 2001)","plainCitation":"(Young 2001)"},"citationItems":[{"id":3565,"uris":["http://zotero.org/users/381007/items/AUZ5MZKJ"],"uri":["http://zotero.org/users/381007/items/AUZ5MZKJ"],"itemData":{"id":3565,"type":"article-journal","title":"Organizational identity in nonprofit organizations: Strategic and structural implications","container-title":"Nonprofit management and leadership","page":"139–157","volume":"12","issue":"2","source":"Google Scholar","abstract":"Organizational identity is what is central, distinctive, and\nenduring about an organization. This article argues that clar-\nity and consensus about organizational identity are essential\nelements in setting successful long-term strategy and making\nstructural choices in a nonprofit organization. Four classes of\nnonprofit organization are examined here: grantmaking foun-\ndations, federated fundraising organizations, nonprofit academic\ncenters, and social enterprises. In each case, alternative identi-\nties are described and the implications of each identity for orga-\nnizational strategy and structure are analyzed. The article\nsuggests that examination of identity should become an integral\npart of organizational development for nonprofit organizations\nand a subject for continued research.","shortTitle":"Organizational identity in nonprofit organizations","author":[{"family":"Young","given":"Dennis R."}],"issued":{"date-parts":[["2001"]]},"accessed":{"date-parts":[["2016",2,4]]}}}],"schema":"https://github.com/citation-style-language/schema/raw/master/csl-citation.json"} </w:instrText>
      </w:r>
      <w:r w:rsidRPr="00812CB0">
        <w:rPr>
          <w:szCs w:val="24"/>
        </w:rPr>
        <w:fldChar w:fldCharType="separate"/>
      </w:r>
      <w:r w:rsidRPr="00812CB0">
        <w:rPr>
          <w:noProof/>
          <w:szCs w:val="24"/>
        </w:rPr>
        <w:t>(Young 2001)</w:t>
      </w:r>
      <w:r w:rsidRPr="00812CB0">
        <w:rPr>
          <w:szCs w:val="24"/>
        </w:rPr>
        <w:fldChar w:fldCharType="end"/>
      </w:r>
      <w:r w:rsidRPr="00812CB0">
        <w:rPr>
          <w:szCs w:val="24"/>
        </w:rPr>
        <w:t xml:space="preserve">. However, there is little linkage between these two areas of study compared to the body of literature on organizational structure and the relationship between headquarters and subsidiaries in MNCs </w:t>
      </w:r>
      <w:r w:rsidRPr="00812CB0">
        <w:rPr>
          <w:szCs w:val="24"/>
        </w:rPr>
        <w:fldChar w:fldCharType="begin"/>
      </w:r>
      <w:r>
        <w:rPr>
          <w:szCs w:val="24"/>
        </w:rPr>
        <w:instrText xml:space="preserve"> ADDIN ZOTERO_ITEM CSL_CITATION {"citationID":"ItOhjtHF","properties":{"formattedCitation":"{\\rtf (Ghoshal and Nohria 1989; Ghoshal and Bartlett 1990; Bj\\uc0\\u246{}rkman, Barner-Rasmussen, and Li 2004; Gupta and Govindarajan 2000)}","plainCitation":"(Ghoshal and Nohria 1989; Ghoshal and Bartlett 1990; Björkman, Barner-Rasmussen, and Li 2004; Gupta and Govindarajan 2000)"},"citationItems":[{"id":3569,"uris":["http://zotero.org/users/381007/items/J3D73KIZ"],"uri":["http://zotero.org/users/381007/items/J3D73KIZ"],"itemData":{"id":3569,"type":"article-journal","title":"Internal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id":3567,"uris":["http://zotero.org/users/381007/items/M22F3JTB"],"uri":["http://zotero.org/users/381007/items/M22F3JTB"],"itemData":{"id":3567,"type":"article-journal","title":"The Multinational Corporation as an Interorganizational Network","container-title":"The Academy of Management Review","page":"603","volume":"15","issue":"4","source":"CrossRef","abstract":"A multinational corporation consists of \na group of geographically dispersed and \ngoal-disparateorganizations that include \nits head- quarters and the different \nnational subsidiaries. Such an entity can be conceptualized as an interorganizational network that is embedded in an external network consisting of all other organizations such as customers, suppliers, regulators, and so on, with which the different units \nof the multinational must interact. \nBased on such a conceptualization, the \npresent \nauthors \ndraw \non \ninterorganization \ntheory \nto \ndevelop \na \nmodel \nof \nthe \nmultinational \ncorporation \nas \nan \ninternally \ndifferentiated \ninterorganizational \nnetwork. \nThey \npropose \nhypotheses \nthat \nrelate \ncertain \nattributes \nof \nthe \nmultinational, \nsuch \nas \nresource \nconfiguration \nand \ninternal \ndistribution \nof \npower, \nto \ncertain \nstructural \nproperties \nof \nits \nexternal \nnetwork.","DOI":"10.2307/258684","ISSN":"03637425","author":[{"family":"Ghoshal","given":"Sumantra"},{"family":"Bartlett","given":"Christopher A."}],"issued":{"date-parts":[["1990"]]},"accessed":{"date-parts":[["2016",2,5]]}}},{"id":3591,"uris":["http://zotero.org/users/381007/items/Z2AKC7VH"],"uri":["http://zotero.org/users/381007/items/Z2AKC7VH"],"itemData":{"id":3591,"type":"article-journal","title":"Managing knowledge transfer in MNCs: The impact of headquarters control mechanisms","container-title":"Journal of international business studies","page":"443–455","volume":"35","issue":"5","source":"Google Scholar","shortTitle":"Managing knowledge transfer in MNCs","author":[{"family":"Björkman","given":"Ingmar"},{"family":"Barner-Rasmussen","given":"Wilhelm"},{"family":"Li","given":"Li"}],"issued":{"date-parts":[["2004"]]},"accessed":{"date-parts":[["2016",2,5]]}}},{"id":3583,"uris":["http://zotero.org/users/381007/items/QXZDGUVC"],"uri":["http://zotero.org/users/381007/items/QXZDGUVC"],"itemData":{"id":3583,"type":"article-journal","title":"Knowledge Flows Within Multinational Corporations","container-title":"Strategic Management Journal","page":"473-496","volume":"21","author":[{"family":"Gupta","given":"Anil K."},{"family":"Govindarajan","given":"Vijay"}],"issued":{"date-parts":[["2000"]]}}}],"schema":"https://github.com/citation-style-language/schema/raw/master/csl-citation.json"} </w:instrText>
      </w:r>
      <w:r w:rsidRPr="00812CB0">
        <w:rPr>
          <w:szCs w:val="24"/>
        </w:rPr>
        <w:fldChar w:fldCharType="separate"/>
      </w:r>
      <w:r w:rsidRPr="00812CB0">
        <w:t>(Ghoshal and Nohria 1989; Ghoshal and Bartlett 1990; Björkman, Barner-Rasmussen, and Li 2004; Gupta and Govindarajan 2000)</w:t>
      </w:r>
      <w:r w:rsidRPr="00812CB0">
        <w:rPr>
          <w:szCs w:val="24"/>
        </w:rPr>
        <w:fldChar w:fldCharType="end"/>
      </w:r>
      <w:r w:rsidRPr="00812CB0">
        <w:rPr>
          <w:szCs w:val="24"/>
        </w:rPr>
        <w:t xml:space="preserve">. In their discussion of MNCs as interorganizational networks, Ghoshal and Bartlett acknowledge the work of Dimaggio and Powell </w:t>
      </w:r>
      <w:r w:rsidRPr="00812CB0">
        <w:rPr>
          <w:szCs w:val="24"/>
        </w:rPr>
        <w:fldChar w:fldCharType="begin"/>
      </w:r>
      <w:r>
        <w:rPr>
          <w:szCs w:val="24"/>
        </w:rPr>
        <w:instrText xml:space="preserve"> ADDIN ZOTERO_ITEM CSL_CITATION {"citationID":"eFMjPEtB","properties":{"formattedCitation":"(DiMaggio and Powell 1983)","plainCitation":"(DiMaggio and Powell 1983)"},"citationItems":[{"id":3540,"uris":["http://zotero.org/users/381007/items/G84K8SDW"],"uri":["http://zotero.org/users/381007/items/G84K8SDW"],"itemData":{"id":3540,"type":"article-journal","title":"The Iron Cage Revisited: Institutional Isomorphism and Collective Rationality in Organizational Fields","container-title":"American Sociological Review","page":"147-160","volume":"48","issue":"April","abstract":"What makes organizations similar? 3 isomorphic processes: coercive, mimetic, and normative - leads to similarities among actors. The more a field is depenent upon a single resource center, the greater the degree of isomorphism.  See also article on why nonprofits conform to reporting requirements and Atouba and Shumate 2015 on homophily.","author":[{"family":"DiMaggio","given":"Paul"},{"family":"Powell","given":"Walter W."}],"issued":{"date-parts":[["1983"]]}}}],"schema":"https://github.com/citation-style-language/schema/raw/master/csl-citation.json"} </w:instrText>
      </w:r>
      <w:r w:rsidRPr="00812CB0">
        <w:rPr>
          <w:szCs w:val="24"/>
        </w:rPr>
        <w:fldChar w:fldCharType="separate"/>
      </w:r>
      <w:r w:rsidRPr="00812CB0">
        <w:rPr>
          <w:noProof/>
          <w:szCs w:val="24"/>
        </w:rPr>
        <w:t>(1983)</w:t>
      </w:r>
      <w:r w:rsidRPr="00812CB0">
        <w:rPr>
          <w:szCs w:val="24"/>
        </w:rPr>
        <w:fldChar w:fldCharType="end"/>
      </w:r>
      <w:r w:rsidRPr="00812CB0">
        <w:rPr>
          <w:szCs w:val="24"/>
        </w:rPr>
        <w:t xml:space="preserve"> on institutional legitimacy and the competition for political power and Provan </w:t>
      </w:r>
      <w:r w:rsidRPr="00812CB0">
        <w:rPr>
          <w:szCs w:val="24"/>
        </w:rPr>
        <w:fldChar w:fldCharType="begin"/>
      </w:r>
      <w:r>
        <w:rPr>
          <w:szCs w:val="24"/>
        </w:rPr>
        <w:instrText xml:space="preserve"> ADDIN ZOTERO_ITEM CSL_CITATION {"citationID":"d1NvMpSp","properties":{"formattedCitation":"(Provan 1983)","plainCitation":"(Provan 1983)"},"citationItems":[{"id":3563,"uris":["http://zotero.org/users/381007/items/3775XS6Q"],"uri":["http://zotero.org/users/381007/items/3775XS6Q"],"itemData":{"id":3563,"type":"article-journal","title":"The Federation as an Interorganizational Linkage Network","container-title":"The Academy of Management Review","page":"79","volume":"8","issue":"1","source":"CrossRef","abstract":"Provan (1983): 3 types of federations. Approach is to focus on clusters of dyadic rltns within orgs rather than comparing across orgs (see Evan 1966; Pfeffer &amp; Nowak 1976) and implications (Aiken &amp; Hage 1968; Molnar &amp; Rogers 1979). Interog rltns are often too complex to be explained by focusing only on dyads. 3rd approach is network of linked orgs, field in which federations are understudied. In federation, affiliates relinquish control over certain activities to the federation’s management; in return, mgmnt minimize the complexity of the linkage network and reduce environmental uncertainty. Focus of paper is on impact of federation affiliations on capacity of affiliates to make strategic level decisions autonomously. Pfeffer and Salancik (1978) refer to “organized coordination of interdependence” among orgs, suggesting that there are many firms developing linkages and hierarchical structures to manage interdependencies. Collective management structures.","DOI":"10.2307/257170","ISSN":"03637425","author":[{"family":"Provan","given":"Keith G."}],"issued":{"date-parts":[["1983"]]},"accessed":{"date-parts":[["2016",2,4]]}}}],"schema":"https://github.com/citation-style-language/schema/raw/master/csl-citation.json"} </w:instrText>
      </w:r>
      <w:r w:rsidRPr="00812CB0">
        <w:rPr>
          <w:szCs w:val="24"/>
        </w:rPr>
        <w:fldChar w:fldCharType="separate"/>
      </w:r>
      <w:r w:rsidRPr="00812CB0">
        <w:rPr>
          <w:noProof/>
          <w:szCs w:val="24"/>
        </w:rPr>
        <w:t>(1983)</w:t>
      </w:r>
      <w:r w:rsidRPr="00812CB0">
        <w:rPr>
          <w:szCs w:val="24"/>
        </w:rPr>
        <w:fldChar w:fldCharType="end"/>
      </w:r>
      <w:r w:rsidRPr="00812CB0">
        <w:rPr>
          <w:szCs w:val="24"/>
        </w:rPr>
        <w:t xml:space="preserve"> on federated structures. This highlights the potential for nonprofit studies to draw from MNC scholarship to understand factors that shape decision-making in addition to the external environment. </w:t>
      </w:r>
    </w:p>
    <w:p w:rsidR="001630DC" w:rsidRPr="00812CB0" w:rsidRDefault="001630DC" w:rsidP="001630DC">
      <w:pPr>
        <w:spacing w:line="480" w:lineRule="auto"/>
      </w:pPr>
      <w:r w:rsidRPr="00812CB0">
        <w:tab/>
        <w:t xml:space="preserve">Focusing on the international development sector, this chapter presents three conceptual models of organization structure. The models were developed using interviews conducted with the country directors and deputy country directors of 23 </w:t>
      </w:r>
      <w:r>
        <w:t>U.S.-based</w:t>
      </w:r>
      <w:r w:rsidRPr="00812CB0">
        <w:t xml:space="preserve"> </w:t>
      </w:r>
      <w:r>
        <w:t>TNGO</w:t>
      </w:r>
      <w:r w:rsidRPr="00812CB0">
        <w:t xml:space="preserve">s operating in Uganda. International development as a sector encompasses a range of organizations in size, age, and activity. Due to this diversity, the sector is well suited for a comparative examination of the internal dynamics of </w:t>
      </w:r>
      <w:r>
        <w:t>TNGO</w:t>
      </w:r>
      <w:r w:rsidRPr="00812CB0">
        <w:t xml:space="preserve">s while also offering a premise for comparability. Uganda was selected as the field site for the number of </w:t>
      </w:r>
      <w:r>
        <w:t>U.S.-based</w:t>
      </w:r>
      <w:r w:rsidRPr="00812CB0">
        <w:t xml:space="preserve"> international development </w:t>
      </w:r>
      <w:r>
        <w:t>TNGO</w:t>
      </w:r>
      <w:r w:rsidRPr="00812CB0">
        <w:t xml:space="preserve">s and for its representativeness as a case. Although the number of organizations is higher than in other cases, </w:t>
      </w:r>
      <w:r>
        <w:t>TNGO</w:t>
      </w:r>
      <w:r w:rsidRPr="00812CB0">
        <w:t xml:space="preserve">s operating in Uganda are representative </w:t>
      </w:r>
      <w:r>
        <w:t>the broader population of international development TNGOs</w:t>
      </w:r>
      <w:r w:rsidRPr="00812CB0">
        <w:t xml:space="preserve">. </w:t>
      </w:r>
    </w:p>
    <w:p w:rsidR="001630DC" w:rsidRDefault="001630DC" w:rsidP="001630DC">
      <w:pPr>
        <w:spacing w:line="480" w:lineRule="auto"/>
      </w:pPr>
      <w:r w:rsidRPr="00812CB0">
        <w:tab/>
        <w:t xml:space="preserve">Finally, interviews with the country directors and deputies of </w:t>
      </w:r>
      <w:r>
        <w:t>U.S.-based</w:t>
      </w:r>
      <w:r w:rsidRPr="00812CB0">
        <w:t xml:space="preserve"> </w:t>
      </w:r>
      <w:r>
        <w:t>TNGO</w:t>
      </w:r>
      <w:r w:rsidRPr="00812CB0">
        <w:t xml:space="preserve">s serves two purposes. First, it directly addresses the question of internal dynamics: who sets priorities in the organization internally and how are these communicated to the distinct units across the organization? This approach expands the domestic scope of the nonprofit and public administration literature, and emphasizing a dimension other than performance </w:t>
      </w:r>
      <w:r w:rsidRPr="00812CB0">
        <w:fldChar w:fldCharType="begin"/>
      </w:r>
      <w:r>
        <w:instrText xml:space="preserve"> ADDIN ZOTERO_ITEM CSL_CITATION {"citationID":"XfWCTLi4","properties":{"formattedCitation":"(W. A. Brown 2004; William A. Brown 2005; Rojas 2000; Sowa 2009; Herman and Renz 1999)","plainCitation":"(W. A. Brown 2004; William A. Brown 2005; Rojas 2000; Sowa 2009; Herman and Renz 1999)"},"citationItems":[{"id":3603,"uris":["http://zotero.org/users/381007/items/CMC5X9C5"],"uri":["http://zotero.org/users/381007/items/CMC5X9C5"],"itemData":{"id":3603,"type":"article-journal","title":"Exploring Strategy and Board Structure in Nonprofit Organizations","container-title":"Nonprofit and Voluntary Sector Quarterly","page":"377-400","volume":"33","issue":"3","source":"CrossRef","DOI":"10.1177/0899764004265428","ISSN":"0899-7640","language":"en","author":[{"family":"Brown","given":"W. A."}],"issued":{"date-parts":[["2004",9,1]]},"accessed":{"date-parts":[["2016",2,9]]}}},{"id":3605,"uris":["http://zotero.org/users/381007/items/FVE75XNH"],"uri":["http://zotero.org/users/381007/items/FVE75XNH"],"itemData":{"id":3605,"type":"article-journal","title":"Exploring the association between board and organizational performance in nonprofit organizations","container-title":"Nonprofit Management and Leadership","page":"317–339","volume":"15","issue":"3","source":"Google Scholar","author":[{"family":"Brown","given":"William A."}],"issued":{"date-parts":[["2005"]]},"accessed":{"date-parts":[["2016",2,9]]}}},{"id":3598,"uris":["http://zotero.org/users/381007/items/8JW6JT94"],"uri":["http://zotero.org/users/381007/items/8JW6JT94"],"itemData":{"id":3598,"type":"article-journal","title":"A Review of Models for Measuring Organizational Effectiveness Among For-Profit and Nonprofit Organizations","container-title":"Nonprofit Management and Leadership","page":"97–104","volume":"11","issue":"1","source":"Google Scholar","author":[{"family":"Rojas","given":"Ronald R."}],"issued":{"date-parts":[["2000"]]},"accessed":{"date-parts":[["2016",2,9]]}}},{"id":1422,"uris":["http://zotero.org/users/381007/items/UF57SFIN"],"uri":["http://zotero.org/users/381007/items/UF57SFIN"],"itemData":{"id":1422,"type":"article-journal","title":"The Collaboration Decision in Nonprofit Organizations: Views From the Front Line","container-title":"Nonprofit and Voluntary Sector Quarterly","page":"1003-1025","volume":"38","issue":"6","abstract":"To understand the impact of collaborative service delivery by nonprofit organizations,\nscholars must fully understand why those nonprofits enter into service delivery\ncollaborations and what motivates them to collaborate with another organization to deliver\ntheir services. Drawing on managers’ retrospective accounts concerning the creation of\ninteragency collaborations and applying multiple theoretical perspectives, this article\nexplores what managers directly involved in collaborations perceive to be the rewards or\nbenefits of those collaborations. This research demonstrates the multiple forces driving the\nformation of interagency collaborations, in particular the desire to secure benefits attached\nto service delivery and to secure benefits for the organization as a whole. Understanding\nwhy nonprofit managers enter into interagency service delivery collaborations will allow\nfor scholars to better determine the full impact of those collaborations on both services and\nthe nonprofit organizations engaged in the collaborations.","author":[{"family":"Sowa","given":"Jessica E."}],"issued":{"date-parts":[["2009"]]}}},{"id":3602,"uris":["http://zotero.org/users/381007/items/CM2WI49E"],"uri":["http://zotero.org/users/381007/items/CM2WI49E"],"itemData":{"id":3602,"type":"article-journal","title":"Theses on nonprofit organizational effectiveness","container-title":"Nonprofit and voluntary sector Quarterly","page":"107–126","volume":"28","issue":"2","source":"Google Scholar","author":[{"family":"Herman","given":"Robert D."},{"family":"Renz","given":"David O."}],"issued":{"date-parts":[["1999"]]},"accessed":{"date-parts":[["2016",2,9]]}}}],"schema":"https://github.com/citation-style-language/schema/raw/master/csl-citation.json"} </w:instrText>
      </w:r>
      <w:r w:rsidRPr="00812CB0">
        <w:fldChar w:fldCharType="separate"/>
      </w:r>
      <w:r w:rsidRPr="00812CB0">
        <w:t>(Brown 2004; Brown 2005; Rojas 2000; Sowa 2009; Herman and Renz 1999)</w:t>
      </w:r>
      <w:r w:rsidRPr="00812CB0">
        <w:fldChar w:fldCharType="end"/>
      </w:r>
      <w:r w:rsidRPr="00812CB0">
        <w:t xml:space="preserve">. It also adds a new perspective by focusing on field staff rather than elite interviews with Boards of Directors or executives </w:t>
      </w:r>
      <w:r w:rsidRPr="00812CB0">
        <w:fldChar w:fldCharType="begin"/>
      </w:r>
      <w:r>
        <w:instrText xml:space="preserve"> ADDIN ZOTERO_ITEM CSL_CITATION {"citationID":"LwoG5Ztt","properties":{"formattedCitation":"{\\rtf (Daley and Angulo 1994; Bradshaw, Murray, and Wolpin 1992; O\\uc0\\u8217{}Regan and Oster 2005)}","plainCitation":"(Daley and Angulo 1994; Bradshaw, Murray, and Wolpin 1992; O’Regan and Oster 2005)"},"citationItems":[{"id":3608,"uris":["http://zotero.org/users/381007/items/IAJVGC67"],"uri":["http://zotero.org/users/381007/items/IAJVGC67"],"itemData":{"id":3608,"type":"article-journal","title":"Understanding the Dynamics of Diversity Within Nonprofit Boards","page":"172-188","volume":"25","issue":"2","source":"Google Scholar","author":[{"family":"Daley","given":"John Michael"},{"family":"Angulo","given":"Julio"}],"issued":{"date-parts":[["1994"]]},"accessed":{"date-parts":[["2016",2,9]]}}},{"id":3610,"uris":["http://zotero.org/users/381007/items/J7DGHWRV"],"uri":["http://zotero.org/users/381007/items/J7DGHWRV"],"itemData":{"id":3610,"type":"article-journal","title":"Do nonprofit boards make a difference? An exploration of the relationships among board structure, process, and effectiveness","container-title":"Nonprofit and voluntary sector quarterly","page":"227–249","volume":"21","issue":"3","source":"Google Scholar","shortTitle":"Do nonprofit boards make a difference?","author":[{"family":"Bradshaw","given":"Pat"},{"family":"Murray","given":"Vic"},{"family":"Wolpin","given":"Jacob"}],"issued":{"date-parts":[["1992"]]},"accessed":{"date-parts":[["2016",2,9]]}}},{"id":1015,"uris":["http://zotero.org/users/381007/items/J2Q3JA7D"],"uri":["http://zotero.org/users/381007/items/J2Q3JA7D"],"itemData":{"id":1015,"type":"article-journal","title":"Does the Structure and Composition of the Board Matter?  The Case of Nonprofit Organizations","container-title":"Journal of Law, Economics &amp; Organization","page":"205-227","volume":"21","issue":"1","abstract":"Compares board behavior between nonprofit boards and for-profit boards. Results provide evidence that the executive directors of nonprofits may use their power to push boards toward fundraising in place of monitoring activity.  Does not find systematic relationship between board personal demographics and performance, but tenure on the board and multiple board service do matter.","author":[{"family":"O'Regan","given":"Katherine"},{"family":"Oster","given":"Sharon M."}],"issued":{"date-parts":[["2005"]]}}}],"schema":"https://github.com/citation-style-language/schema/raw/master/csl-citation.json"} </w:instrText>
      </w:r>
      <w:r w:rsidRPr="00812CB0">
        <w:fldChar w:fldCharType="separate"/>
      </w:r>
      <w:r w:rsidRPr="00812CB0">
        <w:rPr>
          <w:szCs w:val="24"/>
        </w:rPr>
        <w:t>(Daley and Angulo 1994; Bradshaw, Murray, and Wolpin 1992; O’Regan and Oster 2005)</w:t>
      </w:r>
      <w:r w:rsidRPr="00812CB0">
        <w:fldChar w:fldCharType="end"/>
      </w:r>
      <w:r w:rsidRPr="00812CB0">
        <w:t>. Second, interviews are a mechanism to verify earlier findings on the significance of external factors.</w:t>
      </w:r>
    </w:p>
    <w:p w:rsidR="00E67B1D" w:rsidRDefault="00E67B1D" w:rsidP="00E67B1D">
      <w:pPr>
        <w:spacing w:line="480" w:lineRule="auto"/>
        <w:rPr>
          <w:szCs w:val="24"/>
        </w:rPr>
      </w:pPr>
    </w:p>
    <w:p w:rsidR="001630DC" w:rsidRPr="00E0224B" w:rsidRDefault="001630DC" w:rsidP="00E67B1D">
      <w:pPr>
        <w:pStyle w:val="Heading2"/>
        <w:numPr>
          <w:ilvl w:val="0"/>
          <w:numId w:val="0"/>
        </w:numPr>
        <w:jc w:val="center"/>
        <w:rPr>
          <w:b/>
          <w:color w:val="auto"/>
          <w:sz w:val="24"/>
          <w:szCs w:val="24"/>
        </w:rPr>
      </w:pPr>
      <w:bookmarkStart w:id="294" w:name="_Toc450079232"/>
      <w:r w:rsidRPr="00E0224B">
        <w:rPr>
          <w:b/>
          <w:color w:val="auto"/>
          <w:sz w:val="24"/>
          <w:szCs w:val="24"/>
        </w:rPr>
        <w:t>4.2</w:t>
      </w:r>
      <w:r>
        <w:rPr>
          <w:b/>
          <w:color w:val="auto"/>
          <w:sz w:val="24"/>
          <w:szCs w:val="24"/>
        </w:rPr>
        <w:t>:</w:t>
      </w:r>
      <w:r w:rsidRPr="00E0224B">
        <w:rPr>
          <w:b/>
          <w:color w:val="auto"/>
          <w:sz w:val="24"/>
          <w:szCs w:val="24"/>
        </w:rPr>
        <w:t xml:space="preserve"> Previous Research</w:t>
      </w:r>
      <w:bookmarkEnd w:id="294"/>
    </w:p>
    <w:p w:rsidR="00E67B1D" w:rsidRDefault="00E67B1D" w:rsidP="00E67B1D">
      <w:pPr>
        <w:spacing w:line="480" w:lineRule="auto"/>
        <w:rPr>
          <w:szCs w:val="24"/>
        </w:rPr>
      </w:pPr>
    </w:p>
    <w:p w:rsidR="001630DC" w:rsidRPr="00812CB0" w:rsidRDefault="001630DC" w:rsidP="001630DC">
      <w:pPr>
        <w:spacing w:line="480" w:lineRule="auto"/>
        <w:jc w:val="center"/>
        <w:rPr>
          <w:i/>
          <w:iCs/>
        </w:rPr>
      </w:pPr>
      <w:r w:rsidRPr="00812CB0">
        <w:rPr>
          <w:i/>
          <w:iCs/>
        </w:rPr>
        <w:t>Organizational Structure in Transnational Organizations</w:t>
      </w:r>
    </w:p>
    <w:p w:rsidR="001630DC" w:rsidRPr="00812CB0" w:rsidRDefault="001630DC" w:rsidP="001630DC">
      <w:pPr>
        <w:spacing w:line="480" w:lineRule="auto"/>
        <w:rPr>
          <w:iCs/>
        </w:rPr>
      </w:pPr>
      <w:r w:rsidRPr="00812CB0">
        <w:rPr>
          <w:iCs/>
        </w:rPr>
        <w:tab/>
        <w:t xml:space="preserve">Studies of organizational structure in transnational organizations are predominantly found in scholarship on for-profit entities </w:t>
      </w:r>
      <w:r w:rsidRPr="00812CB0">
        <w:rPr>
          <w:iCs/>
        </w:rPr>
        <w:fldChar w:fldCharType="begin"/>
      </w:r>
      <w:r>
        <w:rPr>
          <w:iCs/>
        </w:rPr>
        <w:instrText xml:space="preserve"> ADDIN ZOTERO_ITEM CSL_CITATION {"citationID":"M4i1K2VT","properties":{"formattedCitation":"{\\rtf (Bj\\uc0\\u246{}rkman, Barner-Rasmussen, and Li 2004; Ghoshal and Nohria 1989)}","plainCitation":"(Björkman, Barner-Rasmussen, and Li 2004; Ghoshal and Nohria 1989)"},"citationItems":[{"id":3591,"uris":["http://zotero.org/users/381007/items/Z2AKC7VH"],"uri":["http://zotero.org/users/381007/items/Z2AKC7VH"],"itemData":{"id":3591,"type":"article-journal","title":"Managing knowledge transfer in MNCs: The impact of headquarters control mechanisms","container-title":"Journal of international business studies","page":"443–455","volume":"35","issue":"5","source":"Google Scholar","shortTitle":"Managing knowledge transfer in MNCs","author":[{"family":"Björkman","given":"Ingmar"},{"family":"Barner-Rasmussen","given":"Wilhelm"},{"family":"Li","given":"Li"}],"issued":{"date-parts":[["2004"]]},"accessed":{"date-parts":[["2016",2,5]]}}},{"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rPr>
          <w:iCs/>
        </w:rPr>
        <w:fldChar w:fldCharType="separate"/>
      </w:r>
      <w:r w:rsidRPr="00812CB0">
        <w:t>(Björkman, Barner-Rasmussen, and Li 2004; Ghoshal and Nohria 1989)</w:t>
      </w:r>
      <w:r w:rsidRPr="00812CB0">
        <w:rPr>
          <w:iCs/>
        </w:rPr>
        <w:fldChar w:fldCharType="end"/>
      </w:r>
      <w:r w:rsidRPr="00812CB0">
        <w:rPr>
          <w:iCs/>
        </w:rPr>
        <w:t xml:space="preserve">. Attention to this issue in the nonprofit and </w:t>
      </w:r>
      <w:r>
        <w:rPr>
          <w:iCs/>
        </w:rPr>
        <w:t>TNGO</w:t>
      </w:r>
      <w:r w:rsidRPr="00812CB0">
        <w:rPr>
          <w:iCs/>
        </w:rPr>
        <w:t xml:space="preserve"> spheres places a strong emphasis on federated bodies and associations </w:t>
      </w:r>
      <w:r w:rsidRPr="00812CB0">
        <w:rPr>
          <w:iCs/>
        </w:rPr>
        <w:fldChar w:fldCharType="begin"/>
      </w:r>
      <w:r>
        <w:rPr>
          <w:iCs/>
        </w:rPr>
        <w:instrText xml:space="preserve"> ADDIN ZOTERO_ITEM CSL_CITATION {"citationID":"yJg9JIzh","properties":{"formattedCitation":"(Young et al. 1999)","plainCitation":"(Young et al. 1999)"},"citationItems":[{"id":3577,"uris":["http://zotero.org/users/381007/items/QTBEVDER"],"uri":["http://zotero.org/users/381007/items/QTBEVDER"],"itemData":{"id":3577,"type":"article-journal","title":"Strategy and structure in managing global associations","container-title":"Voluntas: International Journal of Voluntary and Nonprofit Organizations","page":"323–343","volume":"10","issue":"4","source":"Google Scholar","author":[{"family":"Young","given":"Dennis R."},{"family":"Koenig","given":"Bonnie L."},{"family":"Najam","given":"Adil"},{"family":"Fisher","given":"Julie"}],"issued":{"date-parts":[["1999"]]},"accessed":{"date-parts":[["2016",2,5]]}}}],"schema":"https://github.com/citation-style-language/schema/raw/master/csl-citation.json"} </w:instrText>
      </w:r>
      <w:r w:rsidRPr="00812CB0">
        <w:rPr>
          <w:iCs/>
        </w:rPr>
        <w:fldChar w:fldCharType="separate"/>
      </w:r>
      <w:r w:rsidRPr="00812CB0">
        <w:rPr>
          <w:iCs/>
          <w:noProof/>
        </w:rPr>
        <w:t>(Young et al. 1999)</w:t>
      </w:r>
      <w:r w:rsidRPr="00812CB0">
        <w:rPr>
          <w:iCs/>
        </w:rPr>
        <w:fldChar w:fldCharType="end"/>
      </w:r>
      <w:r w:rsidRPr="00812CB0">
        <w:rPr>
          <w:iCs/>
        </w:rPr>
        <w:t xml:space="preserve"> or on comparative cases in developed countries </w:t>
      </w:r>
      <w:r w:rsidRPr="00812CB0">
        <w:rPr>
          <w:iCs/>
        </w:rPr>
        <w:fldChar w:fldCharType="begin"/>
      </w:r>
      <w:r>
        <w:rPr>
          <w:iCs/>
        </w:rPr>
        <w:instrText xml:space="preserve"> ADDIN ZOTERO_ITEM CSL_CITATION {"citationID":"ki7H8wVL","properties":{"formattedCitation":"(Zald and Garner 1987; Wilson 1973)","plainCitation":"(Zald and Garner 1987; Wilson 1973)"},"citationItems":[{"id":3654,"uris":["http://zotero.org/users/381007/items/AKS862GF"],"uri":["http://zotero.org/users/381007/items/AKS862GF"],"itemData":{"id":3654,"type":"chapter","title":"Social Movement Organizations: Growth, Decay, and Change","container-title":"Social Movements in an Organizational Society","publisher":"Transaction Publishers","publisher-place":"New Brunswick","page":"161-180","event-place":"New Brunswick","author":[{"family":"Zald","given":"M.N."},{"family":"Garner","given":"R.A."}],"editor":[{"family":"Zald","given":"M.N."},{"family":"McCarthy","given":"J.D."}],"issued":{"date-parts":[["1987"]]}}},{"id":3656,"uris":["http://zotero.org/users/381007/items/KXHXJIVQ"],"uri":["http://zotero.org/users/381007/items/KXHXJIVQ"],"itemData":{"id":3656,"type":"book","title":"Political Organizations","publisher":"Basic Books","publisher-place":"New York","event-place":"New York","author":[{"family":"Wilson","given":"James Q."}],"issued":{"date-parts":[["1973"]]}}}],"schema":"https://github.com/citation-style-language/schema/raw/master/csl-citation.json"} </w:instrText>
      </w:r>
      <w:r w:rsidRPr="00812CB0">
        <w:rPr>
          <w:iCs/>
        </w:rPr>
        <w:fldChar w:fldCharType="separate"/>
      </w:r>
      <w:r w:rsidRPr="00812CB0">
        <w:t>(Zald and Garner 1987; Wilson 1973)</w:t>
      </w:r>
      <w:r w:rsidRPr="00812CB0">
        <w:rPr>
          <w:iCs/>
        </w:rPr>
        <w:fldChar w:fldCharType="end"/>
      </w:r>
      <w:r w:rsidRPr="00812CB0">
        <w:rPr>
          <w:iCs/>
        </w:rPr>
        <w:t xml:space="preserve">. In the development literature, attention to North-South relations and partnerships with local </w:t>
      </w:r>
      <w:r>
        <w:rPr>
          <w:iCs/>
        </w:rPr>
        <w:t>TNGO</w:t>
      </w:r>
      <w:r w:rsidRPr="00812CB0">
        <w:rPr>
          <w:iCs/>
        </w:rPr>
        <w:t xml:space="preserve">s are much studied </w:t>
      </w:r>
      <w:r w:rsidRPr="00812CB0">
        <w:rPr>
          <w:iCs/>
        </w:rPr>
        <w:fldChar w:fldCharType="begin"/>
      </w:r>
      <w:r>
        <w:rPr>
          <w:iCs/>
        </w:rPr>
        <w:instrText xml:space="preserve"> ADDIN ZOTERO_ITEM CSL_CITATION {"citationID":"awPNtwDw","properties":{"formattedCitation":"(Suzuki 1988; Hudson and Bielefeld 1997)","plainCitation":"(Suzuki 1988; Hudson and Bielefeld 1997)"},"citationItems":[{"id":3655,"uris":["http://zotero.org/users/381007/items/QATGT8WQ"],"uri":["http://zotero.org/users/381007/items/QATGT8WQ"],"itemData":{"id":3655,"type":"book","title":"Inside NGOs","publisher":"Intermediate Technology Publications Ltd.","publisher-place":"London","event-place":"London","author":[{"family":"Suzuki","given":"N."}],"issued":{"date-parts":[["1988"]]}}},{"id":3649,"uris":["http://zotero.org/users/381007/items/PBQIUVXX"],"uri":["http://zotero.org/users/381007/items/PBQIUVXX"],"itemData":{"id":3649,"type":"article-journal","title":"Structures of multinational nonprofit organizations","container-title":"Nonprofit Management and Leadership","page":"31–49","volume":"8","issue":"1","source":"Google Scholar","abstract":"Hudson and Bielefeld (1997)  examine organizational structure in TNGO and local NGO hierarchies, observing that TNGOs form umbrella organizations that are layered over existing local hierarchies. Rather than local NGO partners, the focus of this chapter is on the internal dynamics of the TNGO itself; however, the country units can be substituted for the local NGOs, thereby expanding the scope of this conceptual framework and further testing it.","author":[{"family":"Hudson","given":"Bryant A."},{"family":"Bielefeld","given":"Wolfgang"}],"issued":{"date-parts":[["1997"]]},"accessed":{"date-parts":[["2016",2,22]]}}}],"schema":"https://github.com/citation-style-language/schema/raw/master/csl-citation.json"} </w:instrText>
      </w:r>
      <w:r w:rsidRPr="00812CB0">
        <w:rPr>
          <w:iCs/>
        </w:rPr>
        <w:fldChar w:fldCharType="separate"/>
      </w:r>
      <w:r w:rsidRPr="00812CB0">
        <w:t>(Suzuki 1988; Hudson and Bielefeld 1997)</w:t>
      </w:r>
      <w:r w:rsidRPr="00812CB0">
        <w:rPr>
          <w:iCs/>
        </w:rPr>
        <w:fldChar w:fldCharType="end"/>
      </w:r>
      <w:r w:rsidRPr="00812CB0">
        <w:rPr>
          <w:iCs/>
        </w:rPr>
        <w:t xml:space="preserve">. There are, however, special challenges in managing transnational nonprofits that distinguish </w:t>
      </w:r>
      <w:r>
        <w:rPr>
          <w:iCs/>
        </w:rPr>
        <w:t>TNGO</w:t>
      </w:r>
      <w:r w:rsidRPr="00812CB0">
        <w:rPr>
          <w:iCs/>
        </w:rPr>
        <w:t xml:space="preserve">s from domestic nonprofits. For example, decentralized organizations re found to be more effective in politically charged environments that require immediate adaptation </w:t>
      </w:r>
      <w:r w:rsidRPr="00812CB0">
        <w:rPr>
          <w:iCs/>
        </w:rPr>
        <w:fldChar w:fldCharType="begin"/>
      </w:r>
      <w:r>
        <w:rPr>
          <w:iCs/>
        </w:rPr>
        <w:instrText xml:space="preserve"> ADDIN ZOTERO_ITEM CSL_CITATION {"citationID":"klvunEAZ","properties":{"formattedCitation":"(Zald and Garner 1987)","plainCitation":"(Zald and Garner 1987)"},"citationItems":[{"id":3654,"uris":["http://zotero.org/users/381007/items/AKS862GF"],"uri":["http://zotero.org/users/381007/items/AKS862GF"],"itemData":{"id":3654,"type":"chapter","title":"Social Movement Organizations: Growth, Decay, and Change","container-title":"Social Movements in an Organizational Society","publisher":"Transaction Publishers","publisher-place":"New Brunswick","page":"161-180","event-place":"New Brunswick","author":[{"family":"Zald","given":"M.N."},{"family":"Garner","given":"R.A."}],"editor":[{"family":"Zald","given":"M.N."},{"family":"McCarthy","given":"J.D."}],"issued":{"date-parts":[["1987"]]}}}],"schema":"https://github.com/citation-style-language/schema/raw/master/csl-citation.json"} </w:instrText>
      </w:r>
      <w:r w:rsidRPr="00812CB0">
        <w:rPr>
          <w:iCs/>
        </w:rPr>
        <w:fldChar w:fldCharType="separate"/>
      </w:r>
      <w:r w:rsidRPr="00812CB0">
        <w:t>(Zald and Garner 1987)</w:t>
      </w:r>
      <w:r w:rsidRPr="00812CB0">
        <w:rPr>
          <w:iCs/>
        </w:rPr>
        <w:fldChar w:fldCharType="end"/>
      </w:r>
      <w:r w:rsidRPr="00812CB0">
        <w:rPr>
          <w:iCs/>
        </w:rPr>
        <w:t>. Similarly, one organizational structure may be more suitable for some activities over others. This makes the study of internal dynamics and organizational structure worthwhile.</w:t>
      </w:r>
    </w:p>
    <w:p w:rsidR="001630DC" w:rsidRPr="00812CB0" w:rsidRDefault="001630DC" w:rsidP="001630DC">
      <w:pPr>
        <w:spacing w:line="480" w:lineRule="auto"/>
        <w:rPr>
          <w:szCs w:val="24"/>
        </w:rPr>
      </w:pPr>
      <w:r w:rsidRPr="00812CB0">
        <w:tab/>
      </w:r>
      <w:r w:rsidRPr="00812CB0">
        <w:rPr>
          <w:szCs w:val="24"/>
        </w:rPr>
        <w:t xml:space="preserve">The literature examining the organizational structure, transfer of knowledge, and communication flows within MNCs can be extended to </w:t>
      </w:r>
      <w:r>
        <w:rPr>
          <w:szCs w:val="24"/>
        </w:rPr>
        <w:t>TNGO</w:t>
      </w:r>
      <w:r w:rsidRPr="00812CB0">
        <w:rPr>
          <w:szCs w:val="24"/>
        </w:rPr>
        <w:t xml:space="preserve">s. MNCs, like </w:t>
      </w:r>
      <w:r>
        <w:rPr>
          <w:szCs w:val="24"/>
        </w:rPr>
        <w:t>TNGO</w:t>
      </w:r>
      <w:r w:rsidRPr="00812CB0">
        <w:rPr>
          <w:szCs w:val="24"/>
        </w:rPr>
        <w:t xml:space="preserve">s, are geographically dispersed entities whose structures may be adapted to fit the local political and operating environment and to reflect different scopes of work and resource contingencies. In the case of </w:t>
      </w:r>
      <w:r>
        <w:rPr>
          <w:szCs w:val="24"/>
        </w:rPr>
        <w:t>TNGO</w:t>
      </w:r>
      <w:r w:rsidRPr="00812CB0">
        <w:rPr>
          <w:szCs w:val="24"/>
        </w:rPr>
        <w:t xml:space="preserve">s, the country offices represent the subsidiary units in a MNC. Rather than a dyadic relationship solely between headquarters and the subsidiary, the complex nature of these bodies is better described as an interorganizational network in which goals may be disparate and structure is homogenous </w:t>
      </w:r>
      <w:r w:rsidRPr="00812CB0">
        <w:rPr>
          <w:szCs w:val="24"/>
        </w:rPr>
        <w:fldChar w:fldCharType="begin"/>
      </w:r>
      <w:r>
        <w:rPr>
          <w:szCs w:val="24"/>
        </w:rPr>
        <w:instrText xml:space="preserve"> ADDIN ZOTERO_ITEM CSL_CITATION {"citationID":"niUH0HmA","properties":{"formattedCitation":"(Ghoshal and Bartlett 1990)","plainCitation":"(Ghoshal and Bartlett 1990)"},"citationItems":[{"id":3567,"uris":["http://zotero.org/users/381007/items/M22F3JTB"],"uri":["http://zotero.org/users/381007/items/M22F3JTB"],"itemData":{"id":3567,"type":"article-journal","title":"The Multinational Corporation as an Interorganizational Network","container-title":"The Academy of Management Review","page":"603","volume":"15","issue":"4","source":"CrossRef","abstract":"A multinational corporation consists of \na group of geographically dispersed and \ngoal-disparateorganizations that include \nits head- quarters and the different \nnational subsidiaries. Such an entity can be conceptualized as an interorganizational network that is embedded in an external network consisting of all other organizations such as customers, suppliers, regulators, and so on, with which the different units \nof the multinational must interact. \nBased on such a conceptualization, the \npresent \nauthors \ndraw \non \ninterorganization \ntheory \nto \ndevelop \na \nmodel \nof \nthe \nmultinational \ncorporation \nas \nan \ninternally \ndifferentiated \ninterorganizational \nnetwork. \nThey \npropose \nhypotheses \nthat \nrelate \ncertain \nattributes \nof \nthe \nmultinational, \nsuch \nas \nresource \nconfiguration \nand \ninternal \ndistribution \nof \npower, \nto \ncertain \nstructural \nproperties \nof \nits \nexternal \nnetwork.","DOI":"10.2307/258684","ISSN":"03637425","author":[{"family":"Ghoshal","given":"Sumantra"},{"family":"Bartlett","given":"Christopher A."}],"issued":{"date-parts":[["1990"]]},"accessed":{"date-parts":[["2016",2,5]]}}}],"schema":"https://github.com/citation-style-language/schema/raw/master/csl-citation.json"} </w:instrText>
      </w:r>
      <w:r w:rsidRPr="00812CB0">
        <w:rPr>
          <w:szCs w:val="24"/>
        </w:rPr>
        <w:fldChar w:fldCharType="separate"/>
      </w:r>
      <w:r w:rsidRPr="00812CB0">
        <w:rPr>
          <w:szCs w:val="24"/>
        </w:rPr>
        <w:t>(Ghoshal and Bartlett 1990)</w:t>
      </w:r>
      <w:r w:rsidRPr="00812CB0">
        <w:rPr>
          <w:szCs w:val="24"/>
        </w:rPr>
        <w:fldChar w:fldCharType="end"/>
      </w:r>
      <w:r w:rsidRPr="00812CB0">
        <w:rPr>
          <w:szCs w:val="24"/>
        </w:rPr>
        <w:t xml:space="preserve">. </w:t>
      </w:r>
    </w:p>
    <w:p w:rsidR="001630DC" w:rsidRPr="00812CB0" w:rsidRDefault="001630DC" w:rsidP="001630DC">
      <w:pPr>
        <w:spacing w:line="480" w:lineRule="auto"/>
        <w:ind w:firstLine="720"/>
        <w:rPr>
          <w:szCs w:val="24"/>
        </w:rPr>
      </w:pPr>
      <w:r w:rsidRPr="00812CB0">
        <w:rPr>
          <w:szCs w:val="24"/>
        </w:rPr>
        <w:t xml:space="preserve">The units of </w:t>
      </w:r>
      <w:r>
        <w:rPr>
          <w:szCs w:val="24"/>
        </w:rPr>
        <w:t>TNGO</w:t>
      </w:r>
      <w:r w:rsidRPr="00812CB0">
        <w:rPr>
          <w:szCs w:val="24"/>
        </w:rPr>
        <w:t xml:space="preserve">s engage in varying degrees of integration, including federative structures, coalitions, and corporate structures </w:t>
      </w:r>
      <w:r w:rsidRPr="00812CB0">
        <w:rPr>
          <w:szCs w:val="24"/>
        </w:rPr>
        <w:fldChar w:fldCharType="begin"/>
      </w:r>
      <w:r>
        <w:rPr>
          <w:szCs w:val="24"/>
        </w:rPr>
        <w:instrText xml:space="preserve"> ADDIN ZOTERO_ITEM CSL_CITATION {"citationID":"UyYw9KwG","properties":{"formattedCitation":"{\\rtf (Hudson and Bielefeld 1997, 34\\uc0\\u8211{}37)}","plainCitation":"(Hudson and Bielefeld 1997, 34–37)"},"citationItems":[{"id":3649,"uris":["http://zotero.org/users/381007/items/PBQIUVXX"],"uri":["http://zotero.org/users/381007/items/PBQIUVXX"],"itemData":{"id":3649,"type":"article-journal","title":"Structures of multinational nonprofit organizations","container-title":"Nonprofit Management and Leadership","page":"31–49","volume":"8","issue":"1","source":"Google Scholar","abstract":"Hudson and Bielefeld (1997)  examine organizational structure in TNGO and local NGO hierarchies, observing that TNGOs form umbrella organizations that are layered over existing local hierarchies. Rather than local NGO partners, the focus of this chapter is on the internal dynamics of the TNGO itself; however, the country units can be substituted for the local NGOs, thereby expanding the scope of this conceptual framework and further testing it.","author":[{"family":"Hudson","given":"Bryant A."},{"family":"Bielefeld","given":"Wolfgang"}],"issued":{"date-parts":[["1997"]]},"accessed":{"date-parts":[["2016",2,22]]}},"locator":"34-37"}],"schema":"https://github.com/citation-style-language/schema/raw/master/csl-citation.json"} </w:instrText>
      </w:r>
      <w:r w:rsidRPr="00812CB0">
        <w:rPr>
          <w:szCs w:val="24"/>
        </w:rPr>
        <w:fldChar w:fldCharType="separate"/>
      </w:r>
      <w:r w:rsidRPr="00812CB0">
        <w:rPr>
          <w:szCs w:val="24"/>
        </w:rPr>
        <w:t>(Hudson and Bielefeld 1997, 34–37)</w:t>
      </w:r>
      <w:r w:rsidRPr="00812CB0">
        <w:rPr>
          <w:szCs w:val="24"/>
        </w:rPr>
        <w:fldChar w:fldCharType="end"/>
      </w:r>
      <w:r w:rsidRPr="00812CB0">
        <w:rPr>
          <w:szCs w:val="24"/>
        </w:rPr>
        <w:t xml:space="preserve">. Like for-profit counterparts, </w:t>
      </w:r>
      <w:r>
        <w:rPr>
          <w:szCs w:val="24"/>
        </w:rPr>
        <w:t>TNGO</w:t>
      </w:r>
      <w:r w:rsidRPr="00812CB0">
        <w:rPr>
          <w:szCs w:val="24"/>
        </w:rPr>
        <w:t xml:space="preserve">s may make adjustments to internal organization in response to market changes </w:t>
      </w:r>
      <w:r w:rsidRPr="00812CB0">
        <w:rPr>
          <w:szCs w:val="24"/>
        </w:rPr>
        <w:fldChar w:fldCharType="begin"/>
      </w:r>
      <w:r>
        <w:rPr>
          <w:szCs w:val="24"/>
        </w:rPr>
        <w:instrText xml:space="preserve"> ADDIN ZOTERO_ITEM CSL_CITATION {"citationID":"r5XG6y5s","properties":{"formattedCitation":"(Marwell 2005)","plainCitation":"(Marwell 2005)"},"citationItems":[{"id":3614,"uris":["http://zotero.org/users/381007/items/RGTH5EBQ"],"uri":["http://zotero.org/users/381007/items/RGTH5EBQ"],"itemData":{"id":3614,"type":"article-journal","title":"The Nonprofit/For-Profit Continuum: Theorizing the Dynamics of Mixed-Form Markets","container-title":"Nonprofit and Voluntary Sector Quarterly","page":"7-28","volume":"34","issue":"1","source":"CrossRef","DOI":"10.1177/0899764004269739","ISSN":"0899-7640","shortTitle":"The Nonprofit/For-Profit Continuum","language":"en","author":[{"family":"Marwell","given":"N. P."}],"issued":{"date-parts":[["2005",3,1]]},"accessed":{"date-parts":[["2016",2,9]]}}}],"schema":"https://github.com/citation-style-language/schema/raw/master/csl-citation.json"} </w:instrText>
      </w:r>
      <w:r w:rsidRPr="00812CB0">
        <w:rPr>
          <w:szCs w:val="24"/>
        </w:rPr>
        <w:fldChar w:fldCharType="separate"/>
      </w:r>
      <w:r w:rsidRPr="00812CB0">
        <w:rPr>
          <w:szCs w:val="24"/>
        </w:rPr>
        <w:t>(Marwell 2005)</w:t>
      </w:r>
      <w:r w:rsidRPr="00812CB0">
        <w:rPr>
          <w:szCs w:val="24"/>
        </w:rPr>
        <w:fldChar w:fldCharType="end"/>
      </w:r>
      <w:r w:rsidRPr="00812CB0">
        <w:rPr>
          <w:szCs w:val="24"/>
        </w:rPr>
        <w:t xml:space="preserve">. Arguments concerning organizational structure are heavily reliant on resource dependency as an explanation, whether resources are centralized or locally available. The configuration and control of these resources dictates structural characteristics </w:t>
      </w:r>
      <w:r w:rsidRPr="00812CB0">
        <w:rPr>
          <w:szCs w:val="24"/>
        </w:rPr>
        <w:fldChar w:fldCharType="begin"/>
      </w:r>
      <w:r>
        <w:rPr>
          <w:szCs w:val="24"/>
        </w:rPr>
        <w:instrText xml:space="preserve"> ADDIN ZOTERO_ITEM CSL_CITATION {"citationID":"PMdKrpob","properties":{"formattedCitation":"(Ghoshal and Nohria 1989)","plainCitation":"(Ghoshal and Nohria 1989)"},"citationItems":[{"id":3569,"uris":["http://zotero.org/users/381007/items/J3D73KIZ"],"uri":["http://zotero.org/users/381007/items/J3D73KIZ"],"itemData":{"id":3569,"type":"article-journal","title":"Internal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rPr>
          <w:szCs w:val="24"/>
        </w:rPr>
        <w:fldChar w:fldCharType="separate"/>
      </w:r>
      <w:r w:rsidRPr="00812CB0">
        <w:rPr>
          <w:szCs w:val="24"/>
        </w:rPr>
        <w:t>(Ghoshal and Nohria 1989)</w:t>
      </w:r>
      <w:r w:rsidRPr="00812CB0">
        <w:rPr>
          <w:szCs w:val="24"/>
        </w:rPr>
        <w:fldChar w:fldCharType="end"/>
      </w:r>
      <w:r w:rsidRPr="00812CB0">
        <w:rPr>
          <w:szCs w:val="24"/>
        </w:rPr>
        <w:t xml:space="preserve">. For example, where units control their own resources a decentralized structure or associational organizations are more likely. Where local resources are scarce, a centralized model is more likely. Units with control over resources possess greater power, and the ability to set the agenda and control the conversation about those priorities </w:t>
      </w:r>
      <w:r w:rsidRPr="00812CB0">
        <w:rPr>
          <w:szCs w:val="24"/>
        </w:rPr>
        <w:fldChar w:fldCharType="begin"/>
      </w:r>
      <w:r>
        <w:rPr>
          <w:szCs w:val="24"/>
        </w:rPr>
        <w:instrText xml:space="preserve"> ADDIN ZOTERO_ITEM CSL_CITATION {"citationID":"HyYgsnQn","properties":{"formattedCitation":"(Hudson and Bielefeld 1997)","plainCitation":"(Hudson and Bielefeld 1997)"},"citationItems":[{"id":3649,"uris":["http://zotero.org/users/381007/items/PBQIUVXX"],"uri":["http://zotero.org/users/381007/items/PBQIUVXX"],"itemData":{"id":3649,"type":"article-journal","title":"Structures of multinational nonprofit organizations","container-title":"Nonprofit Management and Leadership","page":"31–49","volume":"8","issue":"1","source":"Google Scholar","abstract":"Hudson and Bielefeld (1997)  examine organizational structure in TNGO and local NGO hierarchies, observing that TNGOs form umbrella organizations that are layered over existing local hierarchies. Rather than local NGO partners, the focus of this chapter is on the internal dynamics of the TNGO itself; however, the country units can be substituted for the local NGOs, thereby expanding the scope of this conceptual framework and further testing it.","author":[{"family":"Hudson","given":"Bryant A."},{"family":"Bielefeld","given":"Wolfgang"}],"issued":{"date-parts":[["1997"]]},"accessed":{"date-parts":[["2016",2,22]]}}}],"schema":"https://github.com/citation-style-language/schema/raw/master/csl-citation.json"} </w:instrText>
      </w:r>
      <w:r w:rsidRPr="00812CB0">
        <w:rPr>
          <w:szCs w:val="24"/>
        </w:rPr>
        <w:fldChar w:fldCharType="separate"/>
      </w:r>
      <w:r w:rsidRPr="00812CB0">
        <w:rPr>
          <w:szCs w:val="24"/>
        </w:rPr>
        <w:t>(Hudson and Bielefeld 1997)</w:t>
      </w:r>
      <w:r w:rsidRPr="00812CB0">
        <w:rPr>
          <w:szCs w:val="24"/>
        </w:rPr>
        <w:fldChar w:fldCharType="end"/>
      </w:r>
      <w:r w:rsidRPr="00812CB0">
        <w:rPr>
          <w:szCs w:val="24"/>
        </w:rPr>
        <w:t xml:space="preserve">. </w:t>
      </w:r>
    </w:p>
    <w:p w:rsidR="001630DC" w:rsidRPr="00812CB0" w:rsidRDefault="001630DC" w:rsidP="001630DC">
      <w:pPr>
        <w:spacing w:line="480" w:lineRule="auto"/>
        <w:ind w:firstLine="720"/>
        <w:rPr>
          <w:szCs w:val="24"/>
        </w:rPr>
      </w:pPr>
      <w:r w:rsidRPr="00812CB0">
        <w:rPr>
          <w:szCs w:val="24"/>
        </w:rPr>
        <w:t xml:space="preserve">Within the development and </w:t>
      </w:r>
      <w:r>
        <w:rPr>
          <w:szCs w:val="24"/>
        </w:rPr>
        <w:t>TNGO</w:t>
      </w:r>
      <w:r w:rsidRPr="00812CB0">
        <w:rPr>
          <w:szCs w:val="24"/>
        </w:rPr>
        <w:t xml:space="preserve"> literatures, the focus is primarily outward and on relationships with government and donors </w:t>
      </w:r>
      <w:r w:rsidRPr="00812CB0">
        <w:rPr>
          <w:szCs w:val="24"/>
        </w:rPr>
        <w:fldChar w:fldCharType="begin"/>
      </w:r>
      <w:r>
        <w:rPr>
          <w:szCs w:val="24"/>
        </w:rPr>
        <w:instrText xml:space="preserve"> ADDIN ZOTERO_ITEM CSL_CITATION {"citationID":"TRJyh7on","properties":{"formattedCitation":"(Bebbington and Riddell 1997; Nunnenkamp, Weingarth, and Weisser 2009; Temudo 2005)","plainCitation":"(Bebbington and Riddell 1997; Nunnenkamp, Weingarth, and Weisser 2009; Temudo 2005)"},"citationItems":[{"id":3110,"uris":["http://zotero.org/users/381007/items/4AF9QZNA"],"uri":["http://zotero.org/users/381007/items/4AF9QZNA"],"itemData":{"id":3110,"type":"chapter","title":"Heavy Hands, Hidden Hands, Holding Hands? Donors, Intermediary NGOs and Civil Society Organisations","container-title":"NGOs, States and Donors: Too Close for Comfort?","publisher":"St. Martin's Press","publisher-place":"New York","page":"107-127","event-place":"New York","abstract":"Bebbington, A. and R. Riddell (1997) ‘Heavy Hands, Hidden Hands, Holding Hands? Donors,\nIntermediary NGOs and Civil Society Organisations’, in D. Hulme and M. Edwards (eds.)\nNGOs, States and Donors: Too Close for Comfort?, pp. 107–27. New York: St Martin’s Press","author":[{"family":"Bebbington","given":"A."},{"family":"Riddell","given":"R."}],"editor":[{"family":"Hulme","given":"David"},{"family":"Edwards","given":"Michael"}],"issued":{"date-parts":[["1997"]]}}},{"id":432,"uris":["http://zotero.org/users/381007/items/32F98BJJ"],"uri":["http://zotero.org/users/381007/items/32F98BJJ"],"itemData":{"id":432,"type":"article-journal","title":"Is NGO aid not so different after all? Comparing the allocation of Swiss aid by private and official donors","container-title":"European Journal of Political Economy","page":"422-438","volume":"25","abstract":"Being closer to the poor, NGOs are widely believed to provide better targeted aid than state\nagencies. But empirical evidence is largely lacking.We contribute to closing this gap by drawing\non an exceptionally detailed Swiss database that covers different forms of NGO aid and several\nofficial aid benchmarks. The Tobit estimations account for both altruistic and selfish aid\nmotivations. Whether or not NGOs provide better targeted aid depends on the source of NGO\nfunding as well as the choice of the official benchmark. In contrast to widespread belief,\nhowever, the allocation of self-financed NGO aid reveals striking similarities to the allocation of\nofficial Swiss development aid.","author":[{"family":"Nunnenkamp","given":"Peter"},{"family":"Weingarth","given":"Janina"},{"family":"Weisser","given":"Johannes"}],"issued":{"date-parts":[["2009"]]}}},{"id":1019,"uris":["http://zotero.org/users/381007/items/J5C5JJHT"],"uri":["http://zotero.org/users/381007/items/J5C5JJHT"],"itemData":{"id":1019,"type":"chapter","title":"Western Beliefs and Local Myths: A Case Study on the Interface Between Farmers, NGOs and the State in Guinea-Bissau Rural Development Interventions","container-title":"Between a Rock and a Hard Place: African NGOs, Donors, and the State","publisher":"Carolina Academic Press","publisher-place":"Durham","page":"253-277","event-place":"Durham","author":[{"family":"Temudo","given":"Marina Padrao"}],"editor":[{"family":"Igoe","given":"Jim"},{"family":"Kelsall","given":"Tim"}],"issued":{"date-parts":[["2005"]]}}}],"schema":"https://github.com/citation-style-language/schema/raw/master/csl-citation.json"} </w:instrText>
      </w:r>
      <w:r w:rsidRPr="00812CB0">
        <w:rPr>
          <w:szCs w:val="24"/>
        </w:rPr>
        <w:fldChar w:fldCharType="separate"/>
      </w:r>
      <w:r w:rsidRPr="00812CB0">
        <w:t>(Bebbington and Riddell 1997; Nunnenkamp, Weingarth, and Weisser 2009; Temudo 2005)</w:t>
      </w:r>
      <w:r w:rsidRPr="00812CB0">
        <w:rPr>
          <w:szCs w:val="24"/>
        </w:rPr>
        <w:fldChar w:fldCharType="end"/>
      </w:r>
      <w:r w:rsidRPr="00812CB0">
        <w:rPr>
          <w:szCs w:val="24"/>
        </w:rPr>
        <w:t xml:space="preserve">. Within the nonprofit literature, federated decision-making among grant-making foundations has received particular attention. The concept of federated decision-making can be applied to </w:t>
      </w:r>
      <w:r>
        <w:rPr>
          <w:szCs w:val="24"/>
        </w:rPr>
        <w:t>TNGO</w:t>
      </w:r>
      <w:r w:rsidRPr="00812CB0">
        <w:rPr>
          <w:szCs w:val="24"/>
        </w:rPr>
        <w:t xml:space="preserve">s given the geographically diffuse nature of </w:t>
      </w:r>
      <w:r>
        <w:rPr>
          <w:szCs w:val="24"/>
        </w:rPr>
        <w:t>TNGO</w:t>
      </w:r>
      <w:r w:rsidRPr="00812CB0">
        <w:rPr>
          <w:szCs w:val="24"/>
        </w:rPr>
        <w:t xml:space="preserve">s if the units are assumed to operate somewhat independently, yet pursue the same overarching goal. As an organizing structure, federations aggregate a diverse set of activities while linkages between units create a cohesive identity and organizational structure through which units communicate. These organizations function in a similar environment to the domestic federations Provan </w:t>
      </w:r>
      <w:r w:rsidRPr="00812CB0">
        <w:rPr>
          <w:szCs w:val="24"/>
        </w:rPr>
        <w:fldChar w:fldCharType="begin"/>
      </w:r>
      <w:r>
        <w:rPr>
          <w:szCs w:val="24"/>
        </w:rPr>
        <w:instrText xml:space="preserve"> ADDIN ZOTERO_ITEM CSL_CITATION {"citationID":"adrXhcdm","properties":{"formattedCitation":"(Provan 1983)","plainCitation":"(Provan 1983)"},"citationItems":[{"id":3563,"uris":["http://zotero.org/users/381007/items/3775XS6Q"],"uri":["http://zotero.org/users/381007/items/3775XS6Q"],"itemData":{"id":3563,"type":"article-journal","title":"The Federation as an Interorganizational Linkage Network","container-title":"The Academy of Management Review","page":"79","volume":"8","issue":"1","source":"CrossRef","abstract":"Provan (1983): 3 types of federations. Approach is to focus on clusters of dyadic rltns within orgs rather than comparing across orgs (see Evan 1966; Pfeffer &amp; Nowak 1976) and implications (Aiken &amp; Hage 1968; Molnar &amp; Rogers 1979). Interog rltns are often too complex to be explained by focusing only on dyads. 3rd approach is network of linked orgs, field in which federations are understudied. In federation, affiliates relinquish control over certain activities to the federation’s management; in return, mgmnt minimize the complexity of the linkage network and reduce environmental uncertainty. Focus of paper is on impact of federation affiliations on capacity of affiliates to make strategic level decisions autonomously. Pfeffer and Salancik (1978) refer to “organized coordination of interdependence” among orgs, suggesting that there are many firms developing linkages and hierarchical structures to manage interdependencies. Collective management structures.","DOI":"10.2307/257170","ISSN":"03637425","author":[{"family":"Provan","given":"Keith G."}],"issued":{"date-parts":[["1983"]]},"accessed":{"date-parts":[["2016",2,4]]}}}],"schema":"https://github.com/citation-style-language/schema/raw/master/csl-citation.json"} </w:instrText>
      </w:r>
      <w:r w:rsidRPr="00812CB0">
        <w:rPr>
          <w:szCs w:val="24"/>
        </w:rPr>
        <w:fldChar w:fldCharType="separate"/>
      </w:r>
      <w:r w:rsidRPr="00812CB0">
        <w:rPr>
          <w:szCs w:val="24"/>
        </w:rPr>
        <w:t>(1983)</w:t>
      </w:r>
      <w:r w:rsidRPr="00812CB0">
        <w:rPr>
          <w:szCs w:val="24"/>
        </w:rPr>
        <w:fldChar w:fldCharType="end"/>
      </w:r>
      <w:r w:rsidRPr="00812CB0">
        <w:rPr>
          <w:szCs w:val="24"/>
        </w:rPr>
        <w:t xml:space="preserve"> focuses upon. </w:t>
      </w:r>
      <w:r>
        <w:rPr>
          <w:szCs w:val="24"/>
        </w:rPr>
        <w:t>U.S.-based</w:t>
      </w:r>
      <w:r w:rsidRPr="00812CB0">
        <w:rPr>
          <w:szCs w:val="24"/>
        </w:rPr>
        <w:t xml:space="preserve"> </w:t>
      </w:r>
      <w:r>
        <w:rPr>
          <w:szCs w:val="24"/>
        </w:rPr>
        <w:t>TNGO</w:t>
      </w:r>
      <w:r w:rsidRPr="00812CB0">
        <w:rPr>
          <w:szCs w:val="24"/>
        </w:rPr>
        <w:t xml:space="preserve">s are interdependent, although certain programs or country offices may be sacrificed for the greater good of the organization. Pfeffer and Salancik </w:t>
      </w:r>
      <w:r w:rsidRPr="00812CB0">
        <w:rPr>
          <w:szCs w:val="24"/>
        </w:rPr>
        <w:fldChar w:fldCharType="begin"/>
      </w:r>
      <w:r>
        <w:rPr>
          <w:szCs w:val="24"/>
        </w:rPr>
        <w:instrText xml:space="preserve"> ADDIN ZOTERO_ITEM CSL_CITATION {"citationID":"hPueBeQ9","properties":{"formattedCitation":"(Pfeffer and Salancik 2003)","plainCitation":"(Pfeffer and Salancik 2003)"},"citationItems":[{"id":3155,"uris":["http://zotero.org/users/381007/items/CC5TISTK"],"uri":["http://zotero.org/users/381007/items/CC5TISTK"],"itemData":{"id":3155,"type":"book","title":"The External Control of Organizations","publisher":"Stanford University Press","publisher-place":"Stanford","event-place":"Stanford","note":"(Original work published in 1978)","author":[{"family":"Pfeffer","given":"Jeffrey"},{"family":"Salancik","given":"Gerald R."}],"issued":{"date-parts":[["2003"]],"season":"original 1978"}}}],"schema":"https://github.com/citation-style-language/schema/raw/master/csl-citation.json"} </w:instrText>
      </w:r>
      <w:r w:rsidRPr="00812CB0">
        <w:rPr>
          <w:szCs w:val="24"/>
        </w:rPr>
        <w:fldChar w:fldCharType="separate"/>
      </w:r>
      <w:r w:rsidRPr="00812CB0">
        <w:rPr>
          <w:szCs w:val="24"/>
        </w:rPr>
        <w:t>(2003)</w:t>
      </w:r>
      <w:r w:rsidRPr="00812CB0">
        <w:rPr>
          <w:szCs w:val="24"/>
        </w:rPr>
        <w:fldChar w:fldCharType="end"/>
      </w:r>
      <w:r w:rsidRPr="00812CB0">
        <w:rPr>
          <w:szCs w:val="24"/>
        </w:rPr>
        <w:t xml:space="preserve"> refer to an “organized coordination of interdependence”, which presumes federation members consent due to an assumed need for centralized coordination and management. Federations are most likely to form when a large number of units with interdependent interests exist. While the examples listed above refer to independent units with common interests at a national level, it is possible to apply the same conceptual framework to </w:t>
      </w:r>
      <w:r>
        <w:rPr>
          <w:szCs w:val="24"/>
        </w:rPr>
        <w:t>TNGO</w:t>
      </w:r>
      <w:r w:rsidRPr="00812CB0">
        <w:rPr>
          <w:szCs w:val="24"/>
        </w:rPr>
        <w:t xml:space="preserve">s. Similar to federations, </w:t>
      </w:r>
      <w:r>
        <w:rPr>
          <w:szCs w:val="24"/>
        </w:rPr>
        <w:t>TNGO</w:t>
      </w:r>
      <w:r w:rsidRPr="00812CB0">
        <w:rPr>
          <w:szCs w:val="24"/>
        </w:rPr>
        <w:t xml:space="preserve">s exist in a geographically diffuse space where communication, coordination, and interdependence play important roles in the management of the organization as a whole. Even where </w:t>
      </w:r>
      <w:r>
        <w:rPr>
          <w:szCs w:val="24"/>
        </w:rPr>
        <w:t>TNGO</w:t>
      </w:r>
      <w:r w:rsidRPr="00812CB0">
        <w:rPr>
          <w:szCs w:val="24"/>
        </w:rPr>
        <w:t xml:space="preserve">s do not elect a federated structure, they still face many of the same conditions and operate with the goal of reducing uncertainty </w:t>
      </w:r>
    </w:p>
    <w:p w:rsidR="001630DC" w:rsidRPr="00812CB0" w:rsidRDefault="001630DC" w:rsidP="001630DC">
      <w:pPr>
        <w:spacing w:line="480" w:lineRule="auto"/>
        <w:ind w:firstLine="720"/>
        <w:rPr>
          <w:szCs w:val="24"/>
        </w:rPr>
      </w:pPr>
      <w:r w:rsidRPr="00812CB0">
        <w:rPr>
          <w:szCs w:val="24"/>
        </w:rPr>
        <w:t xml:space="preserve">Federated structures follow three models: mandated, voluntary, and independent. In each, the degree of influence experienced by the </w:t>
      </w:r>
      <w:r>
        <w:rPr>
          <w:szCs w:val="24"/>
        </w:rPr>
        <w:t>individual</w:t>
      </w:r>
      <w:r w:rsidRPr="00812CB0">
        <w:rPr>
          <w:szCs w:val="24"/>
        </w:rPr>
        <w:t xml:space="preserve"> units is mediated by the </w:t>
      </w:r>
      <w:r>
        <w:rPr>
          <w:szCs w:val="24"/>
        </w:rPr>
        <w:t>variety</w:t>
      </w:r>
      <w:r w:rsidRPr="00812CB0">
        <w:rPr>
          <w:szCs w:val="24"/>
        </w:rPr>
        <w:t xml:space="preserve"> of </w:t>
      </w:r>
      <w:r>
        <w:rPr>
          <w:szCs w:val="24"/>
        </w:rPr>
        <w:t xml:space="preserve">organizational </w:t>
      </w:r>
      <w:r w:rsidRPr="00812CB0">
        <w:rPr>
          <w:szCs w:val="24"/>
        </w:rPr>
        <w:t xml:space="preserve">structure. Strategic decisions are most highly influenced by the hierarchy in mandatory federations whereas independent federations grants units far more independence while still benefitting from linkages </w:t>
      </w:r>
      <w:r w:rsidRPr="00812CB0">
        <w:rPr>
          <w:szCs w:val="24"/>
        </w:rPr>
        <w:fldChar w:fldCharType="begin"/>
      </w:r>
      <w:r>
        <w:rPr>
          <w:szCs w:val="24"/>
        </w:rPr>
        <w:instrText xml:space="preserve"> ADDIN ZOTERO_ITEM CSL_CITATION {"citationID":"0o7fJKXr","properties":{"formattedCitation":"(Provan 1983)","plainCitation":"(Provan 1983)"},"citationItems":[{"id":3563,"uris":["http://zotero.org/users/381007/items/3775XS6Q"],"uri":["http://zotero.org/users/381007/items/3775XS6Q"],"itemData":{"id":3563,"type":"article-journal","title":"The Federation as an Interorganizational Linkage Network","container-title":"The Academy of Management Review","page":"79","volume":"8","issue":"1","source":"CrossRef","abstract":"Provan (1983): 3 types of federations. Approach is to focus on clusters of dyadic rltns within orgs rather than comparing across orgs (see Evan 1966; Pfeffer &amp; Nowak 1976) and implications (Aiken &amp; Hage 1968; Molnar &amp; Rogers 1979). Interog rltns are often too complex to be explained by focusing only on dyads. 3rd approach is network of linked orgs, field in which federations are understudied. In federation, affiliates relinquish control over certain activities to the federation’s management; in return, mgmnt minimize the complexity of the linkage network and reduce environmental uncertainty. Focus of paper is on impact of federation affiliations on capacity of affiliates to make strategic level decisions autonomously. Pfeffer and Salancik (1978) refer to “organized coordination of interdependence” among orgs, suggesting that there are many firms developing linkages and hierarchical structures to manage interdependencies. Collective management structures.","DOI":"10.2307/257170","ISSN":"03637425","author":[{"family":"Provan","given":"Keith G."}],"issued":{"date-parts":[["1983"]]},"accessed":{"date-parts":[["2016",2,4]]}}}],"schema":"https://github.com/citation-style-language/schema/raw/master/csl-citation.json"} </w:instrText>
      </w:r>
      <w:r w:rsidRPr="00812CB0">
        <w:rPr>
          <w:szCs w:val="24"/>
        </w:rPr>
        <w:fldChar w:fldCharType="separate"/>
      </w:r>
      <w:r w:rsidRPr="00812CB0">
        <w:rPr>
          <w:szCs w:val="24"/>
        </w:rPr>
        <w:t>(Provan 1983)</w:t>
      </w:r>
      <w:r w:rsidRPr="00812CB0">
        <w:rPr>
          <w:szCs w:val="24"/>
        </w:rPr>
        <w:fldChar w:fldCharType="end"/>
      </w:r>
      <w:r w:rsidRPr="00812CB0">
        <w:rPr>
          <w:szCs w:val="24"/>
        </w:rPr>
        <w:t xml:space="preserve">. Such linkages are underpinned by organizational identity. In the case of </w:t>
      </w:r>
      <w:r>
        <w:rPr>
          <w:szCs w:val="24"/>
        </w:rPr>
        <w:t>U.S.-based</w:t>
      </w:r>
      <w:r w:rsidRPr="00812CB0">
        <w:rPr>
          <w:szCs w:val="24"/>
        </w:rPr>
        <w:t xml:space="preserve"> </w:t>
      </w:r>
      <w:r>
        <w:rPr>
          <w:szCs w:val="24"/>
        </w:rPr>
        <w:t>TNGO</w:t>
      </w:r>
      <w:r w:rsidRPr="00812CB0">
        <w:rPr>
          <w:szCs w:val="24"/>
        </w:rPr>
        <w:t xml:space="preserve">s, this identity is key to the success of the organization regardless of its structure. This identity is key to organizational structure and decision-making. Young (2001) argues that although form may differ across organizations, identity guides and shapes the organization’s actions. He notes that "All participants commonly understand that the organization is a bus going along a certain route, and this is what allows them to support it collectively" </w:t>
      </w:r>
      <w:r w:rsidRPr="00812CB0">
        <w:rPr>
          <w:szCs w:val="24"/>
        </w:rPr>
        <w:fldChar w:fldCharType="begin"/>
      </w:r>
      <w:r>
        <w:rPr>
          <w:szCs w:val="24"/>
        </w:rPr>
        <w:instrText xml:space="preserve"> ADDIN ZOTERO_ITEM CSL_CITATION {"citationID":"DcT24YvK","properties":{"formattedCitation":"(Young 2001, 141)","plainCitation":"(Young 2001, 141)"},"citationItems":[{"id":3565,"uris":["http://zotero.org/users/381007/items/AUZ5MZKJ"],"uri":["http://zotero.org/users/381007/items/AUZ5MZKJ"],"itemData":{"id":3565,"type":"article-journal","title":"Organizational identity in nonprofit organizations: Strategic and structural implications","container-title":"Nonprofit management and leadership","page":"139–157","volume":"12","issue":"2","source":"Google Scholar","abstract":"Organizational identity is what is central, distinctive, and\nenduring about an organization. This article argues that clar-\nity and consensus about organizational identity are essential\nelements in setting successful long-term strategy and making\nstructural choices in a nonprofit organization. Four classes of\nnonprofit organization are examined here: grantmaking foun-\ndations, federated fundraising organizations, nonprofit academic\ncenters, and social enterprises. In each case, alternative identi-\nties are described and the implications of each identity for orga-\nnizational strategy and structure are analyzed. The article\nsuggests that examination of identity should become an integral\npart of organizational development for nonprofit organizations\nand a subject for continued research.","shortTitle":"Organizational identity in nonprofit organizations","author":[{"family":"Young","given":"Dennis R."}],"issued":{"date-parts":[["2001"]]},"accessed":{"date-parts":[["2016",2,4]]}},"locator":"141"}],"schema":"https://github.com/citation-style-language/schema/raw/master/csl-citation.json"} </w:instrText>
      </w:r>
      <w:r w:rsidRPr="00812CB0">
        <w:rPr>
          <w:szCs w:val="24"/>
        </w:rPr>
        <w:fldChar w:fldCharType="separate"/>
      </w:r>
      <w:r w:rsidRPr="00812CB0">
        <w:rPr>
          <w:szCs w:val="24"/>
        </w:rPr>
        <w:t>(Young 2001, 141)</w:t>
      </w:r>
      <w:r w:rsidRPr="00812CB0">
        <w:rPr>
          <w:szCs w:val="24"/>
        </w:rPr>
        <w:fldChar w:fldCharType="end"/>
      </w:r>
      <w:r w:rsidRPr="00812CB0">
        <w:rPr>
          <w:szCs w:val="24"/>
        </w:rPr>
        <w:t xml:space="preserve">. This suggests that a common mission, vision, and strategy is understood across units. At the same time, the metaphorical bus might also be a vehicle for units to get to different places as they compete with each other to advance their own priorities and ensure sustainability. In this sense, units commit to a common mission and vision, but might pursue different endeavors and strategies to reach those goals. </w:t>
      </w:r>
    </w:p>
    <w:p w:rsidR="001630DC" w:rsidRPr="00E0224B" w:rsidRDefault="001630DC" w:rsidP="001630DC">
      <w:pPr>
        <w:spacing w:line="480" w:lineRule="auto"/>
        <w:ind w:firstLine="720"/>
        <w:rPr>
          <w:szCs w:val="24"/>
        </w:rPr>
      </w:pPr>
      <w:r w:rsidRPr="00812CB0">
        <w:rPr>
          <w:szCs w:val="24"/>
        </w:rPr>
        <w:t xml:space="preserve">If the federated model described by others were efficient enough to meet the demands placed on it by multiple stakeholders, we would expect a uniform structure across </w:t>
      </w:r>
      <w:r>
        <w:rPr>
          <w:szCs w:val="24"/>
        </w:rPr>
        <w:t>TNGO</w:t>
      </w:r>
      <w:r w:rsidRPr="00812CB0">
        <w:rPr>
          <w:szCs w:val="24"/>
        </w:rPr>
        <w:t>s. However, there is diversity in form. This indicates forces beyond resource dependency at play, including mission as well as leadership changes. This not only governs overarching organization goals, but also the communication and knowledge flows within said organization:</w:t>
      </w:r>
    </w:p>
    <w:p w:rsidR="001630DC" w:rsidRDefault="001630DC" w:rsidP="001630DC">
      <w:pPr>
        <w:ind w:firstLine="720"/>
        <w:jc w:val="both"/>
        <w:rPr>
          <w:szCs w:val="24"/>
        </w:rPr>
      </w:pPr>
      <w:r w:rsidRPr="00812CB0">
        <w:rPr>
          <w:szCs w:val="24"/>
        </w:rPr>
        <w:t xml:space="preserve">"Structure is the architecture through which parts of the organization interact with one another. Strategy is the set of policies and practices through which the organization addresses its purposes. An organization can frame its identity in structural or strategic terms... Identity, though, is a deeper idea from which implications for structure and strategy follow." </w:t>
      </w:r>
      <w:r w:rsidRPr="00812CB0">
        <w:rPr>
          <w:szCs w:val="24"/>
        </w:rPr>
        <w:fldChar w:fldCharType="begin"/>
      </w:r>
      <w:r>
        <w:rPr>
          <w:szCs w:val="24"/>
        </w:rPr>
        <w:instrText xml:space="preserve"> ADDIN ZOTERO_ITEM CSL_CITATION {"citationID":"dpeaiwlW","properties":{"formattedCitation":"(Young 2001, 143)","plainCitation":"(Young 2001, 143)"},"citationItems":[{"id":3565,"uris":["http://zotero.org/users/381007/items/AUZ5MZKJ"],"uri":["http://zotero.org/users/381007/items/AUZ5MZKJ"],"itemData":{"id":3565,"type":"article-journal","title":"Organizational identity in nonprofit organizations: Strategic and structural implications","container-title":"Nonprofit management and leadership","page":"139–157","volume":"12","issue":"2","source":"Google Scholar","abstract":"Organizational identity is what is central, distinctive, and\nenduring about an organization. This article argues that clar-\nity and consensus about organizational identity are essential\nelements in setting successful long-term strategy and making\nstructural choices in a nonprofit organization. Four classes of\nnonprofit organization are examined here: grantmaking foun-\ndations, federated fundraising organizations, nonprofit academic\ncenters, and social enterprises. In each case, alternative identi-\nties are described and the implications of each identity for orga-\nnizational strategy and structure are analyzed. The article\nsuggests that examination of identity should become an integral\npart of organizational development for nonprofit organizations\nand a subject for continued research.","shortTitle":"Organizational identity in nonprofit organizations","author":[{"family":"Young","given":"Dennis R."}],"issued":{"date-parts":[["2001"]]},"accessed":{"date-parts":[["2016",2,4]]}},"locator":"143"}],"schema":"https://github.com/citation-style-language/schema/raw/master/csl-citation.json"} </w:instrText>
      </w:r>
      <w:r w:rsidRPr="00812CB0">
        <w:rPr>
          <w:szCs w:val="24"/>
        </w:rPr>
        <w:fldChar w:fldCharType="separate"/>
      </w:r>
      <w:r w:rsidRPr="00812CB0">
        <w:rPr>
          <w:szCs w:val="24"/>
        </w:rPr>
        <w:t>(Young 2001, 143)</w:t>
      </w:r>
      <w:r w:rsidRPr="00812CB0">
        <w:rPr>
          <w:szCs w:val="24"/>
        </w:rPr>
        <w:fldChar w:fldCharType="end"/>
      </w:r>
      <w:r w:rsidRPr="00812CB0">
        <w:rPr>
          <w:szCs w:val="24"/>
        </w:rPr>
        <w:t xml:space="preserve"> </w:t>
      </w:r>
    </w:p>
    <w:p w:rsidR="001630DC" w:rsidRPr="00812CB0" w:rsidRDefault="001630DC" w:rsidP="001630DC">
      <w:pPr>
        <w:ind w:firstLine="720"/>
        <w:jc w:val="both"/>
        <w:rPr>
          <w:szCs w:val="24"/>
        </w:rPr>
      </w:pPr>
    </w:p>
    <w:p w:rsidR="001630DC" w:rsidRPr="00812CB0" w:rsidRDefault="001630DC" w:rsidP="001630DC">
      <w:pPr>
        <w:spacing w:line="480" w:lineRule="auto"/>
        <w:ind w:firstLine="720"/>
        <w:rPr>
          <w:szCs w:val="24"/>
        </w:rPr>
      </w:pPr>
      <w:r w:rsidRPr="00812CB0">
        <w:rPr>
          <w:szCs w:val="24"/>
        </w:rPr>
        <w:t xml:space="preserve">This raises two questions. Does the often-addressed federated model in the nonprofit literature represent </w:t>
      </w:r>
      <w:r>
        <w:rPr>
          <w:szCs w:val="24"/>
        </w:rPr>
        <w:t>TNGO</w:t>
      </w:r>
      <w:r w:rsidRPr="00812CB0">
        <w:rPr>
          <w:szCs w:val="24"/>
        </w:rPr>
        <w:t xml:space="preserve">s? And what can the MNC literature add to the discussion about the internal dynamics of </w:t>
      </w:r>
      <w:r>
        <w:rPr>
          <w:szCs w:val="24"/>
        </w:rPr>
        <w:t>TNGO</w:t>
      </w:r>
      <w:r w:rsidRPr="00812CB0">
        <w:rPr>
          <w:szCs w:val="24"/>
        </w:rPr>
        <w:t xml:space="preserve">s? This study adds to the field by testing whether such characterizations hold true in a broader set of cases and examining the decision-making and communication process that shapes resource allocation and goal prioritization. </w:t>
      </w:r>
    </w:p>
    <w:p w:rsidR="001630DC" w:rsidRPr="00812CB0" w:rsidRDefault="001630DC" w:rsidP="001630DC">
      <w:pPr>
        <w:spacing w:line="480" w:lineRule="auto"/>
        <w:ind w:firstLine="720"/>
        <w:rPr>
          <w:szCs w:val="24"/>
        </w:rPr>
      </w:pPr>
      <w:r w:rsidRPr="00812CB0">
        <w:rPr>
          <w:szCs w:val="24"/>
        </w:rPr>
        <w:t xml:space="preserve">The outcome of internal dynamics produced by organizational structure, resource allocation, and communication is effectiveness and accountability. Accountability in the field of public management, and especially in the context of </w:t>
      </w:r>
      <w:r>
        <w:rPr>
          <w:szCs w:val="24"/>
        </w:rPr>
        <w:t>TNGO</w:t>
      </w:r>
      <w:r w:rsidRPr="00812CB0">
        <w:rPr>
          <w:szCs w:val="24"/>
        </w:rPr>
        <w:t xml:space="preserve">s and domestic nonprofits, has become a primary concern for both practitioners and scholars </w:t>
      </w:r>
      <w:r w:rsidRPr="00812CB0">
        <w:rPr>
          <w:szCs w:val="24"/>
        </w:rPr>
        <w:fldChar w:fldCharType="begin"/>
      </w:r>
      <w:r>
        <w:rPr>
          <w:szCs w:val="24"/>
        </w:rPr>
        <w:instrText xml:space="preserve"> ADDIN ZOTERO_ITEM CSL_CITATION {"citationID":"w4J1IYnH","properties":{"formattedCitation":"(Alnoor Ebrahim 2003; Edwards and Hulme 1996b; Sloan 2009; Schmitz, Raggo, and Bruno-van Vijfeijken 2012)","plainCitation":"(Alnoor Ebrahim 2003; Edwards and Hulme 1996b; Sloan 2009; Schmitz, Raggo, and Bruno-van Vijfeijken 2012)"},"citationItems":[{"id":681,"uris":["http://zotero.org/users/381007/items/9NZX5BP5"],"uri":["http://zotero.org/users/381007/items/9NZX5BP5"],"itemData":{"id":681,"type":"article-journal","title":"Accountability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id":3193,"uris":["http://zotero.org/users/381007/items/MEAUZKM5"],"uri":["http://zotero.org/users/381007/items/MEAUZKM5"],"itemData":{"id":3193,"type":"chapter","title":"Introduction: NGO Performance and Accountability","container-title":"Beyond the Magic Bullet: NGO Performance and Accountability in the Post-Cold War World","publisher":"Kumarian Press","page":"1-20","abstract":"Rise of NGos is not an accident nor solely a response to local initiative and voluntary action, increasing popularity of NGOs w/ govs and official aid agnecies is as important as response to dvlpmnts in econ and pol thinking.  Esp since end fo cold war, dvlpmnt policy and aid transfers have dominated the \"New Policy Agenda\" (see Frederickson and Smith public admin primer)... mrkts and pvt initiative are seen as most effic mechnaism for econ growth and providing srvcs.  Govs enable pvt provision but should minimize direct role in econ, NGOs supported b/c of proposed cost effectiveness.","author":[{"family":"Edwards","given":"Michael"},{"family":"Hulme","given":"David"}],"editor":[{"family":"Edwards","given":"Michael"},{"family":"Hulme","given":"David"}],"issued":{"date-parts":[["1996"]]}}},{"id":1314,"uris":["http://zotero.org/users/381007/items/SW62GPMW"],"uri":["http://zotero.org/users/381007/items/SW62GPMW"],"itemData":{"id":1314,"type":"article-journal","title":"The Effects of Nonprofit Accountability Ratings on Donor Behavior","container-title":"Nonprofit and Voluntary Sector Quarterly","page":"220-236","volume":"38","issue":"2","abstract":"Although accountability systems are established to ensure organizational adherence to\nfinancial and ethical standards for nonprofit organizations, the reality of whether such\nstandards make a difference to donors has not been measured. This article discusses the\ncurrent landscape of accountability systems and accountability ratings and describes a\nmodel for estimating the effect of ratings systems on donor behavior within the theoretical\ncontext of information asymmetry. Hypotheses are tested with nonprofit ratings\nfor New York charities from the Better Business Bureau’s Wise Giving Alliance to estimate\nthe effect of accountability ratings on the amount of contributions an organization\nreceives. Results indicate that the Wise Giving Alliance “pass” ratings have a statistically\nsignificant effect on the contributions received; however, “did not pass” ratings\nare nonsignificant. The study is important for academics as well as practitioners who\nare monitoring time and money spent on accountability issues.","author":[{"family":"Sloan","given":"Margaret F."}],"issued":{"date-parts":[["2009"]]}}},{"id":641,"uris":["http://zotero.org/users/381007/items/8DD22WVD"],"uri":["http://zotero.org/users/381007/items/8DD22WVD"],"itemData":{"id":641,"type":"article-journal","title":"Accountability of Transnational NGOs: Aspiration vs. Practice","container-title":"Nonprofit and Voluntary Sector Quarterly","page":"1175-1194","volume":"41","issue":"6","abstract":"RQ: How is accountability among TNGOs perceived and practiced? \nTo whom, what for, and how are transnational NGOs accountable?\n\nFindings: Examines hte issue of accountability of TNGOs, a major issue in both academia and policy circles. Most of the policy literature focuses on prescriptions, but this article emphasizes how leadership within TNGOs perceive accountability. Accountability is important because of the expansion of resources and the number of TNGOs, and also because the pressure of accountability measures can create mutally exclusive and incoherent demands that may be incompatible with TNGO efforts to strengthen \"downward accountablity.\" The study finds that smaller organizations are more likely to associate accountability with financial management compared to mid-sized and large organizations, showing that donor-driven accountability pressures are more pronounced with smaller organizations.  Accountability in this manner is often described in terms of \"concrete practices\" and is largely reactive to external demands.  Interviewees identified 3 constituents to which they feel responsible on average; most included donors, followed by the board of beneficiaries; but also included were governments, staff, the public, other NGOs, and beneficiaries.  However, there was more emphasis on some constituents over others (78% overall for donors versus 48% for beneficiaries).  There was also a strong linkage between being accountable to donors through financial management, transparency, and legal/contractual obligations and interviewees also identified related mechanisms, such as internal and external audits, when asked how they are accountable (in addtion to metrics and evaluation). \n\nMethods: Interviews with 152 TNGO CEOs identified through Charity Navigator, selected on complete information provided in profile then by size, stability, etc.\n\nStrengths: \n\nWeaknesses: Limitations - relies on accountability perceptiosn of leaders only, views of accountability may vary depending on the level of the organization but leadership are important in balancing stakeholder demands and key decision makers. The sample is US absed, room for comparative studies.","author":[{"family":"Schmitz","given":"Hans"},{"family":"Raggo","given":"Paloma"},{"family":"Bruno-van Vijfeijken","given":"Tosca"}],"issued":{"date-parts":[["2012"]]}}}],"schema":"https://github.com/citation-style-language/schema/raw/master/csl-citation.json"} </w:instrText>
      </w:r>
      <w:r w:rsidRPr="00812CB0">
        <w:rPr>
          <w:szCs w:val="24"/>
        </w:rPr>
        <w:fldChar w:fldCharType="separate"/>
      </w:r>
      <w:r w:rsidRPr="00283711">
        <w:t>(Ebrahim 2003; Edwards and Hulme 1996b; Sloan 2009; Schmitz, Raggo, and Bruno-van Vijfeijken 2012)</w:t>
      </w:r>
      <w:r w:rsidRPr="00812CB0">
        <w:rPr>
          <w:szCs w:val="24"/>
        </w:rPr>
        <w:fldChar w:fldCharType="end"/>
      </w:r>
      <w:r w:rsidRPr="00812CB0">
        <w:rPr>
          <w:szCs w:val="24"/>
        </w:rPr>
        <w:t>. One of the pitfalls of civil society is its inability to demo</w:t>
      </w:r>
      <w:r>
        <w:rPr>
          <w:szCs w:val="24"/>
        </w:rPr>
        <w:t xml:space="preserve">nstrate outcome accountability </w:t>
      </w:r>
      <w:r>
        <w:rPr>
          <w:szCs w:val="24"/>
        </w:rPr>
        <w:fldChar w:fldCharType="begin"/>
      </w:r>
      <w:r>
        <w:rPr>
          <w:szCs w:val="24"/>
        </w:rPr>
        <w:instrText xml:space="preserve"> ADDIN ZOTERO_ITEM CSL_CITATION {"citationID":"lmrOUOXM","properties":{"formattedCitation":"(Bruno-van Vijfeijken and Schmitz 2011)","plainCitation":"(Bruno-van Vijfeijken and Schmitz 2011)"},"citationItems":[{"id":3581,"uris":["http://zotero.org/users/381007/items/3C3Z732P"],"uri":["http://zotero.org/users/381007/items/3C3Z732P"],"itemData":{"id":3581,"type":"article-journal","title":"Commentary: A gap between ambition and effectiveness","container-title":"Journal of Civil Society","page":"287–292","volume":"7","issue":"3","source":"Google Scholar","shortTitle":"Commentary","author":[{"family":"Bruno-van Vijfeijken","given":"Tosca"},{"family":"Schmitz","given":"Hans Peter"}],"issued":{"date-parts":[["2011"]]},"accessed":{"date-parts":[["2016",2,5]]}}}],"schema":"https://github.com/citation-style-language/schema/raw/master/csl-citation.json"} </w:instrText>
      </w:r>
      <w:r>
        <w:rPr>
          <w:szCs w:val="24"/>
        </w:rPr>
        <w:fldChar w:fldCharType="separate"/>
      </w:r>
      <w:r>
        <w:rPr>
          <w:noProof/>
          <w:szCs w:val="24"/>
        </w:rPr>
        <w:t>(Bruno-van Vijfeijken and Schmitz 2011)</w:t>
      </w:r>
      <w:r>
        <w:rPr>
          <w:szCs w:val="24"/>
        </w:rPr>
        <w:fldChar w:fldCharType="end"/>
      </w:r>
      <w:r w:rsidRPr="00812CB0">
        <w:rPr>
          <w:szCs w:val="24"/>
        </w:rPr>
        <w:t xml:space="preserve">. For domestic nonprofits, </w:t>
      </w:r>
      <w:r>
        <w:rPr>
          <w:szCs w:val="24"/>
        </w:rPr>
        <w:t>this</w:t>
      </w:r>
      <w:r w:rsidRPr="00812CB0">
        <w:rPr>
          <w:szCs w:val="24"/>
        </w:rPr>
        <w:t xml:space="preserve"> led to the rise of charity watchdogs that serve as self-appointed oversight organizations for stakeholders, but especially for donors. Assessments by such organizations are critiqued as overly dependent upon financial measures and ratios that obscure the true impact of a nonprofit. Furthermore, this emphasis perpetuates the myth that overhead is bad, thereby stunting growth of infrastructure and future development in nonprofits. For organizations focused on international scopes of work, accountability is amplified by the geographical distance between donors, headquarters, and the programs themselves </w:t>
      </w:r>
      <w:r w:rsidRPr="00812CB0">
        <w:rPr>
          <w:szCs w:val="24"/>
        </w:rPr>
        <w:fldChar w:fldCharType="begin"/>
      </w:r>
      <w:r>
        <w:rPr>
          <w:szCs w:val="24"/>
        </w:rPr>
        <w:instrText xml:space="preserve"> ADDIN ZOTERO_ITEM CSL_CITATION {"citationID":"OoFgHtDq","properties":{"formattedCitation":"(Smillie 1995)","plainCitation":"(Smillie 1995)"},"citationItems":[{"id":1514,"uris":["http://zotero.org/users/381007/items/WM8HZZ76"],"uri":["http://zotero.org/users/381007/items/WM8HZZ76"],"itemData":{"id":1514,"type":"book","title":"The Alms Bazaar: Altruism Under Fire - Non-Profit Organizations And International Development","publisher":"Intermediate Technology Publications Ltd.","publisher-place":"London","event-place":"London","abstract":"What are the origins of these organizations and their work (messages and roles); What challenges to these organizations face in a time of global change and at a pivotal moment in their evolution?","author":[{"family":"Smillie","given":"Ian"}],"issued":{"date-parts":[["1995"]]}}}],"schema":"https://github.com/citation-style-language/schema/raw/master/csl-citation.json"} </w:instrText>
      </w:r>
      <w:r w:rsidRPr="00812CB0">
        <w:rPr>
          <w:szCs w:val="24"/>
        </w:rPr>
        <w:fldChar w:fldCharType="separate"/>
      </w:r>
      <w:r w:rsidRPr="00812CB0">
        <w:rPr>
          <w:szCs w:val="24"/>
        </w:rPr>
        <w:t>(Smillie 1995)</w:t>
      </w:r>
      <w:r w:rsidRPr="00812CB0">
        <w:rPr>
          <w:szCs w:val="24"/>
        </w:rPr>
        <w:fldChar w:fldCharType="end"/>
      </w:r>
      <w:r w:rsidRPr="00812CB0">
        <w:rPr>
          <w:szCs w:val="24"/>
        </w:rPr>
        <w:t xml:space="preserve">. </w:t>
      </w:r>
    </w:p>
    <w:p w:rsidR="001630DC" w:rsidRPr="00812CB0" w:rsidRDefault="001630DC" w:rsidP="001630DC">
      <w:pPr>
        <w:spacing w:line="480" w:lineRule="auto"/>
        <w:ind w:firstLine="720"/>
        <w:rPr>
          <w:szCs w:val="24"/>
        </w:rPr>
      </w:pPr>
      <w:r w:rsidRPr="00812CB0">
        <w:rPr>
          <w:szCs w:val="24"/>
        </w:rPr>
        <w:t xml:space="preserve">While upward accountability may be difficult to demonstrate, downward accountability proves even more challenging. In contrast to upward accountability when </w:t>
      </w:r>
      <w:r>
        <w:rPr>
          <w:szCs w:val="24"/>
        </w:rPr>
        <w:t>TNGO</w:t>
      </w:r>
      <w:r w:rsidRPr="00812CB0">
        <w:rPr>
          <w:szCs w:val="24"/>
        </w:rPr>
        <w:t xml:space="preserve">s are responsible to donors through charity watchdogs, financial reports, annual reports, and so on, downward accountability describes an organization’s responsibility to beneficiaries </w:t>
      </w:r>
      <w:r w:rsidRPr="00812CB0">
        <w:rPr>
          <w:szCs w:val="24"/>
        </w:rPr>
        <w:fldChar w:fldCharType="begin"/>
      </w:r>
      <w:r>
        <w:rPr>
          <w:szCs w:val="24"/>
        </w:rPr>
        <w:instrText xml:space="preserve"> ADDIN ZOTERO_ITEM CSL_CITATION {"citationID":"HM95V6aG","properties":{"formattedCitation":"(Alnoor Ebrahim 2003)","plainCitation":"(Alnoor Ebrahim 2003)"},"citationItems":[{"id":681,"uris":["http://zotero.org/users/381007/items/9NZX5BP5"],"uri":["http://zotero.org/users/381007/items/9NZX5BP5"],"itemData":{"id":681,"type":"article-journal","title":"Accountability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legitimacy.","author":[{"family":"Ebrahim","given":"Alnoor"}],"issued":{"date-parts":[["2003"]]}}}],"schema":"https://github.com/citation-style-language/schema/raw/master/csl-citation.json"} </w:instrText>
      </w:r>
      <w:r w:rsidRPr="00812CB0">
        <w:rPr>
          <w:szCs w:val="24"/>
        </w:rPr>
        <w:fldChar w:fldCharType="separate"/>
      </w:r>
      <w:r w:rsidRPr="00283711">
        <w:t>(Ebrahim 2003)</w:t>
      </w:r>
      <w:r w:rsidRPr="00812CB0">
        <w:rPr>
          <w:szCs w:val="24"/>
        </w:rPr>
        <w:fldChar w:fldCharType="end"/>
      </w:r>
      <w:r w:rsidRPr="00812CB0">
        <w:rPr>
          <w:szCs w:val="24"/>
        </w:rPr>
        <w:t xml:space="preserve">. </w:t>
      </w:r>
      <w:r>
        <w:rPr>
          <w:szCs w:val="24"/>
        </w:rPr>
        <w:t>TNGO</w:t>
      </w:r>
      <w:r w:rsidRPr="00812CB0">
        <w:rPr>
          <w:szCs w:val="24"/>
        </w:rPr>
        <w:t>s are sometimes described as elitist due to their inability to provide appropriate policy solutions. At the same time, they are the organizations that possess the knowledge, capacity, and expertise to implement policy solutions. The elitist critique is not without merit, cases in which programs were not appropriate for a political or operating environment, or culturally appropriate on a la</w:t>
      </w:r>
      <w:r>
        <w:rPr>
          <w:szCs w:val="24"/>
        </w:rPr>
        <w:t>rger-scale, are well documented</w:t>
      </w:r>
      <w:r w:rsidRPr="00812CB0">
        <w:rPr>
          <w:szCs w:val="24"/>
        </w:rPr>
        <w:t xml:space="preserve">. Instead of inattention to context, this critique may be more strongly connected to the challenges of downward </w:t>
      </w:r>
      <w:r w:rsidRPr="00F473CD">
        <w:rPr>
          <w:szCs w:val="24"/>
        </w:rPr>
        <w:t xml:space="preserve">accountability </w:t>
      </w:r>
      <w:r w:rsidRPr="00F473CD">
        <w:rPr>
          <w:szCs w:val="24"/>
        </w:rPr>
        <w:fldChar w:fldCharType="begin"/>
      </w:r>
      <w:r>
        <w:rPr>
          <w:szCs w:val="24"/>
        </w:rPr>
        <w:instrText xml:space="preserve"> ADDIN ZOTERO_ITEM CSL_CITATION {"citationID":"IDNan4k7","properties":{"formattedCitation":"(Bexell, Tallberg, and Uhlin 2010; Alnoor Ebrahim 2003)","plainCitation":"(Bexell, Tallberg, and Uhlin 2010; Alnoor Ebrahim 2003)"},"citationItems":[{"id":3670,"uris":["http://zotero.org/users/381007/items/DMDSG59M"],"uri":["http://zotero.org/users/381007/items/DMDSG59M"],"itemData":{"id":3670,"type":"article-journal","title":"Democracy in Global Governance: The Promises and Pitfalls of Transnational Actors","container-title":"Global Governance","page":"81-101","volume":"16","author":[{"family":"Bexell","given":"Magdalena"},{"family":"Tallberg","given":"Jonas"},{"family":"Uhlin","given":"Anders"}],"issued":{"date-parts":[["2010"]]}}},{"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legitimacy.","author":[{"family":"Ebrahim","given":"Alnoor"}],"issued":{"date-parts":[["2003"]]}}}],"schema":"https://github.com/citation-style-language/schema/raw/master/csl-citation.json"} </w:instrText>
      </w:r>
      <w:r w:rsidRPr="00F473CD">
        <w:rPr>
          <w:szCs w:val="24"/>
        </w:rPr>
        <w:fldChar w:fldCharType="separate"/>
      </w:r>
      <w:r w:rsidRPr="00283711">
        <w:t>(Be</w:t>
      </w:r>
      <w:r w:rsidR="00B11ABC">
        <w:t xml:space="preserve">xell, Tallberg, and Uhlin 2010; </w:t>
      </w:r>
      <w:r w:rsidRPr="00283711">
        <w:t>Ebrahim 2003)</w:t>
      </w:r>
      <w:r w:rsidRPr="00F473CD">
        <w:rPr>
          <w:szCs w:val="24"/>
        </w:rPr>
        <w:fldChar w:fldCharType="end"/>
      </w:r>
      <w:r w:rsidRPr="00F473CD">
        <w:rPr>
          <w:szCs w:val="24"/>
        </w:rPr>
        <w:t>whose mechanisms rema</w:t>
      </w:r>
      <w:r w:rsidRPr="00812CB0">
        <w:rPr>
          <w:szCs w:val="24"/>
        </w:rPr>
        <w:t xml:space="preserve">in underdeveloped at the expense of functional short-term accountability over long-term strategic accountability </w:t>
      </w:r>
      <w:r w:rsidRPr="00812CB0">
        <w:rPr>
          <w:szCs w:val="24"/>
        </w:rPr>
        <w:fldChar w:fldCharType="begin"/>
      </w:r>
      <w:r>
        <w:rPr>
          <w:szCs w:val="24"/>
        </w:rPr>
        <w:instrText xml:space="preserve"> ADDIN ZOTERO_ITEM CSL_CITATION {"citationID":"uybKKuOL","properties":{"formattedCitation":"(Alnoor Ebrahim 2003)","plainCitation":"(Alnoor Ebrahim 2003)"},"citationItems":[{"id":681,"uris":["http://zotero.org/users/381007/items/9NZX5BP5"],"uri":["http://zotero.org/users/381007/items/9NZX5BP5"],"itemData":{"id":681,"type":"article-journal","title":"Accountability in Practice: Mechanisms for NGOs","container-title":"World Development","page":"813-829","volume":"31","issue":"5","abstract":"Article asks how accountability is practiced by NGOs, addressing 5 mechanisms (reports/disclosure statements; performance assessments; evaluations; participation; self-regulation; social audits) along 3 dimensions (upward-downward, internal-external, functional-strategic).  Accountability in practice emphasizes upward and external accountability to donors while downward and internal accountability remain underdeveloped.  NGOs and donors focus on short-term functional accountability at the expense of long-term strategic processes that are necessary for lasting social and political change. Traditional approaches to accountability, like increased oversight via reporting, are of limited use to downward accountability and so a more balanced approach is necessary and should include NGOs in evaluation by donors and also for beneficiaries in evaluating NGOs (participation).  Improving accountability needs special mechanisms like social-auditing and self-regulation in order to support internally driven mechanisms that will improve NGO legitimacy and reputation rather than external only inducements that rely on punitive threats (ex. losing 501c3 status).  Significance: shift in view of accountability from donor upward accountability that is externally induced to internally driven mechanisms that will also promote downward accountability, long-term perspectives, and legitimacy.","author":[{"family":"Ebrahim","given":"Alnoor"}],"issued":{"date-parts":[["2003"]]}}}],"schema":"https://github.com/citation-style-language/schema/raw/master/csl-citation.json"} </w:instrText>
      </w:r>
      <w:r w:rsidRPr="00812CB0">
        <w:rPr>
          <w:szCs w:val="24"/>
        </w:rPr>
        <w:fldChar w:fldCharType="separate"/>
      </w:r>
      <w:r w:rsidRPr="00283711">
        <w:t>(Ebrahim 2003)</w:t>
      </w:r>
      <w:r w:rsidRPr="00812CB0">
        <w:rPr>
          <w:szCs w:val="24"/>
        </w:rPr>
        <w:fldChar w:fldCharType="end"/>
      </w:r>
      <w:r w:rsidRPr="00812CB0">
        <w:rPr>
          <w:szCs w:val="24"/>
        </w:rPr>
        <w:t>.</w:t>
      </w:r>
    </w:p>
    <w:p w:rsidR="001630DC" w:rsidRPr="00812CB0" w:rsidRDefault="001630DC" w:rsidP="001630DC">
      <w:pPr>
        <w:spacing w:line="480" w:lineRule="auto"/>
        <w:rPr>
          <w:szCs w:val="24"/>
        </w:rPr>
      </w:pPr>
      <w:r w:rsidRPr="00812CB0">
        <w:rPr>
          <w:szCs w:val="24"/>
        </w:rPr>
        <w:tab/>
        <w:t xml:space="preserve">Civil society, a broader category of voluntary and associational </w:t>
      </w:r>
      <w:r w:rsidR="009944D4">
        <w:rPr>
          <w:szCs w:val="24"/>
        </w:rPr>
        <w:t>nongovernmental</w:t>
      </w:r>
      <w:r w:rsidRPr="00812CB0">
        <w:rPr>
          <w:szCs w:val="24"/>
        </w:rPr>
        <w:t xml:space="preserve"> organizations that includes </w:t>
      </w:r>
      <w:r>
        <w:rPr>
          <w:szCs w:val="24"/>
        </w:rPr>
        <w:t>TNGO</w:t>
      </w:r>
      <w:r w:rsidRPr="00812CB0">
        <w:rPr>
          <w:szCs w:val="24"/>
        </w:rPr>
        <w:t xml:space="preserve">s, is driven by a number of external factors. These include weak state institutions that rely on the third sector to fill gaps in services, similar to the hollow state </w:t>
      </w:r>
      <w:r w:rsidRPr="00812CB0">
        <w:rPr>
          <w:szCs w:val="24"/>
        </w:rPr>
        <w:fldChar w:fldCharType="begin"/>
      </w:r>
      <w:r>
        <w:rPr>
          <w:szCs w:val="24"/>
        </w:rPr>
        <w:instrText xml:space="preserve"> ADDIN ZOTERO_ITEM CSL_CITATION {"citationID":"yycK3POu","properties":{"formattedCitation":"(Milward 1994; Milward and Provan 2000)","plainCitation":"(Milward 1994; Milward and Provan 2000)"},"citationItems":[{"id":940,"uris":["http://zotero.org/users/381007/items/GWMG3AFC"],"uri":["http://zotero.org/users/381007/items/GWMG3AFC"],"itemData":{"id":940,"type":"article-journal","title":"Non-profit Contracting and the Hollow State","container-title":"Public Administration Review","page":"73-77","volume":"54","issue":"1","author":[{"family":"Milward","given":"H. Brinton"}],"issued":{"date-parts":[["1994"]]}}},{"id":629,"uris":["http://zotero.org/users/381007/items/83TGU8BK"],"uri":["http://zotero.org/users/381007/items/83TGU8BK"],"itemData":{"id":629,"type":"article-journal","title":"Governing the Hollow State","container-title":"Journal of Public Administration Research and Theory","page":"359-380","volume":"10","issue":"2","abstract":"The hollow state is a metaphor for the increasing use of third parties, often nonprofits, to deliver social services and generally act in the name of the state. The normative question this research has raised, but not answered, is, What effect does government contracting with third-party providers have on the perceived legitimacy of the state? Examining mental health networks, the authors synthesize 10 years of research and find that effective governance (we do not know much about how to effectively manage these networks yet) is more likely to occur when certain elements are present, including a clear principal agent relationship to increase effective governance and principals who produce some services so that they have knowledge of ths costs; infrequent rebidding of contracts to promote stability. coopeartion, and long-term investment by third parties; and resources in combination with other elements of governance (resources are important, but only in combination with other elements.. throwing money at a problem is not effective, nor is underfudning it).","author":[{"family":"Milward","given":"H. Brinton"},{"family":"Provan","given":"Keith"}],"issued":{"date-parts":[["2000"]]}}}],"schema":"https://github.com/citation-style-language/schema/raw/master/csl-citation.json"} </w:instrText>
      </w:r>
      <w:r w:rsidRPr="00812CB0">
        <w:rPr>
          <w:szCs w:val="24"/>
        </w:rPr>
        <w:fldChar w:fldCharType="separate"/>
      </w:r>
      <w:r w:rsidRPr="00812CB0">
        <w:rPr>
          <w:szCs w:val="24"/>
        </w:rPr>
        <w:t>(Milward 1994; Milward and Provan 2000)</w:t>
      </w:r>
      <w:r w:rsidRPr="00812CB0">
        <w:rPr>
          <w:szCs w:val="24"/>
        </w:rPr>
        <w:fldChar w:fldCharType="end"/>
      </w:r>
      <w:r w:rsidRPr="00812CB0">
        <w:rPr>
          <w:szCs w:val="24"/>
        </w:rPr>
        <w:t xml:space="preserve">, but with different motives. </w:t>
      </w:r>
    </w:p>
    <w:p w:rsidR="00E67B1D" w:rsidRDefault="00E67B1D" w:rsidP="00E67B1D">
      <w:pPr>
        <w:spacing w:line="480" w:lineRule="auto"/>
        <w:rPr>
          <w:szCs w:val="24"/>
        </w:rPr>
      </w:pPr>
    </w:p>
    <w:p w:rsidR="001630DC" w:rsidRPr="00E0224B" w:rsidRDefault="001630DC" w:rsidP="00E67B1D">
      <w:pPr>
        <w:pStyle w:val="Heading2"/>
        <w:numPr>
          <w:ilvl w:val="0"/>
          <w:numId w:val="0"/>
        </w:numPr>
        <w:jc w:val="center"/>
        <w:rPr>
          <w:b/>
          <w:color w:val="auto"/>
          <w:sz w:val="24"/>
          <w:szCs w:val="24"/>
        </w:rPr>
      </w:pPr>
      <w:bookmarkStart w:id="295" w:name="_Toc450079233"/>
      <w:r w:rsidRPr="00E0224B">
        <w:rPr>
          <w:b/>
          <w:color w:val="auto"/>
          <w:sz w:val="24"/>
          <w:szCs w:val="24"/>
        </w:rPr>
        <w:t>4.3</w:t>
      </w:r>
      <w:r>
        <w:rPr>
          <w:b/>
          <w:color w:val="auto"/>
          <w:sz w:val="24"/>
          <w:szCs w:val="24"/>
        </w:rPr>
        <w:t>:</w:t>
      </w:r>
      <w:r w:rsidRPr="00E0224B">
        <w:rPr>
          <w:b/>
          <w:color w:val="auto"/>
          <w:sz w:val="24"/>
          <w:szCs w:val="24"/>
        </w:rPr>
        <w:t xml:space="preserve"> Conceptual Framework</w:t>
      </w:r>
      <w:bookmarkEnd w:id="295"/>
    </w:p>
    <w:p w:rsidR="001630DC" w:rsidRPr="00812CB0" w:rsidRDefault="001630DC" w:rsidP="001630DC">
      <w:pPr>
        <w:rPr>
          <w:szCs w:val="24"/>
        </w:rPr>
      </w:pPr>
    </w:p>
    <w:p w:rsidR="001630DC" w:rsidRPr="00812CB0" w:rsidRDefault="001630DC" w:rsidP="001630DC">
      <w:pPr>
        <w:pStyle w:val="GridTable21"/>
        <w:spacing w:line="480" w:lineRule="auto"/>
        <w:ind w:left="0" w:firstLine="0"/>
      </w:pPr>
      <w:r w:rsidRPr="00812CB0">
        <w:tab/>
        <w:t xml:space="preserve">Like MNCs, </w:t>
      </w:r>
      <w:r>
        <w:t>TNGO</w:t>
      </w:r>
      <w:r w:rsidRPr="00812CB0">
        <w:t xml:space="preserve">s are transnational bodies operating in heterogeneous environments. Scholars of MNCs use contingency theory to explain the variation in organizational structure and internal dynamics through the lens of operating environments at the national level. Ghoshal and Nohria </w:t>
      </w:r>
      <w:r w:rsidRPr="00812CB0">
        <w:fldChar w:fldCharType="begin"/>
      </w:r>
      <w:r>
        <w:instrText xml:space="preserve"> ADDIN ZOTERO_ITEM CSL_CITATION {"citationID":"s5nZrKVu","properties":{"formattedCitation":"(Ghoshal and Nohria 1989)","plainCitation":"(Ghoshal and Nohria 1989)"},"citationItems":[{"id":3569,"uris":["http://zotero.org/users/381007/items/J3D73KIZ"],"uri":["http://zotero.org/users/381007/items/J3D73KIZ"],"itemData":{"id":3569,"type":"article-journal","title":"Internal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fldChar w:fldCharType="separate"/>
      </w:r>
      <w:r w:rsidRPr="00812CB0">
        <w:rPr>
          <w:noProof/>
        </w:rPr>
        <w:t>(1989)</w:t>
      </w:r>
      <w:r w:rsidRPr="00812CB0">
        <w:fldChar w:fldCharType="end"/>
      </w:r>
      <w:r w:rsidRPr="00812CB0">
        <w:t xml:space="preserve"> advance the contingency framework to understand the conditions under certain forms of organization are more or less likely, building upon the earlier scholarship on contingency theory </w:t>
      </w:r>
      <w:r w:rsidRPr="00812CB0">
        <w:fldChar w:fldCharType="begin"/>
      </w:r>
      <w:r>
        <w:instrText xml:space="preserve"> ADDIN ZOTERO_ITEM CSL_CITATION {"citationID":"HXZiNScs","properties":{"formattedCitation":"(Lawrence and Lorsch 1967; Drazin and de Ven 1985)","plainCitation":"(Lawrence and Lorsch 1967; Drazin and de Ven 1985)"},"citationItems":[{"id":3663,"uris":["http://zotero.org/users/381007/items/UJBNHQ5H"],"uri":["http://zotero.org/users/381007/items/UJBNHQ5H"],"itemData":{"id":3663,"type":"article-journal","title":"Differentiation and Integration in Complex Organizations","container-title":"Administrative Science Quarterly","page":"1","volume":"12","issue":"1","source":"CrossRef","DOI":"10.2307/2391211","ISSN":"00018392","author":[{"family":"Lawrence","given":"Paul R."},{"family":"Lorsch","given":"Jay W."}],"issued":{"date-parts":[["1967"]]},"accessed":{"date-parts":[["2016",2,23]]}}},{"id":3664,"uris":["http://zotero.org/users/381007/items/X72Z4IGU"],"uri":["http://zotero.org/users/381007/items/X72Z4IGU"],"itemData":{"id":3664,"type":"article-journal","title":"Alternative Forms of Fit in Contingency Theory","container-title":"Administrative Science Quarterly","page":"514","volume":"30","issue":"4","source":"CrossRef","DOI":"10.2307/2392695","ISSN":"00018392","author":[{"family":"Drazin","given":"Robert"},{"family":"de Ven","given":"Andrew H. Van"}],"issued":{"date-parts":[["1985"]]},"accessed":{"date-parts":[["2016",2,23]]}}}],"schema":"https://github.com/citation-style-language/schema/raw/master/csl-citation.json"} </w:instrText>
      </w:r>
      <w:r w:rsidRPr="00812CB0">
        <w:fldChar w:fldCharType="separate"/>
      </w:r>
      <w:r w:rsidRPr="00812CB0">
        <w:rPr>
          <w:noProof/>
        </w:rPr>
        <w:t>(Lawrence and Lorsch 1967; Drazin and de Ven 1985)</w:t>
      </w:r>
      <w:r w:rsidRPr="00812CB0">
        <w:fldChar w:fldCharType="end"/>
      </w:r>
      <w:r w:rsidRPr="00812CB0">
        <w:t xml:space="preserve">. Contingency theory posits that organizational effectiveness results from adjusting organizational characteristics, including structure, to contingencies that reflect the reality of the organization </w:t>
      </w:r>
      <w:r w:rsidRPr="00812CB0">
        <w:fldChar w:fldCharType="begin"/>
      </w:r>
      <w:r>
        <w:instrText xml:space="preserve"> ADDIN ZOTERO_ITEM CSL_CITATION {"citationID":"f0l7NBBs","properties":{"formattedCitation":"(Donaldson 2001)","plainCitation":"(Donaldson 2001)"},"citationItems":[{"id":3659,"uris":["http://zotero.org/users/381007/items/9PRD9998"],"uri":["http://zotero.org/users/381007/items/9PRD9998"],"itemData":{"id":3659,"type":"book","title":"The Contingency Theory of Organizations","publisher":"Sage Publications, Ltd.","publisher-place":"Thousand Oaks","event-place":"Thousand Oaks","author":[{"family":"Donaldson","given":"Lex"}],"issued":{"date-parts":[["2001"]]}}}],"schema":"https://github.com/citation-style-language/schema/raw/master/csl-citation.json"} </w:instrText>
      </w:r>
      <w:r w:rsidRPr="00812CB0">
        <w:fldChar w:fldCharType="separate"/>
      </w:r>
      <w:r w:rsidRPr="00812CB0">
        <w:rPr>
          <w:noProof/>
        </w:rPr>
        <w:t>(Donaldson 2001)</w:t>
      </w:r>
      <w:r w:rsidRPr="00812CB0">
        <w:fldChar w:fldCharType="end"/>
      </w:r>
      <w:r w:rsidRPr="00812CB0">
        <w:t xml:space="preserve">. This may include the operating environment, resources, organization size, technology, or other factors </w:t>
      </w:r>
      <w:r w:rsidRPr="00812CB0">
        <w:fldChar w:fldCharType="begin"/>
      </w:r>
      <w:r>
        <w:instrText xml:space="preserve"> ADDIN ZOTERO_ITEM CSL_CITATION {"citationID":"K0DaXw2h","properties":{"formattedCitation":"(Child 1975; Lawrence and Lorsch 1967)","plainCitation":"(Child 1975; Lawrence and Lorsch 1967)"},"citationItems":[{"id":3661,"uris":["http://zotero.org/users/381007/items/C93GGGZT"],"uri":["http://zotero.org/users/381007/items/C93GGGZT"],"itemData":{"id":3661,"type":"article-journal","title":"Managerial and Organizational Factors Associated with Company Performance - Part II. A Contingency Analysis","container-title":"The Journal of Management Studies","page":"12-27","volume":"12","issue":"1-2","author":[{"family":"Child","given":"JOhn"}],"issued":{"date-parts":[["1975"]]}}},{"id":3663,"uris":["http://zotero.org/users/381007/items/UJBNHQ5H"],"uri":["http://zotero.org/users/381007/items/UJBNHQ5H"],"itemData":{"id":3663,"type":"article-journal","title":"Differentiation and Integration in Complex Organizations","container-title":"Administrative Science Quarterly","page":"1","volume":"12","issue":"1","source":"CrossRef","DOI":"10.2307/2391211","ISSN":"00018392","author":[{"family":"Lawrence","given":"Paul R."},{"family":"Lorsch","given":"Jay W."}],"issued":{"date-parts":[["1967"]]},"accessed":{"date-parts":[["2016",2,23]]}}}],"schema":"https://github.com/citation-style-language/schema/raw/master/csl-citation.json"} </w:instrText>
      </w:r>
      <w:r w:rsidRPr="00812CB0">
        <w:fldChar w:fldCharType="separate"/>
      </w:r>
      <w:r w:rsidRPr="00812CB0">
        <w:rPr>
          <w:noProof/>
        </w:rPr>
        <w:t>(Child 1975; Lawrence and Lorsch 1967)</w:t>
      </w:r>
      <w:r w:rsidRPr="00812CB0">
        <w:fldChar w:fldCharType="end"/>
      </w:r>
      <w:r w:rsidRPr="00812CB0">
        <w:t xml:space="preserve">. Consequently, this framework provides an opportunity to understand the variation on organizational structure and the implications it has for location decision-making. This chapter explores this conceptual framework further to see if its proposals might be extended to </w:t>
      </w:r>
      <w:r>
        <w:t>TNGO</w:t>
      </w:r>
      <w:r w:rsidRPr="00812CB0">
        <w:t xml:space="preserve">s. </w:t>
      </w:r>
    </w:p>
    <w:p w:rsidR="001630DC" w:rsidRDefault="001630DC" w:rsidP="001630DC">
      <w:pPr>
        <w:spacing w:line="480" w:lineRule="auto"/>
      </w:pPr>
      <w:r w:rsidRPr="00812CB0">
        <w:tab/>
        <w:t xml:space="preserve">The proposed framework is premised on local resource levels as well as the relative environmental complexity, emphasizing organizational adaptation to fit these two contingencies. The relationship between the unit and headquarters is organized into three categories: 1) centralization in which the unit exercises little autonomy; 2) formalization, in which decision-making is subject to rules and procedures; 3) and normative integration, in which consensus is the basis for decision-making </w:t>
      </w:r>
      <w:r w:rsidRPr="00812CB0">
        <w:fldChar w:fldCharType="begin"/>
      </w:r>
      <w:r>
        <w:instrText xml:space="preserve"> ADDIN ZOTERO_ITEM CSL_CITATION {"citationID":"0J1BmjLN","properties":{"formattedCitation":"(Ghoshal and Nohria 1989)","plainCitation":"(Ghoshal and Nohria 1989)"},"citationItems":[{"id":3569,"uris":["http://zotero.org/users/381007/items/J3D73KIZ"],"uri":["http://zotero.org/users/381007/items/J3D73KIZ"],"itemData":{"id":3569,"type":"article-journal","title":"Internal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fldChar w:fldCharType="separate"/>
      </w:r>
      <w:r w:rsidRPr="00812CB0">
        <w:rPr>
          <w:noProof/>
        </w:rPr>
        <w:t>(Ghoshal and Nohria 1989)</w:t>
      </w:r>
      <w:r w:rsidRPr="00812CB0">
        <w:fldChar w:fldCharType="end"/>
      </w:r>
      <w:r w:rsidRPr="00812CB0">
        <w:t xml:space="preserve">. Adapted to </w:t>
      </w:r>
      <w:r>
        <w:t>TNGO</w:t>
      </w:r>
      <w:r w:rsidRPr="00812CB0">
        <w:t xml:space="preserve">s, the relationship under examination is that between headquarters and the country offices. The elements of autonomy, procedures for decision-making, and shared values across the organization may be used to describe the processes and structure within </w:t>
      </w:r>
      <w:r>
        <w:t>TNGO</w:t>
      </w:r>
      <w:r w:rsidRPr="00812CB0">
        <w:t>s. The case under consideration here is the international development sector in Uganda. Consequently, the environmental complexity is adapted to describe variation within the sector. For example, the political and operating environment faced by human rights organizations is likely more contentious than that of education or public health organizations. Figure 1 illustrates the conditions and organizational outcomes.</w:t>
      </w:r>
    </w:p>
    <w:p w:rsidR="00293B32" w:rsidRDefault="00293B32" w:rsidP="001630DC">
      <w:pPr>
        <w:spacing w:line="480" w:lineRule="auto"/>
      </w:pPr>
    </w:p>
    <w:p w:rsidR="001630DC" w:rsidRPr="00812CB0" w:rsidRDefault="001630DC" w:rsidP="001630DC">
      <w:pPr>
        <w:spacing w:line="480" w:lineRule="auto"/>
      </w:pPr>
    </w:p>
    <w:p w:rsidR="001630DC" w:rsidRPr="00812CB0" w:rsidRDefault="00BC20CD" w:rsidP="001630DC">
      <w:pPr>
        <w:tabs>
          <w:tab w:val="left" w:pos="1260"/>
        </w:tabs>
        <w:spacing w:line="480" w:lineRule="auto"/>
        <w:jc w:val="center"/>
      </w:pPr>
      <w:r>
        <w:rPr>
          <w:noProof/>
        </w:rPr>
        <mc:AlternateContent>
          <mc:Choice Requires="wps">
            <w:drawing>
              <wp:anchor distT="45720" distB="45720" distL="114300" distR="114300" simplePos="0" relativeHeight="251635200" behindDoc="0" locked="0" layoutInCell="1" allowOverlap="1">
                <wp:simplePos x="0" y="0"/>
                <wp:positionH relativeFrom="column">
                  <wp:posOffset>947420</wp:posOffset>
                </wp:positionH>
                <wp:positionV relativeFrom="paragraph">
                  <wp:posOffset>-177165</wp:posOffset>
                </wp:positionV>
                <wp:extent cx="1155065" cy="443865"/>
                <wp:effectExtent l="0" t="0" r="26035" b="1333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443865"/>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Uncertain Environment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4.6pt;margin-top:-13.95pt;width:90.95pt;height:34.9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">
                <v:textbox>
                  <w:txbxContent>
                    <w:p w:rsidR="00F43496" w:rsidRPr="004100C2" w:rsidRDefault="00F43496" w:rsidP="001630DC">
                      <w:pPr>
                        <w:jc w:val="center"/>
                        <w:rPr>
                          <w:sz w:val="22"/>
                        </w:rPr>
                      </w:pPr>
                      <w:r w:rsidRPr="004100C2">
                        <w:rPr>
                          <w:sz w:val="22"/>
                        </w:rPr>
                        <w:t>Uncertain Environment</w:t>
                      </w:r>
                    </w:p>
                  </w:txbxContent>
                </v:textbox>
                <w10:wrap type="square"/>
              </v:shap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1575435</wp:posOffset>
                </wp:positionH>
                <wp:positionV relativeFrom="paragraph">
                  <wp:posOffset>342900</wp:posOffset>
                </wp:positionV>
                <wp:extent cx="9525" cy="266700"/>
                <wp:effectExtent l="47625" t="7620" r="57150" b="20955"/>
                <wp:wrapNone/>
                <wp:docPr id="5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type w14:anchorId="32D230B8" id="_x0000_t32" coordsize="21600,21600" o:spt="32" o:oned="t" path="m,l21600,21600e" filled="f">
                <v:path arrowok="t" fillok="f" o:connecttype="none"/>
                <o:lock v:ext="edit" shapetype="t"/>
              </v:shapetype>
              <v:shape id="AutoShape 16" o:spid="_x0000_s1026" type="#_x0000_t32" style="position:absolute;margin-left:124.05pt;margin-top:27pt;width:.75pt;height: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k5NgIAAGI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" strokeweight="1pt">
                <v:stroke endarrow="block"/>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3604260</wp:posOffset>
                </wp:positionH>
                <wp:positionV relativeFrom="paragraph">
                  <wp:posOffset>352425</wp:posOffset>
                </wp:positionV>
                <wp:extent cx="9525" cy="266700"/>
                <wp:effectExtent l="47625" t="7620" r="57150" b="20955"/>
                <wp:wrapNone/>
                <wp:docPr id="5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 w14:anchorId="3711B891" id="AutoShape 17" o:spid="_x0000_s1026" type="#_x0000_t32" style="position:absolute;margin-left:283.8pt;margin-top:27.75pt;width:.75pt;height: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" strokeweight="1pt">
                <v:stroke endarrow="block"/>
              </v:shape>
            </w:pict>
          </mc:Fallback>
        </mc:AlternateContent>
      </w:r>
      <w:r>
        <w:rPr>
          <w:noProof/>
        </w:rPr>
        <mc:AlternateContent>
          <mc:Choice Requires="wps">
            <w:drawing>
              <wp:anchor distT="45720" distB="45720" distL="114300" distR="114300" simplePos="0" relativeHeight="251639296" behindDoc="0" locked="0" layoutInCell="1" allowOverlap="1">
                <wp:simplePos x="0" y="0"/>
                <wp:positionH relativeFrom="column">
                  <wp:posOffset>3023235</wp:posOffset>
                </wp:positionH>
                <wp:positionV relativeFrom="paragraph">
                  <wp:posOffset>-167640</wp:posOffset>
                </wp:positionV>
                <wp:extent cx="1154430" cy="434340"/>
                <wp:effectExtent l="0" t="0" r="26670" b="22860"/>
                <wp:wrapSquare wrapText="bothSides"/>
                <wp:docPr id="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434340"/>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Certain Environment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38.05pt;margin-top:-13.2pt;width:90.9pt;height:34.2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">
                <v:textbox>
                  <w:txbxContent>
                    <w:p w:rsidR="00F43496" w:rsidRPr="004100C2" w:rsidRDefault="00F43496" w:rsidP="001630DC">
                      <w:pPr>
                        <w:jc w:val="center"/>
                        <w:rPr>
                          <w:sz w:val="22"/>
                        </w:rPr>
                      </w:pPr>
                      <w:r w:rsidRPr="004100C2">
                        <w:rPr>
                          <w:sz w:val="22"/>
                        </w:rPr>
                        <w:t>Certain Environment</w:t>
                      </w:r>
                    </w:p>
                  </w:txbxContent>
                </v:textbox>
                <w10:wrap type="square"/>
              </v:shap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22860</wp:posOffset>
                </wp:positionH>
                <wp:positionV relativeFrom="paragraph">
                  <wp:posOffset>38100</wp:posOffset>
                </wp:positionV>
                <wp:extent cx="1285875" cy="304800"/>
                <wp:effectExtent l="0" t="0" r="0" b="0"/>
                <wp:wrapNone/>
                <wp:docPr id="5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04800"/>
                        </a:xfrm>
                        <a:prstGeom prst="rect">
                          <a:avLst/>
                        </a:prstGeom>
                        <a:noFill/>
                        <a:ln>
                          <a:noFill/>
                        </a:ln>
                        <a:extLst>
                          <a:ext uri="{909E8E84-426E-40dd-AFC4-6F175D3DCCD1}"/>
                          <a:ext uri="{91240B29-F687-4f45-9708-019B960494DF}"/>
                        </a:extLst>
                      </wps:spPr>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57117DA0" id="Rectangle 7" o:spid="_x0000_s1026" style="position:absolute;margin-left:1.8pt;margin-top:3pt;width:101.25pt;height:2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" filled="f" stroked="f">
                <v:textbox inset=",7.2pt,,7.2pt"/>
              </v:rect>
            </w:pict>
          </mc:Fallback>
        </mc:AlternateContent>
      </w:r>
      <w:r>
        <w:rPr>
          <w:noProof/>
        </w:rPr>
        <mc:AlternateContent>
          <mc:Choice Requires="wps">
            <w:drawing>
              <wp:anchor distT="0" distB="0" distL="114300" distR="114300" simplePos="0" relativeHeight="251633152" behindDoc="0" locked="0" layoutInCell="1" allowOverlap="1">
                <wp:simplePos x="0" y="0"/>
                <wp:positionH relativeFrom="column">
                  <wp:posOffset>661035</wp:posOffset>
                </wp:positionH>
                <wp:positionV relativeFrom="paragraph">
                  <wp:posOffset>-352425</wp:posOffset>
                </wp:positionV>
                <wp:extent cx="971550" cy="276225"/>
                <wp:effectExtent l="0" t="0" r="0" b="0"/>
                <wp:wrapNone/>
                <wp:docPr id="5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6225"/>
                        </a:xfrm>
                        <a:prstGeom prst="rect">
                          <a:avLst/>
                        </a:prstGeom>
                        <a:noFill/>
                        <a:ln>
                          <a:noFill/>
                        </a:ln>
                        <a:extLst>
                          <a:ext uri="{909E8E84-426E-40dd-AFC4-6F175D3DCCD1}"/>
                          <a:ext uri="{91240B29-F687-4f45-9708-019B960494DF}"/>
                        </a:extLst>
                      </wps:spPr>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19DF4A77" id="Rectangle 6" o:spid="_x0000_s1026" style="position:absolute;margin-left:52.05pt;margin-top:-27.75pt;width:76.5pt;height:21.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" filled="f" stroked="f">
                <v:textbox inset=",7.2pt,,7.2pt"/>
              </v:rect>
            </w:pict>
          </mc:Fallback>
        </mc:AlternateContent>
      </w:r>
    </w:p>
    <w:p w:rsidR="001630DC" w:rsidRPr="00812CB0" w:rsidRDefault="00BC20CD" w:rsidP="001630DC">
      <w:pPr>
        <w:spacing w:line="480" w:lineRule="auto"/>
      </w:pPr>
      <w:r>
        <w:rPr>
          <w:noProof/>
        </w:rPr>
        <mc:AlternateContent>
          <mc:Choice Requires="wps">
            <w:drawing>
              <wp:anchor distT="45720" distB="45720" distL="114300" distR="114300" simplePos="0" relativeHeight="251632128" behindDoc="0" locked="0" layoutInCell="1" allowOverlap="1">
                <wp:simplePos x="0" y="0"/>
                <wp:positionH relativeFrom="column">
                  <wp:posOffset>958215</wp:posOffset>
                </wp:positionH>
                <wp:positionV relativeFrom="paragraph">
                  <wp:posOffset>313055</wp:posOffset>
                </wp:positionV>
                <wp:extent cx="3162300" cy="297180"/>
                <wp:effectExtent l="0" t="0" r="19050" b="26670"/>
                <wp:wrapSquare wrapText="bothSides"/>
                <wp:docPr id="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7180"/>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Organization Structure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75.45pt;margin-top:24.65pt;width:249pt;height:23.4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">
                <v:textbox>
                  <w:txbxContent>
                    <w:p w:rsidR="00F43496" w:rsidRPr="004100C2" w:rsidRDefault="00F43496" w:rsidP="001630DC">
                      <w:pPr>
                        <w:jc w:val="center"/>
                        <w:rPr>
                          <w:sz w:val="22"/>
                        </w:rPr>
                      </w:pPr>
                      <w:r w:rsidRPr="004100C2">
                        <w:rPr>
                          <w:sz w:val="22"/>
                        </w:rPr>
                        <w:t>Organization Structure</w:t>
                      </w:r>
                    </w:p>
                  </w:txbxContent>
                </v:textbox>
                <w10:wrap type="square"/>
              </v:shap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2385060</wp:posOffset>
                </wp:positionH>
                <wp:positionV relativeFrom="paragraph">
                  <wp:posOffset>338455</wp:posOffset>
                </wp:positionV>
                <wp:extent cx="19050" cy="647700"/>
                <wp:effectExtent l="0" t="0" r="0" b="0"/>
                <wp:wrapNone/>
                <wp:docPr id="5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647700"/>
                        </a:xfrm>
                        <a:prstGeom prst="straightConnector1">
                          <a:avLst/>
                        </a:prstGeom>
                        <a:noFill/>
                        <a:ln>
                          <a:noFill/>
                        </a:ln>
                        <a:extLst>
                          <a:ext uri="{909E8E84-426E-40dd-AFC4-6F175D3DCCD1}"/>
                          <a:ext uri="{91240B29-F687-4f45-9708-019B960494DF}"/>
                        </a:extLst>
                      </wps:spPr>
                      <wps:bodyPr/>
                    </wps:wsp>
                  </a:graphicData>
                </a:graphic>
                <wp14:sizeRelH relativeFrom="leftMargin">
                  <wp14:pctWidth>0</wp14:pctWidth>
                </wp14:sizeRelH>
                <wp14:sizeRelV relativeFrom="page">
                  <wp14:pctHeight>0</wp14:pctHeight>
                </wp14:sizeRelV>
              </wp:anchor>
            </w:drawing>
          </mc:Choice>
          <mc:Fallback>
            <w:pict>
              <v:shape w14:anchorId="1CEEE24F" id="AutoShape 10" o:spid="_x0000_s1026" type="#_x0000_t32" style="position:absolute;margin-left:187.8pt;margin-top:26.65pt;width:1.5pt;height:5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" stroked="f"/>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2556510</wp:posOffset>
                </wp:positionH>
                <wp:positionV relativeFrom="paragraph">
                  <wp:posOffset>281305</wp:posOffset>
                </wp:positionV>
                <wp:extent cx="9525" cy="266700"/>
                <wp:effectExtent l="0" t="0" r="0" b="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a:noFill/>
                        </a:ln>
                        <a:extLst>
                          <a:ext uri="{909E8E84-426E-40dd-AFC4-6F175D3DCCD1}"/>
                          <a:ext uri="{91240B29-F687-4f45-9708-019B960494DF}"/>
                        </a:extLst>
                      </wps:spPr>
                      <wps:bodyPr/>
                    </wps:wsp>
                  </a:graphicData>
                </a:graphic>
                <wp14:sizeRelH relativeFrom="leftMargin">
                  <wp14:pctWidth>0</wp14:pctWidth>
                </wp14:sizeRelH>
                <wp14:sizeRelV relativeFrom="page">
                  <wp14:pctHeight>0</wp14:pctHeight>
                </wp14:sizeRelV>
              </wp:anchor>
            </w:drawing>
          </mc:Choice>
          <mc:Fallback>
            <w:pict>
              <v:shape w14:anchorId="58003EEA" id="AutoShape 9" o:spid="_x0000_s1026" type="#_x0000_t32" style="position:absolute;margin-left:201.3pt;margin-top:22.15pt;width:.75pt;height:2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" stroked="f"/>
            </w:pict>
          </mc:Fallback>
        </mc:AlternateContent>
      </w:r>
    </w:p>
    <w:p w:rsidR="001630DC" w:rsidRPr="00812CB0" w:rsidRDefault="00BC20CD" w:rsidP="001630DC">
      <w:pPr>
        <w:spacing w:line="480" w:lineRule="auto"/>
      </w:pPr>
      <w:r>
        <w:rPr>
          <w:noProof/>
        </w:rPr>
        <mc:AlternateContent>
          <mc:Choice Requires="wps">
            <w:drawing>
              <wp:anchor distT="0" distB="0" distL="114300" distR="114300" simplePos="0" relativeHeight="251644416" behindDoc="0" locked="0" layoutInCell="1" allowOverlap="1">
                <wp:simplePos x="0" y="0"/>
                <wp:positionH relativeFrom="column">
                  <wp:posOffset>1623060</wp:posOffset>
                </wp:positionH>
                <wp:positionV relativeFrom="paragraph">
                  <wp:posOffset>307340</wp:posOffset>
                </wp:positionV>
                <wp:extent cx="9525" cy="266700"/>
                <wp:effectExtent l="47625" t="6350" r="57150" b="22225"/>
                <wp:wrapNone/>
                <wp:docPr id="5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 w14:anchorId="23A1D8BF" id="AutoShape 18" o:spid="_x0000_s1026" type="#_x0000_t32" style="position:absolute;margin-left:127.8pt;margin-top:24.2pt;width:.7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BwNgIAAGI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" strokeweight="1pt">
                <v:stroke endarrow="block"/>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3575685</wp:posOffset>
                </wp:positionH>
                <wp:positionV relativeFrom="paragraph">
                  <wp:posOffset>273685</wp:posOffset>
                </wp:positionV>
                <wp:extent cx="9525" cy="266700"/>
                <wp:effectExtent l="47625" t="10795" r="57150" b="17780"/>
                <wp:wrapNone/>
                <wp:docPr id="5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 w14:anchorId="197169C3" id="AutoShape 19" o:spid="_x0000_s1026" type="#_x0000_t32" style="position:absolute;margin-left:281.55pt;margin-top:21.55pt;width:.75pt;height: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" strokeweight="1pt">
                <v:stroke endarrow="block"/>
              </v:shape>
            </w:pict>
          </mc:Fallback>
        </mc:AlternateContent>
      </w:r>
    </w:p>
    <w:p w:rsidR="001630DC" w:rsidRPr="00812CB0" w:rsidRDefault="00BC20CD" w:rsidP="001630DC">
      <w:pPr>
        <w:spacing w:line="480" w:lineRule="auto"/>
      </w:pPr>
      <w:r>
        <w:rPr>
          <w:noProof/>
        </w:rPr>
        <mc:AlternateContent>
          <mc:Choice Requires="wps">
            <w:drawing>
              <wp:anchor distT="45720" distB="45720" distL="114300" distR="114300" simplePos="0" relativeHeight="251641344" behindDoc="0" locked="0" layoutInCell="1" allowOverlap="1">
                <wp:simplePos x="0" y="0"/>
                <wp:positionH relativeFrom="column">
                  <wp:posOffset>2937510</wp:posOffset>
                </wp:positionH>
                <wp:positionV relativeFrom="paragraph">
                  <wp:posOffset>253365</wp:posOffset>
                </wp:positionV>
                <wp:extent cx="1211580" cy="448945"/>
                <wp:effectExtent l="0" t="0" r="26670" b="27305"/>
                <wp:wrapSquare wrapText="bothSides"/>
                <wp:docPr id="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448945"/>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Centralized Authority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231.3pt;margin-top:19.95pt;width:95.4pt;height:35.3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">
                <v:textbox>
                  <w:txbxContent>
                    <w:p w:rsidR="00F43496" w:rsidRPr="004100C2" w:rsidRDefault="00F43496" w:rsidP="001630DC">
                      <w:pPr>
                        <w:jc w:val="center"/>
                        <w:rPr>
                          <w:sz w:val="22"/>
                        </w:rPr>
                      </w:pPr>
                      <w:r w:rsidRPr="004100C2">
                        <w:rPr>
                          <w:sz w:val="22"/>
                        </w:rPr>
                        <w:t>Centralized Authority</w:t>
                      </w:r>
                    </w:p>
                  </w:txbxContent>
                </v:textbox>
                <w10:wrap type="square"/>
              </v:shape>
            </w:pict>
          </mc:Fallback>
        </mc:AlternateContent>
      </w:r>
      <w:r>
        <w:rPr>
          <w:noProof/>
        </w:rPr>
        <mc:AlternateContent>
          <mc:Choice Requires="wps">
            <w:drawing>
              <wp:anchor distT="45720" distB="45720" distL="114300" distR="114300" simplePos="0" relativeHeight="251640320" behindDoc="0" locked="0" layoutInCell="1" allowOverlap="1">
                <wp:simplePos x="0" y="0"/>
                <wp:positionH relativeFrom="column">
                  <wp:posOffset>1039495</wp:posOffset>
                </wp:positionH>
                <wp:positionV relativeFrom="paragraph">
                  <wp:posOffset>253365</wp:posOffset>
                </wp:positionV>
                <wp:extent cx="1230630" cy="448945"/>
                <wp:effectExtent l="0" t="0" r="26670" b="27305"/>
                <wp:wrapSquare wrapText="bothSides"/>
                <wp:docPr id="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448945"/>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Decentralized Authority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margin-left:81.85pt;margin-top:19.95pt;width:96.9pt;height:35.3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">
                <v:textbox>
                  <w:txbxContent>
                    <w:p w:rsidR="00F43496" w:rsidRPr="004100C2" w:rsidRDefault="00F43496" w:rsidP="001630DC">
                      <w:pPr>
                        <w:jc w:val="center"/>
                        <w:rPr>
                          <w:sz w:val="22"/>
                        </w:rPr>
                      </w:pPr>
                      <w:r w:rsidRPr="004100C2">
                        <w:rPr>
                          <w:sz w:val="22"/>
                        </w:rPr>
                        <w:t>Decentralized Authority</w:t>
                      </w:r>
                    </w:p>
                  </w:txbxContent>
                </v:textbox>
                <w10:wrap type="square"/>
              </v:shape>
            </w:pict>
          </mc:Fallback>
        </mc:AlternateContent>
      </w:r>
    </w:p>
    <w:p w:rsidR="001630DC" w:rsidRPr="00812CB0" w:rsidRDefault="001630DC" w:rsidP="001630DC">
      <w:pPr>
        <w:spacing w:line="480" w:lineRule="auto"/>
        <w:ind w:firstLine="720"/>
      </w:pPr>
    </w:p>
    <w:p w:rsidR="001630DC" w:rsidRPr="00812CB0" w:rsidRDefault="00BC20CD" w:rsidP="001630DC">
      <w:pPr>
        <w:pStyle w:val="Caption"/>
        <w:jc w:val="center"/>
        <w:rPr>
          <w:b/>
          <w:i w:val="0"/>
          <w:color w:val="auto"/>
          <w:sz w:val="20"/>
          <w:szCs w:val="20"/>
        </w:rPr>
      </w:pPr>
      <w:r>
        <w:rPr>
          <w:noProof/>
        </w:rPr>
        <mc:AlternateContent>
          <mc:Choice Requires="wps">
            <w:drawing>
              <wp:anchor distT="0" distB="0" distL="114300" distR="114300" simplePos="0" relativeHeight="251646464" behindDoc="0" locked="0" layoutInCell="1" allowOverlap="1">
                <wp:simplePos x="0" y="0"/>
                <wp:positionH relativeFrom="column">
                  <wp:posOffset>1604010</wp:posOffset>
                </wp:positionH>
                <wp:positionV relativeFrom="paragraph">
                  <wp:posOffset>76200</wp:posOffset>
                </wp:positionV>
                <wp:extent cx="9525" cy="266700"/>
                <wp:effectExtent l="47625" t="7620" r="57150" b="20955"/>
                <wp:wrapNone/>
                <wp:docPr id="4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 w14:anchorId="1C7C3EB9" id="AutoShape 20" o:spid="_x0000_s1026" type="#_x0000_t32" style="position:absolute;margin-left:126.3pt;margin-top:6pt;width:.7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" strokeweight="1pt">
                <v:stroke endarrow="block"/>
              </v:shape>
            </w:pict>
          </mc:Fallback>
        </mc:AlternateContent>
      </w:r>
      <w:r>
        <w:rPr>
          <w:noProof/>
        </w:rPr>
        <mc:AlternateContent>
          <mc:Choice Requires="wps">
            <w:drawing>
              <wp:anchor distT="0" distB="0" distL="114298" distR="114298" simplePos="0" relativeHeight="251647488" behindDoc="0" locked="0" layoutInCell="1" allowOverlap="1">
                <wp:simplePos x="0" y="0"/>
                <wp:positionH relativeFrom="column">
                  <wp:posOffset>3556635</wp:posOffset>
                </wp:positionH>
                <wp:positionV relativeFrom="paragraph">
                  <wp:posOffset>96520</wp:posOffset>
                </wp:positionV>
                <wp:extent cx="0" cy="265430"/>
                <wp:effectExtent l="57150" t="8890" r="57150" b="20955"/>
                <wp:wrapNone/>
                <wp:docPr id="4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shape w14:anchorId="2E322AD7" id="AutoShape 21" o:spid="_x0000_s1026" type="#_x0000_t32" style="position:absolute;margin-left:280.05pt;margin-top:7.6pt;width:0;height:20.9p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" strokeweight="1pt">
                <v:stroke endarrow="block"/>
              </v:shape>
            </w:pict>
          </mc:Fallback>
        </mc:AlternateContent>
      </w:r>
    </w:p>
    <w:p w:rsidR="001630DC" w:rsidRDefault="00BC20CD" w:rsidP="001630DC">
      <w:pPr>
        <w:pStyle w:val="Caption"/>
        <w:jc w:val="center"/>
        <w:rPr>
          <w:b/>
          <w:i w:val="0"/>
          <w:color w:val="auto"/>
          <w:sz w:val="22"/>
          <w:szCs w:val="22"/>
        </w:rPr>
      </w:pPr>
      <w:r>
        <w:rPr>
          <w:noProof/>
        </w:rPr>
        <mc:AlternateContent>
          <mc:Choice Requires="wps">
            <w:drawing>
              <wp:anchor distT="45720" distB="45720" distL="114300" distR="114300" simplePos="0" relativeHeight="251638272" behindDoc="0" locked="0" layoutInCell="1" allowOverlap="1">
                <wp:simplePos x="0" y="0"/>
                <wp:positionH relativeFrom="column">
                  <wp:posOffset>1143000</wp:posOffset>
                </wp:positionH>
                <wp:positionV relativeFrom="paragraph">
                  <wp:posOffset>138430</wp:posOffset>
                </wp:positionV>
                <wp:extent cx="3108960" cy="306705"/>
                <wp:effectExtent l="0" t="0" r="15240" b="17145"/>
                <wp:wrapSquare wrapText="bothSides"/>
                <wp:docPr id="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306705"/>
                        </a:xfrm>
                        <a:prstGeom prst="rect">
                          <a:avLst/>
                        </a:prstGeom>
                        <a:solidFill>
                          <a:srgbClr val="FFFFFF"/>
                        </a:solidFill>
                        <a:ln w="9525">
                          <a:solidFill>
                            <a:srgbClr val="000000"/>
                          </a:solidFill>
                          <a:miter lim="800000"/>
                          <a:headEnd/>
                          <a:tailEnd/>
                        </a:ln>
                      </wps:spPr>
                      <wps:txbx>
                        <w:txbxContent>
                          <w:p w:rsidR="00F43496" w:rsidRPr="004100C2" w:rsidRDefault="00F43496" w:rsidP="001630DC">
                            <w:pPr>
                              <w:jc w:val="center"/>
                              <w:rPr>
                                <w:sz w:val="22"/>
                              </w:rPr>
                            </w:pPr>
                            <w:r w:rsidRPr="004100C2">
                              <w:rPr>
                                <w:sz w:val="22"/>
                              </w:rPr>
                              <w:t>Greater/Lesser Decision-making Autonomy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left:0;text-align:left;margin-left:90pt;margin-top:10.9pt;width:244.8pt;height:24.1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NRLgIAAFk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">
                <v:textbox>
                  <w:txbxContent>
                    <w:p w:rsidR="00F43496" w:rsidRPr="004100C2" w:rsidRDefault="00F43496" w:rsidP="001630DC">
                      <w:pPr>
                        <w:jc w:val="center"/>
                        <w:rPr>
                          <w:sz w:val="22"/>
                        </w:rPr>
                      </w:pPr>
                      <w:r w:rsidRPr="004100C2">
                        <w:rPr>
                          <w:sz w:val="22"/>
                        </w:rPr>
                        <w:t>Greater/Lesser Decision-making Autonomy</w:t>
                      </w:r>
                    </w:p>
                  </w:txbxContent>
                </v:textbox>
                <w10:wrap type="square"/>
              </v:shape>
            </w:pict>
          </mc:Fallback>
        </mc:AlternateContent>
      </w:r>
    </w:p>
    <w:p w:rsidR="001630DC" w:rsidRDefault="001630DC" w:rsidP="001630DC">
      <w:pPr>
        <w:pStyle w:val="Caption"/>
        <w:jc w:val="center"/>
        <w:rPr>
          <w:b/>
          <w:i w:val="0"/>
          <w:color w:val="auto"/>
          <w:sz w:val="22"/>
          <w:szCs w:val="22"/>
        </w:rPr>
      </w:pPr>
    </w:p>
    <w:p w:rsidR="001630DC" w:rsidRPr="002737E8" w:rsidRDefault="001630DC" w:rsidP="001630DC">
      <w:pPr>
        <w:pStyle w:val="Caption"/>
        <w:jc w:val="center"/>
        <w:rPr>
          <w:b/>
          <w:i w:val="0"/>
          <w:color w:val="auto"/>
          <w:sz w:val="22"/>
          <w:szCs w:val="22"/>
        </w:rPr>
      </w:pPr>
      <w:bookmarkStart w:id="296" w:name="_Toc450069824"/>
      <w:r w:rsidRPr="002737E8">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4</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1</w:t>
      </w:r>
      <w:r>
        <w:rPr>
          <w:b/>
          <w:i w:val="0"/>
          <w:color w:val="auto"/>
          <w:sz w:val="22"/>
        </w:rPr>
        <w:fldChar w:fldCharType="end"/>
      </w:r>
      <w:r w:rsidRPr="002737E8">
        <w:rPr>
          <w:b/>
          <w:i w:val="0"/>
          <w:color w:val="auto"/>
          <w:sz w:val="22"/>
          <w:szCs w:val="22"/>
        </w:rPr>
        <w:t>: Contingency Framework and Authority Levels</w:t>
      </w:r>
      <w:bookmarkEnd w:id="296"/>
    </w:p>
    <w:p w:rsidR="001630DC" w:rsidRPr="00F473CD" w:rsidRDefault="001630DC" w:rsidP="001630DC"/>
    <w:p w:rsidR="001630DC" w:rsidRPr="00812CB0" w:rsidRDefault="001630DC" w:rsidP="001630DC">
      <w:pPr>
        <w:spacing w:line="480" w:lineRule="auto"/>
        <w:ind w:firstLine="720"/>
      </w:pPr>
      <w:r w:rsidRPr="00812CB0">
        <w:t xml:space="preserve">Although contingency theory is not without its challenges, it provides a useful starting point for developing propositions about </w:t>
      </w:r>
      <w:r>
        <w:t>TNGO</w:t>
      </w:r>
      <w:r w:rsidRPr="00812CB0">
        <w:t xml:space="preserve"> decision-making and structure. Critics of the theory cite the assumption that there is no one best way to organize or that organizing is not equally effective in all contexts </w:t>
      </w:r>
      <w:r w:rsidRPr="00812CB0">
        <w:fldChar w:fldCharType="begin"/>
      </w:r>
      <w:r>
        <w:instrText xml:space="preserve"> ADDIN ZOTERO_ITEM CSL_CITATION {"citationID":"eP6TASqJ","properties":{"formattedCitation":"(Schoonhoven 1981)","plainCitation":"(Schoonhoven 1981)"},"citationItems":[{"id":3658,"uris":["http://zotero.org/users/381007/items/3TZTIR9Z"],"uri":["http://zotero.org/users/381007/items/3TZTIR9Z"],"itemData":{"id":3658,"type":"article-journal","title":"Problems with Contingency Theory: Testing Assumptions Hidden within the Language of Contingency \"Theory\"","container-title":"Administrative Science Quarterly","page":"349","volume":"26","issue":"3","source":"CrossRef","DOI":"10.2307/2392512","ISSN":"00018392","shortTitle":"Problems with Contingency Theory","author":[{"family":"Schoonhoven","given":"Claudia Bird"}],"issued":{"date-parts":[["1981",9]]},"accessed":{"date-parts":[["2016",2,23]]}}}],"schema":"https://github.com/citation-style-language/schema/raw/master/csl-citation.json"} </w:instrText>
      </w:r>
      <w:r w:rsidRPr="00812CB0">
        <w:fldChar w:fldCharType="separate"/>
      </w:r>
      <w:r w:rsidRPr="00812CB0">
        <w:rPr>
          <w:noProof/>
        </w:rPr>
        <w:t>(Schoonhoven 1981)</w:t>
      </w:r>
      <w:r w:rsidRPr="00812CB0">
        <w:fldChar w:fldCharType="end"/>
      </w:r>
      <w:r w:rsidRPr="00812CB0">
        <w:t xml:space="preserve">. However, this perspective posits that organizational outcomes are adapted to the environment in question. Furthermore, it is an approach that achieves generalizability resulting from its fit to a range of subjects. Ghoshal and Nohria (1989) did exactly this, extending on the work of Lawrence and Dyer </w:t>
      </w:r>
      <w:r w:rsidRPr="00812CB0">
        <w:fldChar w:fldCharType="begin"/>
      </w:r>
      <w:r>
        <w:instrText xml:space="preserve"> ADDIN ZOTERO_ITEM CSL_CITATION {"citationID":"ha0T6P1g","properties":{"formattedCitation":"(Lawrence and Dyer 1983)","plainCitation":"(Lawrence and Dyer 1983)"},"citationItems":[{"id":3662,"uris":["http://zotero.org/users/381007/items/JPTR8UEA"],"uri":["http://zotero.org/users/381007/items/JPTR8UEA"],"itemData":{"id":3662,"type":"book","title":"Renewing American Industry","publisher":"Collier Macmillan Publishers","publisher-place":"London","event-place":"London","abstract":"Lawrence, Paul R., and Davis Dyer. Renewing American Industry. New York: Free Press; London: Collier Macmillan Publishers, 1983.","author":[{"family":"Lawrence","given":"Paul R."},{"family":"Dyer","given":"Davis"}],"issued":{"date-parts":[["1983"]]}}}],"schema":"https://github.com/citation-style-language/schema/raw/master/csl-citation.json"} </w:instrText>
      </w:r>
      <w:r w:rsidRPr="00812CB0">
        <w:fldChar w:fldCharType="separate"/>
      </w:r>
      <w:r w:rsidRPr="00812CB0">
        <w:rPr>
          <w:noProof/>
        </w:rPr>
        <w:t>(1983)</w:t>
      </w:r>
      <w:r w:rsidRPr="00812CB0">
        <w:fldChar w:fldCharType="end"/>
      </w:r>
      <w:r w:rsidRPr="00812CB0">
        <w:t xml:space="preserve"> to MNCs. Furthermore, the application of the framework to </w:t>
      </w:r>
      <w:r>
        <w:t>TNGO</w:t>
      </w:r>
      <w:r w:rsidRPr="00812CB0">
        <w:t xml:space="preserve">s is an opportunity to adapt and refine it, drawing together fields including development, organization behavior, and nonprofits. </w:t>
      </w:r>
    </w:p>
    <w:p w:rsidR="001630DC" w:rsidRPr="00812CB0" w:rsidRDefault="001630DC" w:rsidP="001630DC">
      <w:pPr>
        <w:spacing w:line="480" w:lineRule="auto"/>
      </w:pPr>
      <w:r w:rsidRPr="00812CB0">
        <w:tab/>
        <w:t xml:space="preserve">In the private sector, environmental complexity results in greater interdependency between headquarters and subsidiary units. Information asymmetry and changes in the operating environment lead to reciprocal communication, cooperation, and collaboration. In contrast, as resource levels at the national level increase, units are able to exercise more autonomy in setting priorities and limit the exchange of information with other units. This decentralization may ultimately lead to </w:t>
      </w:r>
      <w:r>
        <w:t>tension between individual units in the organization</w:t>
      </w:r>
      <w:r w:rsidRPr="00812CB0">
        <w:t xml:space="preserve"> </w:t>
      </w:r>
      <w:r>
        <w:t>if</w:t>
      </w:r>
      <w:r w:rsidRPr="00812CB0">
        <w:t xml:space="preserve"> resources are unevenly distributed, especially where headquarters is concerned.</w:t>
      </w:r>
      <w:r>
        <w:t xml:space="preserve"> </w:t>
      </w:r>
    </w:p>
    <w:tbl>
      <w:tblPr>
        <w:tblpPr w:leftFromText="180" w:rightFromText="180" w:vertAnchor="text" w:horzAnchor="page" w:tblpX="4288" w:tblpY="5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9"/>
        <w:gridCol w:w="2640"/>
      </w:tblGrid>
      <w:tr w:rsidR="001630DC" w:rsidRPr="007C0E8C">
        <w:tc>
          <w:tcPr>
            <w:tcW w:w="2429" w:type="dxa"/>
          </w:tcPr>
          <w:p w:rsidR="001630DC" w:rsidRPr="00504DC3" w:rsidRDefault="001630DC" w:rsidP="001630DC">
            <w:pPr>
              <w:spacing w:line="360" w:lineRule="auto"/>
              <w:rPr>
                <w:b/>
                <w:sz w:val="20"/>
                <w:szCs w:val="20"/>
              </w:rPr>
            </w:pPr>
            <w:r w:rsidRPr="00504DC3">
              <w:rPr>
                <w:b/>
                <w:sz w:val="20"/>
                <w:szCs w:val="20"/>
              </w:rPr>
              <w:t>Clans</w:t>
            </w:r>
          </w:p>
          <w:p w:rsidR="001630DC" w:rsidRPr="00504DC3" w:rsidRDefault="001630DC" w:rsidP="001630DC">
            <w:pPr>
              <w:jc w:val="center"/>
              <w:rPr>
                <w:sz w:val="20"/>
                <w:szCs w:val="20"/>
              </w:rPr>
            </w:pPr>
            <w:r w:rsidRPr="00504DC3">
              <w:rPr>
                <w:sz w:val="20"/>
                <w:szCs w:val="20"/>
              </w:rPr>
              <w:t>Moderate Centralization</w:t>
            </w:r>
          </w:p>
          <w:p w:rsidR="001630DC" w:rsidRPr="00504DC3" w:rsidRDefault="001630DC" w:rsidP="001630DC">
            <w:pPr>
              <w:jc w:val="center"/>
              <w:rPr>
                <w:sz w:val="20"/>
                <w:szCs w:val="20"/>
              </w:rPr>
            </w:pPr>
            <w:r w:rsidRPr="00504DC3">
              <w:rPr>
                <w:sz w:val="20"/>
                <w:szCs w:val="20"/>
              </w:rPr>
              <w:t>Low Formalization</w:t>
            </w:r>
          </w:p>
          <w:p w:rsidR="001630DC" w:rsidRPr="00504DC3" w:rsidRDefault="001630DC" w:rsidP="001630DC">
            <w:pPr>
              <w:jc w:val="center"/>
              <w:rPr>
                <w:sz w:val="20"/>
                <w:szCs w:val="20"/>
              </w:rPr>
            </w:pPr>
            <w:r w:rsidRPr="00504DC3">
              <w:rPr>
                <w:sz w:val="20"/>
                <w:szCs w:val="20"/>
              </w:rPr>
              <w:t>High Socialization</w:t>
            </w:r>
          </w:p>
          <w:p w:rsidR="001630DC" w:rsidRPr="00504DC3" w:rsidRDefault="001630DC" w:rsidP="001630DC">
            <w:pPr>
              <w:jc w:val="center"/>
              <w:rPr>
                <w:sz w:val="20"/>
                <w:szCs w:val="20"/>
              </w:rPr>
            </w:pPr>
          </w:p>
        </w:tc>
        <w:tc>
          <w:tcPr>
            <w:tcW w:w="2640" w:type="dxa"/>
          </w:tcPr>
          <w:p w:rsidR="001630DC" w:rsidRPr="00504DC3" w:rsidRDefault="001630DC" w:rsidP="001630DC">
            <w:pPr>
              <w:spacing w:line="360" w:lineRule="auto"/>
              <w:rPr>
                <w:b/>
                <w:sz w:val="20"/>
                <w:szCs w:val="20"/>
              </w:rPr>
            </w:pPr>
            <w:r w:rsidRPr="00504DC3">
              <w:rPr>
                <w:b/>
                <w:sz w:val="20"/>
                <w:szCs w:val="20"/>
              </w:rPr>
              <w:t>Integrative / Hybrid</w:t>
            </w:r>
          </w:p>
          <w:p w:rsidR="001630DC" w:rsidRPr="00504DC3" w:rsidRDefault="001630DC" w:rsidP="001630DC">
            <w:pPr>
              <w:jc w:val="center"/>
              <w:rPr>
                <w:sz w:val="20"/>
                <w:szCs w:val="20"/>
              </w:rPr>
            </w:pPr>
            <w:r w:rsidRPr="00504DC3">
              <w:rPr>
                <w:sz w:val="20"/>
                <w:szCs w:val="20"/>
              </w:rPr>
              <w:t>Low Centralization</w:t>
            </w:r>
          </w:p>
          <w:p w:rsidR="001630DC" w:rsidRPr="00504DC3" w:rsidRDefault="001630DC" w:rsidP="001630DC">
            <w:pPr>
              <w:jc w:val="center"/>
              <w:rPr>
                <w:sz w:val="20"/>
                <w:szCs w:val="20"/>
              </w:rPr>
            </w:pPr>
            <w:r w:rsidRPr="00504DC3">
              <w:rPr>
                <w:sz w:val="20"/>
                <w:szCs w:val="20"/>
              </w:rPr>
              <w:t>Moderate Formalization</w:t>
            </w:r>
          </w:p>
          <w:p w:rsidR="001630DC" w:rsidRPr="00504DC3" w:rsidRDefault="001630DC" w:rsidP="001630DC">
            <w:pPr>
              <w:jc w:val="center"/>
              <w:rPr>
                <w:sz w:val="20"/>
                <w:szCs w:val="20"/>
              </w:rPr>
            </w:pPr>
            <w:r w:rsidRPr="00504DC3">
              <w:rPr>
                <w:sz w:val="20"/>
                <w:szCs w:val="20"/>
              </w:rPr>
              <w:t>High Socialization</w:t>
            </w:r>
          </w:p>
        </w:tc>
      </w:tr>
      <w:tr w:rsidR="001630DC" w:rsidRPr="007C0E8C">
        <w:tc>
          <w:tcPr>
            <w:tcW w:w="2429" w:type="dxa"/>
          </w:tcPr>
          <w:p w:rsidR="001630DC" w:rsidRPr="00504DC3" w:rsidRDefault="001630DC" w:rsidP="001630DC">
            <w:pPr>
              <w:spacing w:line="360" w:lineRule="auto"/>
              <w:rPr>
                <w:b/>
                <w:sz w:val="20"/>
                <w:szCs w:val="20"/>
              </w:rPr>
            </w:pPr>
            <w:r w:rsidRPr="00504DC3">
              <w:rPr>
                <w:b/>
                <w:sz w:val="20"/>
                <w:szCs w:val="20"/>
              </w:rPr>
              <w:t>Hierarchy / Centralized</w:t>
            </w:r>
          </w:p>
          <w:p w:rsidR="001630DC" w:rsidRPr="00504DC3" w:rsidRDefault="001630DC" w:rsidP="001630DC">
            <w:pPr>
              <w:jc w:val="center"/>
              <w:rPr>
                <w:sz w:val="20"/>
                <w:szCs w:val="20"/>
              </w:rPr>
            </w:pPr>
            <w:r w:rsidRPr="00504DC3">
              <w:rPr>
                <w:sz w:val="20"/>
                <w:szCs w:val="20"/>
              </w:rPr>
              <w:t>High Centralization</w:t>
            </w:r>
          </w:p>
          <w:p w:rsidR="001630DC" w:rsidRPr="00504DC3" w:rsidRDefault="001630DC" w:rsidP="001630DC">
            <w:pPr>
              <w:jc w:val="center"/>
              <w:rPr>
                <w:sz w:val="20"/>
                <w:szCs w:val="20"/>
              </w:rPr>
            </w:pPr>
            <w:r w:rsidRPr="00504DC3">
              <w:rPr>
                <w:sz w:val="20"/>
                <w:szCs w:val="20"/>
              </w:rPr>
              <w:t>Low Formalization</w:t>
            </w:r>
          </w:p>
          <w:p w:rsidR="001630DC" w:rsidRPr="00504DC3" w:rsidRDefault="001630DC" w:rsidP="001630DC">
            <w:pPr>
              <w:jc w:val="center"/>
              <w:rPr>
                <w:sz w:val="20"/>
                <w:szCs w:val="20"/>
              </w:rPr>
            </w:pPr>
            <w:r w:rsidRPr="00504DC3">
              <w:rPr>
                <w:sz w:val="20"/>
                <w:szCs w:val="20"/>
              </w:rPr>
              <w:t>Low Socialization</w:t>
            </w:r>
          </w:p>
          <w:p w:rsidR="001630DC" w:rsidRPr="00504DC3" w:rsidRDefault="001630DC" w:rsidP="001630DC">
            <w:pPr>
              <w:jc w:val="center"/>
              <w:rPr>
                <w:sz w:val="20"/>
                <w:szCs w:val="20"/>
              </w:rPr>
            </w:pPr>
          </w:p>
        </w:tc>
        <w:tc>
          <w:tcPr>
            <w:tcW w:w="2640" w:type="dxa"/>
          </w:tcPr>
          <w:p w:rsidR="001630DC" w:rsidRPr="00504DC3" w:rsidRDefault="001630DC" w:rsidP="001630DC">
            <w:pPr>
              <w:spacing w:line="360" w:lineRule="auto"/>
              <w:rPr>
                <w:b/>
                <w:sz w:val="20"/>
                <w:szCs w:val="20"/>
              </w:rPr>
            </w:pPr>
            <w:r w:rsidRPr="00504DC3">
              <w:rPr>
                <w:b/>
                <w:sz w:val="20"/>
                <w:szCs w:val="20"/>
              </w:rPr>
              <w:t>Federative / Decentralized</w:t>
            </w:r>
          </w:p>
          <w:p w:rsidR="001630DC" w:rsidRPr="00504DC3" w:rsidRDefault="001630DC" w:rsidP="001630DC">
            <w:pPr>
              <w:jc w:val="center"/>
              <w:rPr>
                <w:sz w:val="20"/>
                <w:szCs w:val="20"/>
              </w:rPr>
            </w:pPr>
            <w:r w:rsidRPr="00504DC3">
              <w:rPr>
                <w:sz w:val="20"/>
                <w:szCs w:val="20"/>
              </w:rPr>
              <w:t>Low Centralization</w:t>
            </w:r>
          </w:p>
          <w:p w:rsidR="001630DC" w:rsidRPr="00504DC3" w:rsidRDefault="001630DC" w:rsidP="001630DC">
            <w:pPr>
              <w:jc w:val="center"/>
              <w:rPr>
                <w:sz w:val="20"/>
                <w:szCs w:val="20"/>
              </w:rPr>
            </w:pPr>
            <w:r w:rsidRPr="00504DC3">
              <w:rPr>
                <w:sz w:val="20"/>
                <w:szCs w:val="20"/>
              </w:rPr>
              <w:t>High Formalization</w:t>
            </w:r>
          </w:p>
          <w:p w:rsidR="001630DC" w:rsidRPr="00504DC3" w:rsidRDefault="001630DC" w:rsidP="001630DC">
            <w:pPr>
              <w:jc w:val="center"/>
              <w:rPr>
                <w:sz w:val="20"/>
                <w:szCs w:val="20"/>
              </w:rPr>
            </w:pPr>
            <w:r w:rsidRPr="00504DC3">
              <w:rPr>
                <w:sz w:val="20"/>
                <w:szCs w:val="20"/>
              </w:rPr>
              <w:t>Low Socialization</w:t>
            </w:r>
          </w:p>
        </w:tc>
      </w:tr>
    </w:tbl>
    <w:p w:rsidR="001630DC" w:rsidRPr="005C61BF" w:rsidRDefault="001630DC" w:rsidP="001630DC"/>
    <w:p w:rsidR="001630DC" w:rsidRPr="005C61BF" w:rsidRDefault="001630DC" w:rsidP="001630DC"/>
    <w:p w:rsidR="001630DC" w:rsidRDefault="00BC20CD" w:rsidP="001630DC">
      <w:r>
        <w:rPr>
          <w:noProof/>
        </w:rPr>
        <mc:AlternateContent>
          <mc:Choice Requires="wps">
            <w:drawing>
              <wp:anchor distT="45720" distB="45720" distL="114300" distR="114300" simplePos="0" relativeHeight="251680256" behindDoc="0" locked="0" layoutInCell="1" allowOverlap="1">
                <wp:simplePos x="0" y="0"/>
                <wp:positionH relativeFrom="column">
                  <wp:posOffset>0</wp:posOffset>
                </wp:positionH>
                <wp:positionV relativeFrom="paragraph">
                  <wp:posOffset>289560</wp:posOffset>
                </wp:positionV>
                <wp:extent cx="1143000" cy="1289050"/>
                <wp:effectExtent l="0" t="0" r="0" b="63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89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496" w:rsidRPr="00504DC3" w:rsidRDefault="00F43496" w:rsidP="001630DC">
                            <w:pPr>
                              <w:ind w:firstLine="720"/>
                              <w:rPr>
                                <w:b/>
                                <w:sz w:val="20"/>
                                <w:szCs w:val="20"/>
                              </w:rPr>
                            </w:pPr>
                            <w:r w:rsidRPr="00504DC3">
                              <w:rPr>
                                <w:sz w:val="20"/>
                                <w:szCs w:val="20"/>
                              </w:rPr>
                              <w:t>(high)</w:t>
                            </w:r>
                          </w:p>
                          <w:p w:rsidR="00F43496" w:rsidRPr="00504DC3" w:rsidRDefault="00F43496" w:rsidP="001630DC">
                            <w:pPr>
                              <w:rPr>
                                <w:b/>
                                <w:sz w:val="20"/>
                                <w:szCs w:val="20"/>
                              </w:rPr>
                            </w:pPr>
                          </w:p>
                          <w:p w:rsidR="00F43496" w:rsidRPr="00504DC3" w:rsidRDefault="00F43496" w:rsidP="001630DC">
                            <w:pPr>
                              <w:rPr>
                                <w:b/>
                                <w:sz w:val="20"/>
                                <w:szCs w:val="20"/>
                              </w:rPr>
                            </w:pPr>
                          </w:p>
                          <w:p w:rsidR="00F43496" w:rsidRPr="00504DC3" w:rsidRDefault="00F43496" w:rsidP="001630DC">
                            <w:pPr>
                              <w:rPr>
                                <w:b/>
                                <w:sz w:val="20"/>
                                <w:szCs w:val="20"/>
                              </w:rPr>
                            </w:pPr>
                            <w:r w:rsidRPr="00504DC3">
                              <w:rPr>
                                <w:b/>
                                <w:sz w:val="20"/>
                                <w:szCs w:val="20"/>
                              </w:rPr>
                              <w:t>Environmental</w:t>
                            </w:r>
                          </w:p>
                          <w:p w:rsidR="00F43496" w:rsidRPr="00504DC3" w:rsidRDefault="00F43496" w:rsidP="001630DC">
                            <w:pPr>
                              <w:rPr>
                                <w:b/>
                                <w:sz w:val="20"/>
                                <w:szCs w:val="20"/>
                              </w:rPr>
                            </w:pPr>
                            <w:r w:rsidRPr="00504DC3">
                              <w:rPr>
                                <w:b/>
                                <w:sz w:val="20"/>
                                <w:szCs w:val="20"/>
                              </w:rPr>
                              <w:t>Complexity</w:t>
                            </w:r>
                          </w:p>
                          <w:p w:rsidR="00F43496" w:rsidRPr="00504DC3" w:rsidRDefault="00F43496" w:rsidP="001630DC">
                            <w:pPr>
                              <w:rPr>
                                <w:b/>
                                <w:sz w:val="20"/>
                                <w:szCs w:val="20"/>
                              </w:rPr>
                            </w:pPr>
                          </w:p>
                          <w:p w:rsidR="00F43496" w:rsidRPr="00504DC3" w:rsidRDefault="00F43496" w:rsidP="001630DC">
                            <w:pPr>
                              <w:rPr>
                                <w:b/>
                                <w:sz w:val="20"/>
                                <w:szCs w:val="20"/>
                              </w:rPr>
                            </w:pPr>
                            <w:r w:rsidRPr="00504DC3">
                              <w:rPr>
                                <w:b/>
                                <w:sz w:val="20"/>
                                <w:szCs w:val="20"/>
                              </w:rPr>
                              <w:tab/>
                            </w:r>
                            <w:r w:rsidRPr="00504DC3">
                              <w:rPr>
                                <w:sz w:val="20"/>
                                <w:szCs w:val="20"/>
                              </w:rPr>
                              <w:t>(low)</w:t>
                            </w:r>
                          </w:p>
                          <w:p w:rsidR="00F43496" w:rsidRDefault="00F43496" w:rsidP="001630DC">
                            <w:r w:rsidRPr="005C61BF">
                              <w:tab/>
                            </w:r>
                            <w:r w:rsidRPr="005C61BF">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0;margin-top:22.8pt;width:90pt;height:101.5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" stroked="f">
                <v:textbox style="mso-fit-shape-to-text:t">
                  <w:txbxContent>
                    <w:p w:rsidR="00F43496" w:rsidRPr="00504DC3" w:rsidRDefault="00F43496" w:rsidP="001630DC">
                      <w:pPr>
                        <w:ind w:firstLine="720"/>
                        <w:rPr>
                          <w:b/>
                          <w:sz w:val="20"/>
                          <w:szCs w:val="20"/>
                        </w:rPr>
                      </w:pPr>
                      <w:r w:rsidRPr="00504DC3">
                        <w:rPr>
                          <w:sz w:val="20"/>
                          <w:szCs w:val="20"/>
                        </w:rPr>
                        <w:t>(high)</w:t>
                      </w:r>
                    </w:p>
                    <w:p w:rsidR="00F43496" w:rsidRPr="00504DC3" w:rsidRDefault="00F43496" w:rsidP="001630DC">
                      <w:pPr>
                        <w:rPr>
                          <w:b/>
                          <w:sz w:val="20"/>
                          <w:szCs w:val="20"/>
                        </w:rPr>
                      </w:pPr>
                    </w:p>
                    <w:p w:rsidR="00F43496" w:rsidRPr="00504DC3" w:rsidRDefault="00F43496" w:rsidP="001630DC">
                      <w:pPr>
                        <w:rPr>
                          <w:b/>
                          <w:sz w:val="20"/>
                          <w:szCs w:val="20"/>
                        </w:rPr>
                      </w:pPr>
                    </w:p>
                    <w:p w:rsidR="00F43496" w:rsidRPr="00504DC3" w:rsidRDefault="00F43496" w:rsidP="001630DC">
                      <w:pPr>
                        <w:rPr>
                          <w:b/>
                          <w:sz w:val="20"/>
                          <w:szCs w:val="20"/>
                        </w:rPr>
                      </w:pPr>
                      <w:r w:rsidRPr="00504DC3">
                        <w:rPr>
                          <w:b/>
                          <w:sz w:val="20"/>
                          <w:szCs w:val="20"/>
                        </w:rPr>
                        <w:t>Environmental</w:t>
                      </w:r>
                    </w:p>
                    <w:p w:rsidR="00F43496" w:rsidRPr="00504DC3" w:rsidRDefault="00F43496" w:rsidP="001630DC">
                      <w:pPr>
                        <w:rPr>
                          <w:b/>
                          <w:sz w:val="20"/>
                          <w:szCs w:val="20"/>
                        </w:rPr>
                      </w:pPr>
                      <w:r w:rsidRPr="00504DC3">
                        <w:rPr>
                          <w:b/>
                          <w:sz w:val="20"/>
                          <w:szCs w:val="20"/>
                        </w:rPr>
                        <w:t>Complexity</w:t>
                      </w:r>
                    </w:p>
                    <w:p w:rsidR="00F43496" w:rsidRPr="00504DC3" w:rsidRDefault="00F43496" w:rsidP="001630DC">
                      <w:pPr>
                        <w:rPr>
                          <w:b/>
                          <w:sz w:val="20"/>
                          <w:szCs w:val="20"/>
                        </w:rPr>
                      </w:pPr>
                    </w:p>
                    <w:p w:rsidR="00F43496" w:rsidRPr="00504DC3" w:rsidRDefault="00F43496" w:rsidP="001630DC">
                      <w:pPr>
                        <w:rPr>
                          <w:b/>
                          <w:sz w:val="20"/>
                          <w:szCs w:val="20"/>
                        </w:rPr>
                      </w:pPr>
                      <w:r w:rsidRPr="00504DC3">
                        <w:rPr>
                          <w:b/>
                          <w:sz w:val="20"/>
                          <w:szCs w:val="20"/>
                        </w:rPr>
                        <w:tab/>
                      </w:r>
                      <w:r w:rsidRPr="00504DC3">
                        <w:rPr>
                          <w:sz w:val="20"/>
                          <w:szCs w:val="20"/>
                        </w:rPr>
                        <w:t>(low)</w:t>
                      </w:r>
                    </w:p>
                    <w:p w:rsidR="00F43496" w:rsidRDefault="00F43496" w:rsidP="001630DC">
                      <w:r w:rsidRPr="005C61BF">
                        <w:tab/>
                      </w:r>
                      <w:r w:rsidRPr="005C61BF">
                        <w:tab/>
                      </w:r>
                    </w:p>
                  </w:txbxContent>
                </v:textbox>
                <w10:wrap type="square"/>
              </v:shape>
            </w:pict>
          </mc:Fallback>
        </mc:AlternateContent>
      </w:r>
      <w:r w:rsidR="001630DC" w:rsidRPr="005C61BF">
        <w:tab/>
      </w:r>
      <w:r w:rsidR="001630DC" w:rsidRPr="005C61BF">
        <w:tab/>
      </w:r>
      <w:r w:rsidR="001630DC" w:rsidRPr="005C61BF">
        <w:tab/>
      </w:r>
      <w:r w:rsidR="001630DC" w:rsidRPr="005C61BF">
        <w:tab/>
      </w:r>
      <w:r w:rsidR="001630DC" w:rsidRPr="005C61BF">
        <w:tab/>
      </w:r>
      <w:r w:rsidR="001630DC" w:rsidRPr="005C61BF">
        <w:tab/>
      </w:r>
    </w:p>
    <w:p w:rsidR="001630DC" w:rsidRDefault="001630DC" w:rsidP="001630DC"/>
    <w:p w:rsidR="001630DC" w:rsidRDefault="001630DC" w:rsidP="001630DC"/>
    <w:p w:rsidR="001630DC" w:rsidRDefault="001630DC" w:rsidP="001630DC"/>
    <w:p w:rsidR="001630DC" w:rsidRDefault="001630DC" w:rsidP="001630DC"/>
    <w:p w:rsidR="001630DC" w:rsidRDefault="001630DC" w:rsidP="001630DC"/>
    <w:p w:rsidR="001630DC" w:rsidRDefault="001630DC" w:rsidP="001630DC"/>
    <w:p w:rsidR="00504DC3" w:rsidRPr="00E75D72" w:rsidRDefault="0022093D" w:rsidP="0022093D">
      <w:r>
        <w:t xml:space="preserve">   </w:t>
      </w:r>
      <w:r w:rsidR="00F1318A">
        <w:t xml:space="preserve">                                </w:t>
      </w:r>
      <w:r>
        <w:t xml:space="preserve">   </w:t>
      </w:r>
      <w:r w:rsidR="00E75D72" w:rsidRPr="00E75D72">
        <w:rPr>
          <w:noProof/>
        </w:rPr>
        <w:drawing>
          <wp:inline distT="0" distB="0" distL="0" distR="0" wp14:anchorId="3976C044" wp14:editId="1BBAC8BF">
            <wp:extent cx="2506345" cy="457200"/>
            <wp:effectExtent l="25400" t="0" r="8255" b="0"/>
            <wp:docPr id="9" name="Picture 3" descr="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4"/>
                    <pic:cNvPicPr>
                      <a:picLocks noChangeAspect="1" noChangeArrowheads="1"/>
                    </pic:cNvPicPr>
                  </pic:nvPicPr>
                  <pic:blipFill>
                    <a:blip r:embed="rId12"/>
                    <a:srcRect/>
                    <a:stretch>
                      <a:fillRect/>
                    </a:stretch>
                  </pic:blipFill>
                  <pic:spPr bwMode="auto">
                    <a:xfrm>
                      <a:off x="0" y="0"/>
                      <a:ext cx="2506345" cy="457200"/>
                    </a:xfrm>
                    <a:prstGeom prst="rect">
                      <a:avLst/>
                    </a:prstGeom>
                    <a:noFill/>
                    <a:ln w="9525">
                      <a:noFill/>
                      <a:miter lim="800000"/>
                      <a:headEnd/>
                      <a:tailEnd/>
                    </a:ln>
                  </pic:spPr>
                </pic:pic>
              </a:graphicData>
            </a:graphic>
          </wp:inline>
        </w:drawing>
      </w:r>
    </w:p>
    <w:p w:rsidR="001630DC" w:rsidRPr="002737E8" w:rsidRDefault="001630DC" w:rsidP="00504DC3">
      <w:pPr>
        <w:pStyle w:val="Caption"/>
        <w:jc w:val="center"/>
        <w:rPr>
          <w:b/>
          <w:i w:val="0"/>
          <w:color w:val="auto"/>
          <w:sz w:val="22"/>
          <w:szCs w:val="22"/>
        </w:rPr>
      </w:pPr>
      <w:bookmarkStart w:id="297" w:name="_Toc450069825"/>
      <w:r w:rsidRPr="002737E8">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4</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2</w:t>
      </w:r>
      <w:r>
        <w:rPr>
          <w:b/>
          <w:i w:val="0"/>
          <w:color w:val="auto"/>
          <w:sz w:val="22"/>
        </w:rPr>
        <w:fldChar w:fldCharType="end"/>
      </w:r>
      <w:r w:rsidRPr="002737E8">
        <w:rPr>
          <w:b/>
          <w:i w:val="0"/>
          <w:color w:val="auto"/>
          <w:sz w:val="22"/>
          <w:szCs w:val="22"/>
        </w:rPr>
        <w:t>: Ghoshal and Nohria Predicted Organization Structure by Fit (1989, 328)</w:t>
      </w:r>
      <w:bookmarkEnd w:id="297"/>
    </w:p>
    <w:p w:rsidR="001630DC" w:rsidRPr="002737E8" w:rsidRDefault="001630DC" w:rsidP="001630DC">
      <w:pPr>
        <w:rPr>
          <w:i/>
        </w:rPr>
      </w:pPr>
    </w:p>
    <w:p w:rsidR="001630DC" w:rsidRDefault="001630DC" w:rsidP="00504DC3">
      <w:pPr>
        <w:spacing w:line="480" w:lineRule="auto"/>
        <w:ind w:firstLine="720"/>
      </w:pPr>
      <w:r>
        <w:t>Fit</w:t>
      </w:r>
      <w:r w:rsidRPr="00812CB0">
        <w:t xml:space="preserve"> conditions lead Ghoshal and Nohria to develop a four-category typology characterizing headquarter-subsidiary relations. In the first, both the complexity of the environment relative to other units and local resources are low, meaning that operations are straightforward and subsidiaries are dependent on headquarters for resources. In the second scenario, environmental complexity is low while resources available directly to the subsidiary at the local level are high. The third scenario describes high environmental complexity and low resource levels, while the fourth scenario describes high environmental complexity and high levels of local resources </w:t>
      </w:r>
      <w:r w:rsidRPr="00812CB0">
        <w:fldChar w:fldCharType="begin"/>
      </w:r>
      <w:r>
        <w:instrText xml:space="preserve"> ADDIN ZOTERO_ITEM CSL_CITATION {"citationID":"IdtBm563","properties":{"formattedCitation":"(Ghoshal and Nohria 1989)","plainCitation":"(Ghoshal and Nohria 1989)"},"citationItems":[{"id":3569,"uris":["http://zotero.org/users/381007/items/J3D73KIZ"],"uri":["http://zotero.org/users/381007/items/J3D73KIZ"],"itemData":{"id":3569,"type":"article-journal","title":"Internal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fldChar w:fldCharType="separate"/>
      </w:r>
      <w:r w:rsidRPr="00812CB0">
        <w:rPr>
          <w:noProof/>
        </w:rPr>
        <w:t>(Ghoshal and Nohria 1989)</w:t>
      </w:r>
      <w:r w:rsidRPr="00812CB0">
        <w:fldChar w:fldCharType="end"/>
      </w:r>
      <w:r w:rsidRPr="00812CB0">
        <w:t>. These conditions shape organizational structure and communication exchanges, as outlined in Figure 2.</w:t>
      </w:r>
    </w:p>
    <w:p w:rsidR="00504DC3" w:rsidRDefault="00504DC3" w:rsidP="00504DC3">
      <w:pPr>
        <w:spacing w:line="480" w:lineRule="auto"/>
        <w:rPr>
          <w:szCs w:val="24"/>
        </w:rPr>
      </w:pPr>
    </w:p>
    <w:p w:rsidR="001630DC" w:rsidRPr="00E0224B" w:rsidRDefault="001630DC" w:rsidP="001630DC">
      <w:pPr>
        <w:spacing w:line="480" w:lineRule="auto"/>
        <w:rPr>
          <w:i/>
        </w:rPr>
      </w:pPr>
      <w:r w:rsidRPr="00E0224B">
        <w:rPr>
          <w:i/>
        </w:rPr>
        <w:t xml:space="preserve">Proposition 1a: Centralized </w:t>
      </w:r>
      <w:r>
        <w:rPr>
          <w:i/>
        </w:rPr>
        <w:t>TNGO</w:t>
      </w:r>
      <w:r w:rsidRPr="00E0224B">
        <w:rPr>
          <w:i/>
        </w:rPr>
        <w:t>s follow a top-down approach to decision-making and communication of priorities.</w:t>
      </w:r>
    </w:p>
    <w:p w:rsidR="001630DC" w:rsidRDefault="001630DC" w:rsidP="001630DC">
      <w:pPr>
        <w:spacing w:line="480" w:lineRule="auto"/>
        <w:ind w:firstLine="720"/>
      </w:pPr>
      <w:r w:rsidRPr="00812CB0">
        <w:t xml:space="preserve">Consequently, country directors and field experts hold little sway in the process and act primarily as receivers of information and implementers, resembling a more traditional conception of </w:t>
      </w:r>
      <w:r>
        <w:t>TNGO</w:t>
      </w:r>
      <w:r w:rsidRPr="00812CB0">
        <w:t xml:space="preserve">s in the fields of public policy and development. Among MNCs, this suggests that as environmental complexity goes down and there are fewer local resources available, a centralized organizational structure is more likely. The same may be true for </w:t>
      </w:r>
      <w:r>
        <w:t>TNGO</w:t>
      </w:r>
      <w:r w:rsidRPr="00812CB0">
        <w:t xml:space="preserve">s. Where the need for cultural and political knowledge or a higher degree of dependence on centralized funds, priorities are more likely to be set and communicated in a top-down manner. </w:t>
      </w:r>
    </w:p>
    <w:p w:rsidR="00504DC3" w:rsidRDefault="00504DC3" w:rsidP="00504DC3">
      <w:pPr>
        <w:spacing w:line="480" w:lineRule="auto"/>
        <w:rPr>
          <w:szCs w:val="24"/>
        </w:rPr>
      </w:pPr>
    </w:p>
    <w:p w:rsidR="001630DC" w:rsidRPr="00E0224B" w:rsidRDefault="001630DC" w:rsidP="001630DC">
      <w:pPr>
        <w:spacing w:line="480" w:lineRule="auto"/>
        <w:rPr>
          <w:i/>
        </w:rPr>
      </w:pPr>
      <w:r w:rsidRPr="00E0224B">
        <w:rPr>
          <w:i/>
        </w:rPr>
        <w:t xml:space="preserve">Proposition 1b: Federative </w:t>
      </w:r>
      <w:r>
        <w:rPr>
          <w:i/>
        </w:rPr>
        <w:t>TNGO</w:t>
      </w:r>
      <w:r w:rsidRPr="00E0224B">
        <w:rPr>
          <w:i/>
        </w:rPr>
        <w:t xml:space="preserve">s follow a bottom-up, yet autonomous, approach to priority setting, framing, and communication. </w:t>
      </w:r>
    </w:p>
    <w:p w:rsidR="001630DC" w:rsidRDefault="001630DC" w:rsidP="001630DC">
      <w:pPr>
        <w:spacing w:line="480" w:lineRule="auto"/>
        <w:ind w:firstLine="720"/>
      </w:pPr>
      <w:r w:rsidRPr="00812CB0">
        <w:t xml:space="preserve">Country directors and field experts play an integral role in the identification of priorities, and implementation and termination. Units resemble each other in brand and mission, but operate as discrete units in decision-making. This structure is not present in the contingency framework targeted toward MNCs because a decentralized model is neither characteristic of the cohesive organization that an MNC represents nor the uniformity of its stakeholders. Still, it may be characterized using environmental complexity and the availability of local resources. In this case, environmental complexity is high thereby requiring field expertise and local resources are readily available. The contingency framework’s formalization structure is also high in environmental complexity and local resource levels, yet they lead to interdependence. Rather than interdependence, a decentralized federative model characterized by greater autonomy with high levels of complexity and resources is proposed. </w:t>
      </w:r>
    </w:p>
    <w:p w:rsidR="00504DC3" w:rsidRDefault="00504DC3" w:rsidP="00504DC3">
      <w:pPr>
        <w:spacing w:line="480" w:lineRule="auto"/>
        <w:rPr>
          <w:szCs w:val="24"/>
        </w:rPr>
      </w:pPr>
    </w:p>
    <w:p w:rsidR="001630DC" w:rsidRPr="00426DE4" w:rsidRDefault="001630DC" w:rsidP="001630DC">
      <w:pPr>
        <w:spacing w:line="480" w:lineRule="auto"/>
        <w:rPr>
          <w:i/>
        </w:rPr>
      </w:pPr>
      <w:r w:rsidRPr="00426DE4">
        <w:rPr>
          <w:i/>
        </w:rPr>
        <w:t xml:space="preserve">Proposition 1c: Hybrid </w:t>
      </w:r>
      <w:r>
        <w:rPr>
          <w:i/>
        </w:rPr>
        <w:t>TNGO</w:t>
      </w:r>
      <w:r w:rsidRPr="00426DE4">
        <w:rPr>
          <w:i/>
        </w:rPr>
        <w:t xml:space="preserve">s follow an incremental approach to priority setting, framing, and communication. </w:t>
      </w:r>
    </w:p>
    <w:p w:rsidR="001630DC" w:rsidRDefault="001630DC" w:rsidP="001630DC">
      <w:pPr>
        <w:spacing w:line="480" w:lineRule="auto"/>
        <w:ind w:firstLine="720"/>
      </w:pPr>
      <w:r w:rsidRPr="00812CB0">
        <w:t xml:space="preserve">Both the U.S. headquarters and country directors play a role in decision-making within the organization. Strategy is ultimately communicated from headquarters, but it is the product of information sharing in both directions. Like MNCs, there is a higher degree of communication and participatory decision-making in this model. This consensus building is dependent upon a shared set of values across the organization, creating a structure that is interdependent with larger flows of information from subsidiary to headquarters and vice versa. This is necessitated by the expertise possessed by the individual units in relationship to the goals of the organization and its resources. </w:t>
      </w:r>
    </w:p>
    <w:p w:rsidR="00504DC3" w:rsidRDefault="00504DC3" w:rsidP="00504DC3">
      <w:pPr>
        <w:spacing w:line="480" w:lineRule="auto"/>
        <w:rPr>
          <w:szCs w:val="24"/>
        </w:rPr>
      </w:pPr>
    </w:p>
    <w:p w:rsidR="001630DC" w:rsidRPr="00426DE4" w:rsidRDefault="001630DC" w:rsidP="00504DC3">
      <w:pPr>
        <w:pStyle w:val="Heading2"/>
        <w:numPr>
          <w:ilvl w:val="0"/>
          <w:numId w:val="0"/>
        </w:numPr>
        <w:jc w:val="center"/>
        <w:rPr>
          <w:b/>
          <w:color w:val="auto"/>
          <w:sz w:val="24"/>
          <w:szCs w:val="24"/>
        </w:rPr>
      </w:pPr>
      <w:bookmarkStart w:id="298" w:name="_Toc450079234"/>
      <w:r w:rsidRPr="00426DE4">
        <w:rPr>
          <w:b/>
          <w:color w:val="auto"/>
          <w:sz w:val="24"/>
          <w:szCs w:val="24"/>
        </w:rPr>
        <w:t>4.3</w:t>
      </w:r>
      <w:r>
        <w:rPr>
          <w:b/>
          <w:color w:val="auto"/>
          <w:sz w:val="24"/>
          <w:szCs w:val="24"/>
        </w:rPr>
        <w:t>:</w:t>
      </w:r>
      <w:r w:rsidRPr="00426DE4">
        <w:rPr>
          <w:b/>
          <w:color w:val="auto"/>
          <w:sz w:val="24"/>
          <w:szCs w:val="24"/>
        </w:rPr>
        <w:t xml:space="preserve"> Data and Methods</w:t>
      </w:r>
      <w:bookmarkEnd w:id="298"/>
    </w:p>
    <w:p w:rsidR="001630DC" w:rsidRPr="00812CB0" w:rsidRDefault="001630DC" w:rsidP="001630DC"/>
    <w:p w:rsidR="001630DC" w:rsidRPr="00812CB0" w:rsidRDefault="001630DC" w:rsidP="001630DC">
      <w:pPr>
        <w:spacing w:line="480" w:lineRule="auto"/>
        <w:rPr>
          <w:szCs w:val="24"/>
        </w:rPr>
      </w:pPr>
      <w:r w:rsidRPr="00812CB0">
        <w:rPr>
          <w:szCs w:val="24"/>
        </w:rPr>
        <w:tab/>
        <w:t xml:space="preserve">The origins of this research begin with a dataset that includes original data collected from documentary government and </w:t>
      </w:r>
      <w:r>
        <w:rPr>
          <w:szCs w:val="24"/>
        </w:rPr>
        <w:t>TNGO</w:t>
      </w:r>
      <w:r w:rsidRPr="00812CB0">
        <w:rPr>
          <w:szCs w:val="24"/>
        </w:rPr>
        <w:t xml:space="preserve"> sources. It includes both organizational and financial characteristics for 554 </w:t>
      </w:r>
      <w:r>
        <w:rPr>
          <w:szCs w:val="24"/>
        </w:rPr>
        <w:t>U.S.-based</w:t>
      </w:r>
      <w:r w:rsidRPr="00812CB0">
        <w:rPr>
          <w:szCs w:val="24"/>
        </w:rPr>
        <w:t xml:space="preserve"> </w:t>
      </w:r>
      <w:r>
        <w:rPr>
          <w:szCs w:val="24"/>
        </w:rPr>
        <w:t>TNGO</w:t>
      </w:r>
      <w:r w:rsidRPr="00812CB0">
        <w:rPr>
          <w:szCs w:val="24"/>
        </w:rPr>
        <w:t xml:space="preserve">s between 2008 and 2012. </w:t>
      </w:r>
      <w:r>
        <w:rPr>
          <w:szCs w:val="24"/>
        </w:rPr>
        <w:t>U.S.-based</w:t>
      </w:r>
      <w:r w:rsidRPr="00812CB0">
        <w:rPr>
          <w:szCs w:val="24"/>
        </w:rPr>
        <w:t xml:space="preserve"> </w:t>
      </w:r>
      <w:r>
        <w:rPr>
          <w:szCs w:val="24"/>
        </w:rPr>
        <w:t>TNGO</w:t>
      </w:r>
      <w:r w:rsidRPr="00812CB0">
        <w:rPr>
          <w:szCs w:val="24"/>
        </w:rPr>
        <w:t xml:space="preserve">s represent some of the largest and most impactful </w:t>
      </w:r>
      <w:r w:rsidR="009944D4">
        <w:rPr>
          <w:szCs w:val="24"/>
        </w:rPr>
        <w:t>nongovernmental</w:t>
      </w:r>
      <w:r w:rsidRPr="00812CB0">
        <w:rPr>
          <w:szCs w:val="24"/>
        </w:rPr>
        <w:t xml:space="preserve"> organizations in the world </w:t>
      </w:r>
      <w:r w:rsidRPr="00812CB0">
        <w:rPr>
          <w:szCs w:val="24"/>
        </w:rPr>
        <w:fldChar w:fldCharType="begin"/>
      </w:r>
      <w:r>
        <w:rPr>
          <w:szCs w:val="24"/>
        </w:rPr>
        <w:instrText xml:space="preserve"> ADDIN ZOTERO_ITEM CSL_CITATION {"citationID":"FBH0nh8C","properties":{"formattedCitation":"(Mitchell 2013)","plainCitation":"(Mitchell 2013)"},"citationItems":[{"id":574,"uris":["http://zotero.org/users/381007/items/6SXN9XVC"],"uri":["http://zotero.org/users/381007/items/6SXN9XVC"],"itemData":{"id":574,"type":"article-journal","title":"Collaborative Propensities Among Transnational NGOs Registered in the United States","container-title":"American Review of Public Administration","page":"1-25","volume":"XX","issue":"X","abstract":"TNGOs can be characterized along two dimensions: indepdent and interdependent. Perceptions of organizational culture, legitimacy, and mission influence whether or not an organization will collaborate and with what types of organizations it will collaborate with.  Among independent organizations, human rights and conflict organizations are far less likely to collaborate with government, corporations, or international organizations due to concerns about legitimacy and neutrality.  Faith-based organiations are also more likely to be independent. Interdependent organizations are more likely to see benefits of collaboration between government and non-governmental actors, citing increased funding, recognition, efficiency, access, etc. Interdependent organizations are more likely to be in the environmental, sustainable development, and humanitarian relief organizations. This is useful to scholars and practitioners because it adds to the literature, providing a transnational perspective, and urges scholars to expand the NGO scope and enlightens managers in terms of startegies for working with civil society in a collaborative or parallel capacity.","author":[{"family":"Mitchell","given":"George E."}],"issued":{"date-parts":[["2013"]]}}}],"schema":"https://github.com/citation-style-language/schema/raw/master/csl-citation.json"} </w:instrText>
      </w:r>
      <w:r w:rsidRPr="00812CB0">
        <w:rPr>
          <w:szCs w:val="24"/>
        </w:rPr>
        <w:fldChar w:fldCharType="separate"/>
      </w:r>
      <w:r w:rsidRPr="00812CB0">
        <w:rPr>
          <w:szCs w:val="24"/>
        </w:rPr>
        <w:t>(Mitchell 2013)</w:t>
      </w:r>
      <w:r w:rsidRPr="00812CB0">
        <w:rPr>
          <w:szCs w:val="24"/>
        </w:rPr>
        <w:fldChar w:fldCharType="end"/>
      </w:r>
      <w:r w:rsidRPr="00812CB0">
        <w:rPr>
          <w:szCs w:val="24"/>
        </w:rPr>
        <w:t xml:space="preserve">. In addition, focusing on </w:t>
      </w:r>
      <w:r>
        <w:rPr>
          <w:szCs w:val="24"/>
        </w:rPr>
        <w:t>U.S.-based</w:t>
      </w:r>
      <w:r w:rsidRPr="00812CB0">
        <w:rPr>
          <w:szCs w:val="24"/>
        </w:rPr>
        <w:t xml:space="preserve"> </w:t>
      </w:r>
      <w:r>
        <w:rPr>
          <w:szCs w:val="24"/>
        </w:rPr>
        <w:t>TNGO</w:t>
      </w:r>
      <w:r w:rsidRPr="00812CB0">
        <w:rPr>
          <w:szCs w:val="24"/>
        </w:rPr>
        <w:t xml:space="preserve">s provides a wealth of data, made available through the form 990 filed with the Internal Revenue Service (IRS) at least once every three years and cataloged at the National Center for Charitable Statistics (NCCS) at the Urban Institute. For a </w:t>
      </w:r>
      <w:r>
        <w:rPr>
          <w:szCs w:val="24"/>
        </w:rPr>
        <w:t>TNGO</w:t>
      </w:r>
      <w:r w:rsidRPr="00812CB0">
        <w:rPr>
          <w:szCs w:val="24"/>
        </w:rPr>
        <w:t xml:space="preserve"> to be included in the dataset, it is required to meet three conditions. First, it must be a 501(c)(3) public charity registered nonprofit organization with the IRS</w:t>
      </w:r>
      <w:r w:rsidRPr="00812CB0">
        <w:rPr>
          <w:rStyle w:val="FootnoteReference"/>
        </w:rPr>
        <w:footnoteReference w:id="18"/>
      </w:r>
      <w:r w:rsidRPr="00812CB0">
        <w:rPr>
          <w:szCs w:val="24"/>
        </w:rPr>
        <w:t xml:space="preserve">. This establishes consistency in the type of </w:t>
      </w:r>
      <w:r>
        <w:rPr>
          <w:szCs w:val="24"/>
        </w:rPr>
        <w:t>TNGO</w:t>
      </w:r>
      <w:r w:rsidRPr="00812CB0">
        <w:rPr>
          <w:szCs w:val="24"/>
        </w:rPr>
        <w:t xml:space="preserve"> and data availability. Second, organizations must report at least $1 million in revenue per the NCCS database. This threshold was selected based on a pre-determined search parameter in the NCCS database and to eliminate </w:t>
      </w:r>
      <w:r>
        <w:rPr>
          <w:szCs w:val="24"/>
        </w:rPr>
        <w:t>TNGO</w:t>
      </w:r>
      <w:r w:rsidRPr="00812CB0">
        <w:rPr>
          <w:szCs w:val="24"/>
        </w:rPr>
        <w:t xml:space="preserve">s that are not required to register with the IRS, are less likely to operate across borders, and to minimize missing data. However, it encompasses a diverse set of </w:t>
      </w:r>
      <w:r>
        <w:rPr>
          <w:szCs w:val="24"/>
        </w:rPr>
        <w:t>TNGO</w:t>
      </w:r>
      <w:r w:rsidRPr="00812CB0">
        <w:rPr>
          <w:szCs w:val="24"/>
        </w:rPr>
        <w:t xml:space="preserve">s from very small to very large, and a range of scopes of work. Finally, </w:t>
      </w:r>
      <w:r>
        <w:rPr>
          <w:szCs w:val="24"/>
        </w:rPr>
        <w:t>TNGO</w:t>
      </w:r>
      <w:r w:rsidRPr="00812CB0">
        <w:rPr>
          <w:szCs w:val="24"/>
        </w:rPr>
        <w:t xml:space="preserve">s must meet an “in-country” rule, meaning that the organizations included in the data maintain staff, infrastructure, or another presence in a location overseas. This condition was evaluated using program descriptions, maps, websites, and annual reports. </w:t>
      </w:r>
    </w:p>
    <w:p w:rsidR="001630DC" w:rsidRPr="00812CB0" w:rsidRDefault="001630DC" w:rsidP="001630DC">
      <w:pPr>
        <w:spacing w:line="480" w:lineRule="auto"/>
        <w:ind w:firstLine="720"/>
        <w:rPr>
          <w:szCs w:val="24"/>
        </w:rPr>
      </w:pPr>
      <w:r w:rsidRPr="00812CB0">
        <w:rPr>
          <w:szCs w:val="24"/>
        </w:rPr>
        <w:t xml:space="preserve">The form 990 provides a strong foundation, yet self-reported data provided in the form varies widely from organization to organization. This reflects the range of professionalization, expertise, and size of </w:t>
      </w:r>
      <w:r>
        <w:rPr>
          <w:szCs w:val="24"/>
        </w:rPr>
        <w:t>U.S.-based</w:t>
      </w:r>
      <w:r w:rsidRPr="00812CB0">
        <w:rPr>
          <w:szCs w:val="24"/>
        </w:rPr>
        <w:t xml:space="preserve"> </w:t>
      </w:r>
      <w:r>
        <w:rPr>
          <w:szCs w:val="24"/>
        </w:rPr>
        <w:t>TNGO</w:t>
      </w:r>
      <w:r w:rsidRPr="00812CB0">
        <w:rPr>
          <w:szCs w:val="24"/>
        </w:rPr>
        <w:t xml:space="preserve">s. The level of professionalization in an organization and the expertise of the person responsible for completing the form 990 produce different levels of detail and accuracy in the reporting of information on the form 990. In terms of location specifically, some </w:t>
      </w:r>
      <w:r>
        <w:rPr>
          <w:szCs w:val="24"/>
        </w:rPr>
        <w:t>TNGO</w:t>
      </w:r>
      <w:r w:rsidRPr="00812CB0">
        <w:rPr>
          <w:szCs w:val="24"/>
        </w:rPr>
        <w:t xml:space="preserve">s may report location data at the micro-level while others report at the macro-level. Others may report only on the programs offered and omit location data altogether. To capture the location of </w:t>
      </w:r>
      <w:r>
        <w:rPr>
          <w:szCs w:val="24"/>
        </w:rPr>
        <w:t>TNGO</w:t>
      </w:r>
      <w:r w:rsidRPr="00812CB0">
        <w:rPr>
          <w:szCs w:val="24"/>
        </w:rPr>
        <w:t xml:space="preserve">s more accurately, the form 990 is supplemented with </w:t>
      </w:r>
      <w:r>
        <w:rPr>
          <w:szCs w:val="24"/>
        </w:rPr>
        <w:t>TNGO</w:t>
      </w:r>
      <w:r w:rsidRPr="00812CB0">
        <w:rPr>
          <w:szCs w:val="24"/>
        </w:rPr>
        <w:t xml:space="preserve"> documents. Using content analysis, data points are collected using annual reports and a retrospective analysis of </w:t>
      </w:r>
      <w:r>
        <w:rPr>
          <w:szCs w:val="24"/>
        </w:rPr>
        <w:t>TNGO</w:t>
      </w:r>
      <w:r w:rsidRPr="00812CB0">
        <w:rPr>
          <w:szCs w:val="24"/>
        </w:rPr>
        <w:t xml:space="preserve"> websites. </w:t>
      </w:r>
    </w:p>
    <w:p w:rsidR="001630DC" w:rsidRPr="00812CB0" w:rsidRDefault="001630DC" w:rsidP="001630DC">
      <w:pPr>
        <w:spacing w:line="480" w:lineRule="auto"/>
        <w:ind w:firstLine="720"/>
        <w:rPr>
          <w:szCs w:val="24"/>
        </w:rPr>
      </w:pPr>
      <w:r w:rsidRPr="00812CB0">
        <w:rPr>
          <w:szCs w:val="24"/>
        </w:rPr>
        <w:t xml:space="preserve">Data collected from the form 990s was hand coded by the author and a team of two non-specialists. </w:t>
      </w:r>
      <w:r w:rsidR="0022093D">
        <w:rPr>
          <w:szCs w:val="24"/>
        </w:rPr>
        <w:t>The d</w:t>
      </w:r>
      <w:r>
        <w:rPr>
          <w:szCs w:val="24"/>
        </w:rPr>
        <w:t>ata collected from TNGO annual</w:t>
      </w:r>
      <w:r w:rsidRPr="00812CB0">
        <w:rPr>
          <w:szCs w:val="24"/>
        </w:rPr>
        <w:t xml:space="preserve"> reports </w:t>
      </w:r>
      <w:r w:rsidR="0022093D">
        <w:rPr>
          <w:szCs w:val="24"/>
        </w:rPr>
        <w:t>was</w:t>
      </w:r>
      <w:r w:rsidRPr="00812CB0">
        <w:rPr>
          <w:szCs w:val="24"/>
        </w:rPr>
        <w:t xml:space="preserve"> coded by the author and non-specialists sourced using Mechanical Turk. An initial test was run using Mechanical Turk to identify a group of reliable coders whom the author corresponded with throughout the process to ensure accurate data collection. The work of Mechanical Turk coders was also checked as it was submitted. </w:t>
      </w:r>
    </w:p>
    <w:p w:rsidR="001630DC" w:rsidRPr="00812CB0" w:rsidRDefault="001630DC" w:rsidP="001630DC">
      <w:pPr>
        <w:spacing w:line="480" w:lineRule="auto"/>
        <w:rPr>
          <w:szCs w:val="24"/>
        </w:rPr>
      </w:pPr>
      <w:r w:rsidRPr="00812CB0">
        <w:rPr>
          <w:szCs w:val="24"/>
        </w:rPr>
        <w:tab/>
        <w:t xml:space="preserve">Following the identification of the </w:t>
      </w:r>
      <w:r>
        <w:rPr>
          <w:szCs w:val="24"/>
        </w:rPr>
        <w:t>U.S.-based</w:t>
      </w:r>
      <w:r w:rsidRPr="00812CB0">
        <w:rPr>
          <w:szCs w:val="24"/>
        </w:rPr>
        <w:t xml:space="preserve"> </w:t>
      </w:r>
      <w:r>
        <w:rPr>
          <w:szCs w:val="24"/>
        </w:rPr>
        <w:t>TNGO</w:t>
      </w:r>
      <w:r w:rsidRPr="00812CB0">
        <w:rPr>
          <w:szCs w:val="24"/>
        </w:rPr>
        <w:t xml:space="preserve"> population, a preliminary analysis of sector using the National Taxonomy for Tax-Exempt Entities (NTEE) was conducted. The international development sector was selected due to its breadth and diversity. As a whole, it represents the largest sector of </w:t>
      </w:r>
      <w:r>
        <w:rPr>
          <w:szCs w:val="24"/>
        </w:rPr>
        <w:t>U.S.-based</w:t>
      </w:r>
      <w:r w:rsidRPr="00812CB0">
        <w:rPr>
          <w:szCs w:val="24"/>
        </w:rPr>
        <w:t xml:space="preserve"> </w:t>
      </w:r>
      <w:r>
        <w:rPr>
          <w:szCs w:val="24"/>
        </w:rPr>
        <w:t>TNGO</w:t>
      </w:r>
      <w:r w:rsidRPr="00812CB0">
        <w:rPr>
          <w:szCs w:val="24"/>
        </w:rPr>
        <w:t xml:space="preserve">s in the dataset and includes both small and large organizations working in a number of locations with a variety of funding sources. The sector is also broad enough to capture an array of activities from governance to health to small business development. </w:t>
      </w:r>
      <w:r>
        <w:rPr>
          <w:szCs w:val="24"/>
        </w:rPr>
        <w:t>U.S.-based</w:t>
      </w:r>
      <w:r w:rsidRPr="00812CB0">
        <w:rPr>
          <w:szCs w:val="24"/>
        </w:rPr>
        <w:t xml:space="preserve"> </w:t>
      </w:r>
      <w:r>
        <w:rPr>
          <w:szCs w:val="24"/>
        </w:rPr>
        <w:t>TNGO</w:t>
      </w:r>
      <w:r w:rsidRPr="00812CB0">
        <w:rPr>
          <w:szCs w:val="24"/>
        </w:rPr>
        <w:t xml:space="preserve">s may be coded using up to three NTEE codes, which are assigned by the IRS when the organization applies for its tax-exempt status. Codes are designated by an expert </w:t>
      </w:r>
      <w:r>
        <w:rPr>
          <w:szCs w:val="24"/>
        </w:rPr>
        <w:t xml:space="preserve">and are </w:t>
      </w:r>
      <w:r w:rsidRPr="00812CB0">
        <w:rPr>
          <w:szCs w:val="24"/>
        </w:rPr>
        <w:t xml:space="preserve">based on the programs a </w:t>
      </w:r>
      <w:r>
        <w:rPr>
          <w:szCs w:val="24"/>
        </w:rPr>
        <w:t>TNGO</w:t>
      </w:r>
      <w:r w:rsidRPr="00812CB0">
        <w:rPr>
          <w:szCs w:val="24"/>
        </w:rPr>
        <w:t xml:space="preserve"> offers and additional information provided in its application materials. </w:t>
      </w:r>
      <w:r>
        <w:rPr>
          <w:szCs w:val="24"/>
        </w:rPr>
        <w:t xml:space="preserve">Across all the data, TNGOs listing international development </w:t>
      </w:r>
      <w:r w:rsidRPr="00812CB0">
        <w:rPr>
          <w:szCs w:val="24"/>
        </w:rPr>
        <w:t>(Q30)</w:t>
      </w:r>
      <w:r>
        <w:rPr>
          <w:szCs w:val="24"/>
        </w:rPr>
        <w:t xml:space="preserve"> as their primary activity comprise</w:t>
      </w:r>
      <w:r w:rsidRPr="00812CB0">
        <w:rPr>
          <w:szCs w:val="24"/>
        </w:rPr>
        <w:t xml:space="preserve"> </w:t>
      </w:r>
      <w:r>
        <w:rPr>
          <w:szCs w:val="24"/>
        </w:rPr>
        <w:t>23.7 percent of the total number of organizations</w:t>
      </w:r>
      <w:r w:rsidRPr="00812CB0">
        <w:rPr>
          <w:szCs w:val="24"/>
        </w:rPr>
        <w:t xml:space="preserve">. </w:t>
      </w:r>
    </w:p>
    <w:p w:rsidR="001630DC" w:rsidRPr="00812CB0" w:rsidRDefault="002F33C7" w:rsidP="001630DC">
      <w:pPr>
        <w:pStyle w:val="Caption"/>
        <w:jc w:val="center"/>
      </w:pPr>
      <w:r>
        <w:rPr>
          <w:noProof/>
        </w:rPr>
        <w:drawing>
          <wp:inline distT="0" distB="0" distL="0" distR="0" wp14:anchorId="67B40B45" wp14:editId="012145A4">
            <wp:extent cx="3335655" cy="3302000"/>
            <wp:effectExtent l="2540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grayscl/>
                    </a:blip>
                    <a:srcRect/>
                    <a:stretch>
                      <a:fillRect/>
                    </a:stretch>
                  </pic:blipFill>
                  <pic:spPr bwMode="auto">
                    <a:xfrm>
                      <a:off x="0" y="0"/>
                      <a:ext cx="3335655" cy="3302000"/>
                    </a:xfrm>
                    <a:prstGeom prst="rect">
                      <a:avLst/>
                    </a:prstGeom>
                    <a:noFill/>
                    <a:ln w="9525">
                      <a:noFill/>
                      <a:miter lim="800000"/>
                      <a:headEnd/>
                      <a:tailEnd/>
                    </a:ln>
                  </pic:spPr>
                </pic:pic>
              </a:graphicData>
            </a:graphic>
          </wp:inline>
        </w:drawing>
      </w:r>
    </w:p>
    <w:p w:rsidR="001630DC" w:rsidRPr="00E904A7" w:rsidRDefault="001630DC" w:rsidP="001630DC">
      <w:pPr>
        <w:pStyle w:val="Caption"/>
        <w:jc w:val="center"/>
        <w:rPr>
          <w:b/>
          <w:i w:val="0"/>
          <w:color w:val="auto"/>
          <w:sz w:val="22"/>
          <w:szCs w:val="22"/>
        </w:rPr>
      </w:pPr>
      <w:bookmarkStart w:id="299" w:name="_Toc450069826"/>
      <w:r w:rsidRPr="00E904A7">
        <w:rPr>
          <w:b/>
          <w:i w:val="0"/>
          <w:color w:val="auto"/>
          <w:sz w:val="22"/>
        </w:rPr>
        <w:t xml:space="preserve">Table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4</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Table \* ARABIC \s 1 </w:instrText>
      </w:r>
      <w:r>
        <w:rPr>
          <w:b/>
          <w:i w:val="0"/>
          <w:color w:val="auto"/>
          <w:sz w:val="22"/>
        </w:rPr>
        <w:fldChar w:fldCharType="separate"/>
      </w:r>
      <w:r w:rsidR="001517D5">
        <w:rPr>
          <w:b/>
          <w:i w:val="0"/>
          <w:noProof/>
          <w:color w:val="auto"/>
          <w:sz w:val="22"/>
        </w:rPr>
        <w:t>3</w:t>
      </w:r>
      <w:r>
        <w:rPr>
          <w:b/>
          <w:i w:val="0"/>
          <w:color w:val="auto"/>
          <w:sz w:val="22"/>
        </w:rPr>
        <w:fldChar w:fldCharType="end"/>
      </w:r>
      <w:r w:rsidRPr="00E904A7">
        <w:rPr>
          <w:b/>
          <w:i w:val="0"/>
          <w:color w:val="auto"/>
          <w:sz w:val="22"/>
          <w:szCs w:val="22"/>
        </w:rPr>
        <w:t xml:space="preserve">: Map: of Uganda and Surrounding Countries </w:t>
      </w:r>
      <w:r w:rsidRPr="00E904A7">
        <w:rPr>
          <w:b/>
          <w:i w:val="0"/>
          <w:color w:val="auto"/>
          <w:sz w:val="22"/>
          <w:szCs w:val="22"/>
        </w:rPr>
        <w:fldChar w:fldCharType="begin"/>
      </w:r>
      <w:r w:rsidRPr="00E904A7">
        <w:rPr>
          <w:b/>
          <w:i w:val="0"/>
          <w:color w:val="auto"/>
          <w:sz w:val="22"/>
          <w:szCs w:val="22"/>
        </w:rPr>
        <w:instrText xml:space="preserve"> ADDIN ZOTERO_ITEM CSL_CITATION {"citationID":"nSIj2wWv","properties":{"formattedCitation":"(Central Intelligence Agency 2005)","plainCitation":"(Central Intelligence Agency 2005)"},"citationItems":[{"id":3560,"uris":["http://zotero.org/users/381007/items/F2E8WINW"],"uri":["http://zotero.org/users/381007/items/F2E8WINW"],"itemData":{"id":3560,"type":"map","title":"CIA World Factbook: Uganda","publisher":"CIA","publisher-place":"Washington","event-place":"Washington","URL":"https://www.cia.gov/library/publications/resources/the-world-factbook/docs/refmaps.html","author":[{"family":"Central Intelligence Agency","given":""}],"issued":{"date-parts":[["2005"]]},"accessed":{"date-parts":[["2016",1,30]]}}}],"schema":"https://github.com/citation-style-language/schema/raw/master/csl-citation.json"} </w:instrText>
      </w:r>
      <w:r w:rsidRPr="00E904A7">
        <w:rPr>
          <w:b/>
          <w:i w:val="0"/>
          <w:color w:val="auto"/>
          <w:sz w:val="22"/>
          <w:szCs w:val="22"/>
        </w:rPr>
        <w:fldChar w:fldCharType="separate"/>
      </w:r>
      <w:r w:rsidRPr="00E904A7">
        <w:rPr>
          <w:b/>
          <w:i w:val="0"/>
          <w:color w:val="auto"/>
          <w:sz w:val="22"/>
          <w:szCs w:val="22"/>
        </w:rPr>
        <w:t>(CIA 2005)</w:t>
      </w:r>
      <w:bookmarkEnd w:id="299"/>
      <w:r w:rsidRPr="00E904A7">
        <w:rPr>
          <w:b/>
          <w:i w:val="0"/>
          <w:color w:val="auto"/>
          <w:sz w:val="22"/>
          <w:szCs w:val="22"/>
        </w:rPr>
        <w:fldChar w:fldCharType="end"/>
      </w:r>
    </w:p>
    <w:p w:rsidR="001630DC" w:rsidRPr="00812CB0" w:rsidRDefault="001630DC" w:rsidP="001630DC"/>
    <w:p w:rsidR="001630DC" w:rsidRPr="00812CB0" w:rsidRDefault="001630DC" w:rsidP="001630DC">
      <w:pPr>
        <w:spacing w:line="480" w:lineRule="auto"/>
        <w:ind w:firstLine="720"/>
        <w:rPr>
          <w:szCs w:val="24"/>
        </w:rPr>
      </w:pPr>
      <w:r w:rsidRPr="00812CB0">
        <w:rPr>
          <w:szCs w:val="24"/>
        </w:rPr>
        <w:t xml:space="preserve">This chapter uses semi-structured interviews with </w:t>
      </w:r>
      <w:r>
        <w:rPr>
          <w:szCs w:val="24"/>
        </w:rPr>
        <w:t>U.S.-based</w:t>
      </w:r>
      <w:r w:rsidRPr="00812CB0">
        <w:rPr>
          <w:szCs w:val="24"/>
        </w:rPr>
        <w:t xml:space="preserve"> </w:t>
      </w:r>
      <w:r>
        <w:rPr>
          <w:szCs w:val="24"/>
        </w:rPr>
        <w:t>TNGO</w:t>
      </w:r>
      <w:r w:rsidRPr="00812CB0">
        <w:rPr>
          <w:szCs w:val="24"/>
        </w:rPr>
        <w:t xml:space="preserve">s working in the field of international development. No organizational structure criteria were imposed in the selection of </w:t>
      </w:r>
      <w:r>
        <w:rPr>
          <w:szCs w:val="24"/>
        </w:rPr>
        <w:t>TNGO</w:t>
      </w:r>
      <w:r w:rsidRPr="00812CB0">
        <w:rPr>
          <w:szCs w:val="24"/>
        </w:rPr>
        <w:t xml:space="preserve">s for interviews. Instead, interviews were sought with a diverse range of </w:t>
      </w:r>
      <w:r>
        <w:rPr>
          <w:szCs w:val="24"/>
        </w:rPr>
        <w:t>U.S.-based</w:t>
      </w:r>
      <w:r w:rsidRPr="00812CB0">
        <w:rPr>
          <w:szCs w:val="24"/>
        </w:rPr>
        <w:t xml:space="preserve"> </w:t>
      </w:r>
      <w:r>
        <w:rPr>
          <w:szCs w:val="24"/>
        </w:rPr>
        <w:t>TNGO</w:t>
      </w:r>
      <w:r w:rsidRPr="00812CB0">
        <w:rPr>
          <w:szCs w:val="24"/>
        </w:rPr>
        <w:t xml:space="preserve">s to understand the internal dynamics of decision-making. These organizations varied in age, size, shape, and orientation. Interviews were conducted over an eight-week period in the summer of 2015 with country directors or deputy country directors at 23 organizations in Kampala, Uganda. Reliance on high-level interviews and written sources for analysis carries a risk of bias and missing data, but was necessary due to time and resource constraints. The country directors or deputies who agreed to interviews were fully cooperative and available for follow-up meetings and email correspondence to answer remaining questions, thereby mitigating incomplete information. </w:t>
      </w:r>
    </w:p>
    <w:p w:rsidR="001630DC" w:rsidRPr="00812CB0" w:rsidRDefault="001630DC" w:rsidP="001630DC">
      <w:pPr>
        <w:spacing w:line="480" w:lineRule="auto"/>
        <w:rPr>
          <w:szCs w:val="24"/>
        </w:rPr>
      </w:pPr>
      <w:r>
        <w:rPr>
          <w:szCs w:val="24"/>
        </w:rPr>
        <w:tab/>
      </w:r>
      <w:r w:rsidRPr="00812CB0">
        <w:rPr>
          <w:szCs w:val="24"/>
        </w:rPr>
        <w:t xml:space="preserve">Uganda is representative as a case in many ways, but uncharacteristic in others. Compared to the rest of sub-Saharan Africa, organizations working in the field of international development in Uganda are similar in age and program expenditures. Although they tend to be somewhat smaller in terms of the number of employees than organizations operating elsewhere in sub-Saharan Africa in international development, the number of volunteers is similar across international development cases in Uganda and elsewhere in the region. Salaries, however, tend to be slightly higher in the Ugandan cases. Overall, the total number of international development </w:t>
      </w:r>
      <w:r>
        <w:rPr>
          <w:szCs w:val="24"/>
        </w:rPr>
        <w:t>U.S.-based</w:t>
      </w:r>
      <w:r w:rsidRPr="00812CB0">
        <w:rPr>
          <w:szCs w:val="24"/>
        </w:rPr>
        <w:t xml:space="preserve"> </w:t>
      </w:r>
      <w:r>
        <w:rPr>
          <w:szCs w:val="24"/>
        </w:rPr>
        <w:t>TNGO</w:t>
      </w:r>
      <w:r w:rsidRPr="00812CB0">
        <w:rPr>
          <w:szCs w:val="24"/>
        </w:rPr>
        <w:t xml:space="preserve">s in Uganda is higher than in other countries. This makes the case unique, </w:t>
      </w:r>
      <w:r>
        <w:rPr>
          <w:szCs w:val="24"/>
        </w:rPr>
        <w:t>however</w:t>
      </w:r>
      <w:r w:rsidR="00862CCB">
        <w:rPr>
          <w:szCs w:val="24"/>
        </w:rPr>
        <w:t xml:space="preserve">, </w:t>
      </w:r>
      <w:r w:rsidR="00862CCB" w:rsidRPr="00812CB0">
        <w:rPr>
          <w:szCs w:val="24"/>
        </w:rPr>
        <w:t>the</w:t>
      </w:r>
      <w:r w:rsidRPr="00812CB0">
        <w:rPr>
          <w:szCs w:val="24"/>
        </w:rPr>
        <w:t xml:space="preserve"> density of international development </w:t>
      </w:r>
      <w:r>
        <w:rPr>
          <w:szCs w:val="24"/>
        </w:rPr>
        <w:t>TNGOs</w:t>
      </w:r>
      <w:r w:rsidRPr="00812CB0">
        <w:rPr>
          <w:szCs w:val="24"/>
        </w:rPr>
        <w:t xml:space="preserve"> </w:t>
      </w:r>
      <w:r>
        <w:rPr>
          <w:szCs w:val="24"/>
        </w:rPr>
        <w:t>might</w:t>
      </w:r>
      <w:r w:rsidRPr="00812CB0">
        <w:rPr>
          <w:szCs w:val="24"/>
        </w:rPr>
        <w:t xml:space="preserve"> be explained </w:t>
      </w:r>
      <w:r>
        <w:rPr>
          <w:szCs w:val="24"/>
        </w:rPr>
        <w:t>at a regional level. Uganda’s</w:t>
      </w:r>
      <w:r w:rsidRPr="00812CB0">
        <w:rPr>
          <w:szCs w:val="24"/>
        </w:rPr>
        <w:t xml:space="preserve"> neighbors, including Kenya, South Sudan, Rwanda, and the Democratic Republic of </w:t>
      </w:r>
      <w:r w:rsidR="00862CCB" w:rsidRPr="00812CB0">
        <w:rPr>
          <w:szCs w:val="24"/>
        </w:rPr>
        <w:t>Co</w:t>
      </w:r>
      <w:r w:rsidR="00862CCB">
        <w:rPr>
          <w:szCs w:val="24"/>
        </w:rPr>
        <w:t>ngo</w:t>
      </w:r>
      <w:r w:rsidRPr="00812CB0">
        <w:rPr>
          <w:szCs w:val="24"/>
        </w:rPr>
        <w:t xml:space="preserve"> </w:t>
      </w:r>
      <w:r>
        <w:rPr>
          <w:szCs w:val="24"/>
        </w:rPr>
        <w:t xml:space="preserve">all experience refugee flows. In addition, Uganda is also in close </w:t>
      </w:r>
      <w:r w:rsidRPr="00812CB0">
        <w:rPr>
          <w:szCs w:val="24"/>
        </w:rPr>
        <w:t>proximity to other high activity areas such as Burundi, Ethiopia, and Sudan</w:t>
      </w:r>
      <w:r>
        <w:rPr>
          <w:szCs w:val="24"/>
        </w:rPr>
        <w:t xml:space="preserve"> all experience refugee flows or conflict</w:t>
      </w:r>
      <w:r w:rsidRPr="00812CB0">
        <w:rPr>
          <w:szCs w:val="24"/>
        </w:rPr>
        <w:t xml:space="preserve">. Uganda is also advantageous for fieldwork due to accessibility of </w:t>
      </w:r>
      <w:r>
        <w:rPr>
          <w:szCs w:val="24"/>
        </w:rPr>
        <w:t>TNGO</w:t>
      </w:r>
      <w:r w:rsidRPr="00812CB0">
        <w:rPr>
          <w:szCs w:val="24"/>
        </w:rPr>
        <w:t xml:space="preserve">s. Neighboring Kenya also contains a high concentration of international development </w:t>
      </w:r>
      <w:r>
        <w:rPr>
          <w:szCs w:val="24"/>
        </w:rPr>
        <w:t>TNGO</w:t>
      </w:r>
      <w:r w:rsidRPr="00812CB0">
        <w:rPr>
          <w:szCs w:val="24"/>
        </w:rPr>
        <w:t xml:space="preserve">s and shares some of the same traits, however, the amount of scholarship on Kenya makes access to </w:t>
      </w:r>
      <w:r>
        <w:rPr>
          <w:szCs w:val="24"/>
        </w:rPr>
        <w:t>TNGO</w:t>
      </w:r>
      <w:r w:rsidRPr="00812CB0">
        <w:rPr>
          <w:szCs w:val="24"/>
        </w:rPr>
        <w:t>s challenging.</w:t>
      </w:r>
      <w:r w:rsidRPr="00812CB0">
        <w:rPr>
          <w:rStyle w:val="FootnoteReference"/>
        </w:rPr>
        <w:footnoteReference w:id="19"/>
      </w:r>
      <w:r w:rsidRPr="00812CB0">
        <w:rPr>
          <w:szCs w:val="24"/>
        </w:rPr>
        <w:t xml:space="preserve"> Therefore, Uganda presented an opportunity to explore the research question at hand and to expand the breadth of cases in the literature. </w:t>
      </w:r>
    </w:p>
    <w:tbl>
      <w:tblPr>
        <w:tblpPr w:topFromText="180" w:bottomFromText="180" w:vertAnchor="text" w:horzAnchor="margin" w:tblpXSpec="center" w:tblpY="276"/>
        <w:tblOverlap w:val="never"/>
        <w:tblW w:w="7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876"/>
        <w:gridCol w:w="1323"/>
        <w:gridCol w:w="1336"/>
        <w:gridCol w:w="1118"/>
        <w:gridCol w:w="1590"/>
      </w:tblGrid>
      <w:tr w:rsidR="001630DC" w:rsidRPr="00FB1D4A">
        <w:trPr>
          <w:trHeight w:val="759"/>
        </w:trPr>
        <w:tc>
          <w:tcPr>
            <w:tcW w:w="1728" w:type="dxa"/>
          </w:tcPr>
          <w:p w:rsidR="001630DC" w:rsidRPr="00C03A9D" w:rsidRDefault="001630DC" w:rsidP="001630DC">
            <w:pPr>
              <w:jc w:val="center"/>
              <w:rPr>
                <w:b/>
                <w:sz w:val="20"/>
                <w:szCs w:val="20"/>
              </w:rPr>
            </w:pPr>
            <w:r w:rsidRPr="00C03A9D">
              <w:rPr>
                <w:b/>
                <w:sz w:val="20"/>
                <w:szCs w:val="20"/>
              </w:rPr>
              <w:t>Int’l Development TNGOs</w:t>
            </w:r>
          </w:p>
        </w:tc>
        <w:tc>
          <w:tcPr>
            <w:tcW w:w="876" w:type="dxa"/>
          </w:tcPr>
          <w:p w:rsidR="001630DC" w:rsidRPr="00C03A9D" w:rsidRDefault="001630DC" w:rsidP="001630DC">
            <w:pPr>
              <w:jc w:val="center"/>
              <w:rPr>
                <w:b/>
                <w:sz w:val="20"/>
                <w:szCs w:val="20"/>
              </w:rPr>
            </w:pPr>
            <w:r w:rsidRPr="00C03A9D">
              <w:rPr>
                <w:b/>
                <w:sz w:val="20"/>
                <w:szCs w:val="20"/>
              </w:rPr>
              <w:t>Age</w:t>
            </w:r>
          </w:p>
        </w:tc>
        <w:tc>
          <w:tcPr>
            <w:tcW w:w="1323" w:type="dxa"/>
          </w:tcPr>
          <w:p w:rsidR="001630DC" w:rsidRPr="00C03A9D" w:rsidRDefault="001630DC" w:rsidP="001630DC">
            <w:pPr>
              <w:jc w:val="center"/>
              <w:rPr>
                <w:b/>
                <w:sz w:val="20"/>
                <w:szCs w:val="20"/>
              </w:rPr>
            </w:pPr>
            <w:r w:rsidRPr="00C03A9D">
              <w:rPr>
                <w:b/>
                <w:sz w:val="20"/>
                <w:szCs w:val="20"/>
              </w:rPr>
              <w:t>No. Employees</w:t>
            </w:r>
          </w:p>
        </w:tc>
        <w:tc>
          <w:tcPr>
            <w:tcW w:w="1336" w:type="dxa"/>
          </w:tcPr>
          <w:p w:rsidR="001630DC" w:rsidRPr="00C03A9D" w:rsidRDefault="001630DC" w:rsidP="001630DC">
            <w:pPr>
              <w:jc w:val="center"/>
              <w:rPr>
                <w:b/>
                <w:sz w:val="20"/>
                <w:szCs w:val="20"/>
              </w:rPr>
            </w:pPr>
            <w:r w:rsidRPr="00C03A9D">
              <w:rPr>
                <w:b/>
                <w:sz w:val="20"/>
                <w:szCs w:val="20"/>
              </w:rPr>
              <w:t>No. Volunteers</w:t>
            </w:r>
          </w:p>
        </w:tc>
        <w:tc>
          <w:tcPr>
            <w:tcW w:w="1118" w:type="dxa"/>
          </w:tcPr>
          <w:p w:rsidR="001630DC" w:rsidRPr="00C03A9D" w:rsidRDefault="001630DC" w:rsidP="001630DC">
            <w:pPr>
              <w:jc w:val="center"/>
              <w:rPr>
                <w:b/>
                <w:sz w:val="20"/>
                <w:szCs w:val="20"/>
              </w:rPr>
            </w:pPr>
            <w:r w:rsidRPr="00C03A9D">
              <w:rPr>
                <w:b/>
                <w:sz w:val="20"/>
                <w:szCs w:val="20"/>
              </w:rPr>
              <w:t>Salaries</w:t>
            </w:r>
          </w:p>
        </w:tc>
        <w:tc>
          <w:tcPr>
            <w:tcW w:w="1590" w:type="dxa"/>
          </w:tcPr>
          <w:p w:rsidR="001630DC" w:rsidRPr="00C03A9D" w:rsidRDefault="001630DC" w:rsidP="001630DC">
            <w:pPr>
              <w:jc w:val="center"/>
              <w:rPr>
                <w:b/>
                <w:sz w:val="20"/>
                <w:szCs w:val="20"/>
              </w:rPr>
            </w:pPr>
            <w:r w:rsidRPr="00C03A9D">
              <w:rPr>
                <w:b/>
                <w:sz w:val="20"/>
                <w:szCs w:val="20"/>
              </w:rPr>
              <w:t>Program</w:t>
            </w:r>
          </w:p>
          <w:p w:rsidR="001630DC" w:rsidRPr="00C03A9D" w:rsidRDefault="001630DC" w:rsidP="001630DC">
            <w:pPr>
              <w:jc w:val="center"/>
              <w:rPr>
                <w:b/>
                <w:sz w:val="20"/>
                <w:szCs w:val="20"/>
              </w:rPr>
            </w:pPr>
            <w:r w:rsidRPr="00C03A9D">
              <w:rPr>
                <w:b/>
                <w:sz w:val="20"/>
                <w:szCs w:val="20"/>
              </w:rPr>
              <w:t>Expenditures</w:t>
            </w:r>
          </w:p>
        </w:tc>
      </w:tr>
      <w:tr w:rsidR="001630DC" w:rsidRPr="00FB1D4A">
        <w:trPr>
          <w:trHeight w:val="248"/>
        </w:trPr>
        <w:tc>
          <w:tcPr>
            <w:tcW w:w="1728" w:type="dxa"/>
          </w:tcPr>
          <w:p w:rsidR="001630DC" w:rsidRPr="00C03A9D" w:rsidRDefault="001630DC" w:rsidP="001630DC">
            <w:pPr>
              <w:jc w:val="center"/>
              <w:rPr>
                <w:sz w:val="20"/>
                <w:szCs w:val="20"/>
              </w:rPr>
            </w:pPr>
            <w:r w:rsidRPr="00C03A9D">
              <w:rPr>
                <w:sz w:val="20"/>
                <w:szCs w:val="20"/>
              </w:rPr>
              <w:t>In Uganda</w:t>
            </w:r>
          </w:p>
        </w:tc>
        <w:tc>
          <w:tcPr>
            <w:tcW w:w="876" w:type="dxa"/>
          </w:tcPr>
          <w:p w:rsidR="001630DC" w:rsidRPr="00C03A9D" w:rsidRDefault="001630DC" w:rsidP="001630DC">
            <w:pPr>
              <w:jc w:val="center"/>
              <w:rPr>
                <w:sz w:val="20"/>
                <w:szCs w:val="20"/>
              </w:rPr>
            </w:pPr>
            <w:r w:rsidRPr="00C03A9D">
              <w:rPr>
                <w:sz w:val="20"/>
                <w:szCs w:val="20"/>
              </w:rPr>
              <w:t>20.20</w:t>
            </w:r>
          </w:p>
        </w:tc>
        <w:tc>
          <w:tcPr>
            <w:tcW w:w="1323" w:type="dxa"/>
          </w:tcPr>
          <w:p w:rsidR="001630DC" w:rsidRPr="00C03A9D" w:rsidRDefault="001630DC" w:rsidP="001630DC">
            <w:pPr>
              <w:jc w:val="center"/>
              <w:rPr>
                <w:sz w:val="20"/>
                <w:szCs w:val="20"/>
              </w:rPr>
            </w:pPr>
            <w:r w:rsidRPr="00C03A9D">
              <w:rPr>
                <w:sz w:val="20"/>
                <w:szCs w:val="20"/>
              </w:rPr>
              <w:t>56.12</w:t>
            </w:r>
          </w:p>
        </w:tc>
        <w:tc>
          <w:tcPr>
            <w:tcW w:w="1336" w:type="dxa"/>
          </w:tcPr>
          <w:p w:rsidR="001630DC" w:rsidRPr="00C03A9D" w:rsidRDefault="001630DC" w:rsidP="001630DC">
            <w:pPr>
              <w:jc w:val="center"/>
              <w:rPr>
                <w:sz w:val="20"/>
                <w:szCs w:val="20"/>
              </w:rPr>
            </w:pPr>
            <w:r w:rsidRPr="00C03A9D">
              <w:rPr>
                <w:sz w:val="20"/>
                <w:szCs w:val="20"/>
              </w:rPr>
              <w:t>3060.81</w:t>
            </w:r>
          </w:p>
        </w:tc>
        <w:tc>
          <w:tcPr>
            <w:tcW w:w="1118" w:type="dxa"/>
          </w:tcPr>
          <w:p w:rsidR="001630DC" w:rsidRPr="00C03A9D" w:rsidRDefault="001630DC" w:rsidP="001630DC">
            <w:pPr>
              <w:jc w:val="center"/>
              <w:rPr>
                <w:sz w:val="20"/>
                <w:szCs w:val="20"/>
              </w:rPr>
            </w:pPr>
            <w:r w:rsidRPr="00C03A9D">
              <w:rPr>
                <w:sz w:val="20"/>
                <w:szCs w:val="20"/>
              </w:rPr>
              <w:t>4406017</w:t>
            </w:r>
          </w:p>
        </w:tc>
        <w:tc>
          <w:tcPr>
            <w:tcW w:w="1590" w:type="dxa"/>
          </w:tcPr>
          <w:p w:rsidR="001630DC" w:rsidRPr="00C03A9D" w:rsidRDefault="001630DC" w:rsidP="001630DC">
            <w:pPr>
              <w:jc w:val="center"/>
              <w:rPr>
                <w:sz w:val="20"/>
                <w:szCs w:val="20"/>
              </w:rPr>
            </w:pPr>
            <w:r w:rsidRPr="00C03A9D">
              <w:rPr>
                <w:sz w:val="20"/>
                <w:szCs w:val="20"/>
              </w:rPr>
              <w:t>2.74e+07</w:t>
            </w:r>
          </w:p>
        </w:tc>
      </w:tr>
      <w:tr w:rsidR="001630DC" w:rsidRPr="00FB1D4A">
        <w:trPr>
          <w:trHeight w:val="248"/>
        </w:trPr>
        <w:tc>
          <w:tcPr>
            <w:tcW w:w="1728" w:type="dxa"/>
          </w:tcPr>
          <w:p w:rsidR="001630DC" w:rsidRPr="00C03A9D" w:rsidRDefault="001630DC" w:rsidP="001630DC">
            <w:pPr>
              <w:jc w:val="center"/>
              <w:rPr>
                <w:sz w:val="20"/>
                <w:szCs w:val="20"/>
              </w:rPr>
            </w:pPr>
            <w:r w:rsidRPr="00C03A9D">
              <w:rPr>
                <w:sz w:val="20"/>
                <w:szCs w:val="20"/>
              </w:rPr>
              <w:t>Not in Uganda</w:t>
            </w:r>
          </w:p>
        </w:tc>
        <w:tc>
          <w:tcPr>
            <w:tcW w:w="876" w:type="dxa"/>
          </w:tcPr>
          <w:p w:rsidR="001630DC" w:rsidRPr="00C03A9D" w:rsidRDefault="001630DC" w:rsidP="001630DC">
            <w:pPr>
              <w:jc w:val="center"/>
              <w:rPr>
                <w:sz w:val="20"/>
                <w:szCs w:val="20"/>
              </w:rPr>
            </w:pPr>
            <w:r w:rsidRPr="00C03A9D">
              <w:rPr>
                <w:sz w:val="20"/>
                <w:szCs w:val="20"/>
              </w:rPr>
              <w:t>28.05</w:t>
            </w:r>
          </w:p>
        </w:tc>
        <w:tc>
          <w:tcPr>
            <w:tcW w:w="1323" w:type="dxa"/>
          </w:tcPr>
          <w:p w:rsidR="001630DC" w:rsidRPr="00C03A9D" w:rsidRDefault="001630DC" w:rsidP="001630DC">
            <w:pPr>
              <w:jc w:val="center"/>
              <w:rPr>
                <w:sz w:val="20"/>
                <w:szCs w:val="20"/>
              </w:rPr>
            </w:pPr>
            <w:r w:rsidRPr="00C03A9D">
              <w:rPr>
                <w:sz w:val="20"/>
                <w:szCs w:val="20"/>
              </w:rPr>
              <w:t>183.07</w:t>
            </w:r>
          </w:p>
        </w:tc>
        <w:tc>
          <w:tcPr>
            <w:tcW w:w="1336" w:type="dxa"/>
          </w:tcPr>
          <w:p w:rsidR="001630DC" w:rsidRPr="00C03A9D" w:rsidRDefault="001630DC" w:rsidP="001630DC">
            <w:pPr>
              <w:jc w:val="center"/>
              <w:rPr>
                <w:sz w:val="20"/>
                <w:szCs w:val="20"/>
              </w:rPr>
            </w:pPr>
            <w:r w:rsidRPr="00C03A9D">
              <w:rPr>
                <w:sz w:val="20"/>
                <w:szCs w:val="20"/>
              </w:rPr>
              <w:t>10934.32</w:t>
            </w:r>
          </w:p>
        </w:tc>
        <w:tc>
          <w:tcPr>
            <w:tcW w:w="1118" w:type="dxa"/>
          </w:tcPr>
          <w:p w:rsidR="001630DC" w:rsidRPr="00C03A9D" w:rsidRDefault="001630DC" w:rsidP="001630DC">
            <w:pPr>
              <w:jc w:val="center"/>
              <w:rPr>
                <w:sz w:val="20"/>
                <w:szCs w:val="20"/>
              </w:rPr>
            </w:pPr>
            <w:r w:rsidRPr="00C03A9D">
              <w:rPr>
                <w:sz w:val="20"/>
                <w:szCs w:val="20"/>
              </w:rPr>
              <w:t>2.15e+07</w:t>
            </w:r>
          </w:p>
        </w:tc>
        <w:tc>
          <w:tcPr>
            <w:tcW w:w="1590" w:type="dxa"/>
          </w:tcPr>
          <w:p w:rsidR="001630DC" w:rsidRPr="00C03A9D" w:rsidRDefault="001630DC" w:rsidP="001630DC">
            <w:pPr>
              <w:jc w:val="center"/>
              <w:rPr>
                <w:sz w:val="20"/>
                <w:szCs w:val="20"/>
              </w:rPr>
            </w:pPr>
            <w:r w:rsidRPr="00C03A9D">
              <w:rPr>
                <w:sz w:val="20"/>
                <w:szCs w:val="20"/>
              </w:rPr>
              <w:t>8.88e+07</w:t>
            </w:r>
          </w:p>
        </w:tc>
      </w:tr>
      <w:tr w:rsidR="001630DC" w:rsidRPr="00FB1D4A">
        <w:trPr>
          <w:trHeight w:val="262"/>
        </w:trPr>
        <w:tc>
          <w:tcPr>
            <w:tcW w:w="1728" w:type="dxa"/>
          </w:tcPr>
          <w:p w:rsidR="001630DC" w:rsidRPr="00C03A9D" w:rsidRDefault="001630DC" w:rsidP="001630DC">
            <w:pPr>
              <w:jc w:val="center"/>
              <w:rPr>
                <w:sz w:val="20"/>
                <w:szCs w:val="20"/>
              </w:rPr>
            </w:pPr>
            <w:r w:rsidRPr="00C03A9D">
              <w:rPr>
                <w:sz w:val="20"/>
                <w:szCs w:val="20"/>
              </w:rPr>
              <w:t>Total</w:t>
            </w:r>
          </w:p>
        </w:tc>
        <w:tc>
          <w:tcPr>
            <w:tcW w:w="876" w:type="dxa"/>
          </w:tcPr>
          <w:p w:rsidR="001630DC" w:rsidRPr="00C03A9D" w:rsidRDefault="001630DC" w:rsidP="001630DC">
            <w:pPr>
              <w:jc w:val="center"/>
              <w:rPr>
                <w:sz w:val="20"/>
                <w:szCs w:val="20"/>
              </w:rPr>
            </w:pPr>
            <w:r w:rsidRPr="00C03A9D">
              <w:rPr>
                <w:sz w:val="20"/>
                <w:szCs w:val="20"/>
              </w:rPr>
              <w:t>21.85</w:t>
            </w:r>
          </w:p>
        </w:tc>
        <w:tc>
          <w:tcPr>
            <w:tcW w:w="1323" w:type="dxa"/>
          </w:tcPr>
          <w:p w:rsidR="001630DC" w:rsidRPr="00C03A9D" w:rsidRDefault="001630DC" w:rsidP="001630DC">
            <w:pPr>
              <w:jc w:val="center"/>
              <w:rPr>
                <w:sz w:val="20"/>
                <w:szCs w:val="20"/>
              </w:rPr>
            </w:pPr>
            <w:r w:rsidRPr="00C03A9D">
              <w:rPr>
                <w:sz w:val="20"/>
                <w:szCs w:val="20"/>
              </w:rPr>
              <w:t>86.53</w:t>
            </w:r>
          </w:p>
        </w:tc>
        <w:tc>
          <w:tcPr>
            <w:tcW w:w="1336" w:type="dxa"/>
          </w:tcPr>
          <w:p w:rsidR="001630DC" w:rsidRPr="00C03A9D" w:rsidRDefault="001630DC" w:rsidP="001630DC">
            <w:pPr>
              <w:jc w:val="center"/>
              <w:rPr>
                <w:sz w:val="20"/>
                <w:szCs w:val="20"/>
              </w:rPr>
            </w:pPr>
            <w:r w:rsidRPr="00C03A9D">
              <w:rPr>
                <w:sz w:val="20"/>
                <w:szCs w:val="20"/>
              </w:rPr>
              <w:t>4982.1</w:t>
            </w:r>
          </w:p>
        </w:tc>
        <w:tc>
          <w:tcPr>
            <w:tcW w:w="1118" w:type="dxa"/>
          </w:tcPr>
          <w:p w:rsidR="001630DC" w:rsidRPr="00C03A9D" w:rsidRDefault="001630DC" w:rsidP="001630DC">
            <w:pPr>
              <w:jc w:val="center"/>
              <w:rPr>
                <w:sz w:val="20"/>
                <w:szCs w:val="20"/>
              </w:rPr>
            </w:pPr>
            <w:r w:rsidRPr="00C03A9D">
              <w:rPr>
                <w:sz w:val="20"/>
                <w:szCs w:val="20"/>
              </w:rPr>
              <w:t>8887660</w:t>
            </w:r>
          </w:p>
        </w:tc>
        <w:tc>
          <w:tcPr>
            <w:tcW w:w="1590" w:type="dxa"/>
          </w:tcPr>
          <w:p w:rsidR="001630DC" w:rsidRPr="00C03A9D" w:rsidRDefault="001630DC" w:rsidP="001630DC">
            <w:pPr>
              <w:jc w:val="center"/>
              <w:rPr>
                <w:sz w:val="20"/>
                <w:szCs w:val="20"/>
              </w:rPr>
            </w:pPr>
            <w:r w:rsidRPr="00C03A9D">
              <w:rPr>
                <w:sz w:val="20"/>
                <w:szCs w:val="20"/>
              </w:rPr>
              <w:t>4.35e+07</w:t>
            </w:r>
          </w:p>
        </w:tc>
      </w:tr>
    </w:tbl>
    <w:p w:rsidR="001630DC" w:rsidRPr="00E904A7" w:rsidRDefault="001630DC" w:rsidP="001630DC">
      <w:pPr>
        <w:pStyle w:val="Caption"/>
        <w:jc w:val="center"/>
        <w:rPr>
          <w:b/>
          <w:i w:val="0"/>
          <w:color w:val="auto"/>
          <w:sz w:val="22"/>
          <w:szCs w:val="22"/>
        </w:rPr>
      </w:pPr>
      <w:bookmarkStart w:id="300" w:name="_Toc450069827"/>
      <w:r w:rsidRPr="00E904A7">
        <w:rPr>
          <w:b/>
          <w:i w:val="0"/>
          <w:color w:val="auto"/>
          <w:sz w:val="22"/>
        </w:rPr>
        <w:t xml:space="preserve">Table </w:t>
      </w:r>
      <w:r w:rsidRPr="00E904A7">
        <w:rPr>
          <w:b/>
          <w:i w:val="0"/>
          <w:color w:val="auto"/>
          <w:sz w:val="22"/>
        </w:rPr>
        <w:fldChar w:fldCharType="begin"/>
      </w:r>
      <w:r w:rsidRPr="00E904A7">
        <w:rPr>
          <w:b/>
          <w:i w:val="0"/>
          <w:color w:val="auto"/>
          <w:sz w:val="22"/>
        </w:rPr>
        <w:instrText xml:space="preserve"> STYLEREF 1 \s </w:instrText>
      </w:r>
      <w:r w:rsidRPr="00E904A7">
        <w:rPr>
          <w:b/>
          <w:i w:val="0"/>
          <w:color w:val="auto"/>
          <w:sz w:val="22"/>
        </w:rPr>
        <w:fldChar w:fldCharType="separate"/>
      </w:r>
      <w:r w:rsidR="001517D5">
        <w:rPr>
          <w:b/>
          <w:i w:val="0"/>
          <w:noProof/>
          <w:color w:val="auto"/>
          <w:sz w:val="22"/>
          <w:cs/>
        </w:rPr>
        <w:t>‎</w:t>
      </w:r>
      <w:r w:rsidR="001517D5">
        <w:rPr>
          <w:b/>
          <w:i w:val="0"/>
          <w:noProof/>
          <w:color w:val="auto"/>
          <w:sz w:val="22"/>
        </w:rPr>
        <w:t>4</w:t>
      </w:r>
      <w:r w:rsidRPr="00E904A7">
        <w:rPr>
          <w:b/>
          <w:i w:val="0"/>
          <w:color w:val="auto"/>
          <w:sz w:val="22"/>
        </w:rPr>
        <w:fldChar w:fldCharType="end"/>
      </w:r>
      <w:r w:rsidRPr="00E904A7">
        <w:rPr>
          <w:b/>
          <w:i w:val="0"/>
          <w:color w:val="auto"/>
          <w:sz w:val="22"/>
        </w:rPr>
        <w:t>.</w:t>
      </w:r>
      <w:r w:rsidRPr="00E904A7">
        <w:rPr>
          <w:b/>
          <w:i w:val="0"/>
          <w:color w:val="auto"/>
          <w:sz w:val="22"/>
        </w:rPr>
        <w:fldChar w:fldCharType="begin"/>
      </w:r>
      <w:r w:rsidRPr="00E904A7">
        <w:rPr>
          <w:b/>
          <w:i w:val="0"/>
          <w:color w:val="auto"/>
          <w:sz w:val="22"/>
        </w:rPr>
        <w:instrText xml:space="preserve"> SEQ Table \* ARABIC \s 1 </w:instrText>
      </w:r>
      <w:r w:rsidRPr="00E904A7">
        <w:rPr>
          <w:b/>
          <w:i w:val="0"/>
          <w:color w:val="auto"/>
          <w:sz w:val="22"/>
        </w:rPr>
        <w:fldChar w:fldCharType="separate"/>
      </w:r>
      <w:r w:rsidR="001517D5">
        <w:rPr>
          <w:b/>
          <w:i w:val="0"/>
          <w:noProof/>
          <w:color w:val="auto"/>
          <w:sz w:val="22"/>
        </w:rPr>
        <w:t>4</w:t>
      </w:r>
      <w:r w:rsidRPr="00E904A7">
        <w:rPr>
          <w:b/>
          <w:i w:val="0"/>
          <w:color w:val="auto"/>
          <w:sz w:val="22"/>
        </w:rPr>
        <w:fldChar w:fldCharType="end"/>
      </w:r>
      <w:r w:rsidRPr="00E904A7">
        <w:rPr>
          <w:b/>
          <w:i w:val="0"/>
          <w:color w:val="auto"/>
          <w:sz w:val="22"/>
          <w:szCs w:val="22"/>
        </w:rPr>
        <w:t>: Representativeness of Ugandan Case Study</w:t>
      </w:r>
      <w:bookmarkEnd w:id="300"/>
    </w:p>
    <w:p w:rsidR="00504DC3" w:rsidRDefault="00504DC3" w:rsidP="00504DC3">
      <w:pPr>
        <w:spacing w:line="480" w:lineRule="auto"/>
        <w:rPr>
          <w:szCs w:val="24"/>
        </w:rPr>
      </w:pPr>
    </w:p>
    <w:p w:rsidR="001630DC" w:rsidRPr="00812CB0" w:rsidRDefault="001630DC" w:rsidP="00504DC3">
      <w:pPr>
        <w:spacing w:line="480" w:lineRule="auto"/>
        <w:jc w:val="center"/>
        <w:rPr>
          <w:i/>
        </w:rPr>
      </w:pPr>
      <w:r w:rsidRPr="00812CB0">
        <w:rPr>
          <w:i/>
        </w:rPr>
        <w:t>Methods</w:t>
      </w:r>
    </w:p>
    <w:p w:rsidR="001630DC" w:rsidRPr="00812CB0" w:rsidRDefault="001630DC" w:rsidP="001630DC">
      <w:pPr>
        <w:spacing w:line="480" w:lineRule="auto"/>
      </w:pPr>
      <w:r w:rsidRPr="00812CB0">
        <w:t>Using a case study in internatio</w:t>
      </w:r>
      <w:r>
        <w:t>nal development, this analysis tests the MNC contingency framework to determine if its propositions about organizational structure hold true for TNGOs. By c</w:t>
      </w:r>
      <w:r w:rsidRPr="00812CB0">
        <w:t xml:space="preserve">omparatively </w:t>
      </w:r>
      <w:r>
        <w:t>examining</w:t>
      </w:r>
      <w:r w:rsidRPr="00812CB0">
        <w:t xml:space="preserve"> how </w:t>
      </w:r>
      <w:r>
        <w:t>U.S.-based</w:t>
      </w:r>
      <w:r w:rsidRPr="00812CB0">
        <w:t xml:space="preserve"> </w:t>
      </w:r>
      <w:r>
        <w:t>TNGO</w:t>
      </w:r>
      <w:r w:rsidRPr="00812CB0">
        <w:t>s set priorities and communic</w:t>
      </w:r>
      <w:r>
        <w:t>ate these priorities internally, both practitioners and scholars can benefit from a better understanding of the internal and external drivers of decision-making.</w:t>
      </w:r>
      <w:r w:rsidRPr="00812CB0">
        <w:t xml:space="preserve"> This approach offers insight into the internal dynamics of </w:t>
      </w:r>
      <w:r>
        <w:t>TNGO</w:t>
      </w:r>
      <w:r w:rsidRPr="00812CB0">
        <w:t>s, the value placed on field expertise, and the assumptions made by decision-makers. Furthermore, it adds depth to the quantitative findings outlined in previous chapters. Case studies are a useful approach for understanding a phenomenon in greater detail. This chapter uses the representative case, or single case study, approach focusing the international development sector as a unit to learn more about its management and decision-making processes. It is an appropriate tool to learn more about how nonprofit managers address risk, cope with uncertainty, and communicate with one another internally.</w:t>
      </w:r>
    </w:p>
    <w:p w:rsidR="001630DC" w:rsidRPr="00812CB0" w:rsidRDefault="001630DC" w:rsidP="001630DC">
      <w:pPr>
        <w:spacing w:line="480" w:lineRule="auto"/>
      </w:pPr>
      <w:r w:rsidRPr="00812CB0">
        <w:tab/>
        <w:t xml:space="preserve">The objective of this chapter is to determine how </w:t>
      </w:r>
      <w:r>
        <w:t>TNGO</w:t>
      </w:r>
      <w:r w:rsidRPr="00812CB0">
        <w:t xml:space="preserve">s communicate and set priorities internally. The international development sector was selected as the unit of study due to its size and diversity of organizations. In addition, it is comprised of the most geographically diverse organizations. In public administration, single case studies often provide a record of successes or failures </w:t>
      </w:r>
      <w:r w:rsidRPr="00812CB0">
        <w:fldChar w:fldCharType="begin"/>
      </w:r>
      <w:r w:rsidRPr="00812CB0">
        <w:instrText xml:space="preserve"> ADDIN ZOTERO_ITEM CSL_CITATION {"citationID":"2bdxwhSs","properties":{"formattedCitation":"(McNabb 2010, 68)","plainCitation":"(McNabb 2010, 68)"},"citationItems":[{"id":3657,"uris":["http://zotero.org/users/381007/items/VQFX2MG5"],"uri":["http://zotero.org/users/381007/items/VQFX2MG5"],"itemData":{"id":3657,"type":"book","title":"Case Research in Public Management","publisher":"M.E. Sharpe","publisher-place":"Armonk","event-place":"Armonk","author":[{"family":"McNabb","given":"David E."}],"issued":{"date-parts":[["2010"]]}},"locator":"68"}],"schema":"https://github.com/citation-style-language/schema/raw/master/csl-citation.json"} </w:instrText>
      </w:r>
      <w:r w:rsidRPr="00812CB0">
        <w:fldChar w:fldCharType="separate"/>
      </w:r>
      <w:r w:rsidRPr="00812CB0">
        <w:t>(McNabb 2010, 68)</w:t>
      </w:r>
      <w:r w:rsidRPr="00812CB0">
        <w:fldChar w:fldCharType="end"/>
      </w:r>
      <w:r w:rsidRPr="00812CB0">
        <w:t xml:space="preserve">. In this research design, success and failures are documented both by interviews with country directors and deputy country directors, and by content analysis identifying the expansion and retrenching of </w:t>
      </w:r>
      <w:r>
        <w:t>TNGO</w:t>
      </w:r>
      <w:r w:rsidRPr="00812CB0">
        <w:t xml:space="preserve">s presented in earlier chapters. Content analysis of the form 990s, annual reports, and websites represents the first phase of the research design in which organizations, sector, and field site are identified. Semi-structured interviews represent the second phase of the research design. To build theory about communication and prioritization among </w:t>
      </w:r>
      <w:r>
        <w:t>TNGO</w:t>
      </w:r>
      <w:r w:rsidRPr="00812CB0">
        <w:t xml:space="preserve">s, data was organized into three conceptual categories using the contingency framework adapted by Ghoshal and Nohria </w:t>
      </w:r>
      <w:r w:rsidRPr="00812CB0">
        <w:fldChar w:fldCharType="begin"/>
      </w:r>
      <w:r>
        <w:instrText xml:space="preserve"> ADDIN ZOTERO_ITEM CSL_CITATION {"citationID":"eTJCqJhp","properties":{"formattedCitation":"(Ghoshal and Nohria 1989)","plainCitation":"(Ghoshal and Nohria 1989)"},"citationItems":[{"id":3569,"uris":["http://zotero.org/users/381007/items/J3D73KIZ"],"uri":["http://zotero.org/users/381007/items/J3D73KIZ"],"itemData":{"id":3569,"type":"article-journal","title":"Internal differentiation within multinational corporations","container-title":"Strategic management journal","page":"323–337","volume":"10","issue":"4","source":"Google Scholar","abstract":"This \npaper \nargues \nthat \nthe \ninternal \nstructuire \nin \ncomplex, \nnulti-unit \norganizations \nsuch \nas \na \nmultinational \ncorporation \n(MNC) \nis \nnot \nhomogeneous \nthroughout \nthe \norganization, \nbut \nis \nsystematically \ndifferentiated \nso \nas \nto \n'fit' \nthe \ndifferent \nenvironmental \nand \nresource \ncontingencies \nfaced \nby \nthe \ndifferent \nnational \nsubsidiaries. \nBased \non \na \nsurvey \nof \n66 \nof \nthe \nlargest \nEuropean \nand \nNorth \nAmerican \nMNCs, \nyielding \ndata \non \n618 \ncases \nof \nheadquarters-subsidiary \nrelations, \nit \nis \nshown \nthat \nthe \ndifferent \ncontextual \nconditions \nfaced \nby \nthe \ndifferent \nsubsidiaries \nof \nthe \nMNC \ncan \nbe \nmeaningfully \nclassified \ninto \nfolur \ngeneric \nsituations. \nFurthermore, \nfor \neach \nof \nthese \nsituations \nthe \nexchange \nrelation \nbetween \nthe \nMNC \nheadquarters \nand \nthe \nsubsidiary \nis \ncharacterized \nby \na \n'fit' \ngovernance \nstructure \nconsisting \nof \na \ndifferent \ncombination \nof \nstructural \nelements \nsuch \nas \ncentralization \nof \nauthority \nformalization \nof \nrules \nand \nsystems, \nand \nnormative \nintegration \nof \nmembers. \nFollowing \nthe \nexisting \nliterature, \nthese \nfit' \nstructures \nare \nlabeled \nin \nthis \npaper \nas \nhierarchical, \nfederative, \nclan \nand \nintegrative. \nThe \nmultinational \nis \nthen \ndescribed \nas \nan \ninternally \ndifferentiated \norganization \nin \nwhich \neach \nheadquarters-subsidiary \nlink \ncorresponds \nto \nonae \nor \nthe \nother \nof \nthese \nadministrative \nforms.","author":[{"family":"Ghoshal","given":"Sumantra"},{"family":"Nohria","given":"Nitin"}],"issued":{"date-parts":[["1989"]]},"accessed":{"date-parts":[["2016",2,5]]}}}],"schema":"https://github.com/citation-style-language/schema/raw/master/csl-citation.json"} </w:instrText>
      </w:r>
      <w:r w:rsidRPr="00812CB0">
        <w:fldChar w:fldCharType="separate"/>
      </w:r>
      <w:r w:rsidRPr="00812CB0">
        <w:t>(1989)</w:t>
      </w:r>
      <w:r w:rsidRPr="00812CB0">
        <w:fldChar w:fldCharType="end"/>
      </w:r>
      <w:r w:rsidRPr="00812CB0">
        <w:t xml:space="preserve"> to examine subsidiaries within MNCs. This approach allows for patterns of prioritization and communication to emerge from the data while also taking external factors into consideration, and to ultimately build a theory of </w:t>
      </w:r>
      <w:r>
        <w:t>TNGO</w:t>
      </w:r>
      <w:r w:rsidRPr="00812CB0">
        <w:t xml:space="preserve"> structure. </w:t>
      </w:r>
    </w:p>
    <w:p w:rsidR="001630DC" w:rsidRPr="00812CB0" w:rsidRDefault="001630DC" w:rsidP="001630DC">
      <w:pPr>
        <w:spacing w:line="480" w:lineRule="auto"/>
        <w:ind w:firstLine="720"/>
      </w:pPr>
      <w:r w:rsidRPr="00812CB0">
        <w:t xml:space="preserve">Interviews with the </w:t>
      </w:r>
      <w:r>
        <w:t>TNGO</w:t>
      </w:r>
      <w:r w:rsidRPr="00812CB0">
        <w:t xml:space="preserve">s were conducted in the capitol city of Uganda, Kampala. The initial research design included travel throughout the country by the author to the offices of </w:t>
      </w:r>
      <w:r>
        <w:t>TNGO</w:t>
      </w:r>
      <w:r w:rsidRPr="00812CB0">
        <w:t xml:space="preserve">s. However, this approach was adapted due to travel schedules of country directors and their deputies. In summer, many expatriate staff members schedule leave to their country of origin to correspond with the traditional western holiday season. In all but one case, organizations accepting interviews scheduled meetings in Kampala. However, many </w:t>
      </w:r>
      <w:r>
        <w:t>TNGO</w:t>
      </w:r>
      <w:r w:rsidRPr="00812CB0">
        <w:t xml:space="preserve">s maintain main offices in Kampala with smaller field offices located at program sites. This achieves two goals: first, country directors in closer proximity to policymakers and government offices enabling them to advocate for their organization, build relationships, and coordinate logistics; second, infrastructure and amenities in Kampala are significantly better than elsewhere in the country. As a result, directors are supported by more consistent electricity, water, and telephone services. Furthermore, housing and schools provide a more attractive package to directors and thereby better human resources opportunities for the organization. </w:t>
      </w:r>
    </w:p>
    <w:p w:rsidR="001630DC" w:rsidRPr="00812CB0" w:rsidRDefault="001630DC" w:rsidP="001630DC">
      <w:pPr>
        <w:spacing w:line="480" w:lineRule="auto"/>
        <w:ind w:firstLine="720"/>
      </w:pPr>
      <w:r w:rsidRPr="00812CB0">
        <w:t xml:space="preserve">Constant comparison and contrasting of empirical evidence occurred as interviews were conducted. As others have found in fieldwork, the best-laid plans are often ill fitted in reality and must be adapted. This was also the case with the interviews in this study. Initial efforts to secure contacts through U.S. </w:t>
      </w:r>
      <w:r>
        <w:t>TNGO</w:t>
      </w:r>
      <w:r w:rsidRPr="00812CB0">
        <w:t xml:space="preserve"> headquarters were limited in their success. The strategy of securing contacts through </w:t>
      </w:r>
      <w:r>
        <w:t>U.S.-based</w:t>
      </w:r>
      <w:r w:rsidRPr="00812CB0">
        <w:t xml:space="preserve"> </w:t>
      </w:r>
      <w:r>
        <w:t>TNGO</w:t>
      </w:r>
      <w:r w:rsidRPr="00812CB0">
        <w:t xml:space="preserve"> headquarters was designed to snowball the sample, establishing relationships with certain organizations and utilizing these relationships and built credibility to secure further interviews. In reality, requests to U.S. headquarters were met with silence in most cases. Consequently, it became necessary to adjust the snowball approach to being upon arrival in Kampala.</w:t>
      </w:r>
    </w:p>
    <w:p w:rsidR="001630DC" w:rsidRPr="00812CB0" w:rsidRDefault="001630DC" w:rsidP="001630DC">
      <w:pPr>
        <w:spacing w:line="480" w:lineRule="auto"/>
        <w:ind w:firstLine="720"/>
      </w:pPr>
      <w:r w:rsidRPr="00812CB0">
        <w:t xml:space="preserve">The principle of credibility and networks remained key to the interview process, and the process in Kampala produced a higher response rate than attempts to contact U.S. headquarter offices or country offices before arrival. This is the product of commitment, attention, and a local phone number. </w:t>
      </w:r>
      <w:r>
        <w:t>TNGO</w:t>
      </w:r>
      <w:r w:rsidRPr="00812CB0">
        <w:t xml:space="preserve">s receive requests from potential doors, policymakers, and researchers. Like bureaucrats, they are subject to bounded rationality in which they use heuristics to prioritize their agendas </w:t>
      </w:r>
      <w:r w:rsidRPr="00812CB0">
        <w:fldChar w:fldCharType="begin"/>
      </w:r>
      <w:r>
        <w:instrText xml:space="preserve"> ADDIN ZOTERO_ITEM CSL_CITATION {"citationID":"kgw4jSDV","properties":{"formattedCitation":"(Jones 2001)","plainCitation":"(Jones 2001)"},"citationItems":[{"id":1530,"uris":["http://zotero.org/users/381007/items/X2HTBTZS"],"uri":["http://zotero.org/users/381007/items/X2HTBTZS"],"itemData":{"id":1530,"type":"book","title":"Politics and the Architecture of Choice: Bounded Rationality and Governance","publisher":"The University of Chicago Press","publisher-place":"Chicago","event-place":"Chicago","author":[{"family":"Jones","given":"Bryan D."}],"issued":{"date-parts":[["2001"]]}}}],"schema":"https://github.com/citation-style-language/schema/raw/master/csl-citation.json"} </w:instrText>
      </w:r>
      <w:r w:rsidRPr="00812CB0">
        <w:fldChar w:fldCharType="separate"/>
      </w:r>
      <w:r w:rsidRPr="00812CB0">
        <w:t>(Jones 2001)</w:t>
      </w:r>
      <w:r w:rsidRPr="00812CB0">
        <w:fldChar w:fldCharType="end"/>
      </w:r>
      <w:r w:rsidRPr="00812CB0">
        <w:t xml:space="preserve">. Contacting country directors after arrival in Kampala signaled a greater commitment to the study on the part of the researcher and a lower likelihood of failure and poorly invested time on the part of the director. Initial contact was made via e-mail, with the exception of two cases where the researcher’s business cards were left at the offices because the name and e-mail of the contact were not located. The most frequent means to secure contact information was directly from country directors who shared the new contact’s information with the researcher or who provided the researcher’s information to the contact. The second most common means was referral by name in which the name of the country director was provided to the researcher at the conclusion of the interview and the researcher used </w:t>
      </w:r>
      <w:r>
        <w:t>TNGO</w:t>
      </w:r>
      <w:r w:rsidRPr="00812CB0">
        <w:t xml:space="preserve"> documents and online databases to identify the correct person and his or her contact details. A local phone number facilitated contact and further demonstrated commitment and credibility. Due to the nature of snowball interviews and scheduling, meetings with country directors and their deputies were conducted in alternating periods with other research on organizations and contacts. </w:t>
      </w:r>
    </w:p>
    <w:tbl>
      <w:tblPr>
        <w:tblpPr w:topFromText="180" w:bottomFromText="180" w:vertAnchor="text" w:horzAnchor="page" w:tblpX="2593" w:tblpY="558"/>
        <w:tblOverlap w:val="never"/>
        <w:tblW w:w="7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6444"/>
      </w:tblGrid>
      <w:tr w:rsidR="001630DC" w:rsidRPr="00FB1D4A">
        <w:tc>
          <w:tcPr>
            <w:tcW w:w="1458" w:type="dxa"/>
          </w:tcPr>
          <w:p w:rsidR="001630DC" w:rsidRPr="00201ADC" w:rsidRDefault="001630DC" w:rsidP="001630DC">
            <w:pPr>
              <w:jc w:val="center"/>
              <w:rPr>
                <w:b/>
                <w:sz w:val="20"/>
                <w:szCs w:val="20"/>
              </w:rPr>
            </w:pPr>
            <w:r w:rsidRPr="00201ADC">
              <w:rPr>
                <w:b/>
                <w:sz w:val="20"/>
                <w:szCs w:val="20"/>
              </w:rPr>
              <w:t>Category</w:t>
            </w:r>
          </w:p>
        </w:tc>
        <w:tc>
          <w:tcPr>
            <w:tcW w:w="6444" w:type="dxa"/>
          </w:tcPr>
          <w:p w:rsidR="001630DC" w:rsidRPr="00201ADC" w:rsidRDefault="00504DC3" w:rsidP="00504DC3">
            <w:pPr>
              <w:tabs>
                <w:tab w:val="center" w:pos="3519"/>
                <w:tab w:val="left" w:pos="6140"/>
              </w:tabs>
              <w:rPr>
                <w:b/>
                <w:sz w:val="20"/>
                <w:szCs w:val="20"/>
              </w:rPr>
            </w:pPr>
            <w:r>
              <w:rPr>
                <w:b/>
                <w:sz w:val="20"/>
                <w:szCs w:val="20"/>
              </w:rPr>
              <w:tab/>
            </w:r>
            <w:r w:rsidR="001630DC" w:rsidRPr="00201ADC">
              <w:rPr>
                <w:b/>
                <w:sz w:val="20"/>
                <w:szCs w:val="20"/>
              </w:rPr>
              <w:t>Question Prompts</w:t>
            </w:r>
            <w:r>
              <w:rPr>
                <w:b/>
                <w:sz w:val="20"/>
                <w:szCs w:val="20"/>
              </w:rPr>
              <w:tab/>
            </w:r>
          </w:p>
        </w:tc>
      </w:tr>
      <w:tr w:rsidR="001630DC" w:rsidRPr="00FB1D4A">
        <w:tc>
          <w:tcPr>
            <w:tcW w:w="1458" w:type="dxa"/>
          </w:tcPr>
          <w:p w:rsidR="001630DC" w:rsidRPr="00201ADC" w:rsidRDefault="001630DC" w:rsidP="001630DC">
            <w:pPr>
              <w:tabs>
                <w:tab w:val="left" w:pos="1485"/>
                <w:tab w:val="center" w:pos="2286"/>
              </w:tabs>
              <w:jc w:val="center"/>
              <w:rPr>
                <w:sz w:val="20"/>
                <w:szCs w:val="20"/>
              </w:rPr>
            </w:pPr>
            <w:r w:rsidRPr="00201ADC">
              <w:rPr>
                <w:sz w:val="20"/>
                <w:szCs w:val="20"/>
              </w:rPr>
              <w:t>General</w:t>
            </w:r>
          </w:p>
        </w:tc>
        <w:tc>
          <w:tcPr>
            <w:tcW w:w="6444" w:type="dxa"/>
          </w:tcPr>
          <w:p w:rsidR="001630DC" w:rsidRPr="00201ADC" w:rsidRDefault="001630DC" w:rsidP="001630DC">
            <w:pPr>
              <w:rPr>
                <w:sz w:val="20"/>
                <w:szCs w:val="20"/>
              </w:rPr>
            </w:pPr>
            <w:r w:rsidRPr="00201ADC">
              <w:rPr>
                <w:sz w:val="20"/>
                <w:szCs w:val="20"/>
              </w:rPr>
              <w:t>Is the organization driven by a commitment to a specific country, region, or demographic, or is it issue-driven?</w:t>
            </w:r>
          </w:p>
        </w:tc>
      </w:tr>
      <w:tr w:rsidR="001630DC" w:rsidRPr="00FB1D4A">
        <w:tc>
          <w:tcPr>
            <w:tcW w:w="1458" w:type="dxa"/>
          </w:tcPr>
          <w:p w:rsidR="001630DC" w:rsidRPr="00201ADC" w:rsidRDefault="001630DC" w:rsidP="001630DC">
            <w:pPr>
              <w:jc w:val="center"/>
              <w:rPr>
                <w:sz w:val="20"/>
                <w:szCs w:val="20"/>
              </w:rPr>
            </w:pPr>
            <w:r w:rsidRPr="00201ADC">
              <w:rPr>
                <w:sz w:val="20"/>
                <w:szCs w:val="20"/>
              </w:rPr>
              <w:t>Location</w:t>
            </w:r>
          </w:p>
        </w:tc>
        <w:tc>
          <w:tcPr>
            <w:tcW w:w="6444" w:type="dxa"/>
          </w:tcPr>
          <w:p w:rsidR="001630DC" w:rsidRPr="00201ADC" w:rsidRDefault="001630DC" w:rsidP="001630DC">
            <w:pPr>
              <w:rPr>
                <w:sz w:val="20"/>
                <w:szCs w:val="20"/>
              </w:rPr>
            </w:pPr>
            <w:r w:rsidRPr="00201ADC">
              <w:rPr>
                <w:sz w:val="20"/>
                <w:szCs w:val="20"/>
              </w:rPr>
              <w:t>I see from your organization’s form 990 that it works in [# of countries], is this accurate? What brought you to these countries?</w:t>
            </w:r>
          </w:p>
        </w:tc>
      </w:tr>
      <w:tr w:rsidR="001630DC" w:rsidRPr="00FB1D4A">
        <w:tc>
          <w:tcPr>
            <w:tcW w:w="1458" w:type="dxa"/>
          </w:tcPr>
          <w:p w:rsidR="001630DC" w:rsidRPr="00201ADC" w:rsidRDefault="001630DC" w:rsidP="001630DC">
            <w:pPr>
              <w:jc w:val="center"/>
              <w:rPr>
                <w:sz w:val="20"/>
                <w:szCs w:val="20"/>
              </w:rPr>
            </w:pPr>
            <w:r w:rsidRPr="00201ADC">
              <w:rPr>
                <w:sz w:val="20"/>
                <w:szCs w:val="20"/>
              </w:rPr>
              <w:t>Location</w:t>
            </w:r>
          </w:p>
        </w:tc>
        <w:tc>
          <w:tcPr>
            <w:tcW w:w="6444" w:type="dxa"/>
          </w:tcPr>
          <w:p w:rsidR="001630DC" w:rsidRPr="00201ADC" w:rsidRDefault="001630DC" w:rsidP="001630DC">
            <w:pPr>
              <w:rPr>
                <w:sz w:val="20"/>
                <w:szCs w:val="20"/>
              </w:rPr>
            </w:pPr>
            <w:r w:rsidRPr="00201ADC">
              <w:rPr>
                <w:sz w:val="20"/>
                <w:szCs w:val="20"/>
              </w:rPr>
              <w:t>Does the work of other organizations come into consideration in location decisions?</w:t>
            </w:r>
          </w:p>
        </w:tc>
      </w:tr>
      <w:tr w:rsidR="001630DC" w:rsidRPr="00FB1D4A">
        <w:tc>
          <w:tcPr>
            <w:tcW w:w="1458" w:type="dxa"/>
          </w:tcPr>
          <w:p w:rsidR="001630DC" w:rsidRPr="00201ADC" w:rsidRDefault="001630DC" w:rsidP="001630DC">
            <w:pPr>
              <w:jc w:val="center"/>
              <w:rPr>
                <w:sz w:val="20"/>
                <w:szCs w:val="20"/>
              </w:rPr>
            </w:pPr>
            <w:r w:rsidRPr="00201ADC">
              <w:rPr>
                <w:sz w:val="20"/>
                <w:szCs w:val="20"/>
              </w:rPr>
              <w:t>Location</w:t>
            </w:r>
          </w:p>
        </w:tc>
        <w:tc>
          <w:tcPr>
            <w:tcW w:w="6444" w:type="dxa"/>
          </w:tcPr>
          <w:p w:rsidR="001630DC" w:rsidRPr="00201ADC" w:rsidRDefault="001630DC" w:rsidP="001630DC">
            <w:pPr>
              <w:rPr>
                <w:sz w:val="20"/>
                <w:szCs w:val="20"/>
              </w:rPr>
            </w:pPr>
            <w:r w:rsidRPr="00201ADC">
              <w:rPr>
                <w:sz w:val="20"/>
                <w:szCs w:val="20"/>
              </w:rPr>
              <w:t>In the news, several TNGOs decided to withdrawal international staff from areas affected by Ebola. How does risk figure into your organization’s decisions to enter or exit?</w:t>
            </w:r>
          </w:p>
        </w:tc>
      </w:tr>
      <w:tr w:rsidR="001630DC" w:rsidRPr="00FB1D4A">
        <w:tc>
          <w:tcPr>
            <w:tcW w:w="1458" w:type="dxa"/>
          </w:tcPr>
          <w:p w:rsidR="001630DC" w:rsidRPr="00201ADC" w:rsidRDefault="001630DC" w:rsidP="001630DC">
            <w:pPr>
              <w:jc w:val="center"/>
              <w:rPr>
                <w:sz w:val="20"/>
                <w:szCs w:val="20"/>
              </w:rPr>
            </w:pPr>
            <w:r w:rsidRPr="00201ADC">
              <w:rPr>
                <w:sz w:val="20"/>
                <w:szCs w:val="20"/>
              </w:rPr>
              <w:t>Organizational</w:t>
            </w:r>
          </w:p>
        </w:tc>
        <w:tc>
          <w:tcPr>
            <w:tcW w:w="6444" w:type="dxa"/>
          </w:tcPr>
          <w:p w:rsidR="001630DC" w:rsidRPr="00201ADC" w:rsidRDefault="001630DC" w:rsidP="001630DC">
            <w:pPr>
              <w:rPr>
                <w:sz w:val="20"/>
                <w:szCs w:val="20"/>
              </w:rPr>
            </w:pPr>
            <w:r w:rsidRPr="00201ADC">
              <w:rPr>
                <w:sz w:val="20"/>
                <w:szCs w:val="20"/>
              </w:rPr>
              <w:t>Are decisions about programming and location participatory or made at the executive level?</w:t>
            </w:r>
          </w:p>
        </w:tc>
      </w:tr>
      <w:tr w:rsidR="001630DC" w:rsidRPr="00FB1D4A">
        <w:tc>
          <w:tcPr>
            <w:tcW w:w="1458" w:type="dxa"/>
          </w:tcPr>
          <w:p w:rsidR="001630DC" w:rsidRPr="00201ADC" w:rsidRDefault="001630DC" w:rsidP="001630DC">
            <w:pPr>
              <w:jc w:val="center"/>
              <w:rPr>
                <w:sz w:val="20"/>
                <w:szCs w:val="20"/>
              </w:rPr>
            </w:pPr>
            <w:r w:rsidRPr="00201ADC">
              <w:rPr>
                <w:sz w:val="20"/>
                <w:szCs w:val="20"/>
              </w:rPr>
              <w:t>Organizational</w:t>
            </w:r>
          </w:p>
        </w:tc>
        <w:tc>
          <w:tcPr>
            <w:tcW w:w="6444" w:type="dxa"/>
          </w:tcPr>
          <w:p w:rsidR="001630DC" w:rsidRPr="00201ADC" w:rsidRDefault="001630DC" w:rsidP="001630DC">
            <w:pPr>
              <w:rPr>
                <w:sz w:val="20"/>
                <w:szCs w:val="20"/>
              </w:rPr>
            </w:pPr>
            <w:r w:rsidRPr="00201ADC">
              <w:rPr>
                <w:sz w:val="20"/>
                <w:szCs w:val="20"/>
              </w:rPr>
              <w:t>What is the role of in-country staff in decision-making? Doe decision-makers value the views of staff?</w:t>
            </w:r>
          </w:p>
        </w:tc>
      </w:tr>
      <w:tr w:rsidR="001630DC" w:rsidRPr="00FB1D4A">
        <w:tc>
          <w:tcPr>
            <w:tcW w:w="1458" w:type="dxa"/>
          </w:tcPr>
          <w:p w:rsidR="001630DC" w:rsidRPr="00201ADC" w:rsidRDefault="001630DC" w:rsidP="001630DC">
            <w:pPr>
              <w:jc w:val="center"/>
              <w:rPr>
                <w:sz w:val="20"/>
                <w:szCs w:val="20"/>
              </w:rPr>
            </w:pPr>
            <w:r w:rsidRPr="00201ADC">
              <w:rPr>
                <w:sz w:val="20"/>
                <w:szCs w:val="20"/>
              </w:rPr>
              <w:t>Organizational</w:t>
            </w:r>
          </w:p>
        </w:tc>
        <w:tc>
          <w:tcPr>
            <w:tcW w:w="6444" w:type="dxa"/>
          </w:tcPr>
          <w:p w:rsidR="001630DC" w:rsidRPr="00201ADC" w:rsidRDefault="001630DC" w:rsidP="001630DC">
            <w:pPr>
              <w:rPr>
                <w:sz w:val="20"/>
                <w:szCs w:val="20"/>
              </w:rPr>
            </w:pPr>
            <w:r w:rsidRPr="00201ADC">
              <w:rPr>
                <w:sz w:val="20"/>
                <w:szCs w:val="20"/>
              </w:rPr>
              <w:t>In some organizations, the Board of Directors plays a formative role in meeting the goals of the organization, providing contacts, special skills, and passion for the cause. What is the role of the Board of Directors in program development and strategic planning in your organization?</w:t>
            </w:r>
          </w:p>
        </w:tc>
      </w:tr>
      <w:tr w:rsidR="001630DC" w:rsidRPr="00FB1D4A">
        <w:tc>
          <w:tcPr>
            <w:tcW w:w="1458" w:type="dxa"/>
          </w:tcPr>
          <w:p w:rsidR="001630DC" w:rsidRPr="00201ADC" w:rsidRDefault="001630DC" w:rsidP="001630DC">
            <w:pPr>
              <w:jc w:val="center"/>
              <w:rPr>
                <w:sz w:val="20"/>
                <w:szCs w:val="20"/>
              </w:rPr>
            </w:pPr>
            <w:r w:rsidRPr="00201ADC">
              <w:rPr>
                <w:sz w:val="20"/>
                <w:szCs w:val="20"/>
              </w:rPr>
              <w:t>Resources</w:t>
            </w:r>
          </w:p>
        </w:tc>
        <w:tc>
          <w:tcPr>
            <w:tcW w:w="6444" w:type="dxa"/>
          </w:tcPr>
          <w:p w:rsidR="001630DC" w:rsidRPr="00201ADC" w:rsidRDefault="001630DC" w:rsidP="001630DC">
            <w:pPr>
              <w:rPr>
                <w:sz w:val="20"/>
                <w:szCs w:val="20"/>
              </w:rPr>
            </w:pPr>
            <w:r w:rsidRPr="00201ADC">
              <w:rPr>
                <w:sz w:val="20"/>
                <w:szCs w:val="20"/>
              </w:rPr>
              <w:t>Do donors influence location choice? How do they do so?</w:t>
            </w:r>
          </w:p>
        </w:tc>
      </w:tr>
      <w:tr w:rsidR="001630DC" w:rsidRPr="00FB1D4A">
        <w:tc>
          <w:tcPr>
            <w:tcW w:w="1458" w:type="dxa"/>
          </w:tcPr>
          <w:p w:rsidR="001630DC" w:rsidRPr="00201ADC" w:rsidRDefault="001630DC" w:rsidP="001630DC">
            <w:pPr>
              <w:jc w:val="center"/>
              <w:rPr>
                <w:sz w:val="20"/>
                <w:szCs w:val="20"/>
              </w:rPr>
            </w:pPr>
            <w:r w:rsidRPr="00201ADC">
              <w:rPr>
                <w:sz w:val="20"/>
                <w:szCs w:val="20"/>
              </w:rPr>
              <w:t>Final</w:t>
            </w:r>
          </w:p>
        </w:tc>
        <w:tc>
          <w:tcPr>
            <w:tcW w:w="6444" w:type="dxa"/>
          </w:tcPr>
          <w:p w:rsidR="001630DC" w:rsidRPr="00201ADC" w:rsidRDefault="001630DC" w:rsidP="001630DC">
            <w:pPr>
              <w:rPr>
                <w:sz w:val="20"/>
                <w:szCs w:val="20"/>
              </w:rPr>
            </w:pPr>
            <w:r w:rsidRPr="00201ADC">
              <w:rPr>
                <w:sz w:val="20"/>
                <w:szCs w:val="20"/>
              </w:rPr>
              <w:t>How can the decision-making process be improved?</w:t>
            </w:r>
          </w:p>
        </w:tc>
      </w:tr>
      <w:tr w:rsidR="001630DC" w:rsidRPr="00FB1D4A">
        <w:tc>
          <w:tcPr>
            <w:tcW w:w="1458" w:type="dxa"/>
          </w:tcPr>
          <w:p w:rsidR="001630DC" w:rsidRPr="00201ADC" w:rsidRDefault="001630DC" w:rsidP="001630DC">
            <w:pPr>
              <w:jc w:val="center"/>
              <w:rPr>
                <w:sz w:val="20"/>
                <w:szCs w:val="20"/>
              </w:rPr>
            </w:pPr>
            <w:r w:rsidRPr="00201ADC">
              <w:rPr>
                <w:sz w:val="20"/>
                <w:szCs w:val="20"/>
              </w:rPr>
              <w:t>Final</w:t>
            </w:r>
          </w:p>
        </w:tc>
        <w:tc>
          <w:tcPr>
            <w:tcW w:w="6444" w:type="dxa"/>
          </w:tcPr>
          <w:p w:rsidR="001630DC" w:rsidRPr="00201ADC" w:rsidRDefault="001630DC" w:rsidP="001630DC">
            <w:pPr>
              <w:rPr>
                <w:sz w:val="20"/>
                <w:szCs w:val="20"/>
              </w:rPr>
            </w:pPr>
            <w:r w:rsidRPr="00201ADC">
              <w:rPr>
                <w:sz w:val="20"/>
                <w:szCs w:val="20"/>
              </w:rPr>
              <w:t>Are there any important factors I have overlooked that you feel are important in determining where your organization works?</w:t>
            </w:r>
          </w:p>
        </w:tc>
      </w:tr>
    </w:tbl>
    <w:p w:rsidR="00504DC3" w:rsidRDefault="00504DC3" w:rsidP="0084627E">
      <w:pPr>
        <w:pStyle w:val="Caption"/>
        <w:rPr>
          <w:sz w:val="22"/>
          <w:szCs w:val="22"/>
        </w:rPr>
      </w:pPr>
    </w:p>
    <w:p w:rsidR="001630DC" w:rsidRPr="00366B8B" w:rsidRDefault="001630DC" w:rsidP="001630DC">
      <w:pPr>
        <w:pStyle w:val="Caption"/>
        <w:jc w:val="center"/>
        <w:rPr>
          <w:b/>
          <w:i w:val="0"/>
          <w:color w:val="auto"/>
          <w:sz w:val="22"/>
          <w:szCs w:val="22"/>
        </w:rPr>
      </w:pPr>
      <w:bookmarkStart w:id="301" w:name="_Toc450069828"/>
      <w:r w:rsidRPr="00366B8B">
        <w:rPr>
          <w:b/>
          <w:i w:val="0"/>
          <w:color w:val="auto"/>
          <w:sz w:val="22"/>
          <w:szCs w:val="22"/>
        </w:rPr>
        <w:t xml:space="preserve">Table </w:t>
      </w:r>
      <w:r>
        <w:rPr>
          <w:b/>
          <w:i w:val="0"/>
          <w:color w:val="auto"/>
          <w:sz w:val="22"/>
          <w:szCs w:val="22"/>
        </w:rPr>
        <w:fldChar w:fldCharType="begin"/>
      </w:r>
      <w:r>
        <w:rPr>
          <w:b/>
          <w:i w:val="0"/>
          <w:color w:val="auto"/>
          <w:sz w:val="22"/>
          <w:szCs w:val="22"/>
        </w:rPr>
        <w:instrText xml:space="preserve"> STYLEREF 1 \s </w:instrText>
      </w:r>
      <w:r>
        <w:rPr>
          <w:b/>
          <w:i w:val="0"/>
          <w:color w:val="auto"/>
          <w:sz w:val="22"/>
          <w:szCs w:val="22"/>
        </w:rPr>
        <w:fldChar w:fldCharType="separate"/>
      </w:r>
      <w:r w:rsidR="001517D5">
        <w:rPr>
          <w:b/>
          <w:i w:val="0"/>
          <w:noProof/>
          <w:color w:val="auto"/>
          <w:sz w:val="22"/>
          <w:szCs w:val="22"/>
          <w:cs/>
        </w:rPr>
        <w:t>‎</w:t>
      </w:r>
      <w:r w:rsidR="001517D5">
        <w:rPr>
          <w:b/>
          <w:i w:val="0"/>
          <w:noProof/>
          <w:color w:val="auto"/>
          <w:sz w:val="22"/>
          <w:szCs w:val="22"/>
        </w:rPr>
        <w:t>4</w:t>
      </w:r>
      <w:r>
        <w:rPr>
          <w:b/>
          <w:i w:val="0"/>
          <w:color w:val="auto"/>
          <w:sz w:val="22"/>
          <w:szCs w:val="22"/>
        </w:rPr>
        <w:fldChar w:fldCharType="end"/>
      </w:r>
      <w:r>
        <w:rPr>
          <w:b/>
          <w:i w:val="0"/>
          <w:color w:val="auto"/>
          <w:sz w:val="22"/>
          <w:szCs w:val="22"/>
        </w:rPr>
        <w:t>.</w:t>
      </w:r>
      <w:r>
        <w:rPr>
          <w:b/>
          <w:i w:val="0"/>
          <w:color w:val="auto"/>
          <w:sz w:val="22"/>
          <w:szCs w:val="22"/>
        </w:rPr>
        <w:fldChar w:fldCharType="begin"/>
      </w:r>
      <w:r>
        <w:rPr>
          <w:b/>
          <w:i w:val="0"/>
          <w:color w:val="auto"/>
          <w:sz w:val="22"/>
          <w:szCs w:val="22"/>
        </w:rPr>
        <w:instrText xml:space="preserve"> SEQ Table \* ARABIC \s 1 </w:instrText>
      </w:r>
      <w:r>
        <w:rPr>
          <w:b/>
          <w:i w:val="0"/>
          <w:color w:val="auto"/>
          <w:sz w:val="22"/>
          <w:szCs w:val="22"/>
        </w:rPr>
        <w:fldChar w:fldCharType="separate"/>
      </w:r>
      <w:r w:rsidR="001517D5">
        <w:rPr>
          <w:b/>
          <w:i w:val="0"/>
          <w:noProof/>
          <w:color w:val="auto"/>
          <w:sz w:val="22"/>
          <w:szCs w:val="22"/>
        </w:rPr>
        <w:t>5</w:t>
      </w:r>
      <w:r>
        <w:rPr>
          <w:b/>
          <w:i w:val="0"/>
          <w:color w:val="auto"/>
          <w:sz w:val="22"/>
          <w:szCs w:val="22"/>
        </w:rPr>
        <w:fldChar w:fldCharType="end"/>
      </w:r>
      <w:r>
        <w:rPr>
          <w:b/>
          <w:i w:val="0"/>
          <w:color w:val="auto"/>
          <w:sz w:val="22"/>
          <w:szCs w:val="22"/>
        </w:rPr>
        <w:t>:</w:t>
      </w:r>
      <w:r w:rsidRPr="00366B8B">
        <w:rPr>
          <w:b/>
          <w:i w:val="0"/>
          <w:color w:val="auto"/>
          <w:sz w:val="22"/>
          <w:szCs w:val="22"/>
        </w:rPr>
        <w:t xml:space="preserve"> Sample Prompts for Country Director Interviews</w:t>
      </w:r>
      <w:r w:rsidRPr="00366B8B">
        <w:rPr>
          <w:rStyle w:val="FootnoteReference"/>
          <w:sz w:val="22"/>
          <w:szCs w:val="22"/>
        </w:rPr>
        <w:footnoteReference w:id="20"/>
      </w:r>
      <w:bookmarkEnd w:id="301"/>
    </w:p>
    <w:p w:rsidR="001630DC" w:rsidRPr="00FA7FB0" w:rsidRDefault="001630DC" w:rsidP="001630DC"/>
    <w:p w:rsidR="001630DC" w:rsidRPr="00FA7FB0" w:rsidRDefault="001630DC" w:rsidP="001630DC">
      <w:pPr>
        <w:spacing w:line="480" w:lineRule="auto"/>
      </w:pPr>
      <w:r>
        <w:tab/>
      </w:r>
      <w:r w:rsidRPr="00812CB0">
        <w:t xml:space="preserve">Interviews were conducted at </w:t>
      </w:r>
      <w:r>
        <w:t>TNGO</w:t>
      </w:r>
      <w:r w:rsidRPr="00812CB0">
        <w:t xml:space="preserve"> offices or a location convenient to the interviewee. In two cases, interviews took place via Skype. One interview was conducted at a country director’s home while the other interviews conducted outside </w:t>
      </w:r>
      <w:r>
        <w:t>TNGO</w:t>
      </w:r>
      <w:r w:rsidRPr="00812CB0">
        <w:t xml:space="preserve"> offices were held in coffee houses. In most cases, interviews conducted outside the officer were for the convenience of the interviewee; however, this is also a reflection of the diversity of </w:t>
      </w:r>
      <w:r>
        <w:t>U.S.-based</w:t>
      </w:r>
      <w:r w:rsidRPr="00812CB0">
        <w:t xml:space="preserve"> </w:t>
      </w:r>
      <w:r>
        <w:t>TNGO</w:t>
      </w:r>
      <w:r w:rsidRPr="00812CB0">
        <w:t xml:space="preserve">s in international development. Smaller </w:t>
      </w:r>
      <w:r>
        <w:t>TNGO</w:t>
      </w:r>
      <w:r w:rsidRPr="00812CB0">
        <w:t xml:space="preserve">s may not have the space to host a researcher, even for a short period of time. In some cases, small </w:t>
      </w:r>
      <w:r>
        <w:t>TNGO</w:t>
      </w:r>
      <w:r w:rsidRPr="00812CB0">
        <w:t xml:space="preserve">s did not have a formal office and instead operated from homes or coffee shops. Comparatively, other </w:t>
      </w:r>
      <w:r>
        <w:t>TNGO</w:t>
      </w:r>
      <w:r w:rsidRPr="00812CB0">
        <w:t>s possessed highly professionalized spaces and even entire buildings. Interviews ranged from 45 minutes to two and a</w:t>
      </w:r>
      <w:r>
        <w:t xml:space="preserve"> half </w:t>
      </w:r>
      <w:r w:rsidRPr="00812CB0">
        <w:t xml:space="preserve">hours. The final response rate was 41.6 percent, with 23 interviews secured from sixty </w:t>
      </w:r>
      <w:r>
        <w:t>U.S.-based</w:t>
      </w:r>
      <w:r w:rsidRPr="00812CB0">
        <w:t xml:space="preserve"> </w:t>
      </w:r>
      <w:r>
        <w:t>TNGO</w:t>
      </w:r>
      <w:r w:rsidRPr="00812CB0">
        <w:t xml:space="preserve">s in the international development sector in Uganda. </w:t>
      </w:r>
    </w:p>
    <w:p w:rsidR="001630DC" w:rsidRPr="00812CB0" w:rsidRDefault="001630DC" w:rsidP="001630DC">
      <w:pPr>
        <w:spacing w:line="480" w:lineRule="auto"/>
        <w:rPr>
          <w:szCs w:val="24"/>
        </w:rPr>
      </w:pPr>
      <w:r w:rsidRPr="00812CB0">
        <w:rPr>
          <w:szCs w:val="24"/>
        </w:rPr>
        <w:tab/>
        <w:t xml:space="preserve">The following analysis is based on findings from semi-structured interviews. Semi-structured interviews are advantageous because they allow the researcher to gently guide the discussion while permitting the interviewee to identify themes and issues that are important to him or her. Chapter 3 identified significant factors in the operating and political environment that influence decision-making. These factors, however, are overlooked in scholarship. Semi-structured interviews are an opportunity for practitioners to inform scholarship by building on existing themes and by identifying influential but overlooked areas of concern. The aim of this chapter is to capture the dynamics of internal decision-making, including the process, setting of priorities, and communications of such priorities. The goal is to provide a description of internal decision-making and to improve understanding of how internal factors shape location choices. This chapter lays out three models of internal decision-making among </w:t>
      </w:r>
      <w:r>
        <w:rPr>
          <w:szCs w:val="24"/>
        </w:rPr>
        <w:t>U.S.-based</w:t>
      </w:r>
      <w:r w:rsidRPr="00812CB0">
        <w:rPr>
          <w:szCs w:val="24"/>
        </w:rPr>
        <w:t xml:space="preserve"> </w:t>
      </w:r>
      <w:r>
        <w:rPr>
          <w:szCs w:val="24"/>
        </w:rPr>
        <w:t>TNGO</w:t>
      </w:r>
      <w:r w:rsidRPr="00812CB0">
        <w:rPr>
          <w:szCs w:val="24"/>
        </w:rPr>
        <w:t xml:space="preserve">s in the international development sector and introduces factors and characteristics that help to explain how organizations decide locations, including expansion and withdrawal. </w:t>
      </w:r>
    </w:p>
    <w:p w:rsidR="001630DC" w:rsidRPr="00812CB0" w:rsidRDefault="001630DC" w:rsidP="001630DC">
      <w:pPr>
        <w:spacing w:line="480" w:lineRule="auto"/>
        <w:rPr>
          <w:szCs w:val="24"/>
        </w:rPr>
      </w:pPr>
      <w:r w:rsidRPr="00812CB0">
        <w:rPr>
          <w:szCs w:val="24"/>
        </w:rPr>
        <w:tab/>
        <w:t xml:space="preserve">The previous chapters have employed statistical analyses to estimate the magnitude of effects of external forces on location decision-making. Such measures are useful for the examination of multiple factors and pursuing generalizable findings, but the causal pathways internal to an organization influence actors in the decision-making process, the flow of information, and the ultimate prioritization of items on the agenda. Comparative analysis of decision-making process in </w:t>
      </w:r>
      <w:r>
        <w:rPr>
          <w:szCs w:val="24"/>
        </w:rPr>
        <w:t>U.S.-based</w:t>
      </w:r>
      <w:r w:rsidRPr="00812CB0">
        <w:rPr>
          <w:szCs w:val="24"/>
        </w:rPr>
        <w:t xml:space="preserve"> international development </w:t>
      </w:r>
      <w:r>
        <w:rPr>
          <w:szCs w:val="24"/>
        </w:rPr>
        <w:t>TNGO</w:t>
      </w:r>
      <w:r w:rsidRPr="00812CB0">
        <w:rPr>
          <w:szCs w:val="24"/>
        </w:rPr>
        <w:t xml:space="preserve">s is a model-building analysis that seeks to explain differences in communication across organizations and the roles of country directors and field experts. </w:t>
      </w:r>
    </w:p>
    <w:p w:rsidR="001630DC" w:rsidRDefault="001630DC" w:rsidP="001630DC">
      <w:pPr>
        <w:spacing w:line="480" w:lineRule="auto"/>
        <w:rPr>
          <w:szCs w:val="24"/>
        </w:rPr>
      </w:pPr>
      <w:r w:rsidRPr="00812CB0">
        <w:rPr>
          <w:szCs w:val="24"/>
        </w:rPr>
        <w:tab/>
        <w:t xml:space="preserve">Using a cast study of international development, data from the semi-structured interviews is used to comparatively examine the internal dynamics and decision-making roles of each </w:t>
      </w:r>
      <w:r>
        <w:rPr>
          <w:szCs w:val="24"/>
        </w:rPr>
        <w:t>TNGO</w:t>
      </w:r>
      <w:r w:rsidRPr="00812CB0">
        <w:rPr>
          <w:szCs w:val="24"/>
        </w:rPr>
        <w:t xml:space="preserve">. The explanation outlined here presents three organizational structures of location decision-making: centralized, a top-down decision-making strategy in which the input of country directors and field staff play a limited role; decentralized, a highly autonomous decision-making structure in which country offices operate with little support from U.S. headquarters or from each other; and hybrid, a consensus oriented decision-making structure in which priorities are set by U.S. headquarters with input from country offices. </w:t>
      </w:r>
    </w:p>
    <w:p w:rsidR="00504DC3" w:rsidRDefault="00504DC3" w:rsidP="00504DC3">
      <w:pPr>
        <w:spacing w:line="480" w:lineRule="auto"/>
        <w:rPr>
          <w:szCs w:val="24"/>
        </w:rPr>
      </w:pPr>
    </w:p>
    <w:p w:rsidR="001630DC" w:rsidRPr="00426DE4" w:rsidRDefault="001630DC" w:rsidP="00504DC3">
      <w:pPr>
        <w:pStyle w:val="Heading2"/>
        <w:numPr>
          <w:ilvl w:val="0"/>
          <w:numId w:val="0"/>
        </w:numPr>
        <w:jc w:val="center"/>
        <w:rPr>
          <w:b/>
          <w:color w:val="auto"/>
          <w:sz w:val="24"/>
          <w:szCs w:val="24"/>
        </w:rPr>
      </w:pPr>
      <w:bookmarkStart w:id="302" w:name="_Toc450079235"/>
      <w:r w:rsidRPr="00426DE4">
        <w:rPr>
          <w:b/>
          <w:color w:val="auto"/>
          <w:sz w:val="24"/>
          <w:szCs w:val="24"/>
        </w:rPr>
        <w:t>4.5</w:t>
      </w:r>
      <w:r>
        <w:rPr>
          <w:b/>
          <w:color w:val="auto"/>
          <w:sz w:val="24"/>
          <w:szCs w:val="24"/>
        </w:rPr>
        <w:t>:</w:t>
      </w:r>
      <w:r w:rsidRPr="00426DE4">
        <w:rPr>
          <w:b/>
          <w:color w:val="auto"/>
          <w:sz w:val="24"/>
          <w:szCs w:val="24"/>
        </w:rPr>
        <w:t xml:space="preserve"> Setting and Communicating Priorities: Models of Organizational Structure</w:t>
      </w:r>
      <w:bookmarkEnd w:id="302"/>
    </w:p>
    <w:p w:rsidR="001630DC" w:rsidRPr="00812CB0" w:rsidRDefault="001630DC" w:rsidP="001630DC"/>
    <w:p w:rsidR="001630DC" w:rsidRPr="00812CB0" w:rsidRDefault="001630DC" w:rsidP="001630DC">
      <w:pPr>
        <w:spacing w:line="480" w:lineRule="auto"/>
      </w:pPr>
      <w:r w:rsidRPr="00812CB0">
        <w:t xml:space="preserve">The following analysis focuses on findings concerning the internal dynamics of decision-making. More specifically, it explains who sets location priorities within </w:t>
      </w:r>
      <w:r>
        <w:t>U.S.-based</w:t>
      </w:r>
      <w:r w:rsidRPr="00812CB0">
        <w:t xml:space="preserve"> </w:t>
      </w:r>
      <w:r>
        <w:t>TNGO</w:t>
      </w:r>
      <w:r w:rsidRPr="00812CB0">
        <w:t xml:space="preserve">s in the field of international development and how these priorities are communicated. This explanation is composed of three elements: a top-down relationship between the U.S. headquarters and the country offices; a bottom-up approach in which the country offices operate autonomously; and finally, a consensus approach that operates on an incremental flow of information in both directions. The role of country directors and field experts can be altered by the organizational structure of the </w:t>
      </w:r>
      <w:r>
        <w:t>TNGO</w:t>
      </w:r>
      <w:r w:rsidRPr="00812CB0">
        <w:t>, even where implementation is heavily reliant on such expertise.</w:t>
      </w:r>
    </w:p>
    <w:tbl>
      <w:tblPr>
        <w:tblpPr w:topFromText="180" w:bottomFromText="180" w:vertAnchor="text" w:horzAnchor="page" w:tblpXSpec="center" w:tblpY="541"/>
        <w:tblOverlap w:val="neve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372"/>
        <w:gridCol w:w="1482"/>
        <w:gridCol w:w="1482"/>
      </w:tblGrid>
      <w:tr w:rsidR="001630DC" w:rsidRPr="00366B8B">
        <w:trPr>
          <w:trHeight w:val="68"/>
        </w:trPr>
        <w:tc>
          <w:tcPr>
            <w:tcW w:w="2178" w:type="dxa"/>
          </w:tcPr>
          <w:p w:rsidR="001630DC" w:rsidRPr="00201ADC" w:rsidRDefault="001630DC" w:rsidP="001630DC">
            <w:pPr>
              <w:spacing w:line="480" w:lineRule="auto"/>
              <w:jc w:val="center"/>
              <w:rPr>
                <w:b/>
                <w:sz w:val="20"/>
                <w:szCs w:val="20"/>
              </w:rPr>
            </w:pPr>
            <w:r w:rsidRPr="00201ADC">
              <w:rPr>
                <w:b/>
                <w:sz w:val="20"/>
                <w:szCs w:val="20"/>
              </w:rPr>
              <w:t>Characteristics</w:t>
            </w:r>
          </w:p>
        </w:tc>
        <w:tc>
          <w:tcPr>
            <w:tcW w:w="1372" w:type="dxa"/>
          </w:tcPr>
          <w:p w:rsidR="001630DC" w:rsidRPr="00201ADC" w:rsidRDefault="001630DC" w:rsidP="001630DC">
            <w:pPr>
              <w:spacing w:line="480" w:lineRule="auto"/>
              <w:jc w:val="center"/>
              <w:rPr>
                <w:b/>
                <w:sz w:val="20"/>
                <w:szCs w:val="20"/>
              </w:rPr>
            </w:pPr>
            <w:r w:rsidRPr="00201ADC">
              <w:rPr>
                <w:b/>
                <w:sz w:val="20"/>
                <w:szCs w:val="20"/>
              </w:rPr>
              <w:t>Centralized</w:t>
            </w:r>
          </w:p>
        </w:tc>
        <w:tc>
          <w:tcPr>
            <w:tcW w:w="1482" w:type="dxa"/>
          </w:tcPr>
          <w:p w:rsidR="001630DC" w:rsidRPr="00201ADC" w:rsidRDefault="001630DC" w:rsidP="001630DC">
            <w:pPr>
              <w:spacing w:line="480" w:lineRule="auto"/>
              <w:jc w:val="center"/>
              <w:rPr>
                <w:b/>
                <w:sz w:val="20"/>
                <w:szCs w:val="20"/>
              </w:rPr>
            </w:pPr>
            <w:r w:rsidRPr="00201ADC">
              <w:rPr>
                <w:b/>
                <w:sz w:val="20"/>
                <w:szCs w:val="20"/>
              </w:rPr>
              <w:t>Federative</w:t>
            </w:r>
          </w:p>
        </w:tc>
        <w:tc>
          <w:tcPr>
            <w:tcW w:w="1482" w:type="dxa"/>
          </w:tcPr>
          <w:p w:rsidR="001630DC" w:rsidRPr="00201ADC" w:rsidRDefault="001630DC" w:rsidP="001630DC">
            <w:pPr>
              <w:spacing w:line="480" w:lineRule="auto"/>
              <w:jc w:val="center"/>
              <w:rPr>
                <w:b/>
                <w:sz w:val="20"/>
                <w:szCs w:val="20"/>
              </w:rPr>
            </w:pPr>
            <w:r w:rsidRPr="00201ADC">
              <w:rPr>
                <w:b/>
                <w:sz w:val="20"/>
                <w:szCs w:val="20"/>
              </w:rPr>
              <w:t>Hybrid</w:t>
            </w:r>
          </w:p>
        </w:tc>
      </w:tr>
      <w:tr w:rsidR="001630DC" w:rsidRPr="00366B8B">
        <w:trPr>
          <w:trHeight w:val="68"/>
        </w:trPr>
        <w:tc>
          <w:tcPr>
            <w:tcW w:w="2178" w:type="dxa"/>
          </w:tcPr>
          <w:p w:rsidR="001630DC" w:rsidRPr="00201ADC" w:rsidRDefault="001630DC" w:rsidP="001630DC">
            <w:pPr>
              <w:rPr>
                <w:sz w:val="20"/>
                <w:szCs w:val="20"/>
              </w:rPr>
            </w:pPr>
            <w:r w:rsidRPr="00201ADC">
              <w:rPr>
                <w:sz w:val="20"/>
                <w:szCs w:val="20"/>
              </w:rPr>
              <w:t>Participation of country offices</w:t>
            </w:r>
          </w:p>
        </w:tc>
        <w:tc>
          <w:tcPr>
            <w:tcW w:w="1372" w:type="dxa"/>
          </w:tcPr>
          <w:p w:rsidR="001630DC" w:rsidRPr="00201ADC" w:rsidRDefault="001630DC" w:rsidP="001630DC">
            <w:pPr>
              <w:spacing w:line="480" w:lineRule="auto"/>
              <w:jc w:val="center"/>
              <w:rPr>
                <w:sz w:val="20"/>
                <w:szCs w:val="20"/>
              </w:rPr>
            </w:pPr>
            <w:r w:rsidRPr="00201ADC">
              <w:rPr>
                <w:sz w:val="20"/>
                <w:szCs w:val="20"/>
              </w:rPr>
              <w:t>Low</w:t>
            </w:r>
          </w:p>
        </w:tc>
        <w:tc>
          <w:tcPr>
            <w:tcW w:w="1482" w:type="dxa"/>
          </w:tcPr>
          <w:p w:rsidR="001630DC" w:rsidRPr="00201ADC" w:rsidRDefault="001630DC" w:rsidP="001630DC">
            <w:pPr>
              <w:spacing w:line="480" w:lineRule="auto"/>
              <w:jc w:val="center"/>
              <w:rPr>
                <w:sz w:val="20"/>
                <w:szCs w:val="20"/>
              </w:rPr>
            </w:pPr>
            <w:r w:rsidRPr="00201ADC">
              <w:rPr>
                <w:sz w:val="20"/>
                <w:szCs w:val="20"/>
              </w:rPr>
              <w:t>High</w:t>
            </w:r>
          </w:p>
        </w:tc>
        <w:tc>
          <w:tcPr>
            <w:tcW w:w="1482" w:type="dxa"/>
          </w:tcPr>
          <w:p w:rsidR="001630DC" w:rsidRPr="00201ADC" w:rsidRDefault="001630DC" w:rsidP="001630DC">
            <w:pPr>
              <w:spacing w:line="480" w:lineRule="auto"/>
              <w:jc w:val="center"/>
              <w:rPr>
                <w:sz w:val="20"/>
                <w:szCs w:val="20"/>
              </w:rPr>
            </w:pPr>
            <w:r w:rsidRPr="00201ADC">
              <w:rPr>
                <w:sz w:val="20"/>
                <w:szCs w:val="20"/>
              </w:rPr>
              <w:t>High</w:t>
            </w:r>
          </w:p>
        </w:tc>
      </w:tr>
      <w:tr w:rsidR="001630DC" w:rsidRPr="00366B8B">
        <w:trPr>
          <w:trHeight w:val="68"/>
        </w:trPr>
        <w:tc>
          <w:tcPr>
            <w:tcW w:w="2178" w:type="dxa"/>
          </w:tcPr>
          <w:p w:rsidR="001630DC" w:rsidRPr="00201ADC" w:rsidRDefault="001630DC" w:rsidP="001630DC">
            <w:pPr>
              <w:rPr>
                <w:sz w:val="20"/>
                <w:szCs w:val="20"/>
              </w:rPr>
            </w:pPr>
            <w:r w:rsidRPr="00201ADC">
              <w:rPr>
                <w:sz w:val="20"/>
                <w:szCs w:val="20"/>
              </w:rPr>
              <w:t>Primary source of power</w:t>
            </w:r>
          </w:p>
        </w:tc>
        <w:tc>
          <w:tcPr>
            <w:tcW w:w="1372" w:type="dxa"/>
          </w:tcPr>
          <w:p w:rsidR="001630DC" w:rsidRPr="00201ADC" w:rsidRDefault="001630DC" w:rsidP="001630DC">
            <w:pPr>
              <w:spacing w:line="480" w:lineRule="auto"/>
              <w:jc w:val="center"/>
              <w:rPr>
                <w:sz w:val="20"/>
                <w:szCs w:val="20"/>
              </w:rPr>
            </w:pPr>
            <w:r w:rsidRPr="00201ADC">
              <w:rPr>
                <w:sz w:val="20"/>
                <w:szCs w:val="20"/>
              </w:rPr>
              <w:t>Centralized</w:t>
            </w:r>
          </w:p>
        </w:tc>
        <w:tc>
          <w:tcPr>
            <w:tcW w:w="1482" w:type="dxa"/>
          </w:tcPr>
          <w:p w:rsidR="001630DC" w:rsidRPr="00201ADC" w:rsidRDefault="001630DC" w:rsidP="001630DC">
            <w:pPr>
              <w:spacing w:line="480" w:lineRule="auto"/>
              <w:jc w:val="center"/>
              <w:rPr>
                <w:sz w:val="20"/>
                <w:szCs w:val="20"/>
              </w:rPr>
            </w:pPr>
            <w:r w:rsidRPr="00201ADC">
              <w:rPr>
                <w:sz w:val="20"/>
                <w:szCs w:val="20"/>
              </w:rPr>
              <w:t>Decentralized</w:t>
            </w:r>
          </w:p>
        </w:tc>
        <w:tc>
          <w:tcPr>
            <w:tcW w:w="1482" w:type="dxa"/>
          </w:tcPr>
          <w:p w:rsidR="001630DC" w:rsidRPr="00201ADC" w:rsidRDefault="001630DC" w:rsidP="001630DC">
            <w:pPr>
              <w:spacing w:line="480" w:lineRule="auto"/>
              <w:jc w:val="center"/>
              <w:rPr>
                <w:sz w:val="20"/>
                <w:szCs w:val="20"/>
              </w:rPr>
            </w:pPr>
            <w:r w:rsidRPr="00201ADC">
              <w:rPr>
                <w:sz w:val="20"/>
                <w:szCs w:val="20"/>
              </w:rPr>
              <w:t>Federative</w:t>
            </w:r>
          </w:p>
        </w:tc>
      </w:tr>
      <w:tr w:rsidR="001630DC" w:rsidRPr="00366B8B">
        <w:trPr>
          <w:trHeight w:val="68"/>
        </w:trPr>
        <w:tc>
          <w:tcPr>
            <w:tcW w:w="2178" w:type="dxa"/>
          </w:tcPr>
          <w:p w:rsidR="001630DC" w:rsidRPr="00201ADC" w:rsidRDefault="001630DC" w:rsidP="001630DC">
            <w:pPr>
              <w:rPr>
                <w:sz w:val="20"/>
                <w:szCs w:val="20"/>
              </w:rPr>
            </w:pPr>
            <w:r w:rsidRPr="00201ADC">
              <w:rPr>
                <w:sz w:val="20"/>
                <w:szCs w:val="20"/>
              </w:rPr>
              <w:t>Primary resource management</w:t>
            </w:r>
          </w:p>
        </w:tc>
        <w:tc>
          <w:tcPr>
            <w:tcW w:w="1372" w:type="dxa"/>
          </w:tcPr>
          <w:p w:rsidR="001630DC" w:rsidRPr="00201ADC" w:rsidRDefault="001630DC" w:rsidP="001630DC">
            <w:pPr>
              <w:spacing w:line="480" w:lineRule="auto"/>
              <w:jc w:val="center"/>
              <w:rPr>
                <w:sz w:val="20"/>
                <w:szCs w:val="20"/>
              </w:rPr>
            </w:pPr>
            <w:r w:rsidRPr="00201ADC">
              <w:rPr>
                <w:sz w:val="20"/>
                <w:szCs w:val="20"/>
              </w:rPr>
              <w:t>Centralized</w:t>
            </w:r>
          </w:p>
        </w:tc>
        <w:tc>
          <w:tcPr>
            <w:tcW w:w="1482" w:type="dxa"/>
          </w:tcPr>
          <w:p w:rsidR="001630DC" w:rsidRPr="00201ADC" w:rsidRDefault="001630DC" w:rsidP="001630DC">
            <w:pPr>
              <w:spacing w:line="480" w:lineRule="auto"/>
              <w:jc w:val="center"/>
              <w:rPr>
                <w:sz w:val="20"/>
                <w:szCs w:val="20"/>
              </w:rPr>
            </w:pPr>
            <w:r w:rsidRPr="00201ADC">
              <w:rPr>
                <w:sz w:val="20"/>
                <w:szCs w:val="20"/>
              </w:rPr>
              <w:t>Decentralized</w:t>
            </w:r>
          </w:p>
        </w:tc>
        <w:tc>
          <w:tcPr>
            <w:tcW w:w="1482" w:type="dxa"/>
          </w:tcPr>
          <w:p w:rsidR="001630DC" w:rsidRPr="00201ADC" w:rsidRDefault="001630DC" w:rsidP="001630DC">
            <w:pPr>
              <w:spacing w:line="480" w:lineRule="auto"/>
              <w:jc w:val="center"/>
              <w:rPr>
                <w:sz w:val="20"/>
                <w:szCs w:val="20"/>
              </w:rPr>
            </w:pPr>
            <w:r w:rsidRPr="00201ADC">
              <w:rPr>
                <w:sz w:val="20"/>
                <w:szCs w:val="20"/>
              </w:rPr>
              <w:t>Decentralized</w:t>
            </w:r>
          </w:p>
        </w:tc>
      </w:tr>
      <w:tr w:rsidR="001630DC" w:rsidRPr="00366B8B">
        <w:trPr>
          <w:trHeight w:val="68"/>
        </w:trPr>
        <w:tc>
          <w:tcPr>
            <w:tcW w:w="2178" w:type="dxa"/>
          </w:tcPr>
          <w:p w:rsidR="001630DC" w:rsidRPr="00201ADC" w:rsidRDefault="001630DC" w:rsidP="001630DC">
            <w:pPr>
              <w:rPr>
                <w:sz w:val="20"/>
                <w:szCs w:val="20"/>
              </w:rPr>
            </w:pPr>
            <w:r w:rsidRPr="00201ADC">
              <w:rPr>
                <w:sz w:val="20"/>
                <w:szCs w:val="20"/>
              </w:rPr>
              <w:t>Network Structure</w:t>
            </w:r>
          </w:p>
        </w:tc>
        <w:tc>
          <w:tcPr>
            <w:tcW w:w="1372" w:type="dxa"/>
          </w:tcPr>
          <w:p w:rsidR="001630DC" w:rsidRPr="00201ADC" w:rsidRDefault="001630DC" w:rsidP="001630DC">
            <w:pPr>
              <w:spacing w:line="480" w:lineRule="auto"/>
              <w:jc w:val="center"/>
              <w:rPr>
                <w:sz w:val="20"/>
                <w:szCs w:val="20"/>
              </w:rPr>
            </w:pPr>
            <w:r w:rsidRPr="00201ADC">
              <w:rPr>
                <w:sz w:val="20"/>
                <w:szCs w:val="20"/>
              </w:rPr>
              <w:t>Hierarchy</w:t>
            </w:r>
          </w:p>
        </w:tc>
        <w:tc>
          <w:tcPr>
            <w:tcW w:w="1482" w:type="dxa"/>
          </w:tcPr>
          <w:p w:rsidR="001630DC" w:rsidRPr="00201ADC" w:rsidRDefault="001630DC" w:rsidP="001630DC">
            <w:pPr>
              <w:spacing w:line="480" w:lineRule="auto"/>
              <w:jc w:val="center"/>
              <w:rPr>
                <w:sz w:val="20"/>
                <w:szCs w:val="20"/>
              </w:rPr>
            </w:pPr>
            <w:r w:rsidRPr="00201ADC">
              <w:rPr>
                <w:sz w:val="20"/>
                <w:szCs w:val="20"/>
              </w:rPr>
              <w:t>Decentralized</w:t>
            </w:r>
          </w:p>
        </w:tc>
        <w:tc>
          <w:tcPr>
            <w:tcW w:w="1482" w:type="dxa"/>
          </w:tcPr>
          <w:p w:rsidR="001630DC" w:rsidRPr="00201ADC" w:rsidRDefault="001630DC" w:rsidP="001630DC">
            <w:pPr>
              <w:spacing w:line="480" w:lineRule="auto"/>
              <w:jc w:val="center"/>
              <w:rPr>
                <w:sz w:val="20"/>
                <w:szCs w:val="20"/>
              </w:rPr>
            </w:pPr>
            <w:r w:rsidRPr="00201ADC">
              <w:rPr>
                <w:sz w:val="20"/>
                <w:szCs w:val="20"/>
              </w:rPr>
              <w:t>Integrated</w:t>
            </w:r>
          </w:p>
        </w:tc>
      </w:tr>
      <w:tr w:rsidR="001630DC" w:rsidRPr="00366B8B">
        <w:trPr>
          <w:trHeight w:val="68"/>
        </w:trPr>
        <w:tc>
          <w:tcPr>
            <w:tcW w:w="2178" w:type="dxa"/>
          </w:tcPr>
          <w:p w:rsidR="001630DC" w:rsidRPr="00201ADC" w:rsidRDefault="001630DC" w:rsidP="001630DC">
            <w:pPr>
              <w:rPr>
                <w:sz w:val="20"/>
                <w:szCs w:val="20"/>
              </w:rPr>
            </w:pPr>
            <w:r w:rsidRPr="00201ADC">
              <w:rPr>
                <w:sz w:val="20"/>
                <w:szCs w:val="20"/>
              </w:rPr>
              <w:t>Communication</w:t>
            </w:r>
          </w:p>
        </w:tc>
        <w:tc>
          <w:tcPr>
            <w:tcW w:w="1372" w:type="dxa"/>
          </w:tcPr>
          <w:p w:rsidR="001630DC" w:rsidRPr="00201ADC" w:rsidRDefault="001630DC" w:rsidP="001630DC">
            <w:pPr>
              <w:spacing w:line="480" w:lineRule="auto"/>
              <w:jc w:val="center"/>
              <w:rPr>
                <w:sz w:val="20"/>
                <w:szCs w:val="20"/>
              </w:rPr>
            </w:pPr>
            <w:r w:rsidRPr="00201ADC">
              <w:rPr>
                <w:sz w:val="20"/>
                <w:szCs w:val="20"/>
              </w:rPr>
              <w:t>Top-down</w:t>
            </w:r>
          </w:p>
        </w:tc>
        <w:tc>
          <w:tcPr>
            <w:tcW w:w="1482" w:type="dxa"/>
          </w:tcPr>
          <w:p w:rsidR="001630DC" w:rsidRPr="00201ADC" w:rsidRDefault="001630DC" w:rsidP="001630DC">
            <w:pPr>
              <w:spacing w:line="480" w:lineRule="auto"/>
              <w:jc w:val="center"/>
              <w:rPr>
                <w:sz w:val="20"/>
                <w:szCs w:val="20"/>
              </w:rPr>
            </w:pPr>
            <w:r w:rsidRPr="00201ADC">
              <w:rPr>
                <w:sz w:val="20"/>
                <w:szCs w:val="20"/>
              </w:rPr>
              <w:t>Bottom-up</w:t>
            </w:r>
          </w:p>
        </w:tc>
        <w:tc>
          <w:tcPr>
            <w:tcW w:w="1482" w:type="dxa"/>
          </w:tcPr>
          <w:p w:rsidR="001630DC" w:rsidRPr="00201ADC" w:rsidRDefault="001630DC" w:rsidP="001630DC">
            <w:pPr>
              <w:spacing w:line="480" w:lineRule="auto"/>
              <w:jc w:val="center"/>
              <w:rPr>
                <w:sz w:val="20"/>
                <w:szCs w:val="20"/>
              </w:rPr>
            </w:pPr>
            <w:r w:rsidRPr="00201ADC">
              <w:rPr>
                <w:sz w:val="20"/>
                <w:szCs w:val="20"/>
              </w:rPr>
              <w:t>Two-way</w:t>
            </w:r>
          </w:p>
        </w:tc>
      </w:tr>
    </w:tbl>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313C0A" w:rsidRDefault="00313C0A" w:rsidP="001630DC">
      <w:pPr>
        <w:pStyle w:val="Caption"/>
        <w:jc w:val="center"/>
        <w:rPr>
          <w:b/>
          <w:i w:val="0"/>
          <w:color w:val="auto"/>
          <w:sz w:val="22"/>
          <w:szCs w:val="22"/>
        </w:rPr>
      </w:pPr>
    </w:p>
    <w:p w:rsidR="001630DC" w:rsidRPr="00FB1D4A" w:rsidRDefault="001630DC" w:rsidP="001630DC">
      <w:pPr>
        <w:pStyle w:val="Caption"/>
        <w:jc w:val="center"/>
        <w:rPr>
          <w:b/>
          <w:i w:val="0"/>
          <w:color w:val="auto"/>
          <w:sz w:val="22"/>
          <w:szCs w:val="22"/>
        </w:rPr>
      </w:pPr>
      <w:bookmarkStart w:id="303" w:name="_Toc450069829"/>
      <w:r w:rsidRPr="00FB1D4A">
        <w:rPr>
          <w:b/>
          <w:i w:val="0"/>
          <w:color w:val="auto"/>
          <w:sz w:val="22"/>
          <w:szCs w:val="22"/>
        </w:rPr>
        <w:t xml:space="preserve">Table </w:t>
      </w:r>
      <w:r>
        <w:rPr>
          <w:b/>
          <w:i w:val="0"/>
          <w:color w:val="auto"/>
          <w:sz w:val="22"/>
          <w:szCs w:val="22"/>
        </w:rPr>
        <w:fldChar w:fldCharType="begin"/>
      </w:r>
      <w:r>
        <w:rPr>
          <w:b/>
          <w:i w:val="0"/>
          <w:color w:val="auto"/>
          <w:sz w:val="22"/>
          <w:szCs w:val="22"/>
        </w:rPr>
        <w:instrText xml:space="preserve"> STYLEREF 1 \s </w:instrText>
      </w:r>
      <w:r>
        <w:rPr>
          <w:b/>
          <w:i w:val="0"/>
          <w:color w:val="auto"/>
          <w:sz w:val="22"/>
          <w:szCs w:val="22"/>
        </w:rPr>
        <w:fldChar w:fldCharType="separate"/>
      </w:r>
      <w:r w:rsidR="001517D5">
        <w:rPr>
          <w:b/>
          <w:i w:val="0"/>
          <w:noProof/>
          <w:color w:val="auto"/>
          <w:sz w:val="22"/>
          <w:szCs w:val="22"/>
          <w:cs/>
        </w:rPr>
        <w:t>‎</w:t>
      </w:r>
      <w:r w:rsidR="001517D5">
        <w:rPr>
          <w:b/>
          <w:i w:val="0"/>
          <w:noProof/>
          <w:color w:val="auto"/>
          <w:sz w:val="22"/>
          <w:szCs w:val="22"/>
        </w:rPr>
        <w:t>4</w:t>
      </w:r>
      <w:r>
        <w:rPr>
          <w:b/>
          <w:i w:val="0"/>
          <w:color w:val="auto"/>
          <w:sz w:val="22"/>
          <w:szCs w:val="22"/>
        </w:rPr>
        <w:fldChar w:fldCharType="end"/>
      </w:r>
      <w:r>
        <w:rPr>
          <w:b/>
          <w:i w:val="0"/>
          <w:color w:val="auto"/>
          <w:sz w:val="22"/>
          <w:szCs w:val="22"/>
        </w:rPr>
        <w:t>.</w:t>
      </w:r>
      <w:r>
        <w:rPr>
          <w:b/>
          <w:i w:val="0"/>
          <w:color w:val="auto"/>
          <w:sz w:val="22"/>
          <w:szCs w:val="22"/>
        </w:rPr>
        <w:fldChar w:fldCharType="begin"/>
      </w:r>
      <w:r>
        <w:rPr>
          <w:b/>
          <w:i w:val="0"/>
          <w:color w:val="auto"/>
          <w:sz w:val="22"/>
          <w:szCs w:val="22"/>
        </w:rPr>
        <w:instrText xml:space="preserve"> SEQ Table \* ARABIC \s 1 </w:instrText>
      </w:r>
      <w:r>
        <w:rPr>
          <w:b/>
          <w:i w:val="0"/>
          <w:color w:val="auto"/>
          <w:sz w:val="22"/>
          <w:szCs w:val="22"/>
        </w:rPr>
        <w:fldChar w:fldCharType="separate"/>
      </w:r>
      <w:r w:rsidR="001517D5">
        <w:rPr>
          <w:b/>
          <w:i w:val="0"/>
          <w:noProof/>
          <w:color w:val="auto"/>
          <w:sz w:val="22"/>
          <w:szCs w:val="22"/>
        </w:rPr>
        <w:t>6</w:t>
      </w:r>
      <w:r>
        <w:rPr>
          <w:b/>
          <w:i w:val="0"/>
          <w:color w:val="auto"/>
          <w:sz w:val="22"/>
          <w:szCs w:val="22"/>
        </w:rPr>
        <w:fldChar w:fldCharType="end"/>
      </w:r>
      <w:r>
        <w:rPr>
          <w:b/>
          <w:i w:val="0"/>
          <w:color w:val="auto"/>
          <w:sz w:val="22"/>
          <w:szCs w:val="22"/>
        </w:rPr>
        <w:t>:</w:t>
      </w:r>
      <w:r w:rsidRPr="00FB1D4A">
        <w:rPr>
          <w:b/>
          <w:i w:val="0"/>
          <w:color w:val="auto"/>
          <w:sz w:val="22"/>
          <w:szCs w:val="22"/>
        </w:rPr>
        <w:t xml:space="preserve"> Organization Linkage Characteristics</w:t>
      </w:r>
      <w:bookmarkEnd w:id="303"/>
    </w:p>
    <w:p w:rsidR="00B11ABC" w:rsidRDefault="00B11ABC" w:rsidP="00504DC3">
      <w:pPr>
        <w:framePr w:w="6940" w:wrap="auto" w:hAnchor="text"/>
        <w:sectPr w:rsidR="00B11ABC" w:rsidSect="001630DC">
          <w:footerReference w:type="even" r:id="rId14"/>
          <w:footerReference w:type="default" r:id="rId15"/>
          <w:pgSz w:w="12240" w:h="15840"/>
          <w:pgMar w:top="1440" w:right="1440" w:bottom="1440" w:left="2304" w:header="720" w:footer="720" w:gutter="0"/>
          <w:cols w:space="720"/>
          <w:docGrid w:linePitch="360"/>
        </w:sectPr>
      </w:pPr>
    </w:p>
    <w:p w:rsidR="00504DC3" w:rsidRDefault="00504DC3" w:rsidP="00504DC3">
      <w:pPr>
        <w:spacing w:line="480" w:lineRule="auto"/>
        <w:rPr>
          <w:szCs w:val="24"/>
        </w:rPr>
      </w:pPr>
    </w:p>
    <w:p w:rsidR="001630DC" w:rsidRPr="00812CB0" w:rsidRDefault="001630DC" w:rsidP="00504DC3">
      <w:pPr>
        <w:spacing w:line="480" w:lineRule="auto"/>
        <w:jc w:val="center"/>
        <w:rPr>
          <w:i/>
          <w:szCs w:val="24"/>
        </w:rPr>
      </w:pPr>
      <w:r w:rsidRPr="00812CB0">
        <w:rPr>
          <w:i/>
          <w:szCs w:val="24"/>
        </w:rPr>
        <w:t>Centralized</w:t>
      </w:r>
    </w:p>
    <w:p w:rsidR="00B11ABC" w:rsidRPr="00201ADC" w:rsidRDefault="001630DC" w:rsidP="001630DC">
      <w:pPr>
        <w:spacing w:line="480" w:lineRule="auto"/>
        <w:rPr>
          <w:i/>
        </w:rPr>
      </w:pPr>
      <w:r w:rsidRPr="00426DE4">
        <w:rPr>
          <w:i/>
        </w:rPr>
        <w:t xml:space="preserve">Proposition 1a: Centralized </w:t>
      </w:r>
      <w:r>
        <w:rPr>
          <w:i/>
        </w:rPr>
        <w:t>TNGO</w:t>
      </w:r>
      <w:r w:rsidRPr="00426DE4">
        <w:rPr>
          <w:i/>
        </w:rPr>
        <w:t>s follow a top-down approach to decision-making and communication of priorities.</w:t>
      </w:r>
    </w:p>
    <w:p w:rsidR="00F1318A" w:rsidRDefault="00F1318A" w:rsidP="00F1318A">
      <w:pPr>
        <w:spacing w:line="480" w:lineRule="auto"/>
        <w:ind w:firstLine="720"/>
        <w:rPr>
          <w:szCs w:val="24"/>
        </w:rPr>
      </w:pPr>
      <w:r w:rsidRPr="00812CB0">
        <w:rPr>
          <w:szCs w:val="24"/>
        </w:rPr>
        <w:t xml:space="preserve">The </w:t>
      </w:r>
      <w:r>
        <w:rPr>
          <w:szCs w:val="24"/>
        </w:rPr>
        <w:t>centralized model describes TNGO</w:t>
      </w:r>
      <w:r w:rsidRPr="00812CB0">
        <w:rPr>
          <w:szCs w:val="24"/>
        </w:rPr>
        <w:t xml:space="preserve">s that are hierarchical in setting priorities and communication. This was the smallest category of </w:t>
      </w:r>
      <w:r>
        <w:rPr>
          <w:szCs w:val="24"/>
        </w:rPr>
        <w:t>TNGO</w:t>
      </w:r>
      <w:r w:rsidRPr="00812CB0">
        <w:rPr>
          <w:szCs w:val="24"/>
        </w:rPr>
        <w:t xml:space="preserve">s interviewed. This may be the result of donor pressure to increase partnership with local </w:t>
      </w:r>
      <w:r>
        <w:rPr>
          <w:szCs w:val="24"/>
        </w:rPr>
        <w:t>TNGO</w:t>
      </w:r>
      <w:r w:rsidRPr="00812CB0">
        <w:rPr>
          <w:szCs w:val="24"/>
        </w:rPr>
        <w:t>s to create sustainable solutions. It may also indicate bias in the international development sector toward other organizational structures due to environmental complexity.</w:t>
      </w:r>
    </w:p>
    <w:p w:rsidR="00F1318A" w:rsidRPr="00812CB0" w:rsidRDefault="00F1318A" w:rsidP="00F1318A">
      <w:pPr>
        <w:spacing w:line="480" w:lineRule="auto"/>
        <w:rPr>
          <w:szCs w:val="24"/>
        </w:rPr>
      </w:pPr>
      <w:r>
        <w:rPr>
          <w:szCs w:val="24"/>
        </w:rPr>
        <w:tab/>
        <w:t>Of the TNGOs interviewed, only 3</w:t>
      </w:r>
      <w:r w:rsidRPr="00812CB0">
        <w:rPr>
          <w:szCs w:val="24"/>
        </w:rPr>
        <w:t xml:space="preserve"> can be characterized as centralized. This accounts for 14 percent of the </w:t>
      </w:r>
      <w:r>
        <w:rPr>
          <w:szCs w:val="24"/>
        </w:rPr>
        <w:t>organizations interviewed</w:t>
      </w:r>
      <w:r w:rsidRPr="00812CB0">
        <w:rPr>
          <w:szCs w:val="24"/>
        </w:rPr>
        <w:t xml:space="preserve">. These </w:t>
      </w:r>
      <w:r>
        <w:rPr>
          <w:szCs w:val="24"/>
        </w:rPr>
        <w:t>TNGO</w:t>
      </w:r>
      <w:r w:rsidRPr="00812CB0">
        <w:rPr>
          <w:szCs w:val="24"/>
        </w:rPr>
        <w:t>s</w:t>
      </w:r>
      <w:r>
        <w:rPr>
          <w:szCs w:val="24"/>
        </w:rPr>
        <w:t xml:space="preserve"> represented a range of sectors,</w:t>
      </w:r>
      <w:r w:rsidRPr="00812CB0">
        <w:rPr>
          <w:szCs w:val="24"/>
        </w:rPr>
        <w:t xml:space="preserve"> </w:t>
      </w:r>
      <w:r>
        <w:rPr>
          <w:szCs w:val="24"/>
        </w:rPr>
        <w:t>implementing</w:t>
      </w:r>
      <w:r w:rsidRPr="00812CB0">
        <w:rPr>
          <w:szCs w:val="24"/>
        </w:rPr>
        <w:t xml:space="preserve"> programs in health, agriculture, education, and infrastructure development. In two of the cases, the centralized structure was linked to recent leadership changes. </w:t>
      </w:r>
    </w:p>
    <w:p w:rsidR="001630DC" w:rsidRDefault="00BC20CD" w:rsidP="001630DC">
      <w:pPr>
        <w:spacing w:line="480" w:lineRule="auto"/>
        <w:rPr>
          <w:b/>
          <w:i/>
        </w:rPr>
      </w:pPr>
      <w:r>
        <w:rPr>
          <w:noProof/>
        </w:rPr>
        <mc:AlternateContent>
          <mc:Choice Requires="wps">
            <w:drawing>
              <wp:anchor distT="0" distB="0" distL="114300" distR="114300" simplePos="0" relativeHeight="251648512" behindDoc="0" locked="0" layoutInCell="1" allowOverlap="1">
                <wp:simplePos x="0" y="0"/>
                <wp:positionH relativeFrom="column">
                  <wp:posOffset>2028825</wp:posOffset>
                </wp:positionH>
                <wp:positionV relativeFrom="paragraph">
                  <wp:posOffset>151765</wp:posOffset>
                </wp:positionV>
                <wp:extent cx="1371600" cy="650240"/>
                <wp:effectExtent l="0" t="0" r="0" b="0"/>
                <wp:wrapTight wrapText="bothSides">
                  <wp:wrapPolygon edited="0">
                    <wp:start x="600" y="1898"/>
                    <wp:lineTo x="600" y="19617"/>
                    <wp:lineTo x="20700" y="19617"/>
                    <wp:lineTo x="20700" y="1898"/>
                    <wp:lineTo x="600" y="1898"/>
                  </wp:wrapPolygon>
                </wp:wrapTight>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50240"/>
                        </a:xfrm>
                        <a:prstGeom prst="rect">
                          <a:avLst/>
                        </a:prstGeom>
                        <a:noFill/>
                        <a:ln>
                          <a:noFill/>
                        </a:ln>
                        <a:extLst>
                          <a:ext uri="{909E8E84-426E-40dd-AFC4-6F175D3DCCD1}"/>
                          <a:ext uri="{91240B29-F687-4f45-9708-019B960494DF}"/>
                        </a:extLst>
                      </wps:spPr>
                      <wps:txbx>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U.S. Headquarters</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22" o:spid="_x0000_s1033" type="#_x0000_t202" style="position:absolute;margin-left:159.75pt;margin-top:11.95pt;width:108pt;height:5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" filled="f" stroked="f">
                <v:textbox inset=",7.2pt,,7.2pt">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U.S. Headquarters</w:t>
                      </w:r>
                    </w:p>
                  </w:txbxContent>
                </v:textbox>
                <w10:wrap type="tight"/>
              </v:shape>
            </w:pict>
          </mc:Fallback>
        </mc:AlternateContent>
      </w:r>
    </w:p>
    <w:p w:rsidR="001630DC" w:rsidRPr="00812CB0" w:rsidRDefault="00BC20CD" w:rsidP="001630DC">
      <w:pPr>
        <w:spacing w:line="480" w:lineRule="auto"/>
        <w:rPr>
          <w:b/>
          <w:i/>
        </w:rPr>
      </w:pPr>
      <w:r>
        <w:rPr>
          <w:noProof/>
        </w:rPr>
        <mc:AlternateContent>
          <mc:Choice Requires="wps">
            <w:drawing>
              <wp:anchor distT="0" distB="0" distL="114298" distR="114298" simplePos="0" relativeHeight="251652608" behindDoc="0" locked="0" layoutInCell="1" allowOverlap="1">
                <wp:simplePos x="0" y="0"/>
                <wp:positionH relativeFrom="column">
                  <wp:posOffset>2699385</wp:posOffset>
                </wp:positionH>
                <wp:positionV relativeFrom="paragraph">
                  <wp:posOffset>384175</wp:posOffset>
                </wp:positionV>
                <wp:extent cx="0" cy="457200"/>
                <wp:effectExtent l="9525" t="10795" r="9525" b="36830"/>
                <wp:wrapTight wrapText="bothSides">
                  <wp:wrapPolygon edited="0">
                    <wp:start x="-2147483648" y="0"/>
                    <wp:lineTo x="-2147483648" y="60"/>
                    <wp:lineTo x="-2147483648" y="60"/>
                    <wp:lineTo x="-2147483648" y="0"/>
                    <wp:lineTo x="-2147483648" y="0"/>
                  </wp:wrapPolygon>
                </wp:wrapTight>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5BDF7949" id="Line 26" o:spid="_x0000_s1026" style="position:absolute;flip:x;z-index:251652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212.55pt,30.25pt" to="212.5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" strokeweight="1pt">
                <v:shadow on="t" opacity="22938f" offset="0"/>
                <w10:wrap type="tight"/>
              </v:line>
            </w:pict>
          </mc:Fallback>
        </mc:AlternateContent>
      </w:r>
    </w:p>
    <w:p w:rsidR="001630DC" w:rsidRPr="00812CB0" w:rsidRDefault="00BC20CD" w:rsidP="001630DC">
      <w:pPr>
        <w:spacing w:line="480" w:lineRule="auto"/>
        <w:rPr>
          <w:szCs w:val="24"/>
        </w:rPr>
      </w:pPr>
      <w:r>
        <w:rPr>
          <w:noProof/>
        </w:rPr>
        <mc:AlternateContent>
          <mc:Choice Requires="wps">
            <w:drawing>
              <wp:anchor distT="0" distB="0" distL="114298" distR="114298" simplePos="0" relativeHeight="251654656" behindDoc="0" locked="0" layoutInCell="1" allowOverlap="1">
                <wp:simplePos x="0" y="0"/>
                <wp:positionH relativeFrom="column">
                  <wp:posOffset>2699385</wp:posOffset>
                </wp:positionH>
                <wp:positionV relativeFrom="paragraph">
                  <wp:posOffset>470535</wp:posOffset>
                </wp:positionV>
                <wp:extent cx="0" cy="457200"/>
                <wp:effectExtent l="9525" t="9525" r="9525" b="38100"/>
                <wp:wrapTight wrapText="bothSides">
                  <wp:wrapPolygon edited="0">
                    <wp:start x="-2147483648" y="0"/>
                    <wp:lineTo x="-2147483648" y="60"/>
                    <wp:lineTo x="-2147483648" y="60"/>
                    <wp:lineTo x="-2147483648" y="0"/>
                    <wp:lineTo x="-2147483648" y="0"/>
                  </wp:wrapPolygon>
                </wp:wrapTight>
                <wp:docPr id="4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05C138E7" id="Line 28" o:spid="_x0000_s1026" style="position:absolute;z-index:251654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212.55pt,37.05pt" to="212.5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" strokeweight="1pt">
                <v:shadow on="t" opacity="22938f" offset="0"/>
                <w10:wrap type="tight"/>
              </v:line>
            </w:pict>
          </mc:Fallback>
        </mc:AlternateContent>
      </w:r>
      <w:r>
        <w:rPr>
          <w:noProof/>
        </w:rPr>
        <mc:AlternateContent>
          <mc:Choice Requires="wps">
            <w:drawing>
              <wp:anchor distT="0" distB="0" distL="114298" distR="114298" simplePos="0" relativeHeight="251660800" behindDoc="0" locked="0" layoutInCell="1" allowOverlap="1">
                <wp:simplePos x="0" y="0"/>
                <wp:positionH relativeFrom="column">
                  <wp:posOffset>2575560</wp:posOffset>
                </wp:positionH>
                <wp:positionV relativeFrom="paragraph">
                  <wp:posOffset>805180</wp:posOffset>
                </wp:positionV>
                <wp:extent cx="0" cy="228600"/>
                <wp:effectExtent l="57150" t="10795" r="57150" b="46355"/>
                <wp:wrapTight wrapText="bothSides">
                  <wp:wrapPolygon edited="0">
                    <wp:start x="-2147483648" y="0"/>
                    <wp:lineTo x="-2147483648" y="0"/>
                    <wp:lineTo x="-2147483648" y="0"/>
                    <wp:lineTo x="-2147483648" y="0"/>
                    <wp:lineTo x="-2147483648" y="0"/>
                    <wp:lineTo x="-2147483648" y="0"/>
                    <wp:lineTo x="-2147483648" y="0"/>
                  </wp:wrapPolygon>
                </wp:wrapTight>
                <wp:docPr id="4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5763548E" id="Line 35" o:spid="_x0000_s1026" style="position:absolute;flip:x;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202.8pt,63.4pt" to="202.8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" strokeweight="1pt">
                <v:stroke endarrow="block"/>
                <v:shadow on="t" opacity="22938f" offset="0"/>
                <w10:wrap type="tight"/>
              </v:line>
            </w:pict>
          </mc:Fallback>
        </mc:AlternateContent>
      </w:r>
      <w:r>
        <w:rPr>
          <w:noProof/>
        </w:rPr>
        <mc:AlternateContent>
          <mc:Choice Requires="wps">
            <w:drawing>
              <wp:anchor distT="0" distB="0" distL="114298" distR="114298" simplePos="0" relativeHeight="251657728" behindDoc="0" locked="0" layoutInCell="1" allowOverlap="1">
                <wp:simplePos x="0" y="0"/>
                <wp:positionH relativeFrom="column">
                  <wp:posOffset>2590800</wp:posOffset>
                </wp:positionH>
                <wp:positionV relativeFrom="paragraph">
                  <wp:posOffset>158115</wp:posOffset>
                </wp:positionV>
                <wp:extent cx="0" cy="342900"/>
                <wp:effectExtent l="62865" t="11430" r="60960" b="45720"/>
                <wp:wrapTight wrapText="bothSides">
                  <wp:wrapPolygon edited="0">
                    <wp:start x="-2147483648" y="0"/>
                    <wp:lineTo x="-2147483648" y="40"/>
                    <wp:lineTo x="-2147483648" y="40"/>
                    <wp:lineTo x="-2147483648" y="40"/>
                    <wp:lineTo x="-2147483648" y="40"/>
                    <wp:lineTo x="-2147483648" y="0"/>
                    <wp:lineTo x="-2147483648" y="0"/>
                  </wp:wrapPolygon>
                </wp:wrapTight>
                <wp:docPr id="3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5404A753" id="Line 32" o:spid="_x0000_s1026" style="position:absolute;flip:x;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204pt,12.45pt" to="20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" strokeweight="1pt">
                <v:stroke endarrow="block"/>
                <v:shadow on="t" opacity="22938f" offset="0"/>
                <w10:wrap type="tight"/>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971550</wp:posOffset>
                </wp:positionH>
                <wp:positionV relativeFrom="paragraph">
                  <wp:posOffset>1062355</wp:posOffset>
                </wp:positionV>
                <wp:extent cx="914400" cy="457200"/>
                <wp:effectExtent l="0" t="0" r="0" b="0"/>
                <wp:wrapTight wrapText="bothSides">
                  <wp:wrapPolygon edited="0">
                    <wp:start x="900" y="2700"/>
                    <wp:lineTo x="900" y="18900"/>
                    <wp:lineTo x="20250" y="18900"/>
                    <wp:lineTo x="20250" y="2700"/>
                    <wp:lineTo x="900" y="2700"/>
                  </wp:wrapPolygon>
                </wp:wrapTight>
                <wp:docPr id="3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ext uri="{91240B29-F687-4f45-9708-019B960494DF}"/>
                        </a:extLst>
                      </wps:spPr>
                      <wps:txbx>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A</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23" o:spid="_x0000_s1034" type="#_x0000_t202" style="position:absolute;margin-left:76.5pt;margin-top:83.65pt;width:1in;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" filled="f" stroked="f">
                <v:textbox inset=",7.2pt,,7.2pt">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A</w:t>
                      </w:r>
                    </w:p>
                  </w:txbxContent>
                </v:textbox>
                <w10:wrap type="tight"/>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3543300</wp:posOffset>
                </wp:positionH>
                <wp:positionV relativeFrom="paragraph">
                  <wp:posOffset>1062355</wp:posOffset>
                </wp:positionV>
                <wp:extent cx="914400" cy="457200"/>
                <wp:effectExtent l="0" t="0" r="0" b="0"/>
                <wp:wrapTight wrapText="bothSides">
                  <wp:wrapPolygon edited="0">
                    <wp:start x="900" y="2700"/>
                    <wp:lineTo x="900" y="18900"/>
                    <wp:lineTo x="20250" y="18900"/>
                    <wp:lineTo x="20250" y="2700"/>
                    <wp:lineTo x="900" y="2700"/>
                  </wp:wrapPolygon>
                </wp:wrapTight>
                <wp:docPr id="3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ext uri="{91240B29-F687-4f45-9708-019B960494DF}"/>
                        </a:extLst>
                      </wps:spPr>
                      <wps:txbx>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C</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25" o:spid="_x0000_s1035" type="#_x0000_t202" style="position:absolute;margin-left:279pt;margin-top:83.65pt;width:1in;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" filled="f" stroked="f">
                <v:textbox inset=",7.2pt,,7.2pt">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C</w:t>
                      </w:r>
                    </w:p>
                  </w:txbxContent>
                </v:textbox>
                <w10:wrap type="tight"/>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2324100</wp:posOffset>
                </wp:positionH>
                <wp:positionV relativeFrom="paragraph">
                  <wp:posOffset>1043305</wp:posOffset>
                </wp:positionV>
                <wp:extent cx="914400" cy="457200"/>
                <wp:effectExtent l="0" t="0" r="0" b="0"/>
                <wp:wrapTight wrapText="bothSides">
                  <wp:wrapPolygon edited="0">
                    <wp:start x="900" y="2700"/>
                    <wp:lineTo x="900" y="18900"/>
                    <wp:lineTo x="20250" y="18900"/>
                    <wp:lineTo x="20250" y="2700"/>
                    <wp:lineTo x="900" y="2700"/>
                  </wp:wrapPolygon>
                </wp:wrapTight>
                <wp:docPr id="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ext uri="{91240B29-F687-4f45-9708-019B960494DF}"/>
                        </a:extLst>
                      </wps:spPr>
                      <wps:txbx>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B</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24" o:spid="_x0000_s1036" type="#_x0000_t202" style="position:absolute;margin-left:183pt;margin-top:82.15pt;width:1in;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" filled="f" stroked="f">
                <v:textbox inset=",7.2pt,,7.2pt">
                  <w:txbxContent>
                    <w:p w:rsidR="00F43496" w:rsidRPr="00426DE4" w:rsidRDefault="00F43496" w:rsidP="001630DC">
                      <w:pPr>
                        <w:pBdr>
                          <w:top w:val="single" w:sz="4" w:space="1" w:color="auto"/>
                          <w:left w:val="single" w:sz="4" w:space="4" w:color="auto"/>
                          <w:bottom w:val="single" w:sz="4" w:space="1" w:color="auto"/>
                          <w:right w:val="single" w:sz="4" w:space="4" w:color="auto"/>
                        </w:pBdr>
                        <w:rPr>
                          <w:sz w:val="22"/>
                        </w:rPr>
                      </w:pPr>
                      <w:r w:rsidRPr="00426DE4">
                        <w:rPr>
                          <w:sz w:val="22"/>
                        </w:rPr>
                        <w:t>Country B</w:t>
                      </w:r>
                    </w:p>
                  </w:txbxContent>
                </v:textbox>
                <w10:wrap type="tight"/>
              </v:shape>
            </w:pict>
          </mc:Fallback>
        </mc:AlternateContent>
      </w:r>
      <w:r>
        <w:rPr>
          <w:noProof/>
        </w:rPr>
        <mc:AlternateContent>
          <mc:Choice Requires="wps">
            <w:drawing>
              <wp:anchor distT="0" distB="0" distL="114298" distR="114298" simplePos="0" relativeHeight="251659776" behindDoc="0" locked="0" layoutInCell="1" allowOverlap="1">
                <wp:simplePos x="0" y="0"/>
                <wp:positionH relativeFrom="column">
                  <wp:posOffset>1371600</wp:posOffset>
                </wp:positionH>
                <wp:positionV relativeFrom="paragraph">
                  <wp:posOffset>719455</wp:posOffset>
                </wp:positionV>
                <wp:extent cx="0" cy="342900"/>
                <wp:effectExtent l="62865" t="10795" r="60960" b="46355"/>
                <wp:wrapTight wrapText="bothSides">
                  <wp:wrapPolygon edited="0">
                    <wp:start x="-2147483648" y="0"/>
                    <wp:lineTo x="-2147483648" y="40"/>
                    <wp:lineTo x="-2147483648" y="40"/>
                    <wp:lineTo x="-2147483648" y="40"/>
                    <wp:lineTo x="-2147483648" y="40"/>
                    <wp:lineTo x="-2147483648" y="0"/>
                    <wp:lineTo x="-2147483648" y="0"/>
                  </wp:wrapPolygon>
                </wp:wrapTight>
                <wp:docPr id="3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71C261B3" id="Line 34" o:spid="_x0000_s1026" style="position:absolute;flip:x;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108pt,56.65pt" to="108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" strokeweight="1pt">
                <v:stroke endarrow="block"/>
                <v:shadow on="t" opacity="22938f" offset="0"/>
                <w10:wrap type="tight"/>
              </v:line>
            </w:pict>
          </mc:Fallback>
        </mc:AlternateContent>
      </w:r>
      <w:r>
        <w:rPr>
          <w:noProof/>
        </w:rPr>
        <mc:AlternateContent>
          <mc:Choice Requires="wps">
            <w:drawing>
              <wp:anchor distT="0" distB="0" distL="114298" distR="114298" simplePos="0" relativeHeight="251658752" behindDoc="0" locked="0" layoutInCell="1" allowOverlap="1">
                <wp:simplePos x="0" y="0"/>
                <wp:positionH relativeFrom="column">
                  <wp:posOffset>3886200</wp:posOffset>
                </wp:positionH>
                <wp:positionV relativeFrom="paragraph">
                  <wp:posOffset>719455</wp:posOffset>
                </wp:positionV>
                <wp:extent cx="0" cy="342900"/>
                <wp:effectExtent l="62865" t="10795" r="60960" b="46355"/>
                <wp:wrapTight wrapText="bothSides">
                  <wp:wrapPolygon edited="0">
                    <wp:start x="-2147483648" y="0"/>
                    <wp:lineTo x="-2147483648" y="40"/>
                    <wp:lineTo x="-2147483648" y="40"/>
                    <wp:lineTo x="-2147483648" y="40"/>
                    <wp:lineTo x="-2147483648" y="40"/>
                    <wp:lineTo x="-2147483648" y="0"/>
                    <wp:lineTo x="-2147483648" y="0"/>
                  </wp:wrapPolygon>
                </wp:wrapTight>
                <wp:docPr id="3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69A89568" id="Line 33" o:spid="_x0000_s1026" style="position:absolute;flip:x;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306pt,56.65pt" to="306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" strokeweight="1pt">
                <v:stroke endarrow="block"/>
                <v:shadow on="t" opacity="22938f" offset="0"/>
                <w10:wrap type="tight"/>
              </v:line>
            </w:pict>
          </mc:Fallback>
        </mc:AlternateContent>
      </w:r>
      <w:r>
        <w:rPr>
          <w:noProof/>
        </w:rPr>
        <mc:AlternateContent>
          <mc:Choice Requires="wps">
            <w:drawing>
              <wp:anchor distT="0" distB="0" distL="114298" distR="114298" simplePos="0" relativeHeight="251655680" behindDoc="0" locked="0" layoutInCell="1" allowOverlap="1">
                <wp:simplePos x="0" y="0"/>
                <wp:positionH relativeFrom="column">
                  <wp:posOffset>3771900</wp:posOffset>
                </wp:positionH>
                <wp:positionV relativeFrom="paragraph">
                  <wp:posOffset>719455</wp:posOffset>
                </wp:positionV>
                <wp:extent cx="0" cy="244475"/>
                <wp:effectExtent l="15240" t="10795" r="13335" b="40005"/>
                <wp:wrapTight wrapText="bothSides">
                  <wp:wrapPolygon edited="0">
                    <wp:start x="-2147483648" y="0"/>
                    <wp:lineTo x="-2147483648" y="56"/>
                    <wp:lineTo x="-2147483648" y="56"/>
                    <wp:lineTo x="-2147483648" y="0"/>
                    <wp:lineTo x="-2147483648" y="0"/>
                  </wp:wrapPolygon>
                </wp:wrapTight>
                <wp:docPr id="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184B0B3A" id="Line 29" o:spid="_x0000_s1026" style="position:absolute;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297pt,56.65pt" to="297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" strokeweight="1pt">
                <v:shadow on="t" opacity="22938f" offset="0"/>
                <w10:wrap type="tight"/>
              </v:line>
            </w:pict>
          </mc:Fallback>
        </mc:AlternateContent>
      </w:r>
      <w:r>
        <w:rPr>
          <w:noProof/>
        </w:rPr>
        <mc:AlternateContent>
          <mc:Choice Requires="wps">
            <w:drawing>
              <wp:anchor distT="0" distB="0" distL="114298" distR="114298" simplePos="0" relativeHeight="251656704" behindDoc="0" locked="0" layoutInCell="1" allowOverlap="1">
                <wp:simplePos x="0" y="0"/>
                <wp:positionH relativeFrom="column">
                  <wp:posOffset>1485900</wp:posOffset>
                </wp:positionH>
                <wp:positionV relativeFrom="paragraph">
                  <wp:posOffset>719455</wp:posOffset>
                </wp:positionV>
                <wp:extent cx="0" cy="244475"/>
                <wp:effectExtent l="15240" t="10795" r="13335" b="40005"/>
                <wp:wrapTight wrapText="bothSides">
                  <wp:wrapPolygon edited="0">
                    <wp:start x="-2147483648" y="0"/>
                    <wp:lineTo x="-2147483648" y="56"/>
                    <wp:lineTo x="-2147483648" y="56"/>
                    <wp:lineTo x="-2147483648" y="0"/>
                    <wp:lineTo x="-2147483648" y="0"/>
                  </wp:wrapPolygon>
                </wp:wrapTight>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4242F6EC" id="Line 30" o:spid="_x0000_s1026" style="position:absolute;z-index:25165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117pt,56.65pt" to="117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" strokeweight="1pt">
                <v:shadow on="t" opacity="22938f" offset="0"/>
                <w10:wrap type="tight"/>
              </v:line>
            </w:pict>
          </mc:Fallback>
        </mc:AlternateContent>
      </w:r>
      <w:r>
        <w:rPr>
          <w:noProof/>
        </w:rPr>
        <mc:AlternateContent>
          <mc:Choice Requires="wps">
            <w:drawing>
              <wp:anchor distT="4294967295" distB="4294967295" distL="114300" distR="114300" simplePos="0" relativeHeight="251662848" behindDoc="0" locked="0" layoutInCell="1" allowOverlap="1">
                <wp:simplePos x="0" y="0"/>
                <wp:positionH relativeFrom="column">
                  <wp:posOffset>1600200</wp:posOffset>
                </wp:positionH>
                <wp:positionV relativeFrom="paragraph">
                  <wp:posOffset>605155</wp:posOffset>
                </wp:positionV>
                <wp:extent cx="685800" cy="0"/>
                <wp:effectExtent l="24765" t="58420" r="13335" b="84455"/>
                <wp:wrapTight wrapText="bothSides">
                  <wp:wrapPolygon edited="0">
                    <wp:start x="80" y="-2147483648"/>
                    <wp:lineTo x="80" y="-2147483648"/>
                    <wp:lineTo x="80" y="-2147483648"/>
                    <wp:lineTo x="80" y="-2147483648"/>
                    <wp:lineTo x="60" y="-2147483648"/>
                    <wp:lineTo x="0" y="-2147483648"/>
                    <wp:lineTo x="0" y="-2147483648"/>
                    <wp:lineTo x="60" y="-2147483648"/>
                    <wp:lineTo x="80" y="-2147483648"/>
                  </wp:wrapPolygon>
                </wp:wrapTight>
                <wp:docPr id="3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3BC21C9B" id="Line 37"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left-margin-area;mso-height-relative:page" from="126pt,47.65pt" to="180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" strokeweight="1pt">
                <v:stroke endarrow="block"/>
                <v:shadow on="t" opacity="22938f" offset="0"/>
                <w10:wrap type="tight"/>
              </v:line>
            </w:pict>
          </mc:Fallback>
        </mc:AlternateContent>
      </w:r>
      <w:r>
        <w:rPr>
          <w:noProof/>
        </w:rPr>
        <mc:AlternateContent>
          <mc:Choice Requires="wps">
            <w:drawing>
              <wp:anchor distT="4294967295" distB="4294967295" distL="114300" distR="114300" simplePos="0" relativeHeight="251661824" behindDoc="0" locked="0" layoutInCell="1" allowOverlap="1">
                <wp:simplePos x="0" y="0"/>
                <wp:positionH relativeFrom="column">
                  <wp:posOffset>2857500</wp:posOffset>
                </wp:positionH>
                <wp:positionV relativeFrom="paragraph">
                  <wp:posOffset>605155</wp:posOffset>
                </wp:positionV>
                <wp:extent cx="800100" cy="0"/>
                <wp:effectExtent l="15240" t="58420" r="22860" b="84455"/>
                <wp:wrapTight wrapText="bothSides">
                  <wp:wrapPolygon edited="0">
                    <wp:start x="69" y="-2147483648"/>
                    <wp:lineTo x="0" y="-2147483648"/>
                    <wp:lineTo x="0" y="-2147483648"/>
                    <wp:lineTo x="69" y="-2147483648"/>
                    <wp:lineTo x="86" y="-2147483648"/>
                    <wp:lineTo x="86" y="-2147483648"/>
                    <wp:lineTo x="86" y="-2147483648"/>
                    <wp:lineTo x="86" y="-2147483648"/>
                    <wp:lineTo x="69" y="-2147483648"/>
                  </wp:wrapPolygon>
                </wp:wrapTight>
                <wp:docPr id="3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1D7FA18D" id="Line 36"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left-margin-area;mso-height-relative:page" from="225pt,47.65pt" to="4in,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" strokeweight="1pt">
                <v:stroke endarrow="block"/>
                <v:shadow on="t" opacity="22938f" offset="0"/>
                <w10:wrap type="tight"/>
              </v:line>
            </w:pict>
          </mc:Fallback>
        </mc:AlternateContent>
      </w:r>
      <w:r>
        <w:rPr>
          <w:noProof/>
        </w:rPr>
        <mc:AlternateContent>
          <mc:Choice Requires="wps">
            <w:drawing>
              <wp:anchor distT="4294967295" distB="4294967295" distL="114300" distR="114300" simplePos="0" relativeHeight="251653632" behindDoc="0" locked="0" layoutInCell="1" allowOverlap="1">
                <wp:simplePos x="0" y="0"/>
                <wp:positionH relativeFrom="column">
                  <wp:posOffset>1485900</wp:posOffset>
                </wp:positionH>
                <wp:positionV relativeFrom="paragraph">
                  <wp:posOffset>719455</wp:posOffset>
                </wp:positionV>
                <wp:extent cx="2286000" cy="0"/>
                <wp:effectExtent l="15240" t="10795" r="13335" b="36830"/>
                <wp:wrapTight wrapText="bothSides">
                  <wp:wrapPolygon edited="0">
                    <wp:start x="0" y="-2147483648"/>
                    <wp:lineTo x="0" y="-2147483648"/>
                    <wp:lineTo x="240" y="-2147483648"/>
                    <wp:lineTo x="240" y="-2147483648"/>
                    <wp:lineTo x="0" y="-2147483648"/>
                  </wp:wrapPolygon>
                </wp:wrapTight>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6CCD6D74" id="Line 27"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left-margin-area;mso-height-relative:page" from="117pt,56.65pt" to="297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" strokeweight="1pt">
                <v:shadow on="t" opacity="22938f" offset="0"/>
                <w10:wrap type="tight"/>
              </v:line>
            </w:pict>
          </mc:Fallback>
        </mc:AlternateContent>
      </w:r>
    </w:p>
    <w:p w:rsidR="001630DC" w:rsidRDefault="001630DC" w:rsidP="001630DC">
      <w:pPr>
        <w:spacing w:line="480" w:lineRule="auto"/>
        <w:jc w:val="center"/>
        <w:rPr>
          <w:b/>
        </w:rPr>
      </w:pPr>
    </w:p>
    <w:p w:rsidR="001630DC" w:rsidRDefault="001630DC" w:rsidP="001630DC">
      <w:pPr>
        <w:spacing w:line="480" w:lineRule="auto"/>
        <w:rPr>
          <w:b/>
        </w:rPr>
      </w:pPr>
    </w:p>
    <w:p w:rsidR="00B75D82" w:rsidRDefault="00B75D82" w:rsidP="001630DC">
      <w:pPr>
        <w:pStyle w:val="Caption"/>
        <w:jc w:val="center"/>
        <w:rPr>
          <w:b/>
          <w:i w:val="0"/>
          <w:color w:val="auto"/>
          <w:sz w:val="22"/>
        </w:rPr>
      </w:pPr>
      <w:bookmarkStart w:id="304" w:name="_Toc318115837"/>
    </w:p>
    <w:p w:rsidR="00B75D82" w:rsidRDefault="00B75D82" w:rsidP="001630DC">
      <w:pPr>
        <w:pStyle w:val="Caption"/>
        <w:jc w:val="center"/>
        <w:rPr>
          <w:b/>
          <w:i w:val="0"/>
          <w:color w:val="auto"/>
          <w:sz w:val="22"/>
        </w:rPr>
      </w:pPr>
    </w:p>
    <w:p w:rsidR="001630DC" w:rsidRPr="00E904A7" w:rsidRDefault="001630DC" w:rsidP="001630DC">
      <w:pPr>
        <w:pStyle w:val="Caption"/>
        <w:jc w:val="center"/>
        <w:rPr>
          <w:b/>
          <w:i w:val="0"/>
          <w:color w:val="auto"/>
          <w:sz w:val="22"/>
        </w:rPr>
      </w:pPr>
      <w:r w:rsidRPr="00E904A7">
        <w:rPr>
          <w:b/>
          <w:i w:val="0"/>
          <w:color w:val="auto"/>
          <w:sz w:val="22"/>
        </w:rPr>
        <w:t xml:space="preserve">Figure </w:t>
      </w:r>
      <w:r w:rsidRPr="00E904A7">
        <w:rPr>
          <w:b/>
          <w:i w:val="0"/>
          <w:color w:val="auto"/>
          <w:sz w:val="22"/>
        </w:rPr>
        <w:fldChar w:fldCharType="begin"/>
      </w:r>
      <w:r w:rsidRPr="00E904A7">
        <w:rPr>
          <w:b/>
          <w:i w:val="0"/>
          <w:color w:val="auto"/>
          <w:sz w:val="22"/>
        </w:rPr>
        <w:instrText xml:space="preserve"> STYLEREF 1 \s </w:instrText>
      </w:r>
      <w:r w:rsidRPr="00E904A7">
        <w:rPr>
          <w:b/>
          <w:i w:val="0"/>
          <w:color w:val="auto"/>
          <w:sz w:val="22"/>
        </w:rPr>
        <w:fldChar w:fldCharType="separate"/>
      </w:r>
      <w:r w:rsidR="001517D5">
        <w:rPr>
          <w:b/>
          <w:i w:val="0"/>
          <w:noProof/>
          <w:color w:val="auto"/>
          <w:sz w:val="22"/>
          <w:cs/>
        </w:rPr>
        <w:t>‎</w:t>
      </w:r>
      <w:r w:rsidR="001517D5">
        <w:rPr>
          <w:b/>
          <w:i w:val="0"/>
          <w:noProof/>
          <w:color w:val="auto"/>
          <w:sz w:val="22"/>
        </w:rPr>
        <w:t>4</w:t>
      </w:r>
      <w:r w:rsidRPr="00E904A7">
        <w:rPr>
          <w:b/>
          <w:i w:val="0"/>
          <w:color w:val="auto"/>
          <w:sz w:val="22"/>
        </w:rPr>
        <w:fldChar w:fldCharType="end"/>
      </w:r>
      <w:r w:rsidRPr="00E904A7">
        <w:rPr>
          <w:b/>
          <w:i w:val="0"/>
          <w:color w:val="auto"/>
          <w:sz w:val="22"/>
        </w:rPr>
        <w:t>.</w:t>
      </w:r>
      <w:r w:rsidRPr="00E904A7">
        <w:rPr>
          <w:b/>
          <w:i w:val="0"/>
          <w:color w:val="auto"/>
          <w:sz w:val="22"/>
        </w:rPr>
        <w:fldChar w:fldCharType="begin"/>
      </w:r>
      <w:r w:rsidRPr="00E904A7">
        <w:rPr>
          <w:b/>
          <w:i w:val="0"/>
          <w:color w:val="auto"/>
          <w:sz w:val="22"/>
        </w:rPr>
        <w:instrText xml:space="preserve"> SEQ Figure \* ARABIC \s 1 </w:instrText>
      </w:r>
      <w:r w:rsidRPr="00E904A7">
        <w:rPr>
          <w:b/>
          <w:i w:val="0"/>
          <w:color w:val="auto"/>
          <w:sz w:val="22"/>
        </w:rPr>
        <w:fldChar w:fldCharType="separate"/>
      </w:r>
      <w:r w:rsidR="001517D5">
        <w:rPr>
          <w:b/>
          <w:i w:val="0"/>
          <w:noProof/>
          <w:color w:val="auto"/>
          <w:sz w:val="22"/>
        </w:rPr>
        <w:t>1</w:t>
      </w:r>
      <w:r w:rsidRPr="00E904A7">
        <w:rPr>
          <w:b/>
          <w:i w:val="0"/>
          <w:color w:val="auto"/>
          <w:sz w:val="22"/>
        </w:rPr>
        <w:fldChar w:fldCharType="end"/>
      </w:r>
      <w:r w:rsidRPr="00E904A7">
        <w:rPr>
          <w:b/>
          <w:i w:val="0"/>
          <w:color w:val="auto"/>
          <w:sz w:val="22"/>
        </w:rPr>
        <w:t>: Centralized Priority and Communication Flows</w:t>
      </w:r>
      <w:bookmarkEnd w:id="304"/>
    </w:p>
    <w:p w:rsidR="00B11ABC" w:rsidRDefault="00B11ABC" w:rsidP="00B11ABC">
      <w:pPr>
        <w:spacing w:line="480" w:lineRule="auto"/>
        <w:rPr>
          <w:b/>
        </w:rPr>
      </w:pPr>
    </w:p>
    <w:p w:rsidR="001630DC" w:rsidRDefault="001630DC" w:rsidP="00B11ABC">
      <w:pPr>
        <w:spacing w:line="480" w:lineRule="auto"/>
        <w:ind w:firstLine="720"/>
        <w:rPr>
          <w:szCs w:val="24"/>
        </w:rPr>
      </w:pPr>
      <w:r w:rsidRPr="00812CB0">
        <w:rPr>
          <w:szCs w:val="24"/>
        </w:rPr>
        <w:t xml:space="preserve">The </w:t>
      </w:r>
      <w:r>
        <w:rPr>
          <w:szCs w:val="24"/>
        </w:rPr>
        <w:t>centralized model describes TNGO</w:t>
      </w:r>
      <w:r w:rsidRPr="00812CB0">
        <w:rPr>
          <w:szCs w:val="24"/>
        </w:rPr>
        <w:t xml:space="preserve">s that are hierarchical in setting priorities and communication. This was the smallest category of </w:t>
      </w:r>
      <w:r>
        <w:rPr>
          <w:szCs w:val="24"/>
        </w:rPr>
        <w:t>TNGO</w:t>
      </w:r>
      <w:r w:rsidRPr="00812CB0">
        <w:rPr>
          <w:szCs w:val="24"/>
        </w:rPr>
        <w:t xml:space="preserve">s interviewed. This may be the result of donor pressure to increase partnership with local </w:t>
      </w:r>
      <w:r>
        <w:rPr>
          <w:szCs w:val="24"/>
        </w:rPr>
        <w:t>TNGO</w:t>
      </w:r>
      <w:r w:rsidRPr="00812CB0">
        <w:rPr>
          <w:szCs w:val="24"/>
        </w:rPr>
        <w:t>s to create sustainable solutions. It may also indicate bias in the international development sector toward other organizational structures due to environmental complexity.</w:t>
      </w:r>
    </w:p>
    <w:p w:rsidR="001630DC" w:rsidRPr="00812CB0" w:rsidRDefault="001630DC" w:rsidP="001630DC">
      <w:pPr>
        <w:spacing w:line="480" w:lineRule="auto"/>
        <w:rPr>
          <w:szCs w:val="24"/>
        </w:rPr>
      </w:pPr>
      <w:r>
        <w:rPr>
          <w:szCs w:val="24"/>
        </w:rPr>
        <w:tab/>
        <w:t>Of the TNGOs interviewed, only 3</w:t>
      </w:r>
      <w:r w:rsidRPr="00812CB0">
        <w:rPr>
          <w:szCs w:val="24"/>
        </w:rPr>
        <w:t xml:space="preserve"> can be characterized as centralized. This accounts for 14 percent of the </w:t>
      </w:r>
      <w:r>
        <w:rPr>
          <w:szCs w:val="24"/>
        </w:rPr>
        <w:t>organizations interviewed</w:t>
      </w:r>
      <w:r w:rsidRPr="00812CB0">
        <w:rPr>
          <w:szCs w:val="24"/>
        </w:rPr>
        <w:t xml:space="preserve">. These </w:t>
      </w:r>
      <w:r>
        <w:rPr>
          <w:szCs w:val="24"/>
        </w:rPr>
        <w:t>TNGO</w:t>
      </w:r>
      <w:r w:rsidRPr="00812CB0">
        <w:rPr>
          <w:szCs w:val="24"/>
        </w:rPr>
        <w:t>s</w:t>
      </w:r>
      <w:r>
        <w:rPr>
          <w:szCs w:val="24"/>
        </w:rPr>
        <w:t xml:space="preserve"> represented a range of sectors,</w:t>
      </w:r>
      <w:r w:rsidRPr="00812CB0">
        <w:rPr>
          <w:szCs w:val="24"/>
        </w:rPr>
        <w:t xml:space="preserve"> </w:t>
      </w:r>
      <w:r>
        <w:rPr>
          <w:szCs w:val="24"/>
        </w:rPr>
        <w:t>implementing</w:t>
      </w:r>
      <w:r w:rsidRPr="00812CB0">
        <w:rPr>
          <w:szCs w:val="24"/>
        </w:rPr>
        <w:t xml:space="preserve"> programs in health, agriculture, education, and infrastructure development. In two of the cases, the centralized structure was linked to recent leadership changes. </w:t>
      </w:r>
    </w:p>
    <w:p w:rsidR="001630DC" w:rsidRPr="00812CB0" w:rsidRDefault="001630DC" w:rsidP="001630DC">
      <w:pPr>
        <w:spacing w:line="480" w:lineRule="auto"/>
        <w:rPr>
          <w:szCs w:val="24"/>
        </w:rPr>
      </w:pPr>
      <w:r w:rsidRPr="00812CB0">
        <w:rPr>
          <w:szCs w:val="24"/>
        </w:rPr>
        <w:tab/>
      </w:r>
      <w:r>
        <w:rPr>
          <w:szCs w:val="24"/>
        </w:rPr>
        <w:t xml:space="preserve">Decision-making in centralized organizational structures is restricted to U.S. headquarters. Typically the Board of Directors makes strategic country choices, and decisions are subsequently communicated downward to country units. </w:t>
      </w:r>
      <w:r w:rsidRPr="00812CB0">
        <w:rPr>
          <w:szCs w:val="24"/>
        </w:rPr>
        <w:t xml:space="preserve">One country director directly related a transition at the CEO level with less autonomy at the country level, noting the introduction of stricter financial and program-related policies requiring approval from headquarters for spending and other decision-making. Although this </w:t>
      </w:r>
      <w:r>
        <w:rPr>
          <w:szCs w:val="24"/>
        </w:rPr>
        <w:t>TNGO</w:t>
      </w:r>
      <w:r w:rsidRPr="00812CB0">
        <w:rPr>
          <w:szCs w:val="24"/>
        </w:rPr>
        <w:t xml:space="preserve"> identifies itself primarily as an international </w:t>
      </w:r>
      <w:r>
        <w:rPr>
          <w:szCs w:val="24"/>
        </w:rPr>
        <w:t>TNGO</w:t>
      </w:r>
      <w:r w:rsidRPr="00812CB0">
        <w:rPr>
          <w:szCs w:val="24"/>
        </w:rPr>
        <w:t xml:space="preserve">, its program portfolio includes a large domestic program. While this program’s beneficiaries are immigrants and refugees, the hierarchical priority setting and communication creates tension with the country units. This is amplified by the perception that </w:t>
      </w:r>
      <w:r>
        <w:rPr>
          <w:szCs w:val="24"/>
        </w:rPr>
        <w:t>U.S.-based</w:t>
      </w:r>
      <w:r w:rsidRPr="00812CB0">
        <w:rPr>
          <w:szCs w:val="24"/>
        </w:rPr>
        <w:t xml:space="preserve"> staff allocate the majority of their time to this domestic project, despite being designated as international staff, amplifying tension between the units. </w:t>
      </w:r>
    </w:p>
    <w:p w:rsidR="001630DC" w:rsidRPr="00812CB0" w:rsidRDefault="001630DC" w:rsidP="001630DC">
      <w:pPr>
        <w:spacing w:line="480" w:lineRule="auto"/>
        <w:rPr>
          <w:szCs w:val="24"/>
        </w:rPr>
      </w:pPr>
      <w:r w:rsidRPr="00812CB0">
        <w:rPr>
          <w:szCs w:val="24"/>
        </w:rPr>
        <w:tab/>
        <w:t xml:space="preserve">This conflicts with Young’s (2001) emphasis on nonprofit identity and provides support for resource dependency. On the one hand, the organization presents itself as an international entity, yet the perception of field staff is that it is a primarily domestic organization to the detriment of international programs. At the same time, the organization views its domestic beneficiaries as international, fitting with its public profile. At the same time, the “bread and butter” of the organization is with the domestic program, obliging the organization to acknowledge and structure itself in response to the reality. In this case, the environment is complex not in the field, but in its resources. </w:t>
      </w:r>
    </w:p>
    <w:p w:rsidR="001630DC" w:rsidRPr="00812CB0" w:rsidRDefault="001630DC" w:rsidP="001630DC">
      <w:pPr>
        <w:spacing w:line="480" w:lineRule="auto"/>
        <w:rPr>
          <w:szCs w:val="24"/>
        </w:rPr>
      </w:pPr>
      <w:r w:rsidRPr="00812CB0">
        <w:rPr>
          <w:szCs w:val="24"/>
        </w:rPr>
        <w:tab/>
        <w:t xml:space="preserve">Despite the centralized structure that governs policies and goals, fundraising in centralized cases remains the responsibility of the country office. Ghoshal and Nohria’s contingency framework highlights the importance of local resources in organizational structure. Where units are dependent on headquarters for funds, a centralized structure is more likely. In addition, low formalization in routinization and allocation is also characteristic of a centralized structure. However, the relinquished control over resources and the autonomy units exercise in what, when, and how much revenue to pursue poses several challenges for the contingency framework. More specifically, this empirical observation does not correspond with descriptions of centralized MNCs. Instead, it describes high local resources leading to higher degrees of autonomy characteristic of the federative or hybrid models. This may be a reflection of one of the largest challenges for </w:t>
      </w:r>
      <w:r>
        <w:rPr>
          <w:szCs w:val="24"/>
        </w:rPr>
        <w:t>TNGO</w:t>
      </w:r>
      <w:r w:rsidRPr="00812CB0">
        <w:rPr>
          <w:szCs w:val="24"/>
        </w:rPr>
        <w:t xml:space="preserve">s, sustainable and sufficient resources and the environmental complexity requiring field staff expertise. It may also reflect the nature of human resources in some </w:t>
      </w:r>
      <w:r>
        <w:rPr>
          <w:szCs w:val="24"/>
        </w:rPr>
        <w:t>TNGO</w:t>
      </w:r>
      <w:r w:rsidRPr="00812CB0">
        <w:rPr>
          <w:szCs w:val="24"/>
        </w:rPr>
        <w:t xml:space="preserve">s, where resources are channeled toward programs rather than the maintenance of a Business Development unit or other overhead that is common in the for-profit sector. </w:t>
      </w:r>
    </w:p>
    <w:p w:rsidR="001630DC" w:rsidRPr="00812CB0" w:rsidRDefault="001630DC" w:rsidP="001630DC">
      <w:pPr>
        <w:spacing w:line="480" w:lineRule="auto"/>
        <w:rPr>
          <w:szCs w:val="24"/>
        </w:rPr>
      </w:pPr>
      <w:r w:rsidRPr="00812CB0">
        <w:rPr>
          <w:szCs w:val="24"/>
        </w:rPr>
        <w:tab/>
        <w:t xml:space="preserve">Each of the centralized </w:t>
      </w:r>
      <w:r>
        <w:rPr>
          <w:szCs w:val="24"/>
        </w:rPr>
        <w:t>TNGO</w:t>
      </w:r>
      <w:r w:rsidRPr="00812CB0">
        <w:rPr>
          <w:szCs w:val="24"/>
        </w:rPr>
        <w:t xml:space="preserve">s stated that its staff was mostly Ugandan nationals. However, in all cases expatriate staff from Western countries occupied executive level positions. In one case, the entirety of the organization was expatriate staff. This supports the contingency framework, which describes a lack of trust at the local level. In the Ugandan case, interviewees indicated that this outcome is the product of education and training. More simply, the Ugandan education does not produce enough graduates with the knowledge to effectively and efficiently operate a </w:t>
      </w:r>
      <w:r>
        <w:rPr>
          <w:szCs w:val="24"/>
        </w:rPr>
        <w:t>TNGO</w:t>
      </w:r>
      <w:r w:rsidRPr="00812CB0">
        <w:rPr>
          <w:szCs w:val="24"/>
        </w:rPr>
        <w:t xml:space="preserve"> at the level of accountability required by donors. Ethnic competition and patron-client systems prevalent in sub-Saharan Africa </w:t>
      </w:r>
      <w:r w:rsidRPr="00812CB0">
        <w:rPr>
          <w:szCs w:val="24"/>
        </w:rPr>
        <w:fldChar w:fldCharType="begin"/>
      </w:r>
      <w:r>
        <w:rPr>
          <w:szCs w:val="24"/>
        </w:rPr>
        <w:instrText xml:space="preserve"> ADDIN ZOTERO_ITEM CSL_CITATION {"citationID":"94mBftkO","properties":{"formattedCitation":"(Bates, Robert H. 1974; Bevan, Philippa 2004; Eifert, Benn, Edward Miguel, and Daniel N. Posner 2010)","plainCitation":"(Bates, Robert H. 1974; Bevan, Philippa 2004; Eifert, Benn, Edward Miguel, and Daniel N. Posner 2010)"},"citationItems":[{"id":403,"uris":["http://zotero.org/users/381007/items/2BT5V688"],"uri":["http://zotero.org/users/381007/items/2BT5V688"],"itemData":{"id":403,"type":"article-journal","title":"Ethnic Competition and Modernization in Contemporary Africa","container-title":"Comparative Political Studies","page":"457-484","volume":"6","issue":"4","abstract":"Authors seek to answer why ethnic competition and modernization covary in Africa and why, if moderniziation gives rise to competiton, does it take an ethnic form?  Using a qualitative narrative and historical analysis, they argue that ethnic groups form because of colonial boundaries drawn around \"tribes\".  Furthermore, local administrations then become a mechanism by which to draw beneifits of modernity (focus here is on land, education, income, jobs).  Spatial ordering is important as benefits of modernity decline the further a group is removed from an urban center whihc explains rates of change (spatial proximity) as opposed to cultural receptivity.  \n\n\n\nTwo systems of startification develop, one traditional and the other from modernization.  The traditional system is significant in explaining the emergence of ethnic groups in the modern era while the newer system is significant in explaining their persistance.\n\nThe authors look at ethnic behavior as dynamc and rational, noting that as long as these groups are able to deliver benefits they will continue to gain support and persist.","DOI":"10.1177/001041407400600403","author":[{"family":"Bates, Robert H.","given":""}],"issued":{"date-parts":[["1974"]]},"accessed":{"date-parts":[["2011",7,28]]}}},{"id":1442,"uris":["http://zotero.org/users/381007/items/UTVNQRZX"],"uri":["http://zotero.org/users/381007/items/UTVNQRZX"],"itemData":{"id":1442,"type":"chapter","title":"The dynamics of Africa's in/security regimes","container-title":"Insecurity and Welfare Regimes in Asia, Africa and Latin America: Social Policy in Development Contexts","publisher":"Cambridge University Press","publisher-place":"Cambridge","page":"202-252","event-place":"Cambridge","abstract":"African economies have not evolved down the paths (ex. Keynesian or Liberalizaton) prescribed by economists.  Rather, colonial legacies and global influences have created a system of in/security among welfare regimes on the continent in which economies are focused on trade rather than production with large informal and transborder shadow economies favoring patron-client relationships.","author":[{"family":"Bevan, Philippa","given":""}],"container-author":[{"family":"Gough, Ian","given":""},{"family":"Wood, Geof","given":""},{"family":"Barrientos, Armando","given":""},{"family":"Bevan, Philippa","given":""},{"family":"Davis, Peter","given":""},{"family":"Room, Graham","given":""}],"issued":{"date-parts":[["2004"]]}}},{"id":99,"uris":["http://zotero.org/groups/194890/items/DCSKVCVS"],"uri":["http://zotero.org/groups/194890/items/DCSKVCVS"],"itemData":{"id":99,"type":"article-journal","title":"Political Competition and Ethnic Identification in Africa","container-title":"American Journal of Political Science","page":"494-510","volume":"54","issue":"2","abstract":"This article draws on data from over 35,000 respondents in 22 public opinion surveys in 10 countries and finds strong evidence that ethnic identities in Africa are strengthened by exposure to political competition. In particular, for every month closer their country is to a competitive presidential election, survey respondents are 1.8 percentage points more likely to identify in ethnic terms. Using an innovative multinomial logit empirical methodology, we find that these shifts are accompanied by a corresponding reduction in the salience of occupational and class identities. Our findings lend support to situational theories of social identification and are consistent with the view that ethnic identities matter in Africa for instrumental reasons: because they are useful in the competition for political power.","author":[{"family":"Eifert, Benn","given":""},{"family":"Edward Miguel","given":""},{"family":"Daniel N. Posner","given":""}],"issued":{"date-parts":[["2010",4]]},"accessed":{"date-parts":[["2011",11,3]]}}}],"schema":"https://github.com/citation-style-language/schema/raw/master/csl-citation.json"} </w:instrText>
      </w:r>
      <w:r w:rsidRPr="00812CB0">
        <w:rPr>
          <w:szCs w:val="24"/>
        </w:rPr>
        <w:fldChar w:fldCharType="separate"/>
      </w:r>
      <w:r w:rsidRPr="00812CB0">
        <w:rPr>
          <w:noProof/>
          <w:szCs w:val="24"/>
        </w:rPr>
        <w:t>(Bates; Bevan 2004; Eifert, Miguel, and Posner 2010)</w:t>
      </w:r>
      <w:r w:rsidRPr="00812CB0">
        <w:rPr>
          <w:szCs w:val="24"/>
        </w:rPr>
        <w:fldChar w:fldCharType="end"/>
      </w:r>
      <w:r w:rsidRPr="00812CB0">
        <w:rPr>
          <w:szCs w:val="24"/>
        </w:rPr>
        <w:t xml:space="preserve"> are perhaps the most tangible example of this. Family ties place a significant amount of pressure on nationals to hire kinsmen or to otherwise direct benefits to them. For this reason, many </w:t>
      </w:r>
      <w:r>
        <w:rPr>
          <w:szCs w:val="24"/>
        </w:rPr>
        <w:t>TNGO</w:t>
      </w:r>
      <w:r w:rsidRPr="00812CB0">
        <w:rPr>
          <w:szCs w:val="24"/>
        </w:rPr>
        <w:t xml:space="preserve">s place Western staff in decision-making positions or make efforts to place national staff outside of their home region. In the latter case, pressure may transfer from kinship to a broader Ugandan identity. In organizations with Ugandan staff, country directors expressed the hope that the education system would eventually supply enough qualified individuals that the work became self-sustainable and Western staff would no longer be necessary. </w:t>
      </w:r>
    </w:p>
    <w:p w:rsidR="001630DC" w:rsidRPr="00812CB0" w:rsidRDefault="001630DC" w:rsidP="001630DC">
      <w:pPr>
        <w:spacing w:line="480" w:lineRule="auto"/>
        <w:rPr>
          <w:szCs w:val="24"/>
        </w:rPr>
      </w:pPr>
      <w:r w:rsidRPr="00812CB0">
        <w:rPr>
          <w:szCs w:val="24"/>
        </w:rPr>
        <w:tab/>
        <w:t xml:space="preserve">Centralized organizational structures exhibit low socialization. Although there may be opportunity for national staff to move within country or region, opportunities for them to advance through the organization are absent. In addition, the top-down nature of communication and priority setting does not emphasize socialization between organization units. Furthermore, competition between units, especially in the same region, for the same funds may further provides a disincentive for knowledge sharing and socialization. </w:t>
      </w:r>
    </w:p>
    <w:p w:rsidR="001630DC" w:rsidRDefault="001630DC" w:rsidP="001630DC">
      <w:pPr>
        <w:spacing w:line="480" w:lineRule="auto"/>
        <w:rPr>
          <w:szCs w:val="24"/>
        </w:rPr>
      </w:pPr>
      <w:r w:rsidRPr="00812CB0">
        <w:rPr>
          <w:szCs w:val="24"/>
        </w:rPr>
        <w:tab/>
        <w:t xml:space="preserve">Proposition 1a states that centralized </w:t>
      </w:r>
      <w:r>
        <w:rPr>
          <w:szCs w:val="24"/>
        </w:rPr>
        <w:t>TNGO</w:t>
      </w:r>
      <w:r w:rsidRPr="00812CB0">
        <w:rPr>
          <w:szCs w:val="24"/>
        </w:rPr>
        <w:t xml:space="preserve">s follow a top-down approach to decision-making and communication of priorities. This proposition holds true along two of the three dimensions, high centralization and low socialization, but requires some adjustment to transfer from MNCs to </w:t>
      </w:r>
      <w:r>
        <w:rPr>
          <w:szCs w:val="24"/>
        </w:rPr>
        <w:t>TNGO</w:t>
      </w:r>
      <w:r w:rsidRPr="00812CB0">
        <w:rPr>
          <w:szCs w:val="24"/>
        </w:rPr>
        <w:t xml:space="preserve">s. The contingency framework’s propositions about centralized organizational structures among MNCs holds true for </w:t>
      </w:r>
      <w:r>
        <w:rPr>
          <w:szCs w:val="24"/>
        </w:rPr>
        <w:t>TNGO</w:t>
      </w:r>
      <w:r w:rsidRPr="00812CB0">
        <w:rPr>
          <w:szCs w:val="24"/>
        </w:rPr>
        <w:t xml:space="preserve">s along several dimensions, however, it is evident that </w:t>
      </w:r>
      <w:r>
        <w:rPr>
          <w:szCs w:val="24"/>
        </w:rPr>
        <w:t>TNGO</w:t>
      </w:r>
      <w:r w:rsidRPr="00812CB0">
        <w:rPr>
          <w:szCs w:val="24"/>
        </w:rPr>
        <w:t xml:space="preserve">s are unique in several ways. First, the nature of fundraising and revenue diversification requires some adjustments to the framework. Along this dimension, there may be more similarities across </w:t>
      </w:r>
      <w:r>
        <w:rPr>
          <w:szCs w:val="24"/>
        </w:rPr>
        <w:t>TNGO</w:t>
      </w:r>
      <w:r w:rsidRPr="00812CB0">
        <w:rPr>
          <w:szCs w:val="24"/>
        </w:rPr>
        <w:t xml:space="preserve">s than present across MNCs. Second, although the framework’s description of human resources at the local level is appropriate in terms of thresholds, the underlying factors must be reexamined. Finally, the consistency of environmental complexity given the single country case of Uganda should also be reexamined to incorporate mission and subsector to address structural variation across </w:t>
      </w:r>
      <w:r>
        <w:rPr>
          <w:szCs w:val="24"/>
        </w:rPr>
        <w:t>TNGO</w:t>
      </w:r>
      <w:r w:rsidRPr="00812CB0">
        <w:rPr>
          <w:szCs w:val="24"/>
        </w:rPr>
        <w:t xml:space="preserve">s working in the same sector and field. </w:t>
      </w:r>
    </w:p>
    <w:p w:rsidR="00504DC3" w:rsidRDefault="00504DC3" w:rsidP="00504DC3">
      <w:pPr>
        <w:spacing w:line="480" w:lineRule="auto"/>
        <w:rPr>
          <w:szCs w:val="24"/>
        </w:rPr>
      </w:pPr>
    </w:p>
    <w:p w:rsidR="001630DC" w:rsidRPr="00812CB0" w:rsidRDefault="001630DC" w:rsidP="00504DC3">
      <w:pPr>
        <w:spacing w:line="480" w:lineRule="auto"/>
        <w:jc w:val="center"/>
        <w:rPr>
          <w:i/>
          <w:szCs w:val="24"/>
        </w:rPr>
      </w:pPr>
      <w:r w:rsidRPr="00812CB0">
        <w:rPr>
          <w:i/>
          <w:szCs w:val="24"/>
        </w:rPr>
        <w:t>Federative</w:t>
      </w:r>
    </w:p>
    <w:p w:rsidR="001630DC" w:rsidRPr="00426DE4" w:rsidRDefault="001630DC" w:rsidP="001630DC">
      <w:pPr>
        <w:spacing w:line="480" w:lineRule="auto"/>
        <w:rPr>
          <w:i/>
        </w:rPr>
      </w:pPr>
      <w:r w:rsidRPr="00426DE4">
        <w:rPr>
          <w:i/>
        </w:rPr>
        <w:t xml:space="preserve">Proposition 1b: Federative </w:t>
      </w:r>
      <w:r>
        <w:rPr>
          <w:i/>
        </w:rPr>
        <w:t>TNGO</w:t>
      </w:r>
      <w:r w:rsidRPr="00426DE4">
        <w:rPr>
          <w:i/>
        </w:rPr>
        <w:t xml:space="preserve">s follow a bottom-up, yet autonomous, approach to priority setting, framing, and communication. </w:t>
      </w:r>
    </w:p>
    <w:p w:rsidR="00B11ABC" w:rsidRDefault="001630DC" w:rsidP="001630DC">
      <w:pPr>
        <w:spacing w:line="480" w:lineRule="auto"/>
        <w:rPr>
          <w:szCs w:val="24"/>
        </w:rPr>
      </w:pPr>
      <w:r w:rsidRPr="00812CB0">
        <w:rPr>
          <w:szCs w:val="24"/>
        </w:rPr>
        <w:tab/>
        <w:t xml:space="preserve">The federative model represents </w:t>
      </w:r>
      <w:r>
        <w:rPr>
          <w:szCs w:val="24"/>
        </w:rPr>
        <w:t>TNGO</w:t>
      </w:r>
      <w:r w:rsidRPr="00812CB0">
        <w:rPr>
          <w:szCs w:val="24"/>
        </w:rPr>
        <w:t xml:space="preserve">s that operate on a largely autonomous basis. The parent entity, U.S. headquarters, provides guidance but serves a mostly symbolic purpose. It may also function as an advocacy arm to represent interests of the organization and as a coordinating body for the sub-units that fall under its umbrella. Individual organizational units receive support through branding. This means that federative organizations have a cohesive identity, mission, and message that may include words and images. Consequently, the brand of the organization is easily recognizable regardless of location. Despite this, each unit is responsible for its strategic planning, fundraising, collaborative decision-making, programmatic choices, and location selection. </w:t>
      </w:r>
    </w:p>
    <w:p w:rsidR="001630DC" w:rsidRPr="00812CB0" w:rsidRDefault="00BC20CD" w:rsidP="001630DC">
      <w:pPr>
        <w:spacing w:line="480" w:lineRule="auto"/>
        <w:rPr>
          <w:szCs w:val="24"/>
        </w:rPr>
      </w:pPr>
      <w:r>
        <w:rPr>
          <w:noProof/>
        </w:rPr>
        <mc:AlternateContent>
          <mc:Choice Requires="wps">
            <w:drawing>
              <wp:anchor distT="0" distB="0" distL="114300" distR="114300" simplePos="0" relativeHeight="251665920" behindDoc="0" locked="0" layoutInCell="1" allowOverlap="1">
                <wp:simplePos x="0" y="0"/>
                <wp:positionH relativeFrom="column">
                  <wp:posOffset>3886200</wp:posOffset>
                </wp:positionH>
                <wp:positionV relativeFrom="paragraph">
                  <wp:posOffset>45720</wp:posOffset>
                </wp:positionV>
                <wp:extent cx="1028700" cy="457200"/>
                <wp:effectExtent l="0" t="0" r="3810" b="4445"/>
                <wp:wrapTight wrapText="bothSides">
                  <wp:wrapPolygon edited="0">
                    <wp:start x="0" y="0"/>
                    <wp:lineTo x="0" y="0"/>
                    <wp:lineTo x="0" y="0"/>
                  </wp:wrapPolygon>
                </wp:wrapTight>
                <wp:docPr id="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FB1D4A" w:rsidRDefault="00F43496" w:rsidP="001630DC">
                            <w:pPr>
                              <w:pBdr>
                                <w:top w:val="single" w:sz="4" w:space="1" w:color="auto"/>
                                <w:left w:val="single" w:sz="4" w:space="4" w:color="auto"/>
                                <w:bottom w:val="single" w:sz="4" w:space="2" w:color="auto"/>
                                <w:right w:val="single" w:sz="4" w:space="4" w:color="auto"/>
                              </w:pBdr>
                              <w:jc w:val="center"/>
                              <w:rPr>
                                <w:sz w:val="22"/>
                              </w:rPr>
                            </w:pPr>
                            <w:r w:rsidRPr="00FB1D4A">
                              <w:rPr>
                                <w:sz w:val="22"/>
                              </w:rPr>
                              <w:t>Country C</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0" o:spid="_x0000_s1037" type="#_x0000_t202" style="position:absolute;margin-left:306pt;margin-top:3.6pt;width:81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" filled="f" stroked="f">
                <v:textbox inset=",7.2pt,,7.2pt">
                  <w:txbxContent>
                    <w:p w:rsidR="00F43496" w:rsidRPr="00FB1D4A" w:rsidRDefault="00F43496" w:rsidP="001630DC">
                      <w:pPr>
                        <w:pBdr>
                          <w:top w:val="single" w:sz="4" w:space="1" w:color="auto"/>
                          <w:left w:val="single" w:sz="4" w:space="4" w:color="auto"/>
                          <w:bottom w:val="single" w:sz="4" w:space="2" w:color="auto"/>
                          <w:right w:val="single" w:sz="4" w:space="4" w:color="auto"/>
                        </w:pBdr>
                        <w:jc w:val="center"/>
                        <w:rPr>
                          <w:sz w:val="22"/>
                        </w:rPr>
                      </w:pPr>
                      <w:r w:rsidRPr="00FB1D4A">
                        <w:rPr>
                          <w:sz w:val="22"/>
                        </w:rPr>
                        <w:t>Country C</w:t>
                      </w:r>
                    </w:p>
                  </w:txbxContent>
                </v:textbox>
                <w10:wrap type="tight"/>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457200</wp:posOffset>
                </wp:positionH>
                <wp:positionV relativeFrom="paragraph">
                  <wp:posOffset>45720</wp:posOffset>
                </wp:positionV>
                <wp:extent cx="1028700" cy="457200"/>
                <wp:effectExtent l="0" t="0" r="3810" b="4445"/>
                <wp:wrapTight wrapText="bothSides">
                  <wp:wrapPolygon edited="0">
                    <wp:start x="0" y="0"/>
                    <wp:lineTo x="0" y="0"/>
                    <wp:lineTo x="0" y="0"/>
                  </wp:wrapPolygon>
                </wp:wrapTight>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Country A</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39" o:spid="_x0000_s1038" type="#_x0000_t202" style="position:absolute;margin-left:36pt;margin-top:3.6pt;width:81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" filled="f" stroked="f">
                <v:textbox inset=",7.2pt,,7.2pt">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Country A</w:t>
                      </w:r>
                    </w:p>
                  </w:txbxContent>
                </v:textbox>
                <w10:wrap type="tight"/>
              </v:shap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3543300</wp:posOffset>
                </wp:positionH>
                <wp:positionV relativeFrom="paragraph">
                  <wp:posOffset>685800</wp:posOffset>
                </wp:positionV>
                <wp:extent cx="228600" cy="228600"/>
                <wp:effectExtent l="15240" t="6985" r="13335" b="40640"/>
                <wp:wrapTight wrapText="bothSides">
                  <wp:wrapPolygon edited="0">
                    <wp:start x="2700" y="-900"/>
                    <wp:lineTo x="22500" y="19800"/>
                    <wp:lineTo x="22500" y="24300"/>
                    <wp:lineTo x="19800" y="24300"/>
                    <wp:lineTo x="18900" y="24300"/>
                    <wp:lineTo x="6300" y="13500"/>
                    <wp:lineTo x="-900" y="2700"/>
                    <wp:lineTo x="-900" y="-900"/>
                    <wp:lineTo x="2700" y="-900"/>
                  </wp:wrapPolygon>
                </wp:wrapTight>
                <wp:docPr id="2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6BBC41D7" id="Line 4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from="279pt,54pt" to="297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" strokeweight="1pt">
                <v:shadow on="t" opacity="22938f" offset="0"/>
                <w10:wrap type="tight"/>
              </v:lin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1828800</wp:posOffset>
                </wp:positionH>
                <wp:positionV relativeFrom="paragraph">
                  <wp:posOffset>685800</wp:posOffset>
                </wp:positionV>
                <wp:extent cx="228600" cy="228600"/>
                <wp:effectExtent l="15240" t="6985" r="13335" b="40640"/>
                <wp:wrapTight wrapText="bothSides">
                  <wp:wrapPolygon edited="0">
                    <wp:start x="-900" y="-900"/>
                    <wp:lineTo x="-900" y="3600"/>
                    <wp:lineTo x="18900" y="24300"/>
                    <wp:lineTo x="22500" y="24300"/>
                    <wp:lineTo x="22500" y="20700"/>
                    <wp:lineTo x="1800" y="-900"/>
                    <wp:lineTo x="-900" y="-900"/>
                  </wp:wrapPolygon>
                </wp:wrapTight>
                <wp:docPr id="2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630611EE" id="Line 4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from="2in,54pt" to="16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" strokeweight="1pt">
                <v:shadow on="t" opacity="22938f" offset="0"/>
                <w10:wrap type="tight"/>
              </v:lin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2171700</wp:posOffset>
                </wp:positionH>
                <wp:positionV relativeFrom="paragraph">
                  <wp:posOffset>914400</wp:posOffset>
                </wp:positionV>
                <wp:extent cx="1257300" cy="571500"/>
                <wp:effectExtent l="0" t="0" r="3810" b="2540"/>
                <wp:wrapTight wrapText="bothSides">
                  <wp:wrapPolygon edited="0">
                    <wp:start x="0" y="0"/>
                    <wp:lineTo x="0" y="0"/>
                    <wp:lineTo x="0" y="0"/>
                  </wp:wrapPolygon>
                </wp:wrapTight>
                <wp:docPr id="2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U.S. Headquarters</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38" o:spid="_x0000_s1039" type="#_x0000_t202" style="position:absolute;margin-left:171pt;margin-top:1in;width:99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" filled="f" stroked="f">
                <v:textbox inset=",7.2pt,,7.2pt">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U.S. Headquarters</w:t>
                      </w:r>
                    </w:p>
                  </w:txbxContent>
                </v:textbox>
                <w10:wrap type="tight"/>
              </v:shape>
            </w:pict>
          </mc:Fallback>
        </mc:AlternateContent>
      </w:r>
    </w:p>
    <w:p w:rsidR="001630DC" w:rsidRPr="00812CB0" w:rsidRDefault="00BC20CD" w:rsidP="001630DC">
      <w:pPr>
        <w:spacing w:line="480" w:lineRule="auto"/>
        <w:rPr>
          <w:szCs w:val="24"/>
        </w:rPr>
      </w:pPr>
      <w:r>
        <w:rPr>
          <w:noProof/>
        </w:rPr>
        <mc:AlternateContent>
          <mc:Choice Requires="wps">
            <w:drawing>
              <wp:anchor distT="0" distB="0" distL="114300" distR="114300" simplePos="0" relativeHeight="251667968" behindDoc="0" locked="0" layoutInCell="1" allowOverlap="1">
                <wp:simplePos x="0" y="0"/>
                <wp:positionH relativeFrom="column">
                  <wp:posOffset>3543300</wp:posOffset>
                </wp:positionH>
                <wp:positionV relativeFrom="paragraph">
                  <wp:posOffset>800100</wp:posOffset>
                </wp:positionV>
                <wp:extent cx="228600" cy="228600"/>
                <wp:effectExtent l="15240" t="14605" r="13335" b="33020"/>
                <wp:wrapTight wrapText="bothSides">
                  <wp:wrapPolygon edited="0">
                    <wp:start x="-900" y="-900"/>
                    <wp:lineTo x="-900" y="3600"/>
                    <wp:lineTo x="18900" y="24300"/>
                    <wp:lineTo x="22500" y="24300"/>
                    <wp:lineTo x="22500" y="20700"/>
                    <wp:lineTo x="1800" y="-900"/>
                    <wp:lineTo x="-900" y="-900"/>
                  </wp:wrapPolygon>
                </wp:wrapTight>
                <wp:docPr id="2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40768B46" id="Line 4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from="279pt,63pt" to="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" strokeweight="1pt">
                <v:shadow on="t" opacity="22938f" offset="0"/>
                <w10:wrap type="tight"/>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1828800</wp:posOffset>
                </wp:positionH>
                <wp:positionV relativeFrom="paragraph">
                  <wp:posOffset>800100</wp:posOffset>
                </wp:positionV>
                <wp:extent cx="228600" cy="248920"/>
                <wp:effectExtent l="15240" t="14605" r="13335" b="41275"/>
                <wp:wrapTight wrapText="bothSides">
                  <wp:wrapPolygon edited="0">
                    <wp:start x="2700" y="-827"/>
                    <wp:lineTo x="22500" y="19947"/>
                    <wp:lineTo x="22500" y="24080"/>
                    <wp:lineTo x="19800" y="24080"/>
                    <wp:lineTo x="18900" y="24080"/>
                    <wp:lineTo x="6300" y="12453"/>
                    <wp:lineTo x="-900" y="2480"/>
                    <wp:lineTo x="-900" y="-827"/>
                    <wp:lineTo x="2700" y="-827"/>
                  </wp:wrapPolygon>
                </wp:wrapTight>
                <wp:docPr id="2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48920"/>
                        </a:xfrm>
                        <a:prstGeom prst="line">
                          <a:avLst/>
                        </a:prstGeom>
                        <a:noFill/>
                        <a:ln w="12700">
                          <a:solidFill>
                            <a:srgbClr val="00000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1535E920" id="Line 46"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 from="2in,63pt" to="162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" strokeweight="1pt">
                <v:shadow on="t" opacity="22938f" offset="0"/>
                <w10:wrap type="tight"/>
              </v:line>
            </w:pict>
          </mc:Fallback>
        </mc:AlternateContent>
      </w:r>
    </w:p>
    <w:p w:rsidR="001630DC" w:rsidRPr="00812CB0" w:rsidRDefault="00BC20CD" w:rsidP="001630DC">
      <w:pPr>
        <w:spacing w:line="480" w:lineRule="auto"/>
        <w:jc w:val="center"/>
        <w:rPr>
          <w:szCs w:val="24"/>
        </w:rPr>
      </w:pPr>
      <w:r>
        <w:rPr>
          <w:noProof/>
        </w:rPr>
        <mc:AlternateContent>
          <mc:Choice Requires="wps">
            <w:drawing>
              <wp:anchor distT="0" distB="0" distL="114300" distR="114300" simplePos="0" relativeHeight="251666944" behindDoc="0" locked="0" layoutInCell="1" allowOverlap="1">
                <wp:simplePos x="0" y="0"/>
                <wp:positionH relativeFrom="column">
                  <wp:posOffset>3886200</wp:posOffset>
                </wp:positionH>
                <wp:positionV relativeFrom="paragraph">
                  <wp:posOffset>330200</wp:posOffset>
                </wp:positionV>
                <wp:extent cx="1028700" cy="457200"/>
                <wp:effectExtent l="0" t="4445" r="3810" b="0"/>
                <wp:wrapTight wrapText="bothSides">
                  <wp:wrapPolygon edited="0">
                    <wp:start x="0" y="0"/>
                    <wp:lineTo x="0" y="0"/>
                    <wp:lineTo x="0" y="0"/>
                  </wp:wrapPolygon>
                </wp:wrapTight>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FB1D4A" w:rsidRDefault="00F43496" w:rsidP="00201ADC">
                            <w:pPr>
                              <w:pBdr>
                                <w:top w:val="single" w:sz="4" w:space="1" w:color="auto"/>
                                <w:left w:val="single" w:sz="4" w:space="4" w:color="auto"/>
                                <w:bottom w:val="single" w:sz="4" w:space="1" w:color="auto"/>
                                <w:right w:val="single" w:sz="4" w:space="4" w:color="auto"/>
                              </w:pBdr>
                              <w:tabs>
                                <w:tab w:val="left" w:pos="180"/>
                              </w:tabs>
                              <w:ind w:left="90"/>
                              <w:jc w:val="center"/>
                              <w:rPr>
                                <w:sz w:val="22"/>
                              </w:rPr>
                            </w:pPr>
                            <w:r w:rsidRPr="00FB1D4A">
                              <w:rPr>
                                <w:sz w:val="22"/>
                              </w:rPr>
                              <w:t>Country D</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1" o:spid="_x0000_s1040" type="#_x0000_t202" style="position:absolute;left:0;text-align:left;margin-left:306pt;margin-top:26pt;width:81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" filled="f" stroked="f">
                <v:textbox inset=",7.2pt,,7.2pt">
                  <w:txbxContent>
                    <w:p w:rsidR="00F43496" w:rsidRPr="00FB1D4A" w:rsidRDefault="00F43496" w:rsidP="00201ADC">
                      <w:pPr>
                        <w:pBdr>
                          <w:top w:val="single" w:sz="4" w:space="1" w:color="auto"/>
                          <w:left w:val="single" w:sz="4" w:space="4" w:color="auto"/>
                          <w:bottom w:val="single" w:sz="4" w:space="1" w:color="auto"/>
                          <w:right w:val="single" w:sz="4" w:space="4" w:color="auto"/>
                        </w:pBdr>
                        <w:tabs>
                          <w:tab w:val="left" w:pos="180"/>
                        </w:tabs>
                        <w:ind w:left="90"/>
                        <w:jc w:val="center"/>
                        <w:rPr>
                          <w:sz w:val="22"/>
                        </w:rPr>
                      </w:pPr>
                      <w:r w:rsidRPr="00FB1D4A">
                        <w:rPr>
                          <w:sz w:val="22"/>
                        </w:rPr>
                        <w:t>Country D</w:t>
                      </w:r>
                    </w:p>
                  </w:txbxContent>
                </v:textbox>
                <w10:wrap type="tight"/>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457200</wp:posOffset>
                </wp:positionH>
                <wp:positionV relativeFrom="paragraph">
                  <wp:posOffset>330200</wp:posOffset>
                </wp:positionV>
                <wp:extent cx="1028700" cy="457200"/>
                <wp:effectExtent l="0" t="4445" r="3810" b="0"/>
                <wp:wrapTight wrapText="bothSides">
                  <wp:wrapPolygon edited="0">
                    <wp:start x="0" y="0"/>
                    <wp:lineTo x="0" y="0"/>
                    <wp:lineTo x="0" y="0"/>
                  </wp:wrapPolygon>
                </wp:wrapTight>
                <wp:docPr id="2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Country B</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5" o:spid="_x0000_s1041" type="#_x0000_t202" style="position:absolute;left:0;text-align:left;margin-left:36pt;margin-top:26pt;width:81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" filled="f" stroked="f">
                <v:textbox inset=",7.2pt,,7.2pt">
                  <w:txbxContent>
                    <w:p w:rsidR="00F43496" w:rsidRPr="00FB1D4A" w:rsidRDefault="00F43496" w:rsidP="001630DC">
                      <w:pPr>
                        <w:pBdr>
                          <w:top w:val="single" w:sz="4" w:space="1" w:color="auto"/>
                          <w:left w:val="single" w:sz="4" w:space="4" w:color="auto"/>
                          <w:bottom w:val="single" w:sz="4" w:space="1" w:color="auto"/>
                          <w:right w:val="single" w:sz="4" w:space="4" w:color="auto"/>
                        </w:pBdr>
                        <w:jc w:val="center"/>
                        <w:rPr>
                          <w:sz w:val="22"/>
                        </w:rPr>
                      </w:pPr>
                      <w:r w:rsidRPr="00FB1D4A">
                        <w:rPr>
                          <w:sz w:val="22"/>
                        </w:rPr>
                        <w:t>Country B</w:t>
                      </w:r>
                    </w:p>
                  </w:txbxContent>
                </v:textbox>
                <w10:wrap type="tight"/>
              </v:shape>
            </w:pict>
          </mc:Fallback>
        </mc:AlternateContent>
      </w:r>
    </w:p>
    <w:p w:rsidR="001630DC" w:rsidRPr="00812CB0" w:rsidRDefault="001630DC" w:rsidP="001630DC">
      <w:pPr>
        <w:spacing w:line="480" w:lineRule="auto"/>
        <w:rPr>
          <w:szCs w:val="24"/>
        </w:rPr>
      </w:pPr>
    </w:p>
    <w:p w:rsidR="001630DC" w:rsidRDefault="001630DC" w:rsidP="001630DC">
      <w:pPr>
        <w:pStyle w:val="Caption"/>
        <w:jc w:val="center"/>
        <w:rPr>
          <w:b/>
          <w:i w:val="0"/>
          <w:color w:val="auto"/>
          <w:sz w:val="22"/>
        </w:rPr>
      </w:pPr>
    </w:p>
    <w:p w:rsidR="001630DC" w:rsidRDefault="001630DC" w:rsidP="001630DC">
      <w:pPr>
        <w:pStyle w:val="Caption"/>
        <w:jc w:val="center"/>
        <w:rPr>
          <w:b/>
          <w:i w:val="0"/>
          <w:color w:val="auto"/>
          <w:sz w:val="22"/>
        </w:rPr>
      </w:pPr>
      <w:bookmarkStart w:id="305" w:name="_Toc318115838"/>
      <w:r w:rsidRPr="00812CB0">
        <w:rPr>
          <w:b/>
          <w:i w:val="0"/>
          <w:color w:val="auto"/>
          <w:sz w:val="22"/>
        </w:rPr>
        <w:t xml:space="preserve">Figure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4</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Figure \* ARABIC \s 1 </w:instrText>
      </w:r>
      <w:r>
        <w:rPr>
          <w:b/>
          <w:i w:val="0"/>
          <w:color w:val="auto"/>
          <w:sz w:val="22"/>
        </w:rPr>
        <w:fldChar w:fldCharType="separate"/>
      </w:r>
      <w:r w:rsidR="001517D5">
        <w:rPr>
          <w:b/>
          <w:i w:val="0"/>
          <w:noProof/>
          <w:color w:val="auto"/>
          <w:sz w:val="22"/>
        </w:rPr>
        <w:t>2</w:t>
      </w:r>
      <w:r>
        <w:rPr>
          <w:b/>
          <w:i w:val="0"/>
          <w:color w:val="auto"/>
          <w:sz w:val="22"/>
        </w:rPr>
        <w:fldChar w:fldCharType="end"/>
      </w:r>
      <w:r>
        <w:rPr>
          <w:b/>
          <w:i w:val="0"/>
          <w:color w:val="auto"/>
          <w:sz w:val="22"/>
        </w:rPr>
        <w:t>:</w:t>
      </w:r>
      <w:r w:rsidRPr="00812CB0">
        <w:rPr>
          <w:b/>
          <w:i w:val="0"/>
          <w:color w:val="auto"/>
          <w:sz w:val="22"/>
        </w:rPr>
        <w:t xml:space="preserve"> Federative Priority and Communication Flows</w:t>
      </w:r>
      <w:bookmarkEnd w:id="305"/>
    </w:p>
    <w:p w:rsidR="001630DC" w:rsidRDefault="001630DC" w:rsidP="001630DC"/>
    <w:p w:rsidR="00B11ABC" w:rsidRPr="007C6E15" w:rsidRDefault="00B11ABC" w:rsidP="001630DC"/>
    <w:p w:rsidR="001630DC" w:rsidRPr="00812CB0" w:rsidRDefault="001630DC" w:rsidP="001630DC">
      <w:pPr>
        <w:spacing w:line="480" w:lineRule="auto"/>
        <w:rPr>
          <w:szCs w:val="24"/>
        </w:rPr>
      </w:pPr>
      <w:r w:rsidRPr="00812CB0">
        <w:rPr>
          <w:szCs w:val="24"/>
        </w:rPr>
        <w:tab/>
        <w:t xml:space="preserve">Federative </w:t>
      </w:r>
      <w:r>
        <w:rPr>
          <w:szCs w:val="24"/>
        </w:rPr>
        <w:t>TNGO</w:t>
      </w:r>
      <w:r w:rsidRPr="00812CB0">
        <w:rPr>
          <w:szCs w:val="24"/>
        </w:rPr>
        <w:t xml:space="preserve">s comprise 29 percent of organizations interviewed. They represent a range of subsectors, but predominantly specialize in politically sensitive issues or in geographically remote areas that exhibit a high level of need. Although these locations are isolated, field staff knowledgeable about existing need and politics strategically selects them. Without such expertise, it would be challenging to carry out the sensitive programs and services provided by such organizations, underlining how high environmental complexity can promote a federative structure. This type of decentralized structure allows for an overarching mission while also permitting flexibility at the country level. Such flexibility may also be useful in quickly adapting to situations and pivoting in sensitive political landscapes. </w:t>
      </w:r>
    </w:p>
    <w:p w:rsidR="001630DC" w:rsidRPr="00812CB0" w:rsidRDefault="001630DC" w:rsidP="001630DC">
      <w:pPr>
        <w:spacing w:line="480" w:lineRule="auto"/>
        <w:rPr>
          <w:szCs w:val="24"/>
        </w:rPr>
      </w:pPr>
      <w:r w:rsidRPr="00812CB0">
        <w:rPr>
          <w:szCs w:val="24"/>
        </w:rPr>
        <w:tab/>
        <w:t xml:space="preserve">Federative organizations share values, broad objectives, and their mission. Beyond these three elements, the individual country units have a large degree of independence from headquarters to make decisions at the local level financially and programmatically. As a result, country offices operate like discrete entities with some support from the umbrella organization. For example, a refugee </w:t>
      </w:r>
      <w:r>
        <w:rPr>
          <w:szCs w:val="24"/>
        </w:rPr>
        <w:t>TNGO</w:t>
      </w:r>
      <w:r w:rsidRPr="00812CB0">
        <w:rPr>
          <w:szCs w:val="24"/>
        </w:rPr>
        <w:t xml:space="preserve"> in Uganda shares its values and mission with sister organizations operating in other parts of the world, but it is responsible for its own fundraising, lobbying, and implementation decision-making.</w:t>
      </w:r>
    </w:p>
    <w:p w:rsidR="001630DC" w:rsidRPr="00812CB0" w:rsidRDefault="001630DC" w:rsidP="001630DC">
      <w:pPr>
        <w:spacing w:line="480" w:lineRule="auto"/>
        <w:rPr>
          <w:szCs w:val="24"/>
        </w:rPr>
      </w:pPr>
      <w:r w:rsidRPr="00812CB0">
        <w:rPr>
          <w:szCs w:val="24"/>
        </w:rPr>
        <w:tab/>
        <w:t xml:space="preserve">Location decisions must coincide with the organization’s mission and an interest from donors. The identity of these types of </w:t>
      </w:r>
      <w:r>
        <w:rPr>
          <w:szCs w:val="24"/>
        </w:rPr>
        <w:t>TNGO</w:t>
      </w:r>
      <w:r w:rsidRPr="00812CB0">
        <w:rPr>
          <w:szCs w:val="24"/>
        </w:rPr>
        <w:t xml:space="preserve">s also figures into the decision-making process as the often work with at-risk populations or in conflict sensitive areas. In a second example, the country headquarters was unusually located outside of Kampala. While many </w:t>
      </w:r>
      <w:r>
        <w:rPr>
          <w:szCs w:val="24"/>
        </w:rPr>
        <w:t>TNGO</w:t>
      </w:r>
      <w:r w:rsidRPr="00812CB0">
        <w:rPr>
          <w:szCs w:val="24"/>
        </w:rPr>
        <w:t xml:space="preserve">s choose to base themselves in Kampala for convenience, it also provides access to policymakers. In this case, the location selected served two conflict-prone areas in neighboring countries. In another case, the </w:t>
      </w:r>
      <w:r>
        <w:rPr>
          <w:szCs w:val="24"/>
        </w:rPr>
        <w:t>TNGO</w:t>
      </w:r>
      <w:r w:rsidRPr="00812CB0">
        <w:rPr>
          <w:szCs w:val="24"/>
        </w:rPr>
        <w:t xml:space="preserve"> maintained a country headquarters in Kampala, but operated semi-permanent field offices based on existing programs. Within countries, there is a high degree of socialization within units due to the fluid nature of location and need. Notably, the umbrella organization and not the country unit make decisions to withdrawal from a location due to conflict or otherwise. </w:t>
      </w:r>
    </w:p>
    <w:p w:rsidR="001630DC" w:rsidRPr="00812CB0" w:rsidRDefault="001630DC" w:rsidP="001630DC">
      <w:pPr>
        <w:spacing w:line="480" w:lineRule="auto"/>
        <w:rPr>
          <w:szCs w:val="24"/>
        </w:rPr>
      </w:pPr>
      <w:r w:rsidRPr="00812CB0">
        <w:rPr>
          <w:szCs w:val="24"/>
        </w:rPr>
        <w:tab/>
        <w:t xml:space="preserve">Socialization within the broader organization, however, is low. Federative organizations are also less likely to collaborate with other </w:t>
      </w:r>
      <w:r>
        <w:rPr>
          <w:szCs w:val="24"/>
        </w:rPr>
        <w:t>TNGO</w:t>
      </w:r>
      <w:r w:rsidRPr="00812CB0">
        <w:rPr>
          <w:szCs w:val="24"/>
        </w:rPr>
        <w:t xml:space="preserve">s. Collaboration between country units is uncommon due to the organizational structure and culture. Collaboration with other </w:t>
      </w:r>
      <w:r>
        <w:rPr>
          <w:szCs w:val="24"/>
        </w:rPr>
        <w:t>TNGO</w:t>
      </w:r>
      <w:r w:rsidRPr="00812CB0">
        <w:rPr>
          <w:szCs w:val="24"/>
        </w:rPr>
        <w:t xml:space="preserve">s is also infrequent, although several interviewees noted that knowledge sharing across organizations does occur in the Ugandan case through monthly meetings of country directors. These meetings act as a vetting mechanism and knowledge sharing platform for </w:t>
      </w:r>
      <w:r>
        <w:rPr>
          <w:szCs w:val="24"/>
        </w:rPr>
        <w:t>U.S.-based</w:t>
      </w:r>
      <w:r w:rsidRPr="00812CB0">
        <w:rPr>
          <w:szCs w:val="24"/>
        </w:rPr>
        <w:t xml:space="preserve"> </w:t>
      </w:r>
      <w:r>
        <w:rPr>
          <w:szCs w:val="24"/>
        </w:rPr>
        <w:t>TNGO</w:t>
      </w:r>
      <w:r w:rsidRPr="00812CB0">
        <w:rPr>
          <w:szCs w:val="24"/>
        </w:rPr>
        <w:t xml:space="preserve">s and others based in Western countries. Meetings are exclusive and by invitation only. </w:t>
      </w:r>
    </w:p>
    <w:p w:rsidR="001630DC" w:rsidRPr="00812CB0" w:rsidRDefault="001630DC" w:rsidP="001630DC">
      <w:pPr>
        <w:spacing w:line="480" w:lineRule="auto"/>
        <w:rPr>
          <w:szCs w:val="24"/>
        </w:rPr>
      </w:pPr>
      <w:r w:rsidRPr="00812CB0">
        <w:rPr>
          <w:szCs w:val="24"/>
        </w:rPr>
        <w:tab/>
        <w:t xml:space="preserve">The contingency framework characterizes federative structures as highly formalized. Formalization includes policies and procedures that are standardized across the organization, which helps in the administration of the </w:t>
      </w:r>
      <w:r>
        <w:rPr>
          <w:szCs w:val="24"/>
        </w:rPr>
        <w:t>TNGO</w:t>
      </w:r>
      <w:r w:rsidRPr="00812CB0">
        <w:rPr>
          <w:szCs w:val="24"/>
        </w:rPr>
        <w:t xml:space="preserve">. By standardizing operating procedures, financial management, and other policies, the umbrella organization ensures that the autonomy of the country units is protected while guaranteeing accountability and maximized efficiency. This safeguards the brand of the </w:t>
      </w:r>
      <w:r>
        <w:rPr>
          <w:szCs w:val="24"/>
        </w:rPr>
        <w:t>TNGO</w:t>
      </w:r>
      <w:r w:rsidRPr="00812CB0">
        <w:rPr>
          <w:szCs w:val="24"/>
        </w:rPr>
        <w:t xml:space="preserve"> as a whole and makes interactions between headquarters and the units more predictable. </w:t>
      </w:r>
    </w:p>
    <w:p w:rsidR="001630DC" w:rsidRPr="00812CB0" w:rsidRDefault="001630DC" w:rsidP="001630DC">
      <w:pPr>
        <w:spacing w:line="480" w:lineRule="auto"/>
        <w:rPr>
          <w:szCs w:val="24"/>
        </w:rPr>
      </w:pPr>
      <w:r w:rsidRPr="00812CB0">
        <w:rPr>
          <w:szCs w:val="24"/>
        </w:rPr>
        <w:tab/>
        <w:t xml:space="preserve">Decision-making and administrative procedures are primarily funding driven. For example, one multinational </w:t>
      </w:r>
      <w:r>
        <w:rPr>
          <w:szCs w:val="24"/>
        </w:rPr>
        <w:t>TNGO</w:t>
      </w:r>
      <w:r w:rsidRPr="00812CB0">
        <w:rPr>
          <w:szCs w:val="24"/>
        </w:rPr>
        <w:t xml:space="preserve"> ceased operations elsewhere due to a lack of donor interest and funding. At the same time, a new operation that was not on the agenda for the organization opened solely due to interest by and a generous donation from one family. This also fits the contingency framework’s description of federative organizational structure, with the caveat that high local resources may be more volatile and quickly turn into little to no resources. Another organization commented that although it was primarily donor driven in the past, it moved away from this model due to volatility. In addition, it had reached is operating capacity with its current staff and resources and matured into an established reputation, possibly making the decision to pause easier. </w:t>
      </w:r>
    </w:p>
    <w:p w:rsidR="001630DC" w:rsidRPr="00812CB0" w:rsidRDefault="001630DC" w:rsidP="001630DC">
      <w:pPr>
        <w:spacing w:line="480" w:lineRule="auto"/>
        <w:rPr>
          <w:szCs w:val="24"/>
        </w:rPr>
      </w:pPr>
      <w:r w:rsidRPr="00812CB0">
        <w:rPr>
          <w:szCs w:val="24"/>
        </w:rPr>
        <w:tab/>
        <w:t xml:space="preserve">In terms of staff, federative </w:t>
      </w:r>
      <w:r>
        <w:rPr>
          <w:szCs w:val="24"/>
        </w:rPr>
        <w:t>TNGO</w:t>
      </w:r>
      <w:r w:rsidRPr="00812CB0">
        <w:rPr>
          <w:szCs w:val="24"/>
        </w:rPr>
        <w:t xml:space="preserve">s interviewed similar challenges as those faced by centralized </w:t>
      </w:r>
      <w:r>
        <w:rPr>
          <w:szCs w:val="24"/>
        </w:rPr>
        <w:t>TNGO</w:t>
      </w:r>
      <w:r w:rsidRPr="00812CB0">
        <w:rPr>
          <w:szCs w:val="24"/>
        </w:rPr>
        <w:t>s. One country director noted that:</w:t>
      </w:r>
    </w:p>
    <w:p w:rsidR="001630DC" w:rsidRPr="00812CB0" w:rsidRDefault="001630DC" w:rsidP="001630DC">
      <w:pPr>
        <w:jc w:val="both"/>
        <w:rPr>
          <w:szCs w:val="24"/>
        </w:rPr>
      </w:pPr>
      <w:r w:rsidRPr="00812CB0">
        <w:rPr>
          <w:szCs w:val="24"/>
        </w:rPr>
        <w:t xml:space="preserve">“We don’t do bribes, but public service problems manifest in other ways. For example, 88 percent of public hospital staff are not at their stations because they get two salaries by working in the private sector.” </w:t>
      </w:r>
      <w:r w:rsidRPr="00812CB0">
        <w:rPr>
          <w:szCs w:val="24"/>
        </w:rPr>
        <w:fldChar w:fldCharType="begin"/>
      </w:r>
      <w:r>
        <w:rPr>
          <w:szCs w:val="24"/>
        </w:rPr>
        <w:instrText xml:space="preserve"> ADDIN ZOTERO_ITEM CSL_CITATION {"citationID":"T4KtY34N","properties":{"formattedCitation":"(Organization C 2016)","plainCitation":"(Organization C 2016)"},"citationItems":[{"id":3671,"uris":["http://zotero.org/users/381007/items/H2S77KDB"],"uri":["http://zotero.org/users/381007/items/H2S77KDB"],"itemData":{"id":3671,"type":"interview","title":"International Development TNGO, Kampala","medium":"In person","abstract":"“We don’t do bribes, but public service problems manifest in other ways. For example, 88 percent of public hospital staff are not at their stations because they get two salaries by working in the private sector.”","author":[{"family":"Organization C","given":""}],"issued":{"date-parts":[["2016",6,30]]}}}],"schema":"https://github.com/citation-style-language/schema/raw/master/csl-citation.json"} </w:instrText>
      </w:r>
      <w:r w:rsidRPr="00812CB0">
        <w:rPr>
          <w:szCs w:val="24"/>
        </w:rPr>
        <w:fldChar w:fldCharType="separate"/>
      </w:r>
      <w:r w:rsidRPr="00812CB0">
        <w:rPr>
          <w:noProof/>
          <w:szCs w:val="24"/>
        </w:rPr>
        <w:t>(Organization C 2016)</w:t>
      </w:r>
      <w:r w:rsidRPr="00812CB0">
        <w:rPr>
          <w:szCs w:val="24"/>
        </w:rPr>
        <w:fldChar w:fldCharType="end"/>
      </w:r>
    </w:p>
    <w:p w:rsidR="001630DC" w:rsidRPr="00812CB0" w:rsidRDefault="001630DC" w:rsidP="001630DC">
      <w:pPr>
        <w:jc w:val="both"/>
        <w:rPr>
          <w:szCs w:val="24"/>
        </w:rPr>
      </w:pPr>
    </w:p>
    <w:p w:rsidR="001630DC" w:rsidRPr="00812CB0" w:rsidRDefault="001630DC" w:rsidP="001630DC">
      <w:pPr>
        <w:spacing w:line="480" w:lineRule="auto"/>
        <w:jc w:val="both"/>
        <w:rPr>
          <w:szCs w:val="24"/>
        </w:rPr>
      </w:pPr>
      <w:r w:rsidRPr="00812CB0">
        <w:rPr>
          <w:szCs w:val="24"/>
        </w:rPr>
        <w:t xml:space="preserve">This underlines both the supply of trained staff and state capacity in less developed countries. Bureaucrats and other government-paid staff often make far less than they would in the private or </w:t>
      </w:r>
      <w:r>
        <w:rPr>
          <w:szCs w:val="24"/>
        </w:rPr>
        <w:t>TNGO</w:t>
      </w:r>
      <w:r w:rsidRPr="00812CB0">
        <w:rPr>
          <w:szCs w:val="24"/>
        </w:rPr>
        <w:t xml:space="preserve"> sectors. In addition, payroll may be infrequent due to monetary and administrative capacity challenges. Consequently, qualified individuals seek out additional opportunities to diversify their income in order to support themselves and their families. To mitigate abuse, some </w:t>
      </w:r>
      <w:r>
        <w:rPr>
          <w:szCs w:val="24"/>
        </w:rPr>
        <w:t>TNGO</w:t>
      </w:r>
      <w:r w:rsidRPr="00812CB0">
        <w:rPr>
          <w:szCs w:val="24"/>
        </w:rPr>
        <w:t xml:space="preserve">s introduce human resources policy that place restrictions on dual employment. For example, one may hold a government position, but only work in the </w:t>
      </w:r>
      <w:r>
        <w:rPr>
          <w:szCs w:val="24"/>
        </w:rPr>
        <w:t>TNGO</w:t>
      </w:r>
      <w:r w:rsidRPr="00812CB0">
        <w:rPr>
          <w:szCs w:val="24"/>
        </w:rPr>
        <w:t xml:space="preserve"> sector part-time. Trained professionals often choose the </w:t>
      </w:r>
      <w:r>
        <w:rPr>
          <w:szCs w:val="24"/>
        </w:rPr>
        <w:t>TNGO</w:t>
      </w:r>
      <w:r w:rsidRPr="00812CB0">
        <w:rPr>
          <w:szCs w:val="24"/>
        </w:rPr>
        <w:t xml:space="preserve"> sector because of its resources and support, which raises concerns about the poaching of qualified staff from a system that sorely needs them. </w:t>
      </w:r>
    </w:p>
    <w:p w:rsidR="001630DC" w:rsidRPr="00812CB0" w:rsidRDefault="001630DC" w:rsidP="001630DC">
      <w:pPr>
        <w:spacing w:line="480" w:lineRule="auto"/>
        <w:jc w:val="both"/>
        <w:rPr>
          <w:szCs w:val="24"/>
        </w:rPr>
      </w:pPr>
      <w:r w:rsidRPr="00812CB0">
        <w:rPr>
          <w:szCs w:val="24"/>
        </w:rPr>
        <w:tab/>
        <w:t xml:space="preserve">As in centralized structures, implementation staffs are overwhelmingly Ugandan nationals whereas expatriate staff fills executive level positions. Unlike centralized </w:t>
      </w:r>
      <w:r>
        <w:rPr>
          <w:szCs w:val="24"/>
        </w:rPr>
        <w:t>TNGO</w:t>
      </w:r>
      <w:r w:rsidRPr="00812CB0">
        <w:rPr>
          <w:szCs w:val="24"/>
        </w:rPr>
        <w:t xml:space="preserve">s, a mix of expatriates fills executive positions. These individuals come from Western and other countries. In several cases, Ugandan nationals served as deputy country directors while Western expatriates always filled key financial positions. In federative organizational structures, there is an emphasis on developing Ugandan staff. In one example, </w:t>
      </w:r>
      <w:r>
        <w:rPr>
          <w:szCs w:val="24"/>
        </w:rPr>
        <w:t>TNGO</w:t>
      </w:r>
      <w:r w:rsidRPr="00812CB0">
        <w:rPr>
          <w:szCs w:val="24"/>
        </w:rPr>
        <w:t xml:space="preserve">s pays for tertiary education, including medical degrees and nationals apprentice with Western experts for up to ten years preparing them for director positions. For expatriate staff, there is opportunity to move to other country offices or to U.S. headquarters. This is a parallel to centralized organizations, with one exception. Country directors in federative organizations were American, Ethiopian, Italian, and Kenyan. This is a distinguishing characteristic of federative bodies and illustrates </w:t>
      </w:r>
      <w:r>
        <w:rPr>
          <w:szCs w:val="24"/>
        </w:rPr>
        <w:t>its</w:t>
      </w:r>
      <w:r w:rsidRPr="00812CB0">
        <w:rPr>
          <w:szCs w:val="24"/>
        </w:rPr>
        <w:t xml:space="preserve"> bottom-up communication </w:t>
      </w:r>
      <w:r>
        <w:rPr>
          <w:szCs w:val="24"/>
        </w:rPr>
        <w:t xml:space="preserve">flow </w:t>
      </w:r>
      <w:r w:rsidRPr="00812CB0">
        <w:rPr>
          <w:szCs w:val="24"/>
        </w:rPr>
        <w:t xml:space="preserve">compared to </w:t>
      </w:r>
      <w:r>
        <w:rPr>
          <w:szCs w:val="24"/>
        </w:rPr>
        <w:t xml:space="preserve">a </w:t>
      </w:r>
      <w:r w:rsidRPr="00812CB0">
        <w:rPr>
          <w:szCs w:val="24"/>
        </w:rPr>
        <w:t>centr</w:t>
      </w:r>
      <w:r>
        <w:rPr>
          <w:szCs w:val="24"/>
        </w:rPr>
        <w:t>alized organizational structure</w:t>
      </w:r>
      <w:r w:rsidRPr="00812CB0">
        <w:rPr>
          <w:szCs w:val="24"/>
        </w:rPr>
        <w:t xml:space="preserve"> in which </w:t>
      </w:r>
      <w:r>
        <w:rPr>
          <w:szCs w:val="24"/>
        </w:rPr>
        <w:t>similar</w:t>
      </w:r>
      <w:r w:rsidRPr="00812CB0">
        <w:rPr>
          <w:szCs w:val="24"/>
        </w:rPr>
        <w:t xml:space="preserve"> positions are </w:t>
      </w:r>
      <w:r>
        <w:rPr>
          <w:szCs w:val="24"/>
        </w:rPr>
        <w:t>occupied</w:t>
      </w:r>
      <w:r w:rsidRPr="00812CB0">
        <w:rPr>
          <w:szCs w:val="24"/>
        </w:rPr>
        <w:t xml:space="preserve"> </w:t>
      </w:r>
      <w:r>
        <w:rPr>
          <w:szCs w:val="24"/>
        </w:rPr>
        <w:t>by</w:t>
      </w:r>
      <w:r w:rsidRPr="00812CB0">
        <w:rPr>
          <w:szCs w:val="24"/>
        </w:rPr>
        <w:t xml:space="preserve"> </w:t>
      </w:r>
      <w:r>
        <w:rPr>
          <w:szCs w:val="24"/>
        </w:rPr>
        <w:t>Western expatriates</w:t>
      </w:r>
      <w:r w:rsidRPr="00812CB0">
        <w:rPr>
          <w:szCs w:val="24"/>
        </w:rPr>
        <w:t xml:space="preserve">. </w:t>
      </w:r>
    </w:p>
    <w:p w:rsidR="001630DC" w:rsidRDefault="001630DC" w:rsidP="001630DC">
      <w:pPr>
        <w:spacing w:line="480" w:lineRule="auto"/>
        <w:jc w:val="both"/>
        <w:rPr>
          <w:szCs w:val="24"/>
        </w:rPr>
      </w:pPr>
      <w:r w:rsidRPr="00812CB0">
        <w:rPr>
          <w:szCs w:val="24"/>
        </w:rPr>
        <w:tab/>
        <w:t xml:space="preserve">Proposition 1b states that federative </w:t>
      </w:r>
      <w:r>
        <w:rPr>
          <w:szCs w:val="24"/>
        </w:rPr>
        <w:t>TNGO</w:t>
      </w:r>
      <w:r w:rsidRPr="00812CB0">
        <w:rPr>
          <w:szCs w:val="24"/>
        </w:rPr>
        <w:t xml:space="preserve">s follow a bottom-up, yet autonomous approach in decision-making and communication. The contingency framework posits that federative MNCs are characterized by low centralization, high formalization, and low socialization. Furthermore, this best fit for this structure is an environment in which there are low local resources and low environmental complexity. Although the characteristics outlined by the framework fit the </w:t>
      </w:r>
      <w:r>
        <w:rPr>
          <w:szCs w:val="24"/>
        </w:rPr>
        <w:t>TNGO</w:t>
      </w:r>
      <w:r w:rsidRPr="00812CB0">
        <w:rPr>
          <w:szCs w:val="24"/>
        </w:rPr>
        <w:t xml:space="preserve"> federative structure, the conditions do not fit. Instead, </w:t>
      </w:r>
      <w:r>
        <w:rPr>
          <w:szCs w:val="24"/>
        </w:rPr>
        <w:t>U.S.-based</w:t>
      </w:r>
      <w:r w:rsidRPr="00812CB0">
        <w:rPr>
          <w:szCs w:val="24"/>
        </w:rPr>
        <w:t xml:space="preserve"> international development </w:t>
      </w:r>
      <w:r>
        <w:rPr>
          <w:szCs w:val="24"/>
        </w:rPr>
        <w:t>TNGO</w:t>
      </w:r>
      <w:r w:rsidRPr="00812CB0">
        <w:rPr>
          <w:szCs w:val="24"/>
        </w:rPr>
        <w:t xml:space="preserve">s are located in environments with high complexity and high local resources, although resources vary and the majority of organizations readily identify as donor driven. </w:t>
      </w:r>
    </w:p>
    <w:p w:rsidR="001630DC" w:rsidRPr="00812CB0" w:rsidRDefault="001630DC" w:rsidP="001630DC">
      <w:pPr>
        <w:spacing w:line="480" w:lineRule="auto"/>
        <w:jc w:val="both"/>
        <w:rPr>
          <w:szCs w:val="24"/>
        </w:rPr>
      </w:pPr>
    </w:p>
    <w:p w:rsidR="001630DC" w:rsidRDefault="001630DC" w:rsidP="001630DC">
      <w:pPr>
        <w:spacing w:line="480" w:lineRule="auto"/>
        <w:jc w:val="center"/>
        <w:rPr>
          <w:b/>
          <w:i/>
        </w:rPr>
      </w:pPr>
      <w:r w:rsidRPr="00812CB0">
        <w:rPr>
          <w:i/>
          <w:szCs w:val="24"/>
        </w:rPr>
        <w:t>Integrative / Hybrid</w:t>
      </w:r>
    </w:p>
    <w:p w:rsidR="001630DC" w:rsidRPr="00FB1D4A" w:rsidRDefault="001630DC" w:rsidP="001630DC">
      <w:pPr>
        <w:spacing w:line="480" w:lineRule="auto"/>
        <w:rPr>
          <w:i/>
        </w:rPr>
      </w:pPr>
      <w:r w:rsidRPr="00FB1D4A">
        <w:rPr>
          <w:i/>
        </w:rPr>
        <w:t xml:space="preserve">Proposition 1c: Hybrid </w:t>
      </w:r>
      <w:r>
        <w:rPr>
          <w:i/>
        </w:rPr>
        <w:t>TNGO</w:t>
      </w:r>
      <w:r w:rsidRPr="00FB1D4A">
        <w:rPr>
          <w:i/>
        </w:rPr>
        <w:t>s follow an incremental approach to priority setting and communication is both upward and downward.</w:t>
      </w:r>
    </w:p>
    <w:p w:rsidR="00F1318A" w:rsidRDefault="001630DC" w:rsidP="001630DC">
      <w:pPr>
        <w:spacing w:line="480" w:lineRule="auto"/>
        <w:rPr>
          <w:szCs w:val="24"/>
        </w:rPr>
      </w:pPr>
      <w:r w:rsidRPr="00812CB0">
        <w:rPr>
          <w:szCs w:val="24"/>
        </w:rPr>
        <w:tab/>
        <w:t xml:space="preserve">Finally, the hybrid organizational model represents an agenda-setting strategy and communication style that combines the top-down and bottom-up approaches described in the centralized and federative models into a structure that emphasizes the flow of information, policy, and human resources in both directions. More specifically, hybrid organizations operate on the assumption of the equality of information in which input from sub-units are considered and incorporated into the decision-making a higher organizational levels, which then flow down through the organization. Hybrid organizational structures represent 48 percent of interviewed </w:t>
      </w:r>
      <w:r>
        <w:rPr>
          <w:szCs w:val="24"/>
        </w:rPr>
        <w:t>TNGO</w:t>
      </w:r>
      <w:r w:rsidRPr="00812CB0">
        <w:rPr>
          <w:szCs w:val="24"/>
        </w:rPr>
        <w:t xml:space="preserve">s, making it the </w:t>
      </w:r>
      <w:r w:rsidR="00F1318A">
        <w:rPr>
          <w:szCs w:val="24"/>
        </w:rPr>
        <w:t>most common model.</w:t>
      </w:r>
    </w:p>
    <w:p w:rsidR="001630DC" w:rsidRPr="00812CB0" w:rsidRDefault="00BC20CD" w:rsidP="001630DC">
      <w:pPr>
        <w:spacing w:line="480" w:lineRule="auto"/>
        <w:rPr>
          <w:szCs w:val="24"/>
        </w:rPr>
      </w:pPr>
      <w:r>
        <w:rPr>
          <w:noProof/>
        </w:rPr>
        <mc:AlternateContent>
          <mc:Choice Requires="wps">
            <w:drawing>
              <wp:anchor distT="0" distB="0" distL="114300" distR="114300" simplePos="0" relativeHeight="251673088" behindDoc="0" locked="0" layoutInCell="1" allowOverlap="1">
                <wp:simplePos x="0" y="0"/>
                <wp:positionH relativeFrom="column">
                  <wp:posOffset>685800</wp:posOffset>
                </wp:positionH>
                <wp:positionV relativeFrom="paragraph">
                  <wp:posOffset>137795</wp:posOffset>
                </wp:positionV>
                <wp:extent cx="1257300" cy="457200"/>
                <wp:effectExtent l="0" t="0" r="3810" b="0"/>
                <wp:wrapTight wrapText="bothSides">
                  <wp:wrapPolygon edited="0">
                    <wp:start x="0" y="0"/>
                    <wp:lineTo x="0" y="0"/>
                    <wp:lineTo x="0" y="0"/>
                  </wp:wrapPolygon>
                </wp:wrapTight>
                <wp:docPr id="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U.S. Headquarters</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7" o:spid="_x0000_s1042" type="#_x0000_t202" style="position:absolute;margin-left:54pt;margin-top:10.85pt;width:99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" filled="f" stroked="f">
                <v:textbox inset=",7.2pt,,7.2pt">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U.S. Headquarters</w:t>
                      </w:r>
                    </w:p>
                  </w:txbxContent>
                </v:textbox>
                <w10:wrap type="tight"/>
              </v:shape>
            </w:pict>
          </mc:Fallback>
        </mc:AlternateContent>
      </w:r>
    </w:p>
    <w:p w:rsidR="001630DC" w:rsidRPr="00812CB0" w:rsidRDefault="0084627E" w:rsidP="001630DC">
      <w:pPr>
        <w:spacing w:line="480" w:lineRule="auto"/>
        <w:rPr>
          <w:szCs w:val="24"/>
        </w:rPr>
      </w:pPr>
      <w:r>
        <w:rPr>
          <w:noProof/>
        </w:rPr>
        <mc:AlternateContent>
          <mc:Choice Requires="wps">
            <w:drawing>
              <wp:anchor distT="0" distB="0" distL="114298" distR="114298" simplePos="0" relativeHeight="251676160" behindDoc="0" locked="0" layoutInCell="1" allowOverlap="1" wp14:anchorId="22B20CD9" wp14:editId="23A3A9E4">
                <wp:simplePos x="0" y="0"/>
                <wp:positionH relativeFrom="column">
                  <wp:posOffset>1146810</wp:posOffset>
                </wp:positionH>
                <wp:positionV relativeFrom="paragraph">
                  <wp:posOffset>243840</wp:posOffset>
                </wp:positionV>
                <wp:extent cx="0" cy="419100"/>
                <wp:effectExtent l="76200" t="0" r="57150" b="76200"/>
                <wp:wrapTight wrapText="bothSides">
                  <wp:wrapPolygon edited="0">
                    <wp:start x="-1" y="0"/>
                    <wp:lineTo x="-1" y="22582"/>
                    <wp:lineTo x="-1" y="24545"/>
                    <wp:lineTo x="-1" y="24545"/>
                    <wp:lineTo x="-1" y="0"/>
                    <wp:lineTo x="-1" y="0"/>
                  </wp:wrapPolygon>
                </wp:wrapTight>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1B3E0DAA" id="Line 50" o:spid="_x0000_s1026" style="position:absolute;z-index:251676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90.3pt,19.2pt" to="90.3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" strokeweight="1pt">
                <v:stroke endarrow="block"/>
                <v:shadow on="t" opacity="22938f" offset="0"/>
                <w10:wrap type="tight"/>
              </v:line>
            </w:pict>
          </mc:Fallback>
        </mc:AlternateContent>
      </w:r>
      <w:r>
        <w:rPr>
          <w:noProof/>
        </w:rPr>
        <mc:AlternateContent>
          <mc:Choice Requires="wps">
            <w:drawing>
              <wp:anchor distT="0" distB="0" distL="114298" distR="114298" simplePos="0" relativeHeight="251679232" behindDoc="0" locked="0" layoutInCell="1" allowOverlap="1" wp14:anchorId="2832B682" wp14:editId="3C905E29">
                <wp:simplePos x="0" y="0"/>
                <wp:positionH relativeFrom="column">
                  <wp:posOffset>1375410</wp:posOffset>
                </wp:positionH>
                <wp:positionV relativeFrom="paragraph">
                  <wp:posOffset>243840</wp:posOffset>
                </wp:positionV>
                <wp:extent cx="0" cy="419100"/>
                <wp:effectExtent l="76200" t="38100" r="57150" b="38100"/>
                <wp:wrapTight wrapText="bothSides">
                  <wp:wrapPolygon edited="0">
                    <wp:start x="-1" y="-1964"/>
                    <wp:lineTo x="-1" y="15709"/>
                    <wp:lineTo x="-1" y="22582"/>
                    <wp:lineTo x="-1" y="22582"/>
                    <wp:lineTo x="-1" y="-1964"/>
                    <wp:lineTo x="-1" y="-1964"/>
                  </wp:wrapPolygon>
                </wp:wrapTight>
                <wp:docPr id="1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910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330CD802" id="Line 53" o:spid="_x0000_s1026" style="position:absolute;flip:y;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left-margin-area;mso-height-relative:page" from="108.3pt,19.2pt" to="108.3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" strokeweight="1pt">
                <v:stroke endarrow="block"/>
                <v:shadow on="t" opacity="22938f" offset="0"/>
                <w10:wrap type="tight"/>
              </v:line>
            </w:pict>
          </mc:Fallback>
        </mc:AlternateContent>
      </w:r>
    </w:p>
    <w:bookmarkStart w:id="306" w:name="_Toc318115839"/>
    <w:p w:rsidR="00201ADC" w:rsidRDefault="00BC20CD" w:rsidP="00201ADC">
      <w:pPr>
        <w:spacing w:line="480" w:lineRule="auto"/>
        <w:rPr>
          <w:b/>
          <w:sz w:val="22"/>
        </w:rPr>
      </w:pPr>
      <w:r>
        <w:rPr>
          <w:noProof/>
        </w:rPr>
        <mc:AlternateContent>
          <mc:Choice Requires="wps">
            <w:drawing>
              <wp:anchor distT="4294967295" distB="4294967295" distL="114300" distR="114300" simplePos="0" relativeHeight="251677184" behindDoc="0" locked="0" layoutInCell="1" allowOverlap="1">
                <wp:simplePos x="0" y="0"/>
                <wp:positionH relativeFrom="column">
                  <wp:posOffset>2514600</wp:posOffset>
                </wp:positionH>
                <wp:positionV relativeFrom="paragraph">
                  <wp:posOffset>311785</wp:posOffset>
                </wp:positionV>
                <wp:extent cx="685800" cy="0"/>
                <wp:effectExtent l="15240" t="62230" r="22860" b="80645"/>
                <wp:wrapTight wrapText="bothSides">
                  <wp:wrapPolygon edited="0">
                    <wp:start x="60" y="-2147483648"/>
                    <wp:lineTo x="0" y="-2147483648"/>
                    <wp:lineTo x="0" y="-2147483648"/>
                    <wp:lineTo x="60" y="-2147483648"/>
                    <wp:lineTo x="60" y="-2147483648"/>
                    <wp:lineTo x="80" y="-2147483648"/>
                    <wp:lineTo x="80" y="-2147483648"/>
                    <wp:lineTo x="60" y="-2147483648"/>
                    <wp:lineTo x="60" y="-2147483648"/>
                  </wp:wrapPolygon>
                </wp:wrapTight>
                <wp:docPr id="1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5DA66B2E" id="Line 51"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left-margin-area;mso-height-relative:page" from="198pt,24.55pt" to="25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" strokeweight="1pt">
                <v:stroke endarrow="block"/>
                <v:shadow on="t" opacity="22938f" offset="0"/>
                <w10:wrap type="tight"/>
              </v:lin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3886200</wp:posOffset>
                </wp:positionH>
                <wp:positionV relativeFrom="paragraph">
                  <wp:posOffset>311785</wp:posOffset>
                </wp:positionV>
                <wp:extent cx="1257300" cy="457200"/>
                <wp:effectExtent l="0" t="0" r="3810" b="4445"/>
                <wp:wrapTight wrapText="bothSides">
                  <wp:wrapPolygon edited="0">
                    <wp:start x="0" y="0"/>
                    <wp:lineTo x="0" y="0"/>
                    <wp:lineTo x="0" y="0"/>
                  </wp:wrapPolygon>
                </wp:wrapTight>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Project Offices</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9" o:spid="_x0000_s1043" type="#_x0000_t202" style="position:absolute;margin-left:306pt;margin-top:24.55pt;width:99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" filled="f" stroked="f">
                <v:textbox inset=",7.2pt,,7.2pt">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Project Offices</w:t>
                      </w:r>
                    </w:p>
                  </w:txbxContent>
                </v:textbox>
                <w10:wrap type="tight"/>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685800</wp:posOffset>
                </wp:positionH>
                <wp:positionV relativeFrom="paragraph">
                  <wp:posOffset>311785</wp:posOffset>
                </wp:positionV>
                <wp:extent cx="1257300" cy="457200"/>
                <wp:effectExtent l="0" t="0" r="3810" b="4445"/>
                <wp:wrapTight wrapText="bothSides">
                  <wp:wrapPolygon edited="0">
                    <wp:start x="0" y="0"/>
                    <wp:lineTo x="0" y="0"/>
                    <wp:lineTo x="0" y="0"/>
                  </wp:wrapPolygon>
                </wp:wrapTight>
                <wp:docPr id="1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Country Offices</w:t>
                            </w:r>
                          </w:p>
                        </w:txbxContent>
                      </wps:txbx>
                      <wps:bodyPr rot="0" vert="horz" wrap="square" lIns="9144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 id="Text Box 48" o:spid="_x0000_s1044" type="#_x0000_t202" style="position:absolute;margin-left:54pt;margin-top:24.55pt;width:99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" filled="f" stroked="f">
                <v:textbox inset=",7.2pt,,7.2pt">
                  <w:txbxContent>
                    <w:p w:rsidR="00F43496" w:rsidRPr="00D77C46" w:rsidRDefault="00F43496" w:rsidP="001630DC">
                      <w:pPr>
                        <w:pBdr>
                          <w:top w:val="single" w:sz="4" w:space="1" w:color="auto"/>
                          <w:left w:val="single" w:sz="4" w:space="4" w:color="auto"/>
                          <w:bottom w:val="single" w:sz="4" w:space="1" w:color="auto"/>
                          <w:right w:val="single" w:sz="4" w:space="4" w:color="auto"/>
                        </w:pBdr>
                        <w:jc w:val="center"/>
                        <w:rPr>
                          <w:sz w:val="22"/>
                        </w:rPr>
                      </w:pPr>
                      <w:r w:rsidRPr="00D77C46">
                        <w:rPr>
                          <w:sz w:val="22"/>
                        </w:rPr>
                        <w:t>Country Offices</w:t>
                      </w:r>
                    </w:p>
                  </w:txbxContent>
                </v:textbox>
                <w10:wrap type="tight"/>
              </v:shape>
            </w:pict>
          </mc:Fallback>
        </mc:AlternateContent>
      </w:r>
    </w:p>
    <w:p w:rsidR="00B97971" w:rsidRDefault="00B97971" w:rsidP="00F1318A">
      <w:pPr>
        <w:spacing w:line="480" w:lineRule="auto"/>
        <w:jc w:val="center"/>
        <w:rPr>
          <w:b/>
          <w:sz w:val="22"/>
        </w:rPr>
      </w:pPr>
    </w:p>
    <w:p w:rsidR="00B97971" w:rsidRDefault="00B97971" w:rsidP="00B97971">
      <w:pPr>
        <w:spacing w:line="480" w:lineRule="auto"/>
        <w:jc w:val="center"/>
        <w:rPr>
          <w:b/>
          <w:sz w:val="22"/>
        </w:rPr>
      </w:pPr>
      <w:r>
        <w:rPr>
          <w:noProof/>
        </w:rPr>
        <mc:AlternateContent>
          <mc:Choice Requires="wps">
            <w:drawing>
              <wp:anchor distT="4294967295" distB="4294967295" distL="114300" distR="114300" simplePos="0" relativeHeight="251678208" behindDoc="0" locked="0" layoutInCell="1" allowOverlap="1" wp14:anchorId="6BB0AE40" wp14:editId="7419B76C">
                <wp:simplePos x="0" y="0"/>
                <wp:positionH relativeFrom="column">
                  <wp:posOffset>2514600</wp:posOffset>
                </wp:positionH>
                <wp:positionV relativeFrom="paragraph">
                  <wp:posOffset>13335</wp:posOffset>
                </wp:positionV>
                <wp:extent cx="685800" cy="0"/>
                <wp:effectExtent l="24765" t="53975" r="13335" b="79375"/>
                <wp:wrapTight wrapText="bothSides">
                  <wp:wrapPolygon edited="0">
                    <wp:start x="80" y="-2147483648"/>
                    <wp:lineTo x="80" y="-2147483648"/>
                    <wp:lineTo x="80" y="-2147483648"/>
                    <wp:lineTo x="80" y="-2147483648"/>
                    <wp:lineTo x="60" y="-2147483648"/>
                    <wp:lineTo x="0" y="-2147483648"/>
                    <wp:lineTo x="0" y="-2147483648"/>
                    <wp:lineTo x="60" y="-2147483648"/>
                    <wp:lineTo x="80" y="-2147483648"/>
                  </wp:wrapPolygon>
                </wp:wrapTight>
                <wp:docPr id="1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12700">
                          <a:solidFill>
                            <a:srgbClr val="000000"/>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leftMargin">
                  <wp14:pctWidth>0</wp14:pctWidth>
                </wp14:sizeRelH>
                <wp14:sizeRelV relativeFrom="page">
                  <wp14:pctHeight>0</wp14:pctHeight>
                </wp14:sizeRelV>
              </wp:anchor>
            </w:drawing>
          </mc:Choice>
          <mc:Fallback>
            <w:pict>
              <v:line w14:anchorId="75474116" id="Line 52" o:spid="_x0000_s1026" style="position:absolute;flip:x;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left-margin-area;mso-height-relative:page" from="198pt,1.05pt" to="2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" strokeweight="1pt">
                <v:stroke endarrow="block"/>
                <v:shadow on="t" opacity="22938f" offset="0"/>
                <w10:wrap type="tight"/>
              </v:line>
            </w:pict>
          </mc:Fallback>
        </mc:AlternateContent>
      </w:r>
    </w:p>
    <w:p w:rsidR="00B11ABC" w:rsidRPr="00B11ABC" w:rsidRDefault="001630DC" w:rsidP="00F1318A">
      <w:pPr>
        <w:spacing w:line="480" w:lineRule="auto"/>
        <w:jc w:val="center"/>
        <w:rPr>
          <w:b/>
          <w:sz w:val="22"/>
        </w:rPr>
      </w:pPr>
      <w:r w:rsidRPr="00FB1D4A">
        <w:rPr>
          <w:b/>
          <w:sz w:val="22"/>
        </w:rPr>
        <w:t xml:space="preserve">Figure </w:t>
      </w:r>
      <w:r>
        <w:rPr>
          <w:b/>
          <w:sz w:val="22"/>
        </w:rPr>
        <w:fldChar w:fldCharType="begin"/>
      </w:r>
      <w:r>
        <w:rPr>
          <w:b/>
          <w:sz w:val="22"/>
        </w:rPr>
        <w:instrText xml:space="preserve"> STYLEREF 1 \s </w:instrText>
      </w:r>
      <w:r>
        <w:rPr>
          <w:b/>
          <w:sz w:val="22"/>
        </w:rPr>
        <w:fldChar w:fldCharType="separate"/>
      </w:r>
      <w:r w:rsidR="001517D5">
        <w:rPr>
          <w:b/>
          <w:noProof/>
          <w:sz w:val="22"/>
          <w:cs/>
        </w:rPr>
        <w:t>‎</w:t>
      </w:r>
      <w:r w:rsidR="001517D5">
        <w:rPr>
          <w:b/>
          <w:noProof/>
          <w:sz w:val="22"/>
        </w:rPr>
        <w:t>4</w:t>
      </w:r>
      <w:r>
        <w:rPr>
          <w:b/>
          <w:sz w:val="22"/>
        </w:rPr>
        <w:fldChar w:fldCharType="end"/>
      </w:r>
      <w:r>
        <w:rPr>
          <w:b/>
          <w:sz w:val="22"/>
        </w:rPr>
        <w:t>.</w:t>
      </w:r>
      <w:r>
        <w:rPr>
          <w:b/>
          <w:sz w:val="22"/>
        </w:rPr>
        <w:fldChar w:fldCharType="begin"/>
      </w:r>
      <w:r>
        <w:rPr>
          <w:b/>
          <w:sz w:val="22"/>
        </w:rPr>
        <w:instrText xml:space="preserve"> SEQ Figure \* ARABIC \s 1 </w:instrText>
      </w:r>
      <w:r>
        <w:rPr>
          <w:b/>
          <w:sz w:val="22"/>
        </w:rPr>
        <w:fldChar w:fldCharType="separate"/>
      </w:r>
      <w:r w:rsidR="001517D5">
        <w:rPr>
          <w:b/>
          <w:noProof/>
          <w:sz w:val="22"/>
        </w:rPr>
        <w:t>3</w:t>
      </w:r>
      <w:r>
        <w:rPr>
          <w:b/>
          <w:sz w:val="22"/>
        </w:rPr>
        <w:fldChar w:fldCharType="end"/>
      </w:r>
      <w:r>
        <w:rPr>
          <w:b/>
          <w:sz w:val="22"/>
        </w:rPr>
        <w:t>:</w:t>
      </w:r>
      <w:r w:rsidRPr="00FB1D4A">
        <w:rPr>
          <w:b/>
          <w:sz w:val="22"/>
        </w:rPr>
        <w:t xml:space="preserve"> Hybrid Priority and Communication Flows</w:t>
      </w:r>
      <w:bookmarkEnd w:id="306"/>
    </w:p>
    <w:p w:rsidR="001630DC" w:rsidRDefault="00F1318A" w:rsidP="001630DC">
      <w:pPr>
        <w:tabs>
          <w:tab w:val="left" w:pos="720"/>
          <w:tab w:val="left" w:pos="1440"/>
          <w:tab w:val="left" w:pos="2160"/>
          <w:tab w:val="left" w:pos="2880"/>
          <w:tab w:val="left" w:pos="3600"/>
          <w:tab w:val="center" w:pos="4428"/>
        </w:tabs>
        <w:spacing w:line="480" w:lineRule="auto"/>
        <w:rPr>
          <w:szCs w:val="24"/>
        </w:rPr>
      </w:pPr>
      <w:r>
        <w:rPr>
          <w:szCs w:val="24"/>
        </w:rPr>
        <w:tab/>
      </w:r>
      <w:r w:rsidR="001630DC">
        <w:rPr>
          <w:szCs w:val="24"/>
        </w:rPr>
        <w:t xml:space="preserve">The contingency framework frames hybrid organizations as integrated networks that are situated on a continuum between centralized and federative organizational structures. Hybrid TNGOs are not unique to one sector. Instead, they implement programs ranging from agriculture to health. This theme is also present among centralized and federative entities. Among the hybrid TNGOs interviewed, the majority self-identified as faith-based organizations. </w:t>
      </w:r>
    </w:p>
    <w:p w:rsidR="001630DC" w:rsidRDefault="001630DC" w:rsidP="001630DC">
      <w:pPr>
        <w:tabs>
          <w:tab w:val="left" w:pos="720"/>
          <w:tab w:val="left" w:pos="1440"/>
          <w:tab w:val="left" w:pos="2160"/>
          <w:tab w:val="left" w:pos="2880"/>
          <w:tab w:val="left" w:pos="3600"/>
          <w:tab w:val="center" w:pos="4428"/>
        </w:tabs>
        <w:spacing w:line="480" w:lineRule="auto"/>
        <w:rPr>
          <w:szCs w:val="24"/>
        </w:rPr>
      </w:pPr>
      <w:r>
        <w:rPr>
          <w:szCs w:val="24"/>
        </w:rPr>
        <w:tab/>
        <w:t>Two-way communication is central tenet of hybrid organizational structures. Decisions are made at every level, with input from various stakeholders in the organization. Decision-making concerning implementation and location is incremental. Knowledge sharing shapes decision-making at each level and the accumulation of this knowledge creates a feedback loop that informs future decisions. Country directors have autonomy within the organization, for example solicitation of funds or collaborative decisions, but their strategic planning and choices are shaped by the organization’s overarching strategic plan. The relationship between country offices and U.S. headquarters is direct, with frequent knowledge transfers from headquarters to country offices. One interviewee noted that transfers in the opposite direction are less common, but that regional sharing did occur often. Others overtly stated that they are in frequent communication with headquarters. Donors and feasibility also play a role in decision-making. Empirically, this fits with the integrative model in the contingency framework.</w:t>
      </w:r>
    </w:p>
    <w:p w:rsidR="001630DC" w:rsidRDefault="001630DC" w:rsidP="001630DC">
      <w:pPr>
        <w:tabs>
          <w:tab w:val="left" w:pos="720"/>
          <w:tab w:val="left" w:pos="1440"/>
          <w:tab w:val="left" w:pos="2160"/>
          <w:tab w:val="left" w:pos="2880"/>
          <w:tab w:val="left" w:pos="3600"/>
          <w:tab w:val="center" w:pos="4428"/>
        </w:tabs>
        <w:spacing w:line="480" w:lineRule="auto"/>
        <w:rPr>
          <w:szCs w:val="24"/>
        </w:rPr>
      </w:pPr>
      <w:r>
        <w:rPr>
          <w:szCs w:val="24"/>
        </w:rPr>
        <w:tab/>
        <w:t xml:space="preserve">Formalization in hybrid models varies. One example of this variation is security. In a few larger organizations, a security team at headquarters collaborates with country offices to make decisions about risk. In many more organizations, decisions are made based on advisories issued by the United Nations. Other examples of formalization include the communication protocol described above; weekly or bi-weekly reports are integral in this process. Human resources are also an example of formalization. Another aspect of hybrid organizations that makes them unique is the upward and downward movement of staff. Hybrid organizations present more opportunity for the development of national staff. In the Ugandan case, programmatic staff is Ugandan nationals while program managers and those above them are expatriates. However, nationals have the opportunity to move laterally to other countries as well as spend time at headquarters. This is especially pertinent given the donor push for collaboration with local organizations to increase sustainability and for the development of local staff to also increase sustainability. Importantly, hybrid organizations face the same challenges in international development that centralized and federative structures face. Consequently, promotions of nationals are often strategically placed to maximize impartiality and to avoid corruption. </w:t>
      </w:r>
    </w:p>
    <w:p w:rsidR="001630DC" w:rsidRDefault="001630DC" w:rsidP="001630DC">
      <w:pPr>
        <w:spacing w:line="480" w:lineRule="auto"/>
        <w:rPr>
          <w:szCs w:val="24"/>
        </w:rPr>
      </w:pPr>
      <w:r>
        <w:rPr>
          <w:szCs w:val="24"/>
        </w:rPr>
        <w:tab/>
        <w:t>Due to the upward and downward accountability that is prevalent in hybrid organizations, the need for communication, staff exchanges, and so on requires a high degree of socialization. This occurs through the values and culture that permeates the organization. The high level of communication and interaction are also mechanisms of high socialization. High levels of socialization also occur between TNGOs. For example, if a TNGO is working in a community with youth and a second TNGO enters, the hybrid entity will communicate with the second TNGO to ensure that services are not duplicated. This is particularly important for transparency efforts where local resources include child sponsorship. Duplicative registries across organizations would undermine the legitimacy of the organizations on both sides.</w:t>
      </w:r>
    </w:p>
    <w:p w:rsidR="001630DC" w:rsidRDefault="001630DC" w:rsidP="001630DC">
      <w:pPr>
        <w:spacing w:line="480" w:lineRule="auto"/>
        <w:rPr>
          <w:szCs w:val="24"/>
        </w:rPr>
      </w:pPr>
      <w:r>
        <w:rPr>
          <w:szCs w:val="24"/>
        </w:rPr>
        <w:tab/>
        <w:t xml:space="preserve">Centralized and federative organizations both identified need and resources as key elements of decision-making. Hybrid organizations interviewed also emphasized the importance of these, but added a third component to the discussion. Hybrid organizational structures were concerned with feasibility as well, the assessment of which is developed through dialogue between the organizational units. This raises an interesting point concerning decision-making, which is how TNGOs weight various components against one another. In addition, how the likelihood of success fits into the conversation is also important. For example, levels of need may be high in certain areas, but infrastructure and access must be present to make the project effective, efficient, and ultimately successful. </w:t>
      </w:r>
    </w:p>
    <w:p w:rsidR="001630DC" w:rsidRDefault="001630DC" w:rsidP="001630DC">
      <w:pPr>
        <w:spacing w:line="480" w:lineRule="auto"/>
        <w:rPr>
          <w:szCs w:val="24"/>
        </w:rPr>
      </w:pPr>
      <w:r>
        <w:rPr>
          <w:szCs w:val="24"/>
        </w:rPr>
        <w:tab/>
        <w:t xml:space="preserve">Proposition 1c stated that hybrid TNGOs followed an incremental decision-making strategy that incorporates two-way communication. The contingency frameworks propositions fit well with the responses obtained during interviews with U.S.-based international development TNGOs. Centralization in hybrid organizations is low. Country offices retain a degree of autonomy in exchange for open communication, knowledge-sharing, and moderate formalization. Formalization primarily takes shape in policies concerning financials and human resources. Socialization is necessarily high due to the open communications that move in both upward and downward as information is shared and incorporated into the decision-making process. The framework posits that hybrids are most likely to fit highly complex environments in which there are high local resources. The respondents in the interviews did not indicate high levels of local resources, however, this may be a gap in the data obtained or it may be an opportunity to fine tune the framework to TNGOs. The latter is most probably, given the socio-economic reality of less developed countries and the logic driving the presence of TNGOs there in the first place. </w:t>
      </w:r>
    </w:p>
    <w:p w:rsidR="001630DC" w:rsidRDefault="001630DC" w:rsidP="001630DC">
      <w:pPr>
        <w:spacing w:line="480" w:lineRule="auto"/>
        <w:rPr>
          <w:szCs w:val="24"/>
        </w:rPr>
      </w:pPr>
    </w:p>
    <w:p w:rsidR="001630DC" w:rsidRPr="00812CB0" w:rsidRDefault="001630DC" w:rsidP="001630DC">
      <w:pPr>
        <w:spacing w:line="480" w:lineRule="auto"/>
        <w:jc w:val="center"/>
        <w:rPr>
          <w:i/>
          <w:szCs w:val="24"/>
        </w:rPr>
      </w:pPr>
      <w:r w:rsidRPr="00812CB0">
        <w:rPr>
          <w:i/>
          <w:szCs w:val="24"/>
        </w:rPr>
        <w:t>Social Entrepreneurs</w:t>
      </w:r>
    </w:p>
    <w:p w:rsidR="001630DC" w:rsidRPr="00812CB0" w:rsidRDefault="001630DC" w:rsidP="001630DC">
      <w:pPr>
        <w:spacing w:line="480" w:lineRule="auto"/>
        <w:rPr>
          <w:szCs w:val="24"/>
        </w:rPr>
      </w:pPr>
      <w:r w:rsidRPr="00812CB0">
        <w:rPr>
          <w:szCs w:val="24"/>
        </w:rPr>
        <w:tab/>
        <w:t xml:space="preserve">The focus of this dissertation is on </w:t>
      </w:r>
      <w:r>
        <w:rPr>
          <w:szCs w:val="24"/>
        </w:rPr>
        <w:t>U.S.-based</w:t>
      </w:r>
      <w:r w:rsidRPr="00812CB0">
        <w:rPr>
          <w:szCs w:val="24"/>
        </w:rPr>
        <w:t xml:space="preserve"> </w:t>
      </w:r>
      <w:r>
        <w:rPr>
          <w:szCs w:val="24"/>
        </w:rPr>
        <w:t>TNGO</w:t>
      </w:r>
      <w:r w:rsidRPr="00812CB0">
        <w:rPr>
          <w:szCs w:val="24"/>
        </w:rPr>
        <w:t xml:space="preserve">s. This chapter presents a case study on a subset of these organizations that specialize in international development. It is worth noting that organizations working to advance public benefit now includes social entrepreneurs, not only nonprofits and government agencies. Social entrepreneurs include both for-profit entities with a social mission as well as nonprofits that incorporate business strategies in order to advance their mission. These organizations share some characteristics with their nonprofit counterparts in decision-making. One subject indicated that the level of need is a driving factor in location decisions, particularly for expansion. This mirrors one of the primary explanations for location in the nonprofit sector. At the same time, opportunity and success also occupy a significant part of the conversation. Location choices are market driven, contingent, and collaboration is less common than among nonprofits. The profile of risk tolerance in for-profit versus nonprofit organizations is also a distinguishing factor. </w:t>
      </w:r>
    </w:p>
    <w:p w:rsidR="001630DC" w:rsidRPr="00812CB0" w:rsidRDefault="001630DC" w:rsidP="001630DC">
      <w:pPr>
        <w:spacing w:line="480" w:lineRule="auto"/>
        <w:rPr>
          <w:szCs w:val="24"/>
        </w:rPr>
      </w:pPr>
      <w:r w:rsidRPr="00812CB0">
        <w:rPr>
          <w:szCs w:val="24"/>
        </w:rPr>
        <w:tab/>
        <w:t xml:space="preserve">Social enterprises must also consider the complexity of the operating environment. Both </w:t>
      </w:r>
      <w:r>
        <w:rPr>
          <w:szCs w:val="24"/>
        </w:rPr>
        <w:t>TNGO</w:t>
      </w:r>
      <w:r w:rsidRPr="00812CB0">
        <w:rPr>
          <w:szCs w:val="24"/>
        </w:rPr>
        <w:t xml:space="preserve">s and social enterprises make decisions based on amelioration of the condition of beneficiaries. This distinguishes them from other for-profit organizations that may award more weight to profit than to precautionary safety. For example, a taxi company that identifies a market need for late night service, despite increased crime and risk to drivers. Social enterprises and </w:t>
      </w:r>
      <w:r>
        <w:rPr>
          <w:szCs w:val="24"/>
        </w:rPr>
        <w:t>TNGO</w:t>
      </w:r>
      <w:r w:rsidRPr="00812CB0">
        <w:rPr>
          <w:szCs w:val="24"/>
        </w:rPr>
        <w:t xml:space="preserve">s must also examine environmental complexity and pursue management policies to minimize harm to the organization. Financial management best practices, such as receipts or electronic payments, may minimize corruption. A secondary outcome of such steps is better accounting and reporting to shareholders and Boards of Directors. </w:t>
      </w:r>
    </w:p>
    <w:p w:rsidR="001630DC" w:rsidRDefault="001630DC" w:rsidP="001630DC">
      <w:pPr>
        <w:spacing w:line="480" w:lineRule="auto"/>
        <w:rPr>
          <w:szCs w:val="24"/>
        </w:rPr>
      </w:pPr>
      <w:r w:rsidRPr="00812CB0">
        <w:rPr>
          <w:szCs w:val="24"/>
        </w:rPr>
        <w:tab/>
        <w:t>The representativeness and staffing of social enterprises most closely aligns with the hybrid model discussed earlier. Interviews for this chapter includes two social enterprises, or 10 percent of the data. One of the organizations self-identifies as a hybrid structure, but was re-categorized following further analysis.</w:t>
      </w:r>
      <w:r w:rsidRPr="00812CB0">
        <w:rPr>
          <w:rStyle w:val="FootnoteReference"/>
          <w:szCs w:val="24"/>
        </w:rPr>
        <w:footnoteReference w:id="21"/>
      </w:r>
      <w:r w:rsidRPr="00812CB0">
        <w:rPr>
          <w:szCs w:val="24"/>
        </w:rPr>
        <w:t xml:space="preserve"> Due to the small sample size, the observations presented here are anecdotal. However, that social enterprises operating in the international development space would require more local knowledge is unsurprising. </w:t>
      </w:r>
    </w:p>
    <w:p w:rsidR="001630DC" w:rsidRDefault="001630DC" w:rsidP="001630DC">
      <w:pPr>
        <w:spacing w:line="480" w:lineRule="auto"/>
        <w:rPr>
          <w:szCs w:val="24"/>
        </w:rPr>
      </w:pPr>
      <w:r>
        <w:rPr>
          <w:szCs w:val="24"/>
        </w:rPr>
        <w:tab/>
      </w:r>
      <w:r w:rsidRPr="00812CB0">
        <w:rPr>
          <w:szCs w:val="24"/>
        </w:rPr>
        <w:t xml:space="preserve">In total, </w:t>
      </w:r>
      <w:r>
        <w:rPr>
          <w:szCs w:val="24"/>
        </w:rPr>
        <w:t>the staff at social enterprises interviewed is</w:t>
      </w:r>
      <w:r w:rsidRPr="00812CB0">
        <w:rPr>
          <w:szCs w:val="24"/>
        </w:rPr>
        <w:t xml:space="preserve"> primarily Ugandan nationals; however, </w:t>
      </w:r>
      <w:r>
        <w:rPr>
          <w:szCs w:val="24"/>
        </w:rPr>
        <w:t xml:space="preserve">Western expatriates hold </w:t>
      </w:r>
      <w:r w:rsidRPr="00812CB0">
        <w:rPr>
          <w:szCs w:val="24"/>
        </w:rPr>
        <w:t xml:space="preserve">the executive positions (CEO, CFO, COS). The parallels between </w:t>
      </w:r>
      <w:r>
        <w:rPr>
          <w:szCs w:val="24"/>
        </w:rPr>
        <w:t>U.S.-based</w:t>
      </w:r>
      <w:r w:rsidRPr="00812CB0">
        <w:rPr>
          <w:szCs w:val="24"/>
        </w:rPr>
        <w:t xml:space="preserve"> </w:t>
      </w:r>
      <w:r>
        <w:rPr>
          <w:szCs w:val="24"/>
        </w:rPr>
        <w:t>TNGO</w:t>
      </w:r>
      <w:r w:rsidRPr="00812CB0">
        <w:rPr>
          <w:szCs w:val="24"/>
        </w:rPr>
        <w:t xml:space="preserve">s and social enterprises, at least in the international development sector, appear to dominate the comparative narrative. This raises an interesting question for organizational structure and decision-making: what drives the decision to organize as a nonprofit or for-profit where there is a common mission and set of objectives? The contingency framework suggests that environmental complexity is a driving factor, however, </w:t>
      </w:r>
      <w:r>
        <w:rPr>
          <w:szCs w:val="24"/>
        </w:rPr>
        <w:t>TNGO</w:t>
      </w:r>
      <w:r w:rsidRPr="00812CB0">
        <w:rPr>
          <w:szCs w:val="24"/>
        </w:rPr>
        <w:t xml:space="preserve">s outnumber social enterprises in international development. Other external factors, including the state of the economy, may play a role. Attention to types of leadership in the nonprofit sector shows how this can shape organizations. Incorporating this element when examining the for-profit and nonprofit divergence may help to explain such variation and further develop propositions into theory. </w:t>
      </w:r>
    </w:p>
    <w:p w:rsidR="001630DC" w:rsidRDefault="001630DC" w:rsidP="001630DC">
      <w:pPr>
        <w:spacing w:line="480" w:lineRule="auto"/>
        <w:rPr>
          <w:szCs w:val="24"/>
        </w:rPr>
      </w:pPr>
      <w:r>
        <w:rPr>
          <w:szCs w:val="24"/>
        </w:rPr>
        <w:tab/>
        <w:t>Social entrepreneurs as an organizational model might best be categorized as a hybrid. Entities organized in this fashion are market driven and therefore see a high level of local resources relative to other countries or regions; however, the interviews conducted presented some discord along the centralization dimension. In the for-profit case, the organization can be characterized as centralized. Information and decisions flow from the U.S.-based founder, with some freedom for country directors on day-to-day decisions. The nonprofit case, however, represents moderate centralization that has more in common with a federative model. Finally, formalization in both organizations is high rather than moderate as proposed by the contingency framework. This presents an opportunity to develop a proposition that incorporates social entrepreneurship into the contingency framework.</w:t>
      </w:r>
    </w:p>
    <w:p w:rsidR="00504DC3" w:rsidRDefault="00504DC3" w:rsidP="00504DC3">
      <w:pPr>
        <w:spacing w:line="480" w:lineRule="auto"/>
        <w:rPr>
          <w:szCs w:val="24"/>
        </w:rPr>
      </w:pPr>
    </w:p>
    <w:p w:rsidR="001630DC" w:rsidRPr="00E07C26" w:rsidRDefault="001630DC" w:rsidP="00504DC3">
      <w:pPr>
        <w:pStyle w:val="Heading2"/>
        <w:numPr>
          <w:ilvl w:val="0"/>
          <w:numId w:val="0"/>
        </w:numPr>
        <w:jc w:val="center"/>
        <w:rPr>
          <w:b/>
          <w:color w:val="auto"/>
          <w:sz w:val="24"/>
          <w:szCs w:val="28"/>
        </w:rPr>
      </w:pPr>
      <w:bookmarkStart w:id="307" w:name="_Toc450079236"/>
      <w:r w:rsidRPr="00E07C26">
        <w:rPr>
          <w:b/>
          <w:color w:val="auto"/>
          <w:sz w:val="24"/>
          <w:szCs w:val="28"/>
        </w:rPr>
        <w:t>4.6: Discussion</w:t>
      </w:r>
      <w:bookmarkEnd w:id="307"/>
    </w:p>
    <w:p w:rsidR="001630DC" w:rsidRDefault="001630DC" w:rsidP="001630DC"/>
    <w:p w:rsidR="001630DC" w:rsidRDefault="001630DC" w:rsidP="001630DC">
      <w:pPr>
        <w:spacing w:line="480" w:lineRule="auto"/>
        <w:rPr>
          <w:szCs w:val="24"/>
        </w:rPr>
      </w:pPr>
      <w:r>
        <w:rPr>
          <w:szCs w:val="24"/>
        </w:rPr>
        <w:tab/>
        <w:t xml:space="preserve">The contingency framework’s propositions about MNCs transfers to U.S.-based TNGOs. It provides greater nuance than the typology proposed by Young et al. </w:t>
      </w:r>
      <w:r>
        <w:rPr>
          <w:szCs w:val="24"/>
        </w:rPr>
        <w:fldChar w:fldCharType="begin"/>
      </w:r>
      <w:r>
        <w:rPr>
          <w:szCs w:val="24"/>
        </w:rPr>
        <w:instrText xml:space="preserve"> ADDIN ZOTERO_ITEM CSL_CITATION {"citationID":"ye0kWNLD","properties":{"formattedCitation":"(Young et al. 1999)","plainCitation":"(Young et al. 1999)"},"citationItems":[{"id":3577,"uris":["http://zotero.org/users/381007/items/QTBEVDER"],"uri":["http://zotero.org/users/381007/items/QTBEVDER"],"itemData":{"id":3577,"type":"article-journal","title":"Strategy and structure in managing global associations","container-title":"Voluntas: International Journal of Voluntary and Nonprofit Organizations","page":"323–343","volume":"10","issue":"4","source":"Google Scholar","author":[{"family":"Young","given":"Dennis R."},{"family":"Koenig","given":"Bonnie L."},{"family":"Najam","given":"Adil"},{"family":"Fisher","given":"Julie"}],"issued":{"date-parts":[["1999"]]},"accessed":{"date-parts":[["2016",2,5]]}}}],"schema":"https://github.com/citation-style-language/schema/raw/master/csl-citation.json"} </w:instrText>
      </w:r>
      <w:r>
        <w:rPr>
          <w:szCs w:val="24"/>
        </w:rPr>
        <w:fldChar w:fldCharType="separate"/>
      </w:r>
      <w:r>
        <w:rPr>
          <w:noProof/>
          <w:szCs w:val="24"/>
        </w:rPr>
        <w:t>(1999)</w:t>
      </w:r>
      <w:r>
        <w:rPr>
          <w:szCs w:val="24"/>
        </w:rPr>
        <w:fldChar w:fldCharType="end"/>
      </w:r>
      <w:r>
        <w:rPr>
          <w:szCs w:val="24"/>
        </w:rPr>
        <w:t xml:space="preserve">, in which nonprofits are categorized as unitary corporate structures (centralized), federations, of membership organizations. This typology describes organizational structure, yet overlooks additional means of organizing by focusing only on global associations. Furthermore, it approaches TNGOs from the outside in, overlooking the internal implications of organization as well as variation across environments. </w:t>
      </w:r>
    </w:p>
    <w:p w:rsidR="001630DC" w:rsidRDefault="001630DC" w:rsidP="001630DC">
      <w:pPr>
        <w:spacing w:line="480" w:lineRule="auto"/>
        <w:rPr>
          <w:szCs w:val="24"/>
        </w:rPr>
      </w:pPr>
      <w:r>
        <w:rPr>
          <w:szCs w:val="24"/>
        </w:rPr>
        <w:tab/>
        <w:t xml:space="preserve">However, the contingency framework as proposed by Ghoshal and Nohria (1989) cannot be applied to TNGOs wholesale. There are several significant caveats necessary to adapt the framework to TNGOs. First, the level of local resources available to TNGOs should be re-conceptualized to include non-monetary sources of wealth. These may include collaborative opportunities, impact, or manpower. This not only better describes the reality of TNGOs, it also is a more accurate description of TNGO reality. More specifically, TNGOs are nonprofits established to advance social or political change. This distinguishes them from for-profit models in which the goal is to enrich shareholders. Monetary resources are, of course, incredibly important to TNGOs, but wealth can be described in a number of different ways. TNGOs looking to select feasible locations or to stretch a dollar must consider all avenues. Furthermore, the concept of local should be re-examined. Does local mean the country of implementation or does it refer to the country of origin in the case of TNGOs? </w:t>
      </w:r>
    </w:p>
    <w:p w:rsidR="001630DC" w:rsidRDefault="001630DC" w:rsidP="001630DC">
      <w:pPr>
        <w:spacing w:line="480" w:lineRule="auto"/>
        <w:rPr>
          <w:szCs w:val="24"/>
        </w:rPr>
      </w:pPr>
      <w:r>
        <w:rPr>
          <w:szCs w:val="24"/>
        </w:rPr>
        <w:tab/>
        <w:t xml:space="preserve">TNGOs, especially in international development, are engaged in less developed or emerging countries in which the capacity of the state and potential individual donors is at a lower threshold. There is also a weaker tradition of philanthropic giving in these places. As a result, most funding is secured from private foundations, government agencies, and individuals in developed countries. Several interviewees highlighted this point, acknowledging that resources flowed from north to south and that, in at least on instance, developed country offices bore the primary responsibility of fundraising. </w:t>
      </w:r>
    </w:p>
    <w:p w:rsidR="001630DC" w:rsidRDefault="001630DC" w:rsidP="001630DC">
      <w:pPr>
        <w:spacing w:line="480" w:lineRule="auto"/>
        <w:rPr>
          <w:szCs w:val="24"/>
        </w:rPr>
      </w:pPr>
      <w:r>
        <w:rPr>
          <w:szCs w:val="24"/>
        </w:rPr>
        <w:tab/>
        <w:t xml:space="preserve">Second, the concept of environmental complexity should be adapted to TNGOs. For MNCs, environmental complexity means the ability to operate at a profit. For TNGOs, the level of environmental complexity should be measured using barriers to entry, financial security, and conflict. Like local resources, these measures should correspond with the reality of TNGOs. </w:t>
      </w:r>
    </w:p>
    <w:p w:rsidR="001630DC" w:rsidRPr="001804FD" w:rsidRDefault="001630DC" w:rsidP="001630DC">
      <w:pPr>
        <w:spacing w:line="480" w:lineRule="auto"/>
        <w:rPr>
          <w:szCs w:val="24"/>
        </w:rPr>
      </w:pPr>
      <w:r>
        <w:rPr>
          <w:szCs w:val="24"/>
        </w:rPr>
        <w:tab/>
        <w:t xml:space="preserve">Third, the social entrepreneurship model should be placed within the context of the contingency framework. Not only is this an emerging and significant model for TNGOs, it is becoming more prevalent in the for-profit sector. Thus, its incorporation is beneficial for both TNGOs and MNCs. Social entrepreneurship should be fit along the dimensions of high local resources due to the market-driven nature of such organizations and low environmental complexity. While social entrepreneurs may be less risk averse than traditional TNGOs, they would place profits in danger if they operated under the same assumptions as TNGOs. One example of this is a TNGO entering a conflict zone whereas a social enterprise would be reluctant to do so. </w:t>
      </w:r>
    </w:p>
    <w:tbl>
      <w:tblPr>
        <w:tblpPr w:leftFromText="180" w:rightFromText="180" w:vertAnchor="text" w:horzAnchor="page" w:tblpX="4303" w:tblpY="7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9"/>
        <w:gridCol w:w="2640"/>
      </w:tblGrid>
      <w:tr w:rsidR="00201ADC" w:rsidRPr="0097505E">
        <w:tc>
          <w:tcPr>
            <w:tcW w:w="2429" w:type="dxa"/>
          </w:tcPr>
          <w:p w:rsidR="001630DC" w:rsidRPr="00201ADC" w:rsidRDefault="001630DC" w:rsidP="00201ADC">
            <w:pPr>
              <w:tabs>
                <w:tab w:val="left" w:pos="0"/>
                <w:tab w:val="left" w:pos="90"/>
              </w:tabs>
              <w:spacing w:line="360" w:lineRule="auto"/>
              <w:jc w:val="center"/>
              <w:rPr>
                <w:b/>
                <w:sz w:val="20"/>
                <w:szCs w:val="20"/>
              </w:rPr>
            </w:pPr>
            <w:r w:rsidRPr="00201ADC">
              <w:rPr>
                <w:b/>
                <w:sz w:val="20"/>
                <w:szCs w:val="20"/>
              </w:rPr>
              <w:t>Integrative / Hybrid</w:t>
            </w:r>
          </w:p>
          <w:p w:rsidR="001630DC" w:rsidRPr="00201ADC" w:rsidRDefault="001630DC" w:rsidP="00201ADC">
            <w:pPr>
              <w:tabs>
                <w:tab w:val="left" w:pos="0"/>
                <w:tab w:val="left" w:pos="90"/>
              </w:tabs>
              <w:jc w:val="center"/>
              <w:rPr>
                <w:sz w:val="20"/>
                <w:szCs w:val="20"/>
              </w:rPr>
            </w:pPr>
            <w:r w:rsidRPr="00201ADC">
              <w:rPr>
                <w:sz w:val="20"/>
                <w:szCs w:val="20"/>
              </w:rPr>
              <w:t>Low Centralization</w:t>
            </w:r>
          </w:p>
          <w:p w:rsidR="001630DC" w:rsidRPr="00201ADC" w:rsidRDefault="001630DC" w:rsidP="00201ADC">
            <w:pPr>
              <w:tabs>
                <w:tab w:val="left" w:pos="0"/>
                <w:tab w:val="left" w:pos="90"/>
              </w:tabs>
              <w:jc w:val="center"/>
              <w:rPr>
                <w:sz w:val="20"/>
                <w:szCs w:val="20"/>
              </w:rPr>
            </w:pPr>
            <w:r w:rsidRPr="00201ADC">
              <w:rPr>
                <w:sz w:val="20"/>
                <w:szCs w:val="20"/>
              </w:rPr>
              <w:t>Moderate Formalization</w:t>
            </w:r>
          </w:p>
          <w:p w:rsidR="001630DC" w:rsidRPr="00201ADC" w:rsidRDefault="001630DC" w:rsidP="00201ADC">
            <w:pPr>
              <w:tabs>
                <w:tab w:val="left" w:pos="0"/>
                <w:tab w:val="left" w:pos="90"/>
              </w:tabs>
              <w:jc w:val="center"/>
              <w:rPr>
                <w:sz w:val="20"/>
                <w:szCs w:val="20"/>
              </w:rPr>
            </w:pPr>
            <w:r w:rsidRPr="00201ADC">
              <w:rPr>
                <w:sz w:val="20"/>
                <w:szCs w:val="20"/>
              </w:rPr>
              <w:t>High Socialization</w:t>
            </w:r>
          </w:p>
        </w:tc>
        <w:tc>
          <w:tcPr>
            <w:tcW w:w="2640" w:type="dxa"/>
          </w:tcPr>
          <w:p w:rsidR="001630DC" w:rsidRPr="00201ADC" w:rsidRDefault="001630DC" w:rsidP="00201ADC">
            <w:pPr>
              <w:tabs>
                <w:tab w:val="left" w:pos="0"/>
                <w:tab w:val="left" w:pos="90"/>
              </w:tabs>
              <w:spacing w:line="360" w:lineRule="auto"/>
              <w:jc w:val="center"/>
              <w:rPr>
                <w:b/>
                <w:sz w:val="20"/>
                <w:szCs w:val="20"/>
              </w:rPr>
            </w:pPr>
            <w:r w:rsidRPr="00201ADC">
              <w:rPr>
                <w:b/>
                <w:sz w:val="20"/>
                <w:szCs w:val="20"/>
              </w:rPr>
              <w:t>Social Enterprise</w:t>
            </w:r>
          </w:p>
          <w:p w:rsidR="001630DC" w:rsidRPr="00201ADC" w:rsidRDefault="001630DC" w:rsidP="00201ADC">
            <w:pPr>
              <w:tabs>
                <w:tab w:val="left" w:pos="0"/>
                <w:tab w:val="left" w:pos="90"/>
              </w:tabs>
              <w:jc w:val="center"/>
              <w:rPr>
                <w:sz w:val="20"/>
                <w:szCs w:val="20"/>
              </w:rPr>
            </w:pPr>
            <w:r w:rsidRPr="00201ADC">
              <w:rPr>
                <w:sz w:val="20"/>
                <w:szCs w:val="20"/>
              </w:rPr>
              <w:t>High Centralization</w:t>
            </w:r>
          </w:p>
          <w:p w:rsidR="001630DC" w:rsidRPr="00201ADC" w:rsidRDefault="001630DC" w:rsidP="00201ADC">
            <w:pPr>
              <w:tabs>
                <w:tab w:val="left" w:pos="0"/>
                <w:tab w:val="left" w:pos="90"/>
              </w:tabs>
              <w:jc w:val="center"/>
              <w:rPr>
                <w:sz w:val="20"/>
                <w:szCs w:val="20"/>
              </w:rPr>
            </w:pPr>
            <w:r w:rsidRPr="00201ADC">
              <w:rPr>
                <w:sz w:val="20"/>
                <w:szCs w:val="20"/>
              </w:rPr>
              <w:t>Moderate Formalization</w:t>
            </w:r>
          </w:p>
          <w:p w:rsidR="001630DC" w:rsidRPr="00201ADC" w:rsidRDefault="001630DC" w:rsidP="00201ADC">
            <w:pPr>
              <w:tabs>
                <w:tab w:val="left" w:pos="0"/>
                <w:tab w:val="left" w:pos="90"/>
              </w:tabs>
              <w:jc w:val="center"/>
              <w:rPr>
                <w:sz w:val="20"/>
                <w:szCs w:val="20"/>
              </w:rPr>
            </w:pPr>
            <w:r w:rsidRPr="00201ADC">
              <w:rPr>
                <w:sz w:val="20"/>
                <w:szCs w:val="20"/>
              </w:rPr>
              <w:t>High Socialization</w:t>
            </w:r>
          </w:p>
        </w:tc>
      </w:tr>
      <w:tr w:rsidR="00201ADC" w:rsidRPr="0097505E">
        <w:tc>
          <w:tcPr>
            <w:tcW w:w="2429" w:type="dxa"/>
          </w:tcPr>
          <w:p w:rsidR="001630DC" w:rsidRPr="00201ADC" w:rsidRDefault="001630DC" w:rsidP="00201ADC">
            <w:pPr>
              <w:tabs>
                <w:tab w:val="left" w:pos="0"/>
                <w:tab w:val="left" w:pos="90"/>
              </w:tabs>
              <w:spacing w:line="360" w:lineRule="auto"/>
              <w:jc w:val="center"/>
              <w:rPr>
                <w:b/>
                <w:sz w:val="20"/>
                <w:szCs w:val="20"/>
              </w:rPr>
            </w:pPr>
            <w:r w:rsidRPr="00201ADC">
              <w:rPr>
                <w:b/>
                <w:sz w:val="20"/>
                <w:szCs w:val="20"/>
              </w:rPr>
              <w:t>Hierarchy / Centralized</w:t>
            </w:r>
          </w:p>
          <w:p w:rsidR="001630DC" w:rsidRPr="00201ADC" w:rsidRDefault="001630DC" w:rsidP="00201ADC">
            <w:pPr>
              <w:tabs>
                <w:tab w:val="left" w:pos="0"/>
                <w:tab w:val="left" w:pos="90"/>
              </w:tabs>
              <w:jc w:val="center"/>
              <w:rPr>
                <w:sz w:val="20"/>
                <w:szCs w:val="20"/>
              </w:rPr>
            </w:pPr>
            <w:r w:rsidRPr="00201ADC">
              <w:rPr>
                <w:sz w:val="20"/>
                <w:szCs w:val="20"/>
              </w:rPr>
              <w:t>High Centralization</w:t>
            </w:r>
          </w:p>
          <w:p w:rsidR="001630DC" w:rsidRPr="00201ADC" w:rsidRDefault="001630DC" w:rsidP="00201ADC">
            <w:pPr>
              <w:tabs>
                <w:tab w:val="left" w:pos="0"/>
                <w:tab w:val="left" w:pos="90"/>
              </w:tabs>
              <w:jc w:val="center"/>
              <w:rPr>
                <w:sz w:val="20"/>
                <w:szCs w:val="20"/>
              </w:rPr>
            </w:pPr>
            <w:r w:rsidRPr="00201ADC">
              <w:rPr>
                <w:sz w:val="20"/>
                <w:szCs w:val="20"/>
              </w:rPr>
              <w:t>Low Formalization</w:t>
            </w:r>
          </w:p>
          <w:p w:rsidR="001630DC" w:rsidRPr="00201ADC" w:rsidRDefault="001630DC" w:rsidP="00201ADC">
            <w:pPr>
              <w:tabs>
                <w:tab w:val="left" w:pos="0"/>
                <w:tab w:val="left" w:pos="90"/>
              </w:tabs>
              <w:jc w:val="center"/>
              <w:rPr>
                <w:sz w:val="20"/>
                <w:szCs w:val="20"/>
              </w:rPr>
            </w:pPr>
            <w:r w:rsidRPr="00201ADC">
              <w:rPr>
                <w:sz w:val="20"/>
                <w:szCs w:val="20"/>
              </w:rPr>
              <w:t>Low Socialization</w:t>
            </w:r>
          </w:p>
        </w:tc>
        <w:tc>
          <w:tcPr>
            <w:tcW w:w="2640" w:type="dxa"/>
          </w:tcPr>
          <w:p w:rsidR="001630DC" w:rsidRPr="00201ADC" w:rsidRDefault="001630DC" w:rsidP="00201ADC">
            <w:pPr>
              <w:tabs>
                <w:tab w:val="left" w:pos="0"/>
                <w:tab w:val="left" w:pos="90"/>
              </w:tabs>
              <w:spacing w:line="360" w:lineRule="auto"/>
              <w:jc w:val="center"/>
              <w:rPr>
                <w:b/>
                <w:sz w:val="20"/>
                <w:szCs w:val="20"/>
              </w:rPr>
            </w:pPr>
            <w:r w:rsidRPr="00201ADC">
              <w:rPr>
                <w:b/>
                <w:sz w:val="20"/>
                <w:szCs w:val="20"/>
              </w:rPr>
              <w:t>Federative / Decentralized</w:t>
            </w:r>
          </w:p>
          <w:p w:rsidR="001630DC" w:rsidRPr="00201ADC" w:rsidRDefault="001630DC" w:rsidP="00201ADC">
            <w:pPr>
              <w:tabs>
                <w:tab w:val="left" w:pos="0"/>
                <w:tab w:val="left" w:pos="90"/>
              </w:tabs>
              <w:jc w:val="center"/>
              <w:rPr>
                <w:sz w:val="20"/>
                <w:szCs w:val="20"/>
              </w:rPr>
            </w:pPr>
            <w:r w:rsidRPr="00201ADC">
              <w:rPr>
                <w:sz w:val="20"/>
                <w:szCs w:val="20"/>
              </w:rPr>
              <w:t>Low Centralization</w:t>
            </w:r>
          </w:p>
          <w:p w:rsidR="001630DC" w:rsidRPr="00201ADC" w:rsidRDefault="001630DC" w:rsidP="00201ADC">
            <w:pPr>
              <w:tabs>
                <w:tab w:val="left" w:pos="0"/>
                <w:tab w:val="left" w:pos="90"/>
              </w:tabs>
              <w:jc w:val="center"/>
              <w:rPr>
                <w:sz w:val="20"/>
                <w:szCs w:val="20"/>
              </w:rPr>
            </w:pPr>
            <w:r w:rsidRPr="00201ADC">
              <w:rPr>
                <w:sz w:val="20"/>
                <w:szCs w:val="20"/>
              </w:rPr>
              <w:t>High Formalization</w:t>
            </w:r>
          </w:p>
          <w:p w:rsidR="001630DC" w:rsidRPr="00201ADC" w:rsidRDefault="001630DC" w:rsidP="00201ADC">
            <w:pPr>
              <w:tabs>
                <w:tab w:val="left" w:pos="0"/>
                <w:tab w:val="left" w:pos="90"/>
              </w:tabs>
              <w:jc w:val="center"/>
              <w:rPr>
                <w:sz w:val="20"/>
                <w:szCs w:val="20"/>
              </w:rPr>
            </w:pPr>
            <w:r w:rsidRPr="00201ADC">
              <w:rPr>
                <w:sz w:val="20"/>
                <w:szCs w:val="20"/>
              </w:rPr>
              <w:t>Low Socialization</w:t>
            </w:r>
          </w:p>
        </w:tc>
      </w:tr>
    </w:tbl>
    <w:p w:rsidR="001630DC" w:rsidRDefault="001630DC" w:rsidP="001630DC">
      <w:pPr>
        <w:ind w:firstLine="720"/>
        <w:rPr>
          <w:sz w:val="22"/>
        </w:rPr>
      </w:pPr>
    </w:p>
    <w:p w:rsidR="001630DC" w:rsidRDefault="001630DC" w:rsidP="001630DC">
      <w:pPr>
        <w:ind w:firstLine="720"/>
        <w:rPr>
          <w:sz w:val="22"/>
        </w:rPr>
      </w:pPr>
      <w:r>
        <w:rPr>
          <w:sz w:val="22"/>
        </w:rPr>
        <w:tab/>
      </w:r>
    </w:p>
    <w:p w:rsidR="001630DC" w:rsidRDefault="0022297A" w:rsidP="001630DC">
      <w:pPr>
        <w:ind w:firstLine="720"/>
        <w:rPr>
          <w:sz w:val="22"/>
        </w:rPr>
      </w:pPr>
      <w:r>
        <w:rPr>
          <w:noProof/>
        </w:rPr>
        <mc:AlternateContent>
          <mc:Choice Requires="wps">
            <w:drawing>
              <wp:anchor distT="45720" distB="45720" distL="114300" distR="114300" simplePos="0" relativeHeight="251681280" behindDoc="0" locked="0" layoutInCell="1" allowOverlap="1" wp14:anchorId="784C5037" wp14:editId="22AE3B9A">
                <wp:simplePos x="0" y="0"/>
                <wp:positionH relativeFrom="column">
                  <wp:posOffset>0</wp:posOffset>
                </wp:positionH>
                <wp:positionV relativeFrom="paragraph">
                  <wp:posOffset>140970</wp:posOffset>
                </wp:positionV>
                <wp:extent cx="1143000" cy="134239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342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id="20">
                        <w:txbxContent>
                          <w:p w:rsidR="00F43496" w:rsidRDefault="00F43496" w:rsidP="001630DC">
                            <w:pPr>
                              <w:ind w:firstLine="720"/>
                              <w:rPr>
                                <w:sz w:val="22"/>
                              </w:rPr>
                            </w:pPr>
                          </w:p>
                          <w:p w:rsidR="00F43496" w:rsidRPr="00201ADC" w:rsidRDefault="00F43496" w:rsidP="001630DC">
                            <w:pPr>
                              <w:ind w:firstLine="720"/>
                              <w:rPr>
                                <w:b/>
                                <w:sz w:val="20"/>
                                <w:szCs w:val="20"/>
                              </w:rPr>
                            </w:pPr>
                            <w:r w:rsidRPr="00201ADC">
                              <w:rPr>
                                <w:sz w:val="20"/>
                                <w:szCs w:val="20"/>
                              </w:rPr>
                              <w:t xml:space="preserve"> (high)</w:t>
                            </w:r>
                          </w:p>
                          <w:p w:rsidR="00F43496" w:rsidRPr="00201ADC" w:rsidRDefault="00F43496" w:rsidP="001630DC">
                            <w:pPr>
                              <w:rPr>
                                <w:b/>
                                <w:sz w:val="20"/>
                                <w:szCs w:val="20"/>
                              </w:rPr>
                            </w:pPr>
                          </w:p>
                          <w:p w:rsidR="00F43496" w:rsidRPr="00201ADC" w:rsidRDefault="00F43496" w:rsidP="001630DC">
                            <w:pPr>
                              <w:rPr>
                                <w:b/>
                                <w:sz w:val="20"/>
                                <w:szCs w:val="20"/>
                              </w:rPr>
                            </w:pPr>
                            <w:r w:rsidRPr="00201ADC">
                              <w:rPr>
                                <w:b/>
                                <w:sz w:val="20"/>
                                <w:szCs w:val="20"/>
                              </w:rPr>
                              <w:t>Environmental</w:t>
                            </w:r>
                          </w:p>
                          <w:p w:rsidR="00F43496" w:rsidRPr="00201ADC" w:rsidRDefault="00F43496" w:rsidP="001630DC">
                            <w:pPr>
                              <w:rPr>
                                <w:b/>
                                <w:sz w:val="20"/>
                                <w:szCs w:val="20"/>
                              </w:rPr>
                            </w:pPr>
                            <w:r w:rsidRPr="00201ADC">
                              <w:rPr>
                                <w:b/>
                                <w:sz w:val="20"/>
                                <w:szCs w:val="20"/>
                              </w:rPr>
                              <w:t>Complexity</w:t>
                            </w:r>
                          </w:p>
                          <w:p w:rsidR="00F43496" w:rsidRPr="00201ADC" w:rsidRDefault="00F43496" w:rsidP="001630DC">
                            <w:pPr>
                              <w:rPr>
                                <w:b/>
                                <w:sz w:val="20"/>
                                <w:szCs w:val="20"/>
                              </w:rPr>
                            </w:pPr>
                          </w:p>
                          <w:p w:rsidR="00F43496" w:rsidRPr="00201ADC" w:rsidRDefault="00F43496" w:rsidP="001630DC">
                            <w:pPr>
                              <w:rPr>
                                <w:b/>
                                <w:sz w:val="20"/>
                                <w:szCs w:val="20"/>
                              </w:rPr>
                            </w:pPr>
                            <w:r w:rsidRPr="00201ADC">
                              <w:rPr>
                                <w:b/>
                                <w:sz w:val="20"/>
                                <w:szCs w:val="20"/>
                              </w:rPr>
                              <w:tab/>
                            </w:r>
                            <w:r w:rsidRPr="00201ADC">
                              <w:rPr>
                                <w:sz w:val="20"/>
                                <w:szCs w:val="20"/>
                              </w:rPr>
                              <w:t>(low)</w:t>
                            </w:r>
                          </w:p>
                          <w:p w:rsidR="00F43496" w:rsidRDefault="00F43496" w:rsidP="001630DC">
                            <w:pPr>
                              <w:rPr>
                                <w:sz w:val="22"/>
                              </w:rPr>
                            </w:pPr>
                            <w:r w:rsidRPr="001201A3">
                              <w:rPr>
                                <w:sz w:val="22"/>
                              </w:rPr>
                              <w:tab/>
                            </w:r>
                            <w:r w:rsidRPr="001201A3">
                              <w:rPr>
                                <w:sz w:val="22"/>
                              </w:rPr>
                              <w:tab/>
                            </w:r>
                            <w:r w:rsidRPr="001201A3">
                              <w:rPr>
                                <w:sz w:val="22"/>
                              </w:rPr>
                              <w:tab/>
                            </w:r>
                            <w:r w:rsidRPr="001201A3">
                              <w:rPr>
                                <w:sz w:val="22"/>
                              </w:rPr>
                              <w:tab/>
                            </w:r>
                          </w:p>
                          <w:p w:rsidR="00F43496" w:rsidRDefault="00F434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C5037" id="_x0000_s1045" type="#_x0000_t202" style="position:absolute;left:0;text-align:left;margin-left:0;margin-top:11.1pt;width:90pt;height:105.7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" stroked="f">
                <v:textbox style="mso-next-textbox:#Text Box 112">
                  <w:txbxContent>
                    <w:p w:rsidR="00F43496" w:rsidRDefault="00F43496" w:rsidP="001630DC">
                      <w:pPr>
                        <w:ind w:firstLine="720"/>
                        <w:rPr>
                          <w:sz w:val="22"/>
                        </w:rPr>
                      </w:pPr>
                    </w:p>
                    <w:p w:rsidR="00F43496" w:rsidRPr="00201ADC" w:rsidRDefault="00F43496" w:rsidP="001630DC">
                      <w:pPr>
                        <w:ind w:firstLine="720"/>
                        <w:rPr>
                          <w:b/>
                          <w:sz w:val="20"/>
                          <w:szCs w:val="20"/>
                        </w:rPr>
                      </w:pPr>
                      <w:r w:rsidRPr="00201ADC">
                        <w:rPr>
                          <w:sz w:val="20"/>
                          <w:szCs w:val="20"/>
                        </w:rPr>
                        <w:t xml:space="preserve"> (high)</w:t>
                      </w:r>
                    </w:p>
                    <w:p w:rsidR="00F43496" w:rsidRPr="00201ADC" w:rsidRDefault="00F43496" w:rsidP="001630DC">
                      <w:pPr>
                        <w:rPr>
                          <w:b/>
                          <w:sz w:val="20"/>
                          <w:szCs w:val="20"/>
                        </w:rPr>
                      </w:pPr>
                    </w:p>
                    <w:p w:rsidR="00F43496" w:rsidRPr="00201ADC" w:rsidRDefault="00F43496" w:rsidP="001630DC">
                      <w:pPr>
                        <w:rPr>
                          <w:b/>
                          <w:sz w:val="20"/>
                          <w:szCs w:val="20"/>
                        </w:rPr>
                      </w:pPr>
                      <w:r w:rsidRPr="00201ADC">
                        <w:rPr>
                          <w:b/>
                          <w:sz w:val="20"/>
                          <w:szCs w:val="20"/>
                        </w:rPr>
                        <w:t>Environmental</w:t>
                      </w:r>
                    </w:p>
                    <w:p w:rsidR="00F43496" w:rsidRPr="00201ADC" w:rsidRDefault="00F43496" w:rsidP="001630DC">
                      <w:pPr>
                        <w:rPr>
                          <w:b/>
                          <w:sz w:val="20"/>
                          <w:szCs w:val="20"/>
                        </w:rPr>
                      </w:pPr>
                      <w:r w:rsidRPr="00201ADC">
                        <w:rPr>
                          <w:b/>
                          <w:sz w:val="20"/>
                          <w:szCs w:val="20"/>
                        </w:rPr>
                        <w:t>Complexity</w:t>
                      </w:r>
                    </w:p>
                    <w:p w:rsidR="00F43496" w:rsidRPr="00201ADC" w:rsidRDefault="00F43496" w:rsidP="001630DC">
                      <w:pPr>
                        <w:rPr>
                          <w:b/>
                          <w:sz w:val="20"/>
                          <w:szCs w:val="20"/>
                        </w:rPr>
                      </w:pPr>
                    </w:p>
                    <w:p w:rsidR="00F43496" w:rsidRPr="00201ADC" w:rsidRDefault="00F43496" w:rsidP="001630DC">
                      <w:pPr>
                        <w:rPr>
                          <w:b/>
                          <w:sz w:val="20"/>
                          <w:szCs w:val="20"/>
                        </w:rPr>
                      </w:pPr>
                      <w:r w:rsidRPr="00201ADC">
                        <w:rPr>
                          <w:b/>
                          <w:sz w:val="20"/>
                          <w:szCs w:val="20"/>
                        </w:rPr>
                        <w:tab/>
                      </w:r>
                      <w:r w:rsidRPr="00201ADC">
                        <w:rPr>
                          <w:sz w:val="20"/>
                          <w:szCs w:val="20"/>
                        </w:rPr>
                        <w:t>(low)</w:t>
                      </w:r>
                    </w:p>
                    <w:p w:rsidR="00F43496" w:rsidRDefault="00F43496" w:rsidP="001630DC">
                      <w:pPr>
                        <w:rPr>
                          <w:sz w:val="22"/>
                        </w:rPr>
                      </w:pPr>
                      <w:r w:rsidRPr="001201A3">
                        <w:rPr>
                          <w:sz w:val="22"/>
                        </w:rPr>
                        <w:tab/>
                      </w:r>
                      <w:r w:rsidRPr="001201A3">
                        <w:rPr>
                          <w:sz w:val="22"/>
                        </w:rPr>
                        <w:tab/>
                      </w:r>
                      <w:r w:rsidRPr="001201A3">
                        <w:rPr>
                          <w:sz w:val="22"/>
                        </w:rPr>
                        <w:tab/>
                      </w:r>
                      <w:r w:rsidRPr="001201A3">
                        <w:rPr>
                          <w:sz w:val="22"/>
                        </w:rPr>
                        <w:tab/>
                      </w:r>
                    </w:p>
                    <w:p w:rsidR="00F43496" w:rsidRDefault="00F43496"/>
                  </w:txbxContent>
                </v:textbox>
                <w10:wrap type="square"/>
              </v:shape>
            </w:pict>
          </mc:Fallback>
        </mc:AlternateContent>
      </w:r>
    </w:p>
    <w:p w:rsidR="001630DC" w:rsidRDefault="001630DC" w:rsidP="001630DC">
      <w:pPr>
        <w:rPr>
          <w:sz w:val="22"/>
        </w:rPr>
      </w:pPr>
    </w:p>
    <w:p w:rsidR="001630DC" w:rsidRDefault="001630DC" w:rsidP="001630DC">
      <w:pPr>
        <w:rPr>
          <w:sz w:val="22"/>
        </w:rPr>
      </w:pPr>
    </w:p>
    <w:p w:rsidR="00F1318A" w:rsidRPr="00B97971" w:rsidRDefault="00BC20CD" w:rsidP="00B97971">
      <w:pPr>
        <w:rPr>
          <w:sz w:val="22"/>
        </w:rPr>
      </w:pPr>
      <w:r>
        <w:rPr>
          <w:noProof/>
          <w:sz w:val="22"/>
        </w:rPr>
        <mc:AlternateContent>
          <mc:Choice Requires="wps">
            <w:drawing>
              <wp:anchor distT="0" distB="0" distL="114300" distR="114300" simplePos="0" relativeHeight="251683328" behindDoc="0" locked="0" layoutInCell="1" allowOverlap="1" wp14:anchorId="2D4C79CB" wp14:editId="69E936D6">
                <wp:simplePos x="0" y="0"/>
                <wp:positionH relativeFrom="column">
                  <wp:posOffset>-3758565</wp:posOffset>
                </wp:positionH>
                <wp:positionV relativeFrom="paragraph">
                  <wp:posOffset>20320</wp:posOffset>
                </wp:positionV>
                <wp:extent cx="914400" cy="914400"/>
                <wp:effectExtent l="2540" t="3810" r="0" b="0"/>
                <wp:wrapTight wrapText="bothSides">
                  <wp:wrapPolygon edited="0">
                    <wp:start x="0" y="0"/>
                    <wp:lineTo x="21600" y="0"/>
                    <wp:lineTo x="21600" y="21600"/>
                    <wp:lineTo x="0" y="21600"/>
                    <wp:lineTo x="0" y="0"/>
                  </wp:wrapPolygon>
                </wp:wrapTight>
                <wp:docPr id="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0"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46" type="#_x0000_t202" style="position:absolute;margin-left:-295.95pt;margin-top:1.6pt;width:1in;height:1in;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" filled="f" stroked="f">
                <v:textbox inset=",7.2pt,,7.2pt">
                  <w:txbxContent/>
                </v:textbox>
                <w10:wrap type="tight"/>
              </v:shape>
            </w:pict>
          </mc:Fallback>
        </mc:AlternateContent>
      </w:r>
      <w:bookmarkStart w:id="308" w:name="_Toc318115840"/>
    </w:p>
    <w:p w:rsidR="0022297A" w:rsidRDefault="0022297A" w:rsidP="00201ADC">
      <w:pPr>
        <w:jc w:val="center"/>
        <w:rPr>
          <w:b/>
          <w:sz w:val="22"/>
        </w:rPr>
      </w:pPr>
    </w:p>
    <w:p w:rsidR="0022297A" w:rsidRDefault="0022297A" w:rsidP="00201ADC">
      <w:pPr>
        <w:jc w:val="center"/>
        <w:rPr>
          <w:b/>
          <w:sz w:val="22"/>
        </w:rPr>
      </w:pPr>
    </w:p>
    <w:p w:rsidR="0022297A" w:rsidRDefault="0022297A" w:rsidP="00201ADC">
      <w:pPr>
        <w:jc w:val="center"/>
        <w:rPr>
          <w:b/>
          <w:sz w:val="22"/>
        </w:rPr>
      </w:pPr>
    </w:p>
    <w:p w:rsidR="0022297A" w:rsidRDefault="0022297A" w:rsidP="00201ADC">
      <w:pPr>
        <w:jc w:val="center"/>
        <w:rPr>
          <w:b/>
          <w:sz w:val="22"/>
        </w:rPr>
      </w:pPr>
    </w:p>
    <w:p w:rsidR="0022297A" w:rsidRDefault="0022297A" w:rsidP="00201ADC">
      <w:pPr>
        <w:jc w:val="center"/>
        <w:rPr>
          <w:b/>
          <w:sz w:val="22"/>
        </w:rPr>
      </w:pPr>
    </w:p>
    <w:p w:rsidR="0022297A" w:rsidRDefault="0022297A" w:rsidP="00201ADC">
      <w:pPr>
        <w:jc w:val="center"/>
        <w:rPr>
          <w:b/>
          <w:sz w:val="22"/>
        </w:rPr>
      </w:pPr>
      <w:r w:rsidRPr="005A0FFD">
        <w:rPr>
          <w:b/>
          <w:noProof/>
          <w:sz w:val="22"/>
        </w:rPr>
        <w:drawing>
          <wp:anchor distT="0" distB="0" distL="114300" distR="114300" simplePos="0" relativeHeight="251658240" behindDoc="0" locked="0" layoutInCell="1" allowOverlap="1" wp14:anchorId="3F3BF9BA" wp14:editId="7AE82078">
            <wp:simplePos x="0" y="0"/>
            <wp:positionH relativeFrom="column">
              <wp:posOffset>1597025</wp:posOffset>
            </wp:positionH>
            <wp:positionV relativeFrom="paragraph">
              <wp:posOffset>43815</wp:posOffset>
            </wp:positionV>
            <wp:extent cx="2506345" cy="457200"/>
            <wp:effectExtent l="0" t="0" r="0" b="0"/>
            <wp:wrapSquare wrapText="bothSides"/>
            <wp:docPr id="11" name="Picture 3" descr="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345" cy="457200"/>
                    </a:xfrm>
                    <a:prstGeom prst="rect">
                      <a:avLst/>
                    </a:prstGeom>
                    <a:noFill/>
                    <a:ln w="9525">
                      <a:noFill/>
                      <a:miter lim="800000"/>
                      <a:headEnd/>
                      <a:tailEnd/>
                    </a:ln>
                  </pic:spPr>
                </pic:pic>
              </a:graphicData>
            </a:graphic>
          </wp:anchor>
        </w:drawing>
      </w:r>
    </w:p>
    <w:p w:rsidR="0022297A" w:rsidRDefault="0022297A" w:rsidP="00201ADC">
      <w:pPr>
        <w:jc w:val="center"/>
        <w:rPr>
          <w:b/>
          <w:sz w:val="22"/>
        </w:rPr>
      </w:pPr>
    </w:p>
    <w:p w:rsidR="0022297A" w:rsidRDefault="0022297A" w:rsidP="00201ADC">
      <w:pPr>
        <w:jc w:val="center"/>
        <w:rPr>
          <w:b/>
          <w:sz w:val="22"/>
        </w:rPr>
      </w:pPr>
    </w:p>
    <w:p w:rsidR="0022297A" w:rsidRDefault="0022297A" w:rsidP="00201ADC">
      <w:pPr>
        <w:jc w:val="center"/>
        <w:rPr>
          <w:b/>
          <w:sz w:val="22"/>
        </w:rPr>
      </w:pPr>
    </w:p>
    <w:p w:rsidR="001630DC" w:rsidRPr="00FB1D4A" w:rsidRDefault="001630DC" w:rsidP="00201ADC">
      <w:pPr>
        <w:jc w:val="center"/>
        <w:rPr>
          <w:sz w:val="22"/>
        </w:rPr>
      </w:pPr>
      <w:r w:rsidRPr="00FB1D4A">
        <w:rPr>
          <w:b/>
          <w:sz w:val="22"/>
        </w:rPr>
        <w:t xml:space="preserve">Figure </w:t>
      </w:r>
      <w:r>
        <w:rPr>
          <w:b/>
          <w:sz w:val="22"/>
        </w:rPr>
        <w:fldChar w:fldCharType="begin"/>
      </w:r>
      <w:r>
        <w:rPr>
          <w:b/>
          <w:sz w:val="22"/>
        </w:rPr>
        <w:instrText xml:space="preserve"> STYLEREF 1 \s </w:instrText>
      </w:r>
      <w:r>
        <w:rPr>
          <w:b/>
          <w:sz w:val="22"/>
        </w:rPr>
        <w:fldChar w:fldCharType="separate"/>
      </w:r>
      <w:r w:rsidR="001517D5">
        <w:rPr>
          <w:b/>
          <w:noProof/>
          <w:sz w:val="22"/>
          <w:cs/>
        </w:rPr>
        <w:t>‎</w:t>
      </w:r>
      <w:r w:rsidR="001517D5">
        <w:rPr>
          <w:b/>
          <w:noProof/>
          <w:sz w:val="22"/>
        </w:rPr>
        <w:t>4</w:t>
      </w:r>
      <w:r>
        <w:rPr>
          <w:b/>
          <w:sz w:val="22"/>
        </w:rPr>
        <w:fldChar w:fldCharType="end"/>
      </w:r>
      <w:r>
        <w:rPr>
          <w:b/>
          <w:sz w:val="22"/>
        </w:rPr>
        <w:t>.</w:t>
      </w:r>
      <w:r>
        <w:rPr>
          <w:b/>
          <w:sz w:val="22"/>
        </w:rPr>
        <w:fldChar w:fldCharType="begin"/>
      </w:r>
      <w:r>
        <w:rPr>
          <w:b/>
          <w:sz w:val="22"/>
        </w:rPr>
        <w:instrText xml:space="preserve"> SEQ Figure \* ARABIC \s 1 </w:instrText>
      </w:r>
      <w:r>
        <w:rPr>
          <w:b/>
          <w:sz w:val="22"/>
        </w:rPr>
        <w:fldChar w:fldCharType="separate"/>
      </w:r>
      <w:r w:rsidR="001517D5">
        <w:rPr>
          <w:b/>
          <w:noProof/>
          <w:sz w:val="22"/>
        </w:rPr>
        <w:t>4</w:t>
      </w:r>
      <w:r>
        <w:rPr>
          <w:b/>
          <w:sz w:val="22"/>
        </w:rPr>
        <w:fldChar w:fldCharType="end"/>
      </w:r>
      <w:r>
        <w:rPr>
          <w:b/>
          <w:sz w:val="22"/>
        </w:rPr>
        <w:t xml:space="preserve">: </w:t>
      </w:r>
      <w:r w:rsidRPr="00FB1D4A">
        <w:rPr>
          <w:b/>
          <w:sz w:val="22"/>
        </w:rPr>
        <w:t xml:space="preserve">Predicted Organization Structure by Fit Adapted to </w:t>
      </w:r>
      <w:r>
        <w:rPr>
          <w:b/>
          <w:sz w:val="22"/>
        </w:rPr>
        <w:t>TNGO</w:t>
      </w:r>
      <w:r w:rsidRPr="00FB1D4A">
        <w:rPr>
          <w:b/>
          <w:sz w:val="22"/>
        </w:rPr>
        <w:t>s</w:t>
      </w:r>
      <w:bookmarkEnd w:id="308"/>
    </w:p>
    <w:p w:rsidR="001630DC" w:rsidRDefault="001630DC" w:rsidP="001630DC">
      <w:pPr>
        <w:tabs>
          <w:tab w:val="left" w:pos="90"/>
          <w:tab w:val="left" w:pos="360"/>
          <w:tab w:val="left" w:pos="540"/>
          <w:tab w:val="left" w:pos="720"/>
          <w:tab w:val="left" w:pos="900"/>
        </w:tabs>
        <w:spacing w:line="480" w:lineRule="auto"/>
      </w:pPr>
    </w:p>
    <w:p w:rsidR="001630DC" w:rsidRPr="00812CB0" w:rsidRDefault="001630DC" w:rsidP="001630DC">
      <w:pPr>
        <w:tabs>
          <w:tab w:val="left" w:pos="360"/>
          <w:tab w:val="left" w:pos="540"/>
          <w:tab w:val="left" w:pos="720"/>
          <w:tab w:val="left" w:pos="900"/>
        </w:tabs>
        <w:spacing w:line="480" w:lineRule="auto"/>
        <w:rPr>
          <w:szCs w:val="24"/>
        </w:rPr>
      </w:pPr>
      <w:r>
        <w:tab/>
      </w:r>
      <w:r>
        <w:rPr>
          <w:szCs w:val="24"/>
        </w:rPr>
        <w:t>Finally</w:t>
      </w:r>
      <w:r w:rsidRPr="00812CB0">
        <w:rPr>
          <w:szCs w:val="24"/>
        </w:rPr>
        <w:t xml:space="preserve">, the identity of an organization may also figure greatly into the decision-making of a </w:t>
      </w:r>
      <w:r>
        <w:rPr>
          <w:szCs w:val="24"/>
        </w:rPr>
        <w:t>TNGO</w:t>
      </w:r>
      <w:r w:rsidRPr="00812CB0">
        <w:rPr>
          <w:szCs w:val="24"/>
        </w:rPr>
        <w:t>. The mission and identity of an organization embody its values and permeate its culture. Therefore, the sensitivity of an organization to environmental complexity may vary from organization to organization and not just b</w:t>
      </w:r>
      <w:r>
        <w:rPr>
          <w:szCs w:val="24"/>
        </w:rPr>
        <w:t>y environment. For example, Doctors Without Borders</w:t>
      </w:r>
      <w:r w:rsidRPr="00812CB0">
        <w:rPr>
          <w:szCs w:val="24"/>
        </w:rPr>
        <w:t xml:space="preserve"> is an organization in which emergency response is central to its identity and mission. </w:t>
      </w:r>
      <w:r>
        <w:rPr>
          <w:szCs w:val="24"/>
        </w:rPr>
        <w:t>This identity shapes its internal decision-making and communication, as well as its public identity.</w:t>
      </w:r>
    </w:p>
    <w:p w:rsidR="001630DC" w:rsidRPr="00812CB0" w:rsidRDefault="002F33C7" w:rsidP="001630DC">
      <w:pPr>
        <w:keepNext/>
        <w:spacing w:line="480" w:lineRule="auto"/>
        <w:ind w:left="360" w:firstLine="360"/>
        <w:jc w:val="center"/>
      </w:pPr>
      <w:r>
        <w:rPr>
          <w:noProof/>
          <w:szCs w:val="24"/>
        </w:rPr>
        <w:drawing>
          <wp:inline distT="0" distB="0" distL="0" distR="0">
            <wp:extent cx="2319655" cy="2624455"/>
            <wp:effectExtent l="2540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grayscl/>
                    </a:blip>
                    <a:srcRect/>
                    <a:stretch>
                      <a:fillRect/>
                    </a:stretch>
                  </pic:blipFill>
                  <pic:spPr bwMode="auto">
                    <a:xfrm>
                      <a:off x="0" y="0"/>
                      <a:ext cx="2319655" cy="2624455"/>
                    </a:xfrm>
                    <a:prstGeom prst="rect">
                      <a:avLst/>
                    </a:prstGeom>
                    <a:noFill/>
                    <a:ln w="9525">
                      <a:noFill/>
                      <a:miter lim="800000"/>
                      <a:headEnd/>
                      <a:tailEnd/>
                    </a:ln>
                  </pic:spPr>
                </pic:pic>
              </a:graphicData>
            </a:graphic>
          </wp:inline>
        </w:drawing>
      </w:r>
    </w:p>
    <w:p w:rsidR="001630DC" w:rsidRPr="00E72F6B" w:rsidRDefault="001630DC" w:rsidP="001630DC">
      <w:pPr>
        <w:pStyle w:val="Caption"/>
        <w:jc w:val="center"/>
        <w:rPr>
          <w:b/>
          <w:i w:val="0"/>
          <w:color w:val="auto"/>
          <w:sz w:val="22"/>
          <w:szCs w:val="22"/>
        </w:rPr>
      </w:pPr>
      <w:bookmarkStart w:id="309" w:name="_Toc318115841"/>
      <w:r w:rsidRPr="00E72F6B">
        <w:rPr>
          <w:b/>
          <w:i w:val="0"/>
          <w:color w:val="auto"/>
          <w:sz w:val="22"/>
          <w:szCs w:val="22"/>
        </w:rPr>
        <w:t xml:space="preserve">Figure </w:t>
      </w:r>
      <w:r>
        <w:rPr>
          <w:b/>
          <w:i w:val="0"/>
          <w:color w:val="auto"/>
          <w:sz w:val="22"/>
          <w:szCs w:val="22"/>
        </w:rPr>
        <w:fldChar w:fldCharType="begin"/>
      </w:r>
      <w:r>
        <w:rPr>
          <w:b/>
          <w:i w:val="0"/>
          <w:color w:val="auto"/>
          <w:sz w:val="22"/>
          <w:szCs w:val="22"/>
        </w:rPr>
        <w:instrText xml:space="preserve"> STYLEREF 1 \s </w:instrText>
      </w:r>
      <w:r>
        <w:rPr>
          <w:b/>
          <w:i w:val="0"/>
          <w:color w:val="auto"/>
          <w:sz w:val="22"/>
          <w:szCs w:val="22"/>
        </w:rPr>
        <w:fldChar w:fldCharType="separate"/>
      </w:r>
      <w:r w:rsidR="001517D5">
        <w:rPr>
          <w:b/>
          <w:i w:val="0"/>
          <w:noProof/>
          <w:color w:val="auto"/>
          <w:sz w:val="22"/>
          <w:szCs w:val="22"/>
          <w:cs/>
        </w:rPr>
        <w:t>‎</w:t>
      </w:r>
      <w:r w:rsidR="001517D5">
        <w:rPr>
          <w:b/>
          <w:i w:val="0"/>
          <w:noProof/>
          <w:color w:val="auto"/>
          <w:sz w:val="22"/>
          <w:szCs w:val="22"/>
        </w:rPr>
        <w:t>4</w:t>
      </w:r>
      <w:r>
        <w:rPr>
          <w:b/>
          <w:i w:val="0"/>
          <w:color w:val="auto"/>
          <w:sz w:val="22"/>
          <w:szCs w:val="22"/>
        </w:rPr>
        <w:fldChar w:fldCharType="end"/>
      </w:r>
      <w:r>
        <w:rPr>
          <w:b/>
          <w:i w:val="0"/>
          <w:color w:val="auto"/>
          <w:sz w:val="22"/>
          <w:szCs w:val="22"/>
        </w:rPr>
        <w:t>.</w:t>
      </w:r>
      <w:r>
        <w:rPr>
          <w:b/>
          <w:i w:val="0"/>
          <w:color w:val="auto"/>
          <w:sz w:val="22"/>
          <w:szCs w:val="22"/>
        </w:rPr>
        <w:fldChar w:fldCharType="begin"/>
      </w:r>
      <w:r>
        <w:rPr>
          <w:b/>
          <w:i w:val="0"/>
          <w:color w:val="auto"/>
          <w:sz w:val="22"/>
          <w:szCs w:val="22"/>
        </w:rPr>
        <w:instrText xml:space="preserve"> SEQ Figure \* ARABIC \s 1 </w:instrText>
      </w:r>
      <w:r>
        <w:rPr>
          <w:b/>
          <w:i w:val="0"/>
          <w:color w:val="auto"/>
          <w:sz w:val="22"/>
          <w:szCs w:val="22"/>
        </w:rPr>
        <w:fldChar w:fldCharType="separate"/>
      </w:r>
      <w:r w:rsidR="001517D5">
        <w:rPr>
          <w:b/>
          <w:i w:val="0"/>
          <w:noProof/>
          <w:color w:val="auto"/>
          <w:sz w:val="22"/>
          <w:szCs w:val="22"/>
        </w:rPr>
        <w:t>5</w:t>
      </w:r>
      <w:r>
        <w:rPr>
          <w:b/>
          <w:i w:val="0"/>
          <w:color w:val="auto"/>
          <w:sz w:val="22"/>
          <w:szCs w:val="22"/>
        </w:rPr>
        <w:fldChar w:fldCharType="end"/>
      </w:r>
      <w:r>
        <w:rPr>
          <w:b/>
          <w:i w:val="0"/>
          <w:color w:val="auto"/>
          <w:sz w:val="22"/>
          <w:szCs w:val="22"/>
        </w:rPr>
        <w:t>:</w:t>
      </w:r>
      <w:r w:rsidRPr="00E72F6B">
        <w:rPr>
          <w:b/>
          <w:i w:val="0"/>
          <w:color w:val="auto"/>
          <w:sz w:val="22"/>
          <w:szCs w:val="22"/>
        </w:rPr>
        <w:t xml:space="preserve"> MSF </w:t>
      </w:r>
      <w:r>
        <w:rPr>
          <w:b/>
          <w:i w:val="0"/>
          <w:color w:val="auto"/>
          <w:sz w:val="22"/>
          <w:szCs w:val="22"/>
        </w:rPr>
        <w:t>Advertisement in Washington DC (</w:t>
      </w:r>
      <w:r w:rsidRPr="00E72F6B">
        <w:rPr>
          <w:b/>
          <w:i w:val="0"/>
          <w:color w:val="auto"/>
          <w:sz w:val="22"/>
          <w:szCs w:val="22"/>
        </w:rPr>
        <w:t>February 5, 2016</w:t>
      </w:r>
      <w:r>
        <w:rPr>
          <w:b/>
          <w:i w:val="0"/>
          <w:color w:val="auto"/>
          <w:sz w:val="22"/>
          <w:szCs w:val="22"/>
        </w:rPr>
        <w:t>)</w:t>
      </w:r>
      <w:bookmarkEnd w:id="309"/>
    </w:p>
    <w:p w:rsidR="001630DC" w:rsidRDefault="001630DC" w:rsidP="001630DC"/>
    <w:p w:rsidR="00201ADC" w:rsidRDefault="001630DC" w:rsidP="001630DC">
      <w:pPr>
        <w:spacing w:line="480" w:lineRule="auto"/>
      </w:pPr>
      <w:r>
        <w:tab/>
        <w:t>Examining the characteristics of the organizational structures outlined above should include development of governance structures, administrative strategies, financial management mechanisms, and national and sub-national structures. For example, a deeper look at federative organizations would identify patterns across types of Boards of Directors and best practices. Administrative strategies would improve information sharing across organizations, bolstering transparency internally and externally. Analysis of regional structures would improve collaborative opportunities. Table X illustrates patterns observed among the U.S.-based international development TNGOs</w:t>
      </w:r>
      <w:r w:rsidR="00F1318A">
        <w:t xml:space="preserve"> interviewed for this chapter. </w:t>
      </w: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1530"/>
        <w:gridCol w:w="1710"/>
        <w:gridCol w:w="1620"/>
        <w:gridCol w:w="1890"/>
      </w:tblGrid>
      <w:tr w:rsidR="00313C0A" w:rsidRPr="001201A3">
        <w:tc>
          <w:tcPr>
            <w:tcW w:w="1440" w:type="dxa"/>
          </w:tcPr>
          <w:p w:rsidR="001630DC" w:rsidRPr="00201ADC" w:rsidRDefault="001630DC" w:rsidP="001630DC">
            <w:pPr>
              <w:jc w:val="center"/>
              <w:rPr>
                <w:b/>
                <w:sz w:val="20"/>
                <w:szCs w:val="20"/>
              </w:rPr>
            </w:pPr>
            <w:r w:rsidRPr="00201ADC">
              <w:rPr>
                <w:b/>
                <w:sz w:val="20"/>
                <w:szCs w:val="20"/>
              </w:rPr>
              <w:t>Type</w:t>
            </w:r>
          </w:p>
        </w:tc>
        <w:tc>
          <w:tcPr>
            <w:tcW w:w="1530" w:type="dxa"/>
          </w:tcPr>
          <w:p w:rsidR="001630DC" w:rsidRPr="00201ADC" w:rsidRDefault="001630DC" w:rsidP="001630DC">
            <w:pPr>
              <w:jc w:val="center"/>
              <w:rPr>
                <w:b/>
                <w:sz w:val="20"/>
                <w:szCs w:val="20"/>
              </w:rPr>
            </w:pPr>
            <w:r w:rsidRPr="00201ADC">
              <w:rPr>
                <w:b/>
                <w:sz w:val="20"/>
                <w:szCs w:val="20"/>
              </w:rPr>
              <w:t>Centralized</w:t>
            </w:r>
          </w:p>
        </w:tc>
        <w:tc>
          <w:tcPr>
            <w:tcW w:w="1710" w:type="dxa"/>
          </w:tcPr>
          <w:p w:rsidR="001630DC" w:rsidRPr="00201ADC" w:rsidRDefault="001630DC" w:rsidP="001630DC">
            <w:pPr>
              <w:jc w:val="center"/>
              <w:rPr>
                <w:b/>
                <w:sz w:val="20"/>
                <w:szCs w:val="20"/>
              </w:rPr>
            </w:pPr>
            <w:r w:rsidRPr="00201ADC">
              <w:rPr>
                <w:b/>
                <w:sz w:val="20"/>
                <w:szCs w:val="20"/>
              </w:rPr>
              <w:t>Federative</w:t>
            </w:r>
          </w:p>
        </w:tc>
        <w:tc>
          <w:tcPr>
            <w:tcW w:w="1620" w:type="dxa"/>
          </w:tcPr>
          <w:p w:rsidR="001630DC" w:rsidRPr="00201ADC" w:rsidRDefault="001630DC" w:rsidP="001630DC">
            <w:pPr>
              <w:jc w:val="center"/>
              <w:rPr>
                <w:b/>
                <w:sz w:val="20"/>
                <w:szCs w:val="20"/>
              </w:rPr>
            </w:pPr>
            <w:r w:rsidRPr="00201ADC">
              <w:rPr>
                <w:b/>
                <w:sz w:val="20"/>
                <w:szCs w:val="20"/>
              </w:rPr>
              <w:t>Hybrid</w:t>
            </w:r>
          </w:p>
        </w:tc>
        <w:tc>
          <w:tcPr>
            <w:tcW w:w="1890" w:type="dxa"/>
          </w:tcPr>
          <w:p w:rsidR="001630DC" w:rsidRPr="00201ADC" w:rsidRDefault="001630DC" w:rsidP="001630DC">
            <w:pPr>
              <w:jc w:val="center"/>
              <w:rPr>
                <w:b/>
                <w:sz w:val="20"/>
                <w:szCs w:val="20"/>
              </w:rPr>
            </w:pPr>
            <w:r w:rsidRPr="00201ADC">
              <w:rPr>
                <w:b/>
                <w:sz w:val="20"/>
                <w:szCs w:val="20"/>
              </w:rPr>
              <w:t>Social Entrepreneur</w:t>
            </w:r>
          </w:p>
        </w:tc>
      </w:tr>
      <w:tr w:rsidR="00313C0A" w:rsidRPr="001201A3">
        <w:tc>
          <w:tcPr>
            <w:tcW w:w="1440" w:type="dxa"/>
          </w:tcPr>
          <w:p w:rsidR="001630DC" w:rsidRPr="00201ADC" w:rsidRDefault="001630DC" w:rsidP="001630DC">
            <w:pPr>
              <w:rPr>
                <w:sz w:val="20"/>
                <w:szCs w:val="20"/>
              </w:rPr>
            </w:pPr>
            <w:r w:rsidRPr="00201ADC">
              <w:rPr>
                <w:sz w:val="20"/>
                <w:szCs w:val="20"/>
              </w:rPr>
              <w:t>Governance</w:t>
            </w:r>
          </w:p>
        </w:tc>
        <w:tc>
          <w:tcPr>
            <w:tcW w:w="1530" w:type="dxa"/>
          </w:tcPr>
          <w:p w:rsidR="001630DC" w:rsidRPr="00201ADC" w:rsidRDefault="001630DC" w:rsidP="001630DC">
            <w:pPr>
              <w:rPr>
                <w:sz w:val="20"/>
                <w:szCs w:val="20"/>
              </w:rPr>
            </w:pPr>
            <w:r w:rsidRPr="00201ADC">
              <w:rPr>
                <w:sz w:val="20"/>
                <w:szCs w:val="20"/>
              </w:rPr>
              <w:t>Board of Directors</w:t>
            </w:r>
          </w:p>
        </w:tc>
        <w:tc>
          <w:tcPr>
            <w:tcW w:w="1710" w:type="dxa"/>
          </w:tcPr>
          <w:p w:rsidR="001630DC" w:rsidRPr="00201ADC" w:rsidRDefault="001630DC" w:rsidP="001630DC">
            <w:pPr>
              <w:rPr>
                <w:sz w:val="20"/>
                <w:szCs w:val="20"/>
              </w:rPr>
            </w:pPr>
            <w:r w:rsidRPr="00201ADC">
              <w:rPr>
                <w:sz w:val="20"/>
                <w:szCs w:val="20"/>
              </w:rPr>
              <w:t>Country Offices</w:t>
            </w:r>
          </w:p>
        </w:tc>
        <w:tc>
          <w:tcPr>
            <w:tcW w:w="1620" w:type="dxa"/>
          </w:tcPr>
          <w:p w:rsidR="001630DC" w:rsidRPr="00201ADC" w:rsidRDefault="001630DC" w:rsidP="001630DC">
            <w:pPr>
              <w:rPr>
                <w:sz w:val="20"/>
                <w:szCs w:val="20"/>
              </w:rPr>
            </w:pPr>
            <w:r w:rsidRPr="00201ADC">
              <w:rPr>
                <w:sz w:val="20"/>
                <w:szCs w:val="20"/>
              </w:rPr>
              <w:t>Country Units / Board of Directors</w:t>
            </w:r>
          </w:p>
        </w:tc>
        <w:tc>
          <w:tcPr>
            <w:tcW w:w="1890" w:type="dxa"/>
          </w:tcPr>
          <w:p w:rsidR="001630DC" w:rsidRPr="00201ADC" w:rsidRDefault="001630DC" w:rsidP="001630DC">
            <w:pPr>
              <w:rPr>
                <w:sz w:val="20"/>
                <w:szCs w:val="20"/>
              </w:rPr>
            </w:pPr>
            <w:r w:rsidRPr="00201ADC">
              <w:rPr>
                <w:sz w:val="20"/>
                <w:szCs w:val="20"/>
              </w:rPr>
              <w:t>Board of Directors / CEO</w:t>
            </w:r>
          </w:p>
        </w:tc>
      </w:tr>
      <w:tr w:rsidR="00313C0A" w:rsidRPr="001201A3">
        <w:tc>
          <w:tcPr>
            <w:tcW w:w="1440" w:type="dxa"/>
          </w:tcPr>
          <w:p w:rsidR="001630DC" w:rsidRPr="00201ADC" w:rsidRDefault="001630DC" w:rsidP="001630DC">
            <w:pPr>
              <w:rPr>
                <w:sz w:val="20"/>
                <w:szCs w:val="20"/>
              </w:rPr>
            </w:pPr>
            <w:r w:rsidRPr="00201ADC">
              <w:rPr>
                <w:sz w:val="20"/>
                <w:szCs w:val="20"/>
              </w:rPr>
              <w:t>Administration</w:t>
            </w:r>
          </w:p>
        </w:tc>
        <w:tc>
          <w:tcPr>
            <w:tcW w:w="1530" w:type="dxa"/>
          </w:tcPr>
          <w:p w:rsidR="001630DC" w:rsidRPr="00201ADC" w:rsidRDefault="001630DC" w:rsidP="001630DC">
            <w:pPr>
              <w:rPr>
                <w:sz w:val="20"/>
                <w:szCs w:val="20"/>
              </w:rPr>
            </w:pPr>
            <w:r w:rsidRPr="00201ADC">
              <w:rPr>
                <w:sz w:val="20"/>
                <w:szCs w:val="20"/>
              </w:rPr>
              <w:t>Central staff to Board; country offices report to headquarters</w:t>
            </w:r>
          </w:p>
        </w:tc>
        <w:tc>
          <w:tcPr>
            <w:tcW w:w="1710" w:type="dxa"/>
          </w:tcPr>
          <w:p w:rsidR="001630DC" w:rsidRPr="00201ADC" w:rsidRDefault="001630DC" w:rsidP="001630DC">
            <w:pPr>
              <w:rPr>
                <w:sz w:val="20"/>
                <w:szCs w:val="20"/>
              </w:rPr>
            </w:pPr>
            <w:r w:rsidRPr="00201ADC">
              <w:rPr>
                <w:sz w:val="20"/>
                <w:szCs w:val="20"/>
              </w:rPr>
              <w:t>Country offices and sub-units self-contained; umbrella organization reports to Board</w:t>
            </w:r>
          </w:p>
        </w:tc>
        <w:tc>
          <w:tcPr>
            <w:tcW w:w="1620" w:type="dxa"/>
          </w:tcPr>
          <w:p w:rsidR="001630DC" w:rsidRPr="00201ADC" w:rsidRDefault="001630DC" w:rsidP="001630DC">
            <w:pPr>
              <w:rPr>
                <w:sz w:val="20"/>
                <w:szCs w:val="20"/>
              </w:rPr>
            </w:pPr>
            <w:r w:rsidRPr="00201ADC">
              <w:rPr>
                <w:sz w:val="20"/>
                <w:szCs w:val="20"/>
              </w:rPr>
              <w:t>Country offices and headquarters engage in participatory administration</w:t>
            </w:r>
          </w:p>
        </w:tc>
        <w:tc>
          <w:tcPr>
            <w:tcW w:w="1890" w:type="dxa"/>
          </w:tcPr>
          <w:p w:rsidR="001630DC" w:rsidRPr="00201ADC" w:rsidRDefault="001630DC" w:rsidP="001630DC">
            <w:pPr>
              <w:rPr>
                <w:sz w:val="20"/>
                <w:szCs w:val="20"/>
              </w:rPr>
            </w:pPr>
            <w:r w:rsidRPr="00201ADC">
              <w:rPr>
                <w:sz w:val="20"/>
                <w:szCs w:val="20"/>
              </w:rPr>
              <w:t>Country and central staff report to CEO; CEO reports to Board/shareholders</w:t>
            </w:r>
          </w:p>
        </w:tc>
      </w:tr>
      <w:tr w:rsidR="00313C0A" w:rsidRPr="001201A3">
        <w:tc>
          <w:tcPr>
            <w:tcW w:w="1440" w:type="dxa"/>
          </w:tcPr>
          <w:p w:rsidR="001630DC" w:rsidRPr="00201ADC" w:rsidRDefault="001630DC" w:rsidP="001630DC">
            <w:pPr>
              <w:rPr>
                <w:sz w:val="20"/>
                <w:szCs w:val="20"/>
              </w:rPr>
            </w:pPr>
            <w:r w:rsidRPr="00201ADC">
              <w:rPr>
                <w:sz w:val="20"/>
                <w:szCs w:val="20"/>
              </w:rPr>
              <w:t>Finance</w:t>
            </w:r>
          </w:p>
        </w:tc>
        <w:tc>
          <w:tcPr>
            <w:tcW w:w="1530" w:type="dxa"/>
          </w:tcPr>
          <w:p w:rsidR="001630DC" w:rsidRPr="00201ADC" w:rsidRDefault="001630DC" w:rsidP="001630DC">
            <w:pPr>
              <w:rPr>
                <w:sz w:val="20"/>
                <w:szCs w:val="20"/>
              </w:rPr>
            </w:pPr>
            <w:r w:rsidRPr="00201ADC">
              <w:rPr>
                <w:sz w:val="20"/>
                <w:szCs w:val="20"/>
              </w:rPr>
              <w:t>Grants and contracts; centralized development team</w:t>
            </w:r>
          </w:p>
        </w:tc>
        <w:tc>
          <w:tcPr>
            <w:tcW w:w="1710" w:type="dxa"/>
          </w:tcPr>
          <w:p w:rsidR="001630DC" w:rsidRPr="00201ADC" w:rsidRDefault="001630DC" w:rsidP="001630DC">
            <w:pPr>
              <w:rPr>
                <w:sz w:val="20"/>
                <w:szCs w:val="20"/>
              </w:rPr>
            </w:pPr>
            <w:r w:rsidRPr="00201ADC">
              <w:rPr>
                <w:sz w:val="20"/>
                <w:szCs w:val="20"/>
              </w:rPr>
              <w:t>Grants and contracts; country offices responsible for fundraising</w:t>
            </w:r>
          </w:p>
        </w:tc>
        <w:tc>
          <w:tcPr>
            <w:tcW w:w="1620" w:type="dxa"/>
          </w:tcPr>
          <w:p w:rsidR="001630DC" w:rsidRPr="00201ADC" w:rsidRDefault="001630DC" w:rsidP="001630DC">
            <w:pPr>
              <w:rPr>
                <w:sz w:val="20"/>
                <w:szCs w:val="20"/>
              </w:rPr>
            </w:pPr>
            <w:r w:rsidRPr="00201ADC">
              <w:rPr>
                <w:sz w:val="20"/>
                <w:szCs w:val="20"/>
              </w:rPr>
              <w:t>Grants and contracts; country offices fundraise with centralized support</w:t>
            </w:r>
          </w:p>
        </w:tc>
        <w:tc>
          <w:tcPr>
            <w:tcW w:w="1890" w:type="dxa"/>
          </w:tcPr>
          <w:p w:rsidR="001630DC" w:rsidRPr="00201ADC" w:rsidRDefault="001630DC" w:rsidP="001630DC">
            <w:pPr>
              <w:rPr>
                <w:sz w:val="20"/>
                <w:szCs w:val="20"/>
              </w:rPr>
            </w:pPr>
            <w:r w:rsidRPr="00201ADC">
              <w:rPr>
                <w:sz w:val="20"/>
                <w:szCs w:val="20"/>
              </w:rPr>
              <w:t>Investors and contracts in for-profits; Grants and contracts in nonprofits; centralized development team</w:t>
            </w:r>
          </w:p>
        </w:tc>
      </w:tr>
      <w:tr w:rsidR="00313C0A" w:rsidRPr="001201A3">
        <w:tc>
          <w:tcPr>
            <w:tcW w:w="1440" w:type="dxa"/>
          </w:tcPr>
          <w:p w:rsidR="001630DC" w:rsidRPr="00201ADC" w:rsidRDefault="001630DC" w:rsidP="001630DC">
            <w:pPr>
              <w:rPr>
                <w:sz w:val="20"/>
                <w:szCs w:val="20"/>
              </w:rPr>
            </w:pPr>
            <w:r w:rsidRPr="00201ADC">
              <w:rPr>
                <w:sz w:val="20"/>
                <w:szCs w:val="20"/>
              </w:rPr>
              <w:t>Membership</w:t>
            </w:r>
          </w:p>
        </w:tc>
        <w:tc>
          <w:tcPr>
            <w:tcW w:w="1530" w:type="dxa"/>
          </w:tcPr>
          <w:p w:rsidR="001630DC" w:rsidRPr="00201ADC" w:rsidRDefault="001630DC" w:rsidP="001630DC">
            <w:pPr>
              <w:rPr>
                <w:sz w:val="20"/>
                <w:szCs w:val="20"/>
              </w:rPr>
            </w:pPr>
            <w:r w:rsidRPr="00201ADC">
              <w:rPr>
                <w:sz w:val="20"/>
                <w:szCs w:val="20"/>
              </w:rPr>
              <w:t>No formal members</w:t>
            </w:r>
          </w:p>
        </w:tc>
        <w:tc>
          <w:tcPr>
            <w:tcW w:w="1710" w:type="dxa"/>
          </w:tcPr>
          <w:p w:rsidR="001630DC" w:rsidRPr="00201ADC" w:rsidRDefault="001630DC" w:rsidP="001630DC">
            <w:pPr>
              <w:rPr>
                <w:sz w:val="20"/>
                <w:szCs w:val="20"/>
              </w:rPr>
            </w:pPr>
            <w:r w:rsidRPr="00201ADC">
              <w:rPr>
                <w:sz w:val="20"/>
                <w:szCs w:val="20"/>
              </w:rPr>
              <w:t>Country units may be considered members</w:t>
            </w:r>
          </w:p>
        </w:tc>
        <w:tc>
          <w:tcPr>
            <w:tcW w:w="1620" w:type="dxa"/>
          </w:tcPr>
          <w:p w:rsidR="001630DC" w:rsidRPr="00201ADC" w:rsidRDefault="001630DC" w:rsidP="001630DC">
            <w:pPr>
              <w:rPr>
                <w:sz w:val="20"/>
                <w:szCs w:val="20"/>
              </w:rPr>
            </w:pPr>
            <w:r w:rsidRPr="00201ADC">
              <w:rPr>
                <w:sz w:val="20"/>
                <w:szCs w:val="20"/>
              </w:rPr>
              <w:t>Country units may be considered members</w:t>
            </w:r>
          </w:p>
        </w:tc>
        <w:tc>
          <w:tcPr>
            <w:tcW w:w="1890" w:type="dxa"/>
          </w:tcPr>
          <w:p w:rsidR="001630DC" w:rsidRPr="00201ADC" w:rsidRDefault="001630DC" w:rsidP="001630DC">
            <w:pPr>
              <w:rPr>
                <w:sz w:val="20"/>
                <w:szCs w:val="20"/>
              </w:rPr>
            </w:pPr>
            <w:r w:rsidRPr="00201ADC">
              <w:rPr>
                <w:sz w:val="20"/>
                <w:szCs w:val="20"/>
              </w:rPr>
              <w:t>No formal members</w:t>
            </w:r>
          </w:p>
        </w:tc>
      </w:tr>
      <w:tr w:rsidR="00313C0A" w:rsidRPr="001201A3">
        <w:tc>
          <w:tcPr>
            <w:tcW w:w="1440" w:type="dxa"/>
          </w:tcPr>
          <w:p w:rsidR="001630DC" w:rsidRPr="00201ADC" w:rsidRDefault="001630DC" w:rsidP="001630DC">
            <w:pPr>
              <w:rPr>
                <w:sz w:val="20"/>
                <w:szCs w:val="20"/>
              </w:rPr>
            </w:pPr>
            <w:r w:rsidRPr="00201ADC">
              <w:rPr>
                <w:sz w:val="20"/>
                <w:szCs w:val="20"/>
              </w:rPr>
              <w:t>Regional Structures</w:t>
            </w:r>
          </w:p>
        </w:tc>
        <w:tc>
          <w:tcPr>
            <w:tcW w:w="1530" w:type="dxa"/>
          </w:tcPr>
          <w:p w:rsidR="001630DC" w:rsidRPr="00201ADC" w:rsidRDefault="001630DC" w:rsidP="001630DC">
            <w:pPr>
              <w:rPr>
                <w:sz w:val="20"/>
                <w:szCs w:val="20"/>
              </w:rPr>
            </w:pPr>
            <w:r w:rsidRPr="00201ADC">
              <w:rPr>
                <w:sz w:val="20"/>
                <w:szCs w:val="20"/>
              </w:rPr>
              <w:t>Limited autonomy at local level; centralized strategic decision-making and communication</w:t>
            </w:r>
          </w:p>
        </w:tc>
        <w:tc>
          <w:tcPr>
            <w:tcW w:w="1710" w:type="dxa"/>
          </w:tcPr>
          <w:p w:rsidR="001630DC" w:rsidRPr="00201ADC" w:rsidRDefault="001630DC" w:rsidP="001630DC">
            <w:pPr>
              <w:rPr>
                <w:sz w:val="20"/>
                <w:szCs w:val="20"/>
              </w:rPr>
            </w:pPr>
            <w:r w:rsidRPr="00201ADC">
              <w:rPr>
                <w:sz w:val="20"/>
                <w:szCs w:val="20"/>
              </w:rPr>
              <w:t>Locally autonomous chapters; exclusive use of name/logo/mission of umbrella organization; bottom-up communication</w:t>
            </w:r>
          </w:p>
        </w:tc>
        <w:tc>
          <w:tcPr>
            <w:tcW w:w="1620" w:type="dxa"/>
          </w:tcPr>
          <w:p w:rsidR="001630DC" w:rsidRPr="00201ADC" w:rsidRDefault="001630DC" w:rsidP="001630DC">
            <w:pPr>
              <w:rPr>
                <w:sz w:val="20"/>
                <w:szCs w:val="20"/>
              </w:rPr>
            </w:pPr>
            <w:r w:rsidRPr="00201ADC">
              <w:rPr>
                <w:sz w:val="20"/>
                <w:szCs w:val="20"/>
              </w:rPr>
              <w:t>Locally autonomous based on formalized rules or financial thresholds; participatory decision-making</w:t>
            </w:r>
          </w:p>
        </w:tc>
        <w:tc>
          <w:tcPr>
            <w:tcW w:w="1890" w:type="dxa"/>
          </w:tcPr>
          <w:p w:rsidR="001630DC" w:rsidRPr="00201ADC" w:rsidRDefault="001630DC" w:rsidP="001630DC">
            <w:pPr>
              <w:rPr>
                <w:sz w:val="20"/>
                <w:szCs w:val="20"/>
              </w:rPr>
            </w:pPr>
            <w:r w:rsidRPr="00201ADC">
              <w:rPr>
                <w:sz w:val="20"/>
                <w:szCs w:val="20"/>
              </w:rPr>
              <w:t>Limited autonomy depending on size of organization; centralized strategic planning with decision-making in consultation with headquarters and country office</w:t>
            </w:r>
          </w:p>
        </w:tc>
      </w:tr>
    </w:tbl>
    <w:p w:rsidR="001630DC" w:rsidRPr="00FE5D5D" w:rsidRDefault="001630DC" w:rsidP="00201ADC">
      <w:pPr>
        <w:pStyle w:val="Caption"/>
        <w:spacing w:before="240"/>
        <w:jc w:val="center"/>
        <w:rPr>
          <w:b/>
          <w:i w:val="0"/>
          <w:color w:val="auto"/>
          <w:sz w:val="22"/>
        </w:rPr>
      </w:pPr>
      <w:bookmarkStart w:id="310" w:name="_Toc318115842"/>
      <w:r w:rsidRPr="00FE5D5D">
        <w:rPr>
          <w:b/>
          <w:i w:val="0"/>
          <w:color w:val="auto"/>
          <w:sz w:val="22"/>
        </w:rPr>
        <w:t xml:space="preserve">Figure </w:t>
      </w:r>
      <w:r>
        <w:rPr>
          <w:b/>
          <w:i w:val="0"/>
          <w:color w:val="auto"/>
          <w:sz w:val="22"/>
        </w:rPr>
        <w:fldChar w:fldCharType="begin"/>
      </w:r>
      <w:r>
        <w:rPr>
          <w:b/>
          <w:i w:val="0"/>
          <w:color w:val="auto"/>
          <w:sz w:val="22"/>
        </w:rPr>
        <w:instrText xml:space="preserve"> STYLEREF 1 \s </w:instrText>
      </w:r>
      <w:r>
        <w:rPr>
          <w:b/>
          <w:i w:val="0"/>
          <w:color w:val="auto"/>
          <w:sz w:val="22"/>
        </w:rPr>
        <w:fldChar w:fldCharType="separate"/>
      </w:r>
      <w:r w:rsidR="001517D5">
        <w:rPr>
          <w:b/>
          <w:i w:val="0"/>
          <w:noProof/>
          <w:color w:val="auto"/>
          <w:sz w:val="22"/>
          <w:cs/>
        </w:rPr>
        <w:t>‎</w:t>
      </w:r>
      <w:r w:rsidR="001517D5">
        <w:rPr>
          <w:b/>
          <w:i w:val="0"/>
          <w:noProof/>
          <w:color w:val="auto"/>
          <w:sz w:val="22"/>
        </w:rPr>
        <w:t>4</w:t>
      </w:r>
      <w:r>
        <w:rPr>
          <w:b/>
          <w:i w:val="0"/>
          <w:color w:val="auto"/>
          <w:sz w:val="22"/>
        </w:rPr>
        <w:fldChar w:fldCharType="end"/>
      </w:r>
      <w:r>
        <w:rPr>
          <w:b/>
          <w:i w:val="0"/>
          <w:color w:val="auto"/>
          <w:sz w:val="22"/>
        </w:rPr>
        <w:t>.</w:t>
      </w:r>
      <w:r>
        <w:rPr>
          <w:b/>
          <w:i w:val="0"/>
          <w:color w:val="auto"/>
          <w:sz w:val="22"/>
        </w:rPr>
        <w:fldChar w:fldCharType="begin"/>
      </w:r>
      <w:r>
        <w:rPr>
          <w:b/>
          <w:i w:val="0"/>
          <w:color w:val="auto"/>
          <w:sz w:val="22"/>
        </w:rPr>
        <w:instrText xml:space="preserve"> SEQ Figure \* ARABIC \s 1 </w:instrText>
      </w:r>
      <w:r>
        <w:rPr>
          <w:b/>
          <w:i w:val="0"/>
          <w:color w:val="auto"/>
          <w:sz w:val="22"/>
        </w:rPr>
        <w:fldChar w:fldCharType="separate"/>
      </w:r>
      <w:r w:rsidR="001517D5">
        <w:rPr>
          <w:b/>
          <w:i w:val="0"/>
          <w:noProof/>
          <w:color w:val="auto"/>
          <w:sz w:val="22"/>
        </w:rPr>
        <w:t>6</w:t>
      </w:r>
      <w:r>
        <w:rPr>
          <w:b/>
          <w:i w:val="0"/>
          <w:color w:val="auto"/>
          <w:sz w:val="22"/>
        </w:rPr>
        <w:fldChar w:fldCharType="end"/>
      </w:r>
      <w:r>
        <w:rPr>
          <w:b/>
          <w:i w:val="0"/>
          <w:color w:val="auto"/>
          <w:sz w:val="22"/>
        </w:rPr>
        <w:t>:</w:t>
      </w:r>
      <w:r w:rsidRPr="00FE5D5D">
        <w:rPr>
          <w:b/>
          <w:i w:val="0"/>
          <w:color w:val="auto"/>
          <w:sz w:val="22"/>
        </w:rPr>
        <w:t xml:space="preserve"> Structural Models for </w:t>
      </w:r>
      <w:r>
        <w:rPr>
          <w:b/>
          <w:i w:val="0"/>
          <w:color w:val="auto"/>
          <w:sz w:val="22"/>
        </w:rPr>
        <w:t>TNGO</w:t>
      </w:r>
      <w:r w:rsidRPr="00FE5D5D">
        <w:rPr>
          <w:b/>
          <w:i w:val="0"/>
          <w:color w:val="auto"/>
          <w:sz w:val="22"/>
        </w:rPr>
        <w:t>s</w:t>
      </w:r>
      <w:bookmarkEnd w:id="310"/>
    </w:p>
    <w:p w:rsidR="001630DC" w:rsidRDefault="001630DC" w:rsidP="001630DC">
      <w:pPr>
        <w:jc w:val="center"/>
        <w:rPr>
          <w:i/>
          <w:szCs w:val="24"/>
        </w:rPr>
      </w:pPr>
    </w:p>
    <w:p w:rsidR="001630DC" w:rsidRDefault="001630DC" w:rsidP="001630DC">
      <w:pPr>
        <w:jc w:val="center"/>
        <w:rPr>
          <w:i/>
          <w:szCs w:val="24"/>
        </w:rPr>
      </w:pPr>
    </w:p>
    <w:p w:rsidR="001630DC" w:rsidRPr="00812CB0" w:rsidRDefault="001630DC" w:rsidP="001630DC">
      <w:pPr>
        <w:spacing w:line="480" w:lineRule="auto"/>
        <w:jc w:val="center"/>
        <w:rPr>
          <w:i/>
          <w:szCs w:val="24"/>
        </w:rPr>
      </w:pPr>
      <w:r w:rsidRPr="00812CB0">
        <w:rPr>
          <w:i/>
          <w:szCs w:val="24"/>
        </w:rPr>
        <w:t>Implications for Practitioners</w:t>
      </w:r>
    </w:p>
    <w:p w:rsidR="001630DC" w:rsidRDefault="001630DC" w:rsidP="001630DC">
      <w:pPr>
        <w:spacing w:line="480" w:lineRule="auto"/>
        <w:rPr>
          <w:szCs w:val="24"/>
        </w:rPr>
      </w:pPr>
      <w:r>
        <w:rPr>
          <w:szCs w:val="24"/>
        </w:rPr>
        <w:tab/>
        <w:t xml:space="preserve">Organization priority setting and communication flows, as well as organization structure more broadly, are of interest to practitioners in three ways. To TNGOs, the manner in which priorities are set and communicated directly addresses the effectiveness of an organization. Streamlining this process may create parsimonious strategy, but overlooks the importance of fit. As the contingency framework highlights, fit is especially important in the complex environments in which TNGOs operate. Furthermore, better understanding of administrative structures and decision-making motives aids practitioners in improving the organization internally by facilitating communication and knowledge sharing. In addition, it also helps practitioners deliver better services and goods to beneficiaries. </w:t>
      </w:r>
    </w:p>
    <w:p w:rsidR="001630DC" w:rsidRDefault="001630DC" w:rsidP="001630DC">
      <w:pPr>
        <w:spacing w:line="480" w:lineRule="auto"/>
        <w:rPr>
          <w:szCs w:val="24"/>
        </w:rPr>
      </w:pPr>
      <w:r>
        <w:rPr>
          <w:szCs w:val="24"/>
        </w:rPr>
        <w:tab/>
        <w:t>Second, the organizational structure and its implications highlight issues lurking below the administrative surface. This is particularly important in the context of human resources. Among donors and the broader development community there are calls for program sustainability and the development of local human resources. This has climbed the agenda so that it is now an element of many grants. In fact, local-international collaboration is a requirement of all USAID grants. The opportunities for development and advancement presented to national staff contribute to this goal. Analyzing how to deliver these opportunities while at the same time avoiding the pitfalls that create the void of opportunity in the first place will help practitioners advance this objective. Also important is consideration of what development and compensation of staff means for the public institutions that TNGOs backfill. More specifically, is there a strategy to create greater opportunity and development for nationals without further damaging the state institutions that create the opportunity for TNGOs to implement and survive?</w:t>
      </w:r>
    </w:p>
    <w:p w:rsidR="001630DC" w:rsidRDefault="001630DC" w:rsidP="001630DC">
      <w:pPr>
        <w:spacing w:line="480" w:lineRule="auto"/>
        <w:rPr>
          <w:szCs w:val="24"/>
        </w:rPr>
      </w:pPr>
      <w:r>
        <w:rPr>
          <w:szCs w:val="24"/>
        </w:rPr>
        <w:tab/>
        <w:t xml:space="preserve">Third, acknowledging organizational structure and its influence on the agenda of TNGOs, the priorities that are advanced, and the manner in which these are communicated relates directly to upward and downward accountability. Upward accountability to donors reflects greater formalization and the roles of expatriate staff. In addition, it also touches upon the question of development and sustainability for local staff. Donors exhibit an increased interest in collaboration with local TNGOs, however, more than one interviewee indicated that they do not and will not partner with such organizations due to capacity and corruption. Donors should inform themselves about the environment complexity and how it relates to such demands. They should also be aware of potential outcomes and accountability measures if they decide to make demands. Internally, organizations can use this knowledge to improve management strategies and ultimately accountability to donors. </w:t>
      </w:r>
    </w:p>
    <w:p w:rsidR="001630DC" w:rsidRDefault="001630DC" w:rsidP="001630DC">
      <w:pPr>
        <w:spacing w:line="480" w:lineRule="auto"/>
        <w:rPr>
          <w:szCs w:val="24"/>
        </w:rPr>
      </w:pPr>
      <w:r>
        <w:rPr>
          <w:szCs w:val="24"/>
        </w:rPr>
        <w:tab/>
        <w:t xml:space="preserve">Downward accountability is more difficult to measure, but equally important. The contingency framework can be used to improve downward accountability through knowledge-sharing practices. These best practices can only improve the delivery of goods or services, thereby increasing TNGO downward accountability to beneficiaries. This might also include collaborative propensity with local TNGOs in order to develop expertise and management knowledge, ultimately creating an improved long-term social and political outcome. </w:t>
      </w:r>
    </w:p>
    <w:p w:rsidR="00504DC3" w:rsidRDefault="00504DC3" w:rsidP="00504DC3">
      <w:pPr>
        <w:spacing w:line="480" w:lineRule="auto"/>
        <w:rPr>
          <w:szCs w:val="24"/>
        </w:rPr>
      </w:pPr>
    </w:p>
    <w:p w:rsidR="001630DC" w:rsidRPr="00E72F6B" w:rsidRDefault="001630DC" w:rsidP="00504DC3">
      <w:pPr>
        <w:pStyle w:val="Heading2"/>
        <w:numPr>
          <w:ilvl w:val="0"/>
          <w:numId w:val="0"/>
        </w:numPr>
        <w:jc w:val="center"/>
        <w:rPr>
          <w:b/>
          <w:color w:val="auto"/>
          <w:sz w:val="24"/>
          <w:szCs w:val="24"/>
        </w:rPr>
      </w:pPr>
      <w:bookmarkStart w:id="311" w:name="_Toc450079237"/>
      <w:r w:rsidRPr="00E72F6B">
        <w:rPr>
          <w:b/>
          <w:color w:val="auto"/>
          <w:sz w:val="24"/>
          <w:szCs w:val="24"/>
        </w:rPr>
        <w:t>4.7</w:t>
      </w:r>
      <w:r>
        <w:rPr>
          <w:b/>
          <w:color w:val="auto"/>
          <w:sz w:val="24"/>
          <w:szCs w:val="24"/>
        </w:rPr>
        <w:t>:</w:t>
      </w:r>
      <w:r w:rsidRPr="00E72F6B">
        <w:rPr>
          <w:b/>
          <w:color w:val="auto"/>
          <w:sz w:val="24"/>
          <w:szCs w:val="24"/>
        </w:rPr>
        <w:t xml:space="preserve"> Future Research</w:t>
      </w:r>
      <w:bookmarkEnd w:id="311"/>
    </w:p>
    <w:p w:rsidR="001630DC" w:rsidRPr="00812CB0" w:rsidRDefault="001630DC" w:rsidP="001630DC">
      <w:pPr>
        <w:rPr>
          <w:szCs w:val="24"/>
        </w:rPr>
      </w:pPr>
    </w:p>
    <w:p w:rsidR="001630DC" w:rsidRPr="00812CB0" w:rsidRDefault="001630DC" w:rsidP="001630DC">
      <w:pPr>
        <w:spacing w:line="480" w:lineRule="auto"/>
        <w:rPr>
          <w:szCs w:val="24"/>
        </w:rPr>
      </w:pPr>
      <w:r>
        <w:rPr>
          <w:szCs w:val="24"/>
        </w:rPr>
        <w:tab/>
      </w:r>
      <w:r w:rsidRPr="00812CB0">
        <w:rPr>
          <w:szCs w:val="24"/>
        </w:rPr>
        <w:t xml:space="preserve">While the comparative analysis of decision-making and organizational models provides insight into who sets priorities and how </w:t>
      </w:r>
      <w:r w:rsidR="002D0774">
        <w:rPr>
          <w:szCs w:val="24"/>
        </w:rPr>
        <w:t>priorities</w:t>
      </w:r>
      <w:r w:rsidRPr="00812CB0">
        <w:rPr>
          <w:szCs w:val="24"/>
        </w:rPr>
        <w:t xml:space="preserve"> are communicated within </w:t>
      </w:r>
      <w:r>
        <w:rPr>
          <w:szCs w:val="24"/>
        </w:rPr>
        <w:t>TNGO</w:t>
      </w:r>
      <w:r w:rsidRPr="00812CB0">
        <w:rPr>
          <w:szCs w:val="24"/>
        </w:rPr>
        <w:t>s, it leaves some questions unanswered. For example do these models travel</w:t>
      </w:r>
      <w:r>
        <w:rPr>
          <w:szCs w:val="24"/>
        </w:rPr>
        <w:t xml:space="preserve"> well</w:t>
      </w:r>
      <w:r w:rsidRPr="00812CB0">
        <w:rPr>
          <w:szCs w:val="24"/>
        </w:rPr>
        <w:t xml:space="preserve"> </w:t>
      </w:r>
      <w:r>
        <w:rPr>
          <w:szCs w:val="24"/>
        </w:rPr>
        <w:t>to other countries or beyond</w:t>
      </w:r>
      <w:r w:rsidRPr="00812CB0">
        <w:rPr>
          <w:szCs w:val="24"/>
        </w:rPr>
        <w:t xml:space="preserve"> the international development? Is one model more advantageous in the courting or donors or policymakers? With the push for greater sustainability at the local level and the knowledge we have about participatory policymaking, why are there not a greater number of hybrid models? In addition, continued development of the propositions outlined in the framework should be subjected to statistical analyses for significance to ensure that the conceptual categories are meaningful. </w:t>
      </w:r>
    </w:p>
    <w:p w:rsidR="00B97971" w:rsidRPr="00812CB0" w:rsidRDefault="001630DC" w:rsidP="00F43496">
      <w:pPr>
        <w:spacing w:line="480" w:lineRule="auto"/>
        <w:rPr>
          <w:szCs w:val="24"/>
        </w:rPr>
      </w:pPr>
      <w:r w:rsidRPr="00812CB0">
        <w:rPr>
          <w:szCs w:val="24"/>
        </w:rPr>
        <w:tab/>
        <w:t xml:space="preserve">Finally, research in Uganda in summer 2015 was prescient. Shortly before arriving in June, a policy aimed at curtailing the activities or </w:t>
      </w:r>
      <w:r>
        <w:rPr>
          <w:szCs w:val="24"/>
        </w:rPr>
        <w:t>TNGO</w:t>
      </w:r>
      <w:r w:rsidRPr="00812CB0">
        <w:rPr>
          <w:szCs w:val="24"/>
        </w:rPr>
        <w:t xml:space="preserve">s and local </w:t>
      </w:r>
      <w:r>
        <w:rPr>
          <w:szCs w:val="24"/>
        </w:rPr>
        <w:t>TNGO</w:t>
      </w:r>
      <w:r w:rsidRPr="00812CB0">
        <w:rPr>
          <w:szCs w:val="24"/>
        </w:rPr>
        <w:t>s was introduced for debate. The bill targeted subversive methods of work and preceded the 2016 presidential election; similar bills were introduced preceding elections in 2006 and 2008, and a Public Order Act was introduced in 2011. The most recent iteration was passed by parliament in November 2015. The Non-governmental Organisations (</w:t>
      </w:r>
      <w:r>
        <w:rPr>
          <w:szCs w:val="24"/>
        </w:rPr>
        <w:t>TNGO</w:t>
      </w:r>
      <w:r w:rsidRPr="00812CB0">
        <w:rPr>
          <w:szCs w:val="24"/>
        </w:rPr>
        <w:t xml:space="preserve">) Bill, 2015, established a National Bureau for </w:t>
      </w:r>
      <w:r>
        <w:rPr>
          <w:szCs w:val="24"/>
        </w:rPr>
        <w:t>TNGO</w:t>
      </w:r>
      <w:r w:rsidRPr="00812CB0">
        <w:rPr>
          <w:szCs w:val="24"/>
        </w:rPr>
        <w:t xml:space="preserve">s and gave it expansive powers. The bill enables the bureau to refuse to register </w:t>
      </w:r>
      <w:r>
        <w:rPr>
          <w:szCs w:val="24"/>
        </w:rPr>
        <w:t>TNGO</w:t>
      </w:r>
      <w:r w:rsidRPr="00812CB0">
        <w:rPr>
          <w:szCs w:val="24"/>
        </w:rPr>
        <w:t xml:space="preserve">s, to issue or revoke permits, and to restrict the employment of foreign nationals </w:t>
      </w:r>
      <w:r w:rsidRPr="00812CB0">
        <w:rPr>
          <w:szCs w:val="24"/>
        </w:rPr>
        <w:fldChar w:fldCharType="begin"/>
      </w:r>
      <w:r>
        <w:rPr>
          <w:szCs w:val="24"/>
        </w:rPr>
        <w:instrText xml:space="preserve"> ADDIN ZOTERO_ITEM CSL_CITATION {"citationID":"mmPNwSPr","properties":{"formattedCitation":"(ICNL 2016)","plainCitation":"(ICNL 2016)"},"citationItems":[{"id":3561,"uris":["http://zotero.org/users/381007/items/QSBGTRRV"],"uri":["http://zotero.org/users/381007/items/QSBGTRRV"],"itemData":{"id":3561,"type":"article","title":"NGO Law Monitor: Uganda","publisher":"The International Center for Not-for-Profit Law","URL":"http://www.icnl.org/research/monitor/uganda.html","author":[{"family":"ICNL","given":""}],"issued":{"date-parts":[["2016",1,2]]},"accessed":{"date-parts":[["2016",1,31]]}}}],"schema":"https://github.com/citation-style-language/schema/raw/master/csl-citation.json"} </w:instrText>
      </w:r>
      <w:r w:rsidRPr="00812CB0">
        <w:rPr>
          <w:szCs w:val="24"/>
        </w:rPr>
        <w:fldChar w:fldCharType="separate"/>
      </w:r>
      <w:r w:rsidRPr="00812CB0">
        <w:t>(ICNL 2016)</w:t>
      </w:r>
      <w:r w:rsidRPr="00812CB0">
        <w:rPr>
          <w:szCs w:val="24"/>
        </w:rPr>
        <w:fldChar w:fldCharType="end"/>
      </w:r>
      <w:r w:rsidRPr="00812CB0">
        <w:rPr>
          <w:szCs w:val="24"/>
        </w:rPr>
        <w:t>. This policy was directly related to the February 2016 presidential election in which President Yoweri Museveni will seek re-election for another five-year term after 30 years in office. During this period, Museveni brought economic growth and political stability to Uganda, and also spearheaded one of the most effective responses to</w:t>
      </w:r>
      <w:r>
        <w:rPr>
          <w:szCs w:val="24"/>
        </w:rPr>
        <w:t xml:space="preserve"> HIV/AIDs in sub-Saharan Africa.</w:t>
      </w:r>
      <w:r w:rsidRPr="00812CB0">
        <w:rPr>
          <w:szCs w:val="24"/>
        </w:rPr>
        <w:t xml:space="preserve"> However, more recent constitutional changes that extend presidential terms, human rights abuses, and limits places on political pluralism have raised concerns</w:t>
      </w:r>
      <w:r w:rsidRPr="00812CB0">
        <w:rPr>
          <w:rStyle w:val="FootnoteReference"/>
        </w:rPr>
        <w:footnoteReference w:id="22"/>
      </w:r>
      <w:r w:rsidRPr="00812CB0">
        <w:rPr>
          <w:szCs w:val="24"/>
        </w:rPr>
        <w:t xml:space="preserve">, particularly across civil society. </w:t>
      </w:r>
    </w:p>
    <w:p w:rsidR="001630DC" w:rsidRPr="00F1318A" w:rsidRDefault="001630DC" w:rsidP="00F1318A">
      <w:pPr>
        <w:pStyle w:val="Heading2"/>
        <w:jc w:val="center"/>
        <w:rPr>
          <w:b/>
          <w:i/>
          <w:color w:val="auto"/>
          <w:sz w:val="24"/>
          <w:szCs w:val="24"/>
        </w:rPr>
      </w:pPr>
      <w:bookmarkStart w:id="312" w:name="_Toc450079238"/>
      <w:r w:rsidRPr="00F1318A">
        <w:rPr>
          <w:b/>
          <w:color w:val="auto"/>
          <w:sz w:val="24"/>
          <w:szCs w:val="24"/>
        </w:rPr>
        <w:t>4.8: Works Cited</w:t>
      </w:r>
      <w:bookmarkEnd w:id="312"/>
    </w:p>
    <w:p w:rsidR="001630DC" w:rsidRPr="00477D0B" w:rsidRDefault="001630DC" w:rsidP="001630DC"/>
    <w:p w:rsidR="001630DC" w:rsidRDefault="001630DC" w:rsidP="00B11ABC">
      <w:pPr>
        <w:pStyle w:val="GridTable21"/>
        <w:spacing w:before="240" w:after="240"/>
      </w:pPr>
      <w:r w:rsidRPr="00477D0B">
        <w:rPr>
          <w:i/>
        </w:rPr>
        <w:fldChar w:fldCharType="begin"/>
      </w:r>
      <w:r>
        <w:rPr>
          <w:i/>
        </w:rPr>
        <w:instrText xml:space="preserve"> ADDIN ZOTERO_BIBL {"custom":[]} CSL_BIBLIOGRAPHY </w:instrText>
      </w:r>
      <w:r w:rsidRPr="00477D0B">
        <w:rPr>
          <w:i/>
        </w:rPr>
        <w:fldChar w:fldCharType="separate"/>
      </w:r>
      <w:r>
        <w:t>AbouAssi, Khal</w:t>
      </w:r>
      <w:r w:rsidR="002D0774">
        <w:t xml:space="preserve">doun. 2012. “Mercurial Donors: </w:t>
      </w:r>
      <w:r>
        <w:t xml:space="preserve">NGO Response to Shifting Funding Priorities.” </w:t>
      </w:r>
      <w:r>
        <w:rPr>
          <w:i/>
          <w:iCs/>
        </w:rPr>
        <w:t>Nonprofit and Voluntary Sector Quarterly</w:t>
      </w:r>
      <w:r>
        <w:t xml:space="preserve"> 42 (3): 584–602.</w:t>
      </w:r>
    </w:p>
    <w:p w:rsidR="001630DC" w:rsidRDefault="001630DC" w:rsidP="00B11ABC">
      <w:pPr>
        <w:pStyle w:val="GridTable21"/>
        <w:spacing w:before="240" w:after="240"/>
      </w:pPr>
      <w:r>
        <w:t xml:space="preserve">Acheson, James M., and Roy Gardner. 2005. “Spatial Strategies and Territoriality in the Maine Lobster Industry.” </w:t>
      </w:r>
      <w:r>
        <w:rPr>
          <w:i/>
          <w:iCs/>
        </w:rPr>
        <w:t>Rationality and Society</w:t>
      </w:r>
      <w:r>
        <w:t xml:space="preserve"> 17 (3): 309–41.</w:t>
      </w:r>
    </w:p>
    <w:p w:rsidR="001630DC" w:rsidRDefault="001630DC" w:rsidP="00B11ABC">
      <w:pPr>
        <w:pStyle w:val="GridTable21"/>
        <w:spacing w:before="240" w:after="240"/>
      </w:pPr>
      <w:r>
        <w:t xml:space="preserve">Anheier, Helmut K., Regina List, Stefan Toepler, and S. Wojciech Sokolowski. 1999. </w:t>
      </w:r>
      <w:r>
        <w:rPr>
          <w:i/>
          <w:iCs/>
        </w:rPr>
        <w:t>Global Civil Society: Dimensions of the Nonprofit Sector</w:t>
      </w:r>
      <w:r>
        <w:t>. Edited by Lester M. Salamon. Baltimore: The Johns Hopkins Center for Civil Society Studies.</w:t>
      </w:r>
    </w:p>
    <w:p w:rsidR="001630DC" w:rsidRDefault="001630DC" w:rsidP="00B11ABC">
      <w:pPr>
        <w:pStyle w:val="GridTable21"/>
        <w:spacing w:before="240" w:after="240"/>
      </w:pPr>
      <w:r>
        <w:t xml:space="preserve">Appe, Susan. 2013. “Deconstructing Civil Society ‘Maps’: The Case of Ecuador.” </w:t>
      </w:r>
      <w:r>
        <w:rPr>
          <w:i/>
          <w:iCs/>
        </w:rPr>
        <w:t>Administrative Theory &amp; Praxis</w:t>
      </w:r>
      <w:r>
        <w:t xml:space="preserve"> 35 (1): 63–80..</w:t>
      </w:r>
    </w:p>
    <w:p w:rsidR="001630DC" w:rsidRDefault="001630DC" w:rsidP="00B11ABC">
      <w:pPr>
        <w:pStyle w:val="GridTable21"/>
        <w:spacing w:before="240" w:after="240"/>
      </w:pPr>
      <w:r>
        <w:t xml:space="preserve">Bates, Robert H. 1974. “Ethnic Competition and Modernization in Contemporary Africa.” </w:t>
      </w:r>
      <w:r>
        <w:rPr>
          <w:i/>
          <w:iCs/>
        </w:rPr>
        <w:t>Comparative Political Studies</w:t>
      </w:r>
      <w:r>
        <w:t xml:space="preserve"> 6 (4): 457–84. </w:t>
      </w:r>
    </w:p>
    <w:p w:rsidR="001630DC" w:rsidRDefault="001630DC" w:rsidP="00B11ABC">
      <w:pPr>
        <w:pStyle w:val="GridTable21"/>
        <w:spacing w:before="240" w:after="240"/>
      </w:pPr>
      <w:r>
        <w:t xml:space="preserve">Bates, Robert H. 1981. </w:t>
      </w:r>
      <w:r>
        <w:rPr>
          <w:i/>
          <w:iCs/>
        </w:rPr>
        <w:t>Markets and States in Tropical Africa: The Political Basis of Agricultural Policies</w:t>
      </w:r>
      <w:r>
        <w:t>. Berkeley: University of California Press.</w:t>
      </w:r>
    </w:p>
    <w:p w:rsidR="001630DC" w:rsidRDefault="001630DC" w:rsidP="00B11ABC">
      <w:pPr>
        <w:pStyle w:val="GridTable21"/>
        <w:spacing w:before="240" w:after="240"/>
      </w:pPr>
      <w:r>
        <w:t xml:space="preserve">Bayart, Jean-Francois. 1986. “Civil Society in Africa.” In </w:t>
      </w:r>
      <w:r>
        <w:rPr>
          <w:i/>
          <w:iCs/>
        </w:rPr>
        <w:t>Political Domination in Africa</w:t>
      </w:r>
      <w:r>
        <w:t>, edited by Patrick Chabal, 109–22. Cambridge: Cambridge University Press.</w:t>
      </w:r>
    </w:p>
    <w:p w:rsidR="001630DC" w:rsidRDefault="001630DC" w:rsidP="00B11ABC">
      <w:pPr>
        <w:pStyle w:val="GridTable21"/>
        <w:spacing w:before="240" w:after="240"/>
      </w:pPr>
      <w:r>
        <w:t>Bebbington, A., and R. Riddell. 1997. “Heavy Hands, Hidden Hands, Holdi</w:t>
      </w:r>
      <w:r w:rsidR="002D0774">
        <w:t xml:space="preserve">ng Hands? Donors, Intermediary </w:t>
      </w:r>
      <w:r>
        <w:t xml:space="preserve">NGOs and Civil Society Organisations.” In </w:t>
      </w:r>
      <w:r>
        <w:rPr>
          <w:i/>
          <w:iCs/>
        </w:rPr>
        <w:t>NGOs, States and Donors: Too Close for Comfort?</w:t>
      </w:r>
      <w:r>
        <w:t>, edited by David Hulme and Michael Edwards, 107–27. New York: St. Martin’s Press.</w:t>
      </w:r>
    </w:p>
    <w:p w:rsidR="001630DC" w:rsidRDefault="001630DC" w:rsidP="00B11ABC">
      <w:pPr>
        <w:pStyle w:val="GridTable21"/>
        <w:spacing w:before="240" w:after="240"/>
      </w:pPr>
      <w:r>
        <w:t xml:space="preserve">Benjamin, Lehn M. 2010. “Mediating Accountability: How Nonprofit Funding Intermediaries Use Performance Measurement and Why It Matters for Governance.” </w:t>
      </w:r>
      <w:r>
        <w:rPr>
          <w:i/>
          <w:iCs/>
        </w:rPr>
        <w:t>Public Performance &amp; Management Review</w:t>
      </w:r>
      <w:r>
        <w:t xml:space="preserve"> 33 (4): 594–618.</w:t>
      </w:r>
    </w:p>
    <w:p w:rsidR="001630DC" w:rsidRDefault="001630DC" w:rsidP="00B11ABC">
      <w:pPr>
        <w:pStyle w:val="GridTable21"/>
        <w:spacing w:before="240" w:after="240"/>
      </w:pPr>
      <w:r>
        <w:t xml:space="preserve">Berlan, David, and Tosca Bruno-van Vijfeijken. </w:t>
      </w:r>
      <w:r w:rsidR="00862CCB">
        <w:t xml:space="preserve">2013. “The Planned Close of an </w:t>
      </w:r>
      <w:r>
        <w:t xml:space="preserve">NGO: Evidence for a New Organizational Form?” </w:t>
      </w:r>
      <w:r>
        <w:rPr>
          <w:i/>
          <w:iCs/>
        </w:rPr>
        <w:t>VOLUNTAS: International Journal of Voluntary and Nonprofit Organizations</w:t>
      </w:r>
      <w:r>
        <w:t xml:space="preserve"> 24 (1): 262–75..</w:t>
      </w:r>
    </w:p>
    <w:p w:rsidR="001630DC" w:rsidRDefault="001630DC" w:rsidP="00B11ABC">
      <w:pPr>
        <w:pStyle w:val="GridTable21"/>
        <w:spacing w:before="240" w:after="240"/>
      </w:pPr>
      <w:r>
        <w:t xml:space="preserve">Bevan, Philippa. 2004. “The Dynamics of Africa’s In/security Regimes.” In </w:t>
      </w:r>
      <w:r>
        <w:rPr>
          <w:i/>
          <w:iCs/>
        </w:rPr>
        <w:t>Insecurity and Welfare Regimes in Asia, Africa and Latin America: Social Policy in Development Contexts</w:t>
      </w:r>
      <w:r>
        <w:t>, by Gough, Ian, Wood, Geof, Barrientos, Armando, Bevan, Philippa, Davis, Peter, and Room, Graham, 202–52. Cambridge: Cambridge University Press.</w:t>
      </w:r>
    </w:p>
    <w:p w:rsidR="001630DC" w:rsidRDefault="001630DC" w:rsidP="00B11ABC">
      <w:pPr>
        <w:pStyle w:val="GridTable21"/>
        <w:spacing w:before="240" w:after="240"/>
      </w:pPr>
      <w:r>
        <w:t xml:space="preserve">Bexell, Magdalena, Jonas Tallberg, and Anders Uhlin. 2010. “Democracy in Global Governance: The Promises and Pitfalls of Transnational Actors.” </w:t>
      </w:r>
      <w:r>
        <w:rPr>
          <w:i/>
          <w:iCs/>
        </w:rPr>
        <w:t>Global Governance</w:t>
      </w:r>
      <w:r>
        <w:t xml:space="preserve"> 16: 81–101.</w:t>
      </w:r>
    </w:p>
    <w:p w:rsidR="001630DC" w:rsidRDefault="001630DC" w:rsidP="00B11ABC">
      <w:pPr>
        <w:pStyle w:val="GridTable21"/>
        <w:spacing w:before="240" w:after="240"/>
      </w:pPr>
      <w:r>
        <w:t xml:space="preserve">Björkman, Ingmar, Wilhelm Barner-Rasmussen, and Li. 2004. “Managing Knowledge Transfer in MNCs: The Impact of Headquarters Control Mechanisms.” </w:t>
      </w:r>
      <w:r>
        <w:rPr>
          <w:i/>
          <w:iCs/>
        </w:rPr>
        <w:t>Journal of International Business Studies</w:t>
      </w:r>
      <w:r>
        <w:t xml:space="preserve"> 35 (5): 443–55.</w:t>
      </w:r>
    </w:p>
    <w:p w:rsidR="001630DC" w:rsidRDefault="001630DC" w:rsidP="00B11ABC">
      <w:pPr>
        <w:pStyle w:val="GridTable21"/>
        <w:spacing w:before="240" w:after="240"/>
      </w:pPr>
      <w:r>
        <w:t xml:space="preserve">Blanton, Robert, T. David Mason, and Brian Athow. 2001. “Colonial Style and Post-Colonial Ethnic Conflict in Africa.” </w:t>
      </w:r>
      <w:r>
        <w:rPr>
          <w:i/>
          <w:iCs/>
        </w:rPr>
        <w:t>Journal of Peace Research</w:t>
      </w:r>
      <w:r>
        <w:t xml:space="preserve"> 38 (4): 473–91.</w:t>
      </w:r>
    </w:p>
    <w:p w:rsidR="001630DC" w:rsidRDefault="001630DC" w:rsidP="00B11ABC">
      <w:pPr>
        <w:pStyle w:val="GridTable21"/>
        <w:spacing w:before="240" w:after="240"/>
      </w:pPr>
      <w:r>
        <w:t>Bloodgood, E.A., and J. Tremblay-Boire. 2014. “Explaining Non-Governmental Organizations in the OECD and Beyond: The Role of Political Parties.” Washington: APSA.</w:t>
      </w:r>
    </w:p>
    <w:p w:rsidR="001630DC" w:rsidRDefault="001630DC" w:rsidP="00B11ABC">
      <w:pPr>
        <w:pStyle w:val="GridTable21"/>
        <w:spacing w:before="240" w:after="240"/>
      </w:pPr>
      <w:r>
        <w:t xml:space="preserve">Boix, Carles, and Stokes, Susan C. 2003. “Endogenous Democratization.” </w:t>
      </w:r>
      <w:r>
        <w:rPr>
          <w:i/>
          <w:iCs/>
        </w:rPr>
        <w:t>World Politics</w:t>
      </w:r>
      <w:r>
        <w:t xml:space="preserve"> 55 (4): 517–49.</w:t>
      </w:r>
    </w:p>
    <w:p w:rsidR="001630DC" w:rsidRDefault="001630DC" w:rsidP="00B11ABC">
      <w:pPr>
        <w:pStyle w:val="GridTable21"/>
        <w:spacing w:before="240" w:after="240"/>
      </w:pPr>
      <w:r>
        <w:t xml:space="preserve">Boone, Catherine. 2003. </w:t>
      </w:r>
      <w:r>
        <w:rPr>
          <w:i/>
          <w:iCs/>
        </w:rPr>
        <w:t>The Political Topographies of the African State: Territorial Authority and Institutional Choice</w:t>
      </w:r>
      <w:r>
        <w:t>. Cambridge: Cambridge University Press.</w:t>
      </w:r>
    </w:p>
    <w:p w:rsidR="001630DC" w:rsidRDefault="001630DC" w:rsidP="00B11ABC">
      <w:pPr>
        <w:pStyle w:val="GridTable21"/>
        <w:spacing w:before="240" w:after="240"/>
      </w:pPr>
      <w:r>
        <w:t xml:space="preserve">Bozeman, Barry. 1987. </w:t>
      </w:r>
      <w:r>
        <w:rPr>
          <w:i/>
          <w:iCs/>
        </w:rPr>
        <w:t>All Organizations Are Public: Bridging Public and Private Organizational Theories</w:t>
      </w:r>
      <w:r>
        <w:t>. San Francisco: Josey-Bass.</w:t>
      </w:r>
    </w:p>
    <w:p w:rsidR="001630DC" w:rsidRDefault="001630DC" w:rsidP="00B11ABC">
      <w:pPr>
        <w:pStyle w:val="GridTable21"/>
        <w:spacing w:before="240" w:after="240"/>
      </w:pPr>
      <w:r>
        <w:t xml:space="preserve">Bozeman, Barry, and Stuart Bretschneider. 1994. “The ‘Publicness Puzzle’ in Organization Theory: A Test of Alternative Explanations of Differences between Public and Private Organizations.” </w:t>
      </w:r>
      <w:r>
        <w:rPr>
          <w:i/>
          <w:iCs/>
        </w:rPr>
        <w:t>Journal of Public Administration Research and Theory</w:t>
      </w:r>
      <w:r>
        <w:t xml:space="preserve"> 4 (2): 197–223.</w:t>
      </w:r>
    </w:p>
    <w:p w:rsidR="001630DC" w:rsidRDefault="001630DC" w:rsidP="00B11ABC">
      <w:pPr>
        <w:pStyle w:val="GridTable21"/>
        <w:spacing w:before="240" w:after="240"/>
      </w:pPr>
      <w:r>
        <w:t xml:space="preserve">Bozeman, Barry, and Sanjay K. Pandey. 2004. “Public Management Decision Making: Effects of Decision Content.” </w:t>
      </w:r>
      <w:r>
        <w:rPr>
          <w:i/>
          <w:iCs/>
        </w:rPr>
        <w:t>Public Administration Review</w:t>
      </w:r>
      <w:r>
        <w:t xml:space="preserve"> 64 (5): 553–535.</w:t>
      </w:r>
    </w:p>
    <w:p w:rsidR="001630DC" w:rsidRDefault="001630DC" w:rsidP="00B11ABC">
      <w:pPr>
        <w:pStyle w:val="GridTable21"/>
        <w:spacing w:before="240" w:after="240"/>
      </w:pPr>
      <w:r>
        <w:t xml:space="preserve">Bozeman, Barry, Pamela N. Reed, and Patrick Scott. 1992. “Red Tape and Task Delays in Public and Private Organizations.” </w:t>
      </w:r>
      <w:r>
        <w:rPr>
          <w:i/>
          <w:iCs/>
        </w:rPr>
        <w:t>Administration &amp; Society</w:t>
      </w:r>
      <w:r>
        <w:t xml:space="preserve"> 24 (3): 290–322.</w:t>
      </w:r>
    </w:p>
    <w:p w:rsidR="001630DC" w:rsidRDefault="001630DC" w:rsidP="00B11ABC">
      <w:pPr>
        <w:pStyle w:val="GridTable21"/>
        <w:spacing w:before="240" w:after="240"/>
      </w:pPr>
      <w:r>
        <w:t xml:space="preserve">Bradshaw, Pat, Vic Murray, and Jacob Wolpin. 1992. “Do Nonprofit Boards Make a Difference? An Exploration of the Relationships among Board Structure, Process, and Effectiveness.” </w:t>
      </w:r>
      <w:r>
        <w:rPr>
          <w:i/>
          <w:iCs/>
        </w:rPr>
        <w:t>Nonprofit and Voluntary Sector Quarterly</w:t>
      </w:r>
      <w:r>
        <w:t xml:space="preserve"> 21 (3): 227–49.</w:t>
      </w:r>
    </w:p>
    <w:p w:rsidR="001630DC" w:rsidRDefault="001630DC" w:rsidP="00B11ABC">
      <w:pPr>
        <w:pStyle w:val="GridTable21"/>
        <w:spacing w:before="240" w:after="240"/>
      </w:pPr>
      <w:r>
        <w:t xml:space="preserve">Brass, Jennifer N. 2012a. “Blurring </w:t>
      </w:r>
      <w:r w:rsidR="002D0774">
        <w:t xml:space="preserve">Boundaries: The Integration of </w:t>
      </w:r>
      <w:r>
        <w:t xml:space="preserve">NGOs into Governance in Kenya.” </w:t>
      </w:r>
      <w:r>
        <w:rPr>
          <w:i/>
          <w:iCs/>
        </w:rPr>
        <w:t>Governance</w:t>
      </w:r>
      <w:r>
        <w:t xml:space="preserve"> 25 (2): 209–35.</w:t>
      </w:r>
    </w:p>
    <w:p w:rsidR="001630DC" w:rsidRDefault="002D0774" w:rsidP="00B11ABC">
      <w:pPr>
        <w:pStyle w:val="GridTable21"/>
        <w:spacing w:before="240" w:after="240"/>
      </w:pPr>
      <w:r>
        <w:t xml:space="preserve">———. 2012b. “Why Do </w:t>
      </w:r>
      <w:r w:rsidR="001630DC">
        <w:t xml:space="preserve">NGOs Go Where They Go?  Evidence from Kenya.” </w:t>
      </w:r>
      <w:r w:rsidR="001630DC">
        <w:rPr>
          <w:i/>
          <w:iCs/>
        </w:rPr>
        <w:t>World Development</w:t>
      </w:r>
      <w:r w:rsidR="001630DC">
        <w:t xml:space="preserve"> 40 (2): 387–401.</w:t>
      </w:r>
    </w:p>
    <w:p w:rsidR="001630DC" w:rsidRDefault="001630DC" w:rsidP="00B11ABC">
      <w:pPr>
        <w:pStyle w:val="GridTable21"/>
        <w:spacing w:before="240" w:after="240"/>
      </w:pPr>
      <w:r>
        <w:t xml:space="preserve">Bratton, Michael. 1989a. “Beyond the State: Civil Society and Associational Life in Africa.” </w:t>
      </w:r>
      <w:r>
        <w:rPr>
          <w:i/>
          <w:iCs/>
        </w:rPr>
        <w:t>World Politics</w:t>
      </w:r>
      <w:r>
        <w:t xml:space="preserve"> 41 (3): 407–30.</w:t>
      </w:r>
    </w:p>
    <w:p w:rsidR="001630DC" w:rsidRDefault="001630DC" w:rsidP="00B11ABC">
      <w:pPr>
        <w:pStyle w:val="GridTable21"/>
        <w:spacing w:before="240" w:after="240"/>
      </w:pPr>
      <w:r>
        <w:t>———. 1989</w:t>
      </w:r>
      <w:r w:rsidR="002D0774">
        <w:t>b. “The Politics of Government-</w:t>
      </w:r>
      <w:r>
        <w:t xml:space="preserve">NGO Relations in Africa.” </w:t>
      </w:r>
      <w:r>
        <w:rPr>
          <w:i/>
          <w:iCs/>
        </w:rPr>
        <w:t>World Development</w:t>
      </w:r>
      <w:r>
        <w:t xml:space="preserve"> 17 (4): 569–87.</w:t>
      </w:r>
    </w:p>
    <w:p w:rsidR="001630DC" w:rsidRDefault="001630DC" w:rsidP="00B11ABC">
      <w:pPr>
        <w:pStyle w:val="GridTable21"/>
        <w:spacing w:before="240" w:after="240"/>
      </w:pPr>
      <w:r>
        <w:t xml:space="preserve">Bratton, Michael. 1990. “Non-Governmental Organizations in Africa: Can They Influence Public Policy?” </w:t>
      </w:r>
      <w:r>
        <w:rPr>
          <w:i/>
          <w:iCs/>
        </w:rPr>
        <w:t>Development and Change</w:t>
      </w:r>
      <w:r>
        <w:t xml:space="preserve"> 21: 87–118.</w:t>
      </w:r>
    </w:p>
    <w:p w:rsidR="001630DC" w:rsidRDefault="001630DC" w:rsidP="00B11ABC">
      <w:pPr>
        <w:pStyle w:val="GridTable21"/>
        <w:spacing w:before="240" w:after="240"/>
      </w:pPr>
      <w:r>
        <w:t xml:space="preserve">Brooks, Jeremy, Kerry Ann Waylen, and Monique Borgerhoff Mulder. 2013. “Assessing Community-Based Conservation Projects: A Systematic Review and Multilevel Analysis of Attitudinal, Behavioral, Ecological, and Economic Outcome.” </w:t>
      </w:r>
      <w:r>
        <w:rPr>
          <w:i/>
          <w:iCs/>
        </w:rPr>
        <w:t>Environmental Evidence</w:t>
      </w:r>
      <w:r>
        <w:t xml:space="preserve"> 2 (2): 1–34.</w:t>
      </w:r>
    </w:p>
    <w:p w:rsidR="001630DC" w:rsidRDefault="001630DC" w:rsidP="00B11ABC">
      <w:pPr>
        <w:pStyle w:val="GridTable21"/>
        <w:spacing w:before="240" w:after="240"/>
      </w:pPr>
      <w:r>
        <w:t xml:space="preserve">Brown, W. A. 2004. “Exploring Strategy and Board Structure in Nonprofit Organizations.” </w:t>
      </w:r>
      <w:r>
        <w:rPr>
          <w:i/>
          <w:iCs/>
        </w:rPr>
        <w:t>Nonprofit and Voluntary Sector Quarterly</w:t>
      </w:r>
      <w:r>
        <w:t xml:space="preserve"> 33 (3): 377–400..</w:t>
      </w:r>
    </w:p>
    <w:p w:rsidR="001630DC" w:rsidRDefault="001630DC" w:rsidP="00B11ABC">
      <w:pPr>
        <w:pStyle w:val="GridTable21"/>
        <w:spacing w:before="240" w:after="240"/>
      </w:pPr>
      <w:r>
        <w:t xml:space="preserve">Brown, William A. 2005. “Exploring the Association between Board and Organizational Performance in Nonprofit Organizations.” </w:t>
      </w:r>
      <w:r>
        <w:rPr>
          <w:i/>
          <w:iCs/>
        </w:rPr>
        <w:t>Nonprofit Management and Leadership</w:t>
      </w:r>
      <w:r>
        <w:t xml:space="preserve"> 15 (3): 317–39.</w:t>
      </w:r>
    </w:p>
    <w:p w:rsidR="001630DC" w:rsidRDefault="001630DC" w:rsidP="00B11ABC">
      <w:pPr>
        <w:pStyle w:val="GridTable21"/>
        <w:spacing w:before="240" w:after="240"/>
      </w:pPr>
      <w:r>
        <w:t xml:space="preserve">Bruno-van Vijfeijken, Tosca, and Hans Peter Schmitz. 2011. “Commentary: A Gap between Ambition and Effectiveness.” </w:t>
      </w:r>
      <w:r>
        <w:rPr>
          <w:i/>
          <w:iCs/>
        </w:rPr>
        <w:t>Journal of Civil Society</w:t>
      </w:r>
      <w:r>
        <w:t xml:space="preserve"> 7 (3): 287–92.</w:t>
      </w:r>
    </w:p>
    <w:p w:rsidR="001630DC" w:rsidRDefault="001630DC" w:rsidP="00B11ABC">
      <w:pPr>
        <w:pStyle w:val="GridTable21"/>
        <w:spacing w:before="240" w:after="240"/>
      </w:pPr>
      <w:r>
        <w:t xml:space="preserve">Bryce, Herrington J. 2005. </w:t>
      </w:r>
      <w:r>
        <w:rPr>
          <w:i/>
          <w:iCs/>
        </w:rPr>
        <w:t>Players in the Public Policy Process: Nonprofits as Social Capital Agents</w:t>
      </w:r>
      <w:r>
        <w:t>. New York: Palgrave Macmillan.</w:t>
      </w:r>
    </w:p>
    <w:p w:rsidR="001630DC" w:rsidRDefault="001630DC" w:rsidP="00B11ABC">
      <w:pPr>
        <w:pStyle w:val="GridTable21"/>
        <w:spacing w:before="240" w:after="240"/>
      </w:pPr>
      <w:r>
        <w:t xml:space="preserve">Busby, Joshua. 2007. “Bono Made Jesse Helms Cry: Jubilee 2000, Debt Relief, and Moral Action in International Politics.” </w:t>
      </w:r>
      <w:r>
        <w:rPr>
          <w:i/>
          <w:iCs/>
        </w:rPr>
        <w:t>International Studies Quarterly</w:t>
      </w:r>
      <w:r>
        <w:t xml:space="preserve"> 51 (3): 247–75.</w:t>
      </w:r>
    </w:p>
    <w:p w:rsidR="001630DC" w:rsidRDefault="001630DC" w:rsidP="00B11ABC">
      <w:pPr>
        <w:pStyle w:val="GridTable21"/>
        <w:spacing w:before="240" w:after="240"/>
      </w:pPr>
      <w:r>
        <w:t xml:space="preserve">Carbonnier, Gilles. 2013. “Religion and Development: Reconsidering Secularism as the Norm.” In </w:t>
      </w:r>
      <w:r>
        <w:rPr>
          <w:i/>
          <w:iCs/>
        </w:rPr>
        <w:t>International Development Policy: Religion and Development</w:t>
      </w:r>
      <w:r>
        <w:t>, edited by Gilles Carbonnier, 1–5. New York: Palgrave Macmillan.</w:t>
      </w:r>
    </w:p>
    <w:p w:rsidR="001630DC" w:rsidRDefault="001630DC" w:rsidP="00B11ABC">
      <w:pPr>
        <w:pStyle w:val="GridTable21"/>
        <w:spacing w:before="240" w:after="240"/>
      </w:pPr>
      <w:r>
        <w:t xml:space="preserve">Carothers, Thomas. 2002. “The End of the Transition Paradigm.” </w:t>
      </w:r>
      <w:r>
        <w:rPr>
          <w:i/>
          <w:iCs/>
        </w:rPr>
        <w:t>Journal of Democracy</w:t>
      </w:r>
      <w:r>
        <w:t xml:space="preserve"> 13 (1): 5–21.</w:t>
      </w:r>
    </w:p>
    <w:p w:rsidR="001630DC" w:rsidRDefault="001630DC" w:rsidP="00B11ABC">
      <w:pPr>
        <w:pStyle w:val="GridTable21"/>
        <w:spacing w:before="240" w:after="240"/>
      </w:pPr>
      <w:r>
        <w:t>Central Intelligence Agency. 2005. “CIA World Factbook: Uganda.” Washington: CIA. https://www.cia.gov/library/publications/resources/the-world-factbook/docs/refmaps.html.</w:t>
      </w:r>
    </w:p>
    <w:p w:rsidR="001630DC" w:rsidRDefault="001630DC" w:rsidP="00B11ABC">
      <w:pPr>
        <w:pStyle w:val="GridTable21"/>
        <w:spacing w:before="240" w:after="240"/>
      </w:pPr>
      <w:r>
        <w:t>Chahim, D</w:t>
      </w:r>
      <w:r w:rsidR="00862CCB">
        <w:t>ean, and Aseem Prakash. 2014. “</w:t>
      </w:r>
      <w:r>
        <w:t xml:space="preserve">NGOization, Foreign Funding, and the Nicaraguan Civil Society.” </w:t>
      </w:r>
      <w:r>
        <w:rPr>
          <w:i/>
          <w:iCs/>
        </w:rPr>
        <w:t>VOLUNTAS: International Journal of Voluntary and Nonprofit Organizations</w:t>
      </w:r>
      <w:r>
        <w:t xml:space="preserve"> 25 (2): 487–513.</w:t>
      </w:r>
    </w:p>
    <w:p w:rsidR="001630DC" w:rsidRDefault="001630DC" w:rsidP="00B11ABC">
      <w:pPr>
        <w:pStyle w:val="GridTable21"/>
        <w:spacing w:before="240" w:after="240"/>
      </w:pPr>
      <w:r>
        <w:t xml:space="preserve">Charmaz, K. 2006. </w:t>
      </w:r>
      <w:r>
        <w:rPr>
          <w:i/>
          <w:iCs/>
        </w:rPr>
        <w:t>Constructing a Grounded Theory: A Practical Guide Through Qualitative Analysis</w:t>
      </w:r>
      <w:r>
        <w:t>. New York: Sage Publications.</w:t>
      </w:r>
    </w:p>
    <w:p w:rsidR="001630DC" w:rsidRDefault="001630DC" w:rsidP="00B11ABC">
      <w:pPr>
        <w:pStyle w:val="GridTable21"/>
        <w:spacing w:before="240" w:after="240"/>
      </w:pPr>
      <w:r>
        <w:t xml:space="preserve">Child, John. 1975. “Managerial and Organizational Factors Associated with Company Performance - Part II. A Contingency Analysis.” </w:t>
      </w:r>
      <w:r>
        <w:rPr>
          <w:i/>
          <w:iCs/>
        </w:rPr>
        <w:t>The Journal of Management Studies</w:t>
      </w:r>
      <w:r>
        <w:t xml:space="preserve"> 12 (1-2): 12–27.</w:t>
      </w:r>
    </w:p>
    <w:p w:rsidR="001630DC" w:rsidRDefault="001630DC" w:rsidP="00B11ABC">
      <w:pPr>
        <w:pStyle w:val="GridTable21"/>
        <w:spacing w:before="240" w:after="240"/>
      </w:pPr>
      <w:r>
        <w:t>Christensen, Rachel A., and Alnoor Ebrahim. 2004. “How Does Accountability Affect Mission? The Case of a Nonprofit Serving Immigrants and Refugees.” Los Angeles. www.ipg.vt.edu/papers/ChristenseEbrahimARNOVA2004.pdf.</w:t>
      </w:r>
    </w:p>
    <w:p w:rsidR="001630DC" w:rsidRDefault="001630DC" w:rsidP="00B11ABC">
      <w:pPr>
        <w:pStyle w:val="GridTable21"/>
        <w:spacing w:before="240" w:after="240"/>
      </w:pPr>
      <w:r>
        <w:t>Cingranelli, David L., David L. Richards, and K. Chad Clay. 2014. “The CIRI Human Rights Dataset.” http://www.humanrightsdata.com.</w:t>
      </w:r>
    </w:p>
    <w:p w:rsidR="001630DC" w:rsidRDefault="001630DC" w:rsidP="00B11ABC">
      <w:pPr>
        <w:pStyle w:val="GridTable21"/>
        <w:spacing w:before="240" w:after="240"/>
      </w:pPr>
      <w:r>
        <w:t xml:space="preserve">Clark, John. 1995. “The State, Popular Participation, and the Voluntary Sector.” </w:t>
      </w:r>
      <w:r>
        <w:rPr>
          <w:i/>
          <w:iCs/>
        </w:rPr>
        <w:t>World Development</w:t>
      </w:r>
      <w:r>
        <w:t xml:space="preserve"> 23 (4): 593–601.</w:t>
      </w:r>
    </w:p>
    <w:p w:rsidR="001630DC" w:rsidRDefault="001630DC" w:rsidP="00B11ABC">
      <w:pPr>
        <w:pStyle w:val="GridTable21"/>
        <w:spacing w:before="240" w:after="240"/>
      </w:pPr>
      <w:r>
        <w:t xml:space="preserve">Cohen, Michael D., James G. March, and Jonah P. Olsen. 1972. “A Garbage Can Model of Organizational Choice.” </w:t>
      </w:r>
      <w:r>
        <w:rPr>
          <w:i/>
          <w:iCs/>
        </w:rPr>
        <w:t>Administrative Science Quarterly</w:t>
      </w:r>
      <w:r>
        <w:t>, 1–25.</w:t>
      </w:r>
    </w:p>
    <w:p w:rsidR="001630DC" w:rsidRDefault="001630DC" w:rsidP="00B11ABC">
      <w:pPr>
        <w:pStyle w:val="GridTable21"/>
        <w:spacing w:before="240" w:after="240"/>
      </w:pPr>
      <w:r>
        <w:t xml:space="preserve">Comaroff, John L., and Jean Comaroff. 2009. </w:t>
      </w:r>
      <w:r>
        <w:rPr>
          <w:i/>
          <w:iCs/>
        </w:rPr>
        <w:t>Ethnicity, Inc.</w:t>
      </w:r>
      <w:r>
        <w:t xml:space="preserve"> Chicago: University of Chicago Press.</w:t>
      </w:r>
    </w:p>
    <w:p w:rsidR="001630DC" w:rsidRDefault="001630DC" w:rsidP="00B11ABC">
      <w:pPr>
        <w:pStyle w:val="GridTable21"/>
        <w:spacing w:before="240" w:after="240"/>
      </w:pPr>
      <w:r>
        <w:t xml:space="preserve">Corbin, John J. 1999. “A Study of Factors Influencing the Growth of Nonprofits in Social Services.” </w:t>
      </w:r>
      <w:r>
        <w:rPr>
          <w:i/>
          <w:iCs/>
        </w:rPr>
        <w:t>Nonprofit and Voluntary Sector Quarterly</w:t>
      </w:r>
      <w:r>
        <w:t xml:space="preserve"> 28 (3): 296–314.</w:t>
      </w:r>
    </w:p>
    <w:p w:rsidR="001630DC" w:rsidRDefault="001630DC" w:rsidP="00B11ABC">
      <w:pPr>
        <w:pStyle w:val="GridTable21"/>
        <w:spacing w:before="240" w:after="240"/>
      </w:pPr>
      <w:r>
        <w:t>Daley, John Michael, and Julio Angulo. 1994. “Understanding the Dynamics of Diversity Within Nonprofit Boards” 25 (2): 172–88.</w:t>
      </w:r>
    </w:p>
    <w:p w:rsidR="001630DC" w:rsidRDefault="001630DC" w:rsidP="00B11ABC">
      <w:pPr>
        <w:pStyle w:val="GridTable21"/>
        <w:spacing w:before="240" w:after="240"/>
      </w:pPr>
      <w:r>
        <w:t xml:space="preserve">DeMars, William E. 2005. </w:t>
      </w:r>
      <w:r>
        <w:rPr>
          <w:i/>
          <w:iCs/>
        </w:rPr>
        <w:t>NGOs and Transnational Networks: Wild Cards in World Politics</w:t>
      </w:r>
      <w:r>
        <w:t>. London: Pluto Press.</w:t>
      </w:r>
    </w:p>
    <w:p w:rsidR="001630DC" w:rsidRDefault="001630DC" w:rsidP="00B11ABC">
      <w:pPr>
        <w:pStyle w:val="GridTable21"/>
        <w:spacing w:before="240" w:after="240"/>
      </w:pPr>
      <w:r>
        <w:t xml:space="preserve">DiMaggio, Paul, and Walter W. Powell. 1983. “The Iron Cage Revisited: Institutional Isomorphism and Collective Rationality in Organizational Fields.” </w:t>
      </w:r>
      <w:r>
        <w:rPr>
          <w:i/>
          <w:iCs/>
        </w:rPr>
        <w:t>American Sociological Review</w:t>
      </w:r>
      <w:r>
        <w:t xml:space="preserve"> 48 (April): 147–60.</w:t>
      </w:r>
    </w:p>
    <w:p w:rsidR="001630DC" w:rsidRDefault="001630DC" w:rsidP="00B11ABC">
      <w:pPr>
        <w:pStyle w:val="GridTable21"/>
        <w:spacing w:before="240" w:after="240"/>
      </w:pPr>
      <w:r>
        <w:t xml:space="preserve">Donaldson, Lex. 2001. </w:t>
      </w:r>
      <w:r>
        <w:rPr>
          <w:i/>
          <w:iCs/>
        </w:rPr>
        <w:t>The Contingency Theory of Organizations</w:t>
      </w:r>
      <w:r>
        <w:t>. Thousand Oaks: Sage Publications, Ltd.</w:t>
      </w:r>
    </w:p>
    <w:p w:rsidR="001630DC" w:rsidRDefault="001630DC" w:rsidP="00B11ABC">
      <w:pPr>
        <w:pStyle w:val="GridTable21"/>
        <w:spacing w:before="240" w:after="240"/>
      </w:pPr>
      <w:r>
        <w:t xml:space="preserve">Drazin, Robert, and Andrew H. Van de Ven. 1985. “Alternative Forms of Fit in Contingency Theory.” </w:t>
      </w:r>
      <w:r>
        <w:rPr>
          <w:i/>
          <w:iCs/>
        </w:rPr>
        <w:t>Administrative Science Quarterly</w:t>
      </w:r>
      <w:r>
        <w:t xml:space="preserve"> 30 (4): 514. </w:t>
      </w:r>
    </w:p>
    <w:p w:rsidR="001630DC" w:rsidRDefault="001630DC" w:rsidP="00B11ABC">
      <w:pPr>
        <w:pStyle w:val="GridTable21"/>
        <w:spacing w:before="240" w:after="240"/>
      </w:pPr>
      <w:r>
        <w:t>Dupuy, Kendra, James Ron, and Aseem Prakash. 2015. “Who Survived? Ethiopia’s Regulatory Crackdown on For</w:t>
      </w:r>
      <w:r w:rsidR="000E7929">
        <w:t xml:space="preserve">eign-Funded </w:t>
      </w:r>
      <w:r>
        <w:t xml:space="preserve">NGOs.” </w:t>
      </w:r>
      <w:r>
        <w:rPr>
          <w:i/>
          <w:iCs/>
        </w:rPr>
        <w:t>Review in International Political Economy</w:t>
      </w:r>
      <w:r>
        <w:t xml:space="preserve"> 22 (2): 419–56.</w:t>
      </w:r>
    </w:p>
    <w:p w:rsidR="001630DC" w:rsidRDefault="001630DC" w:rsidP="00B11ABC">
      <w:pPr>
        <w:pStyle w:val="GridTable21"/>
        <w:spacing w:before="240" w:after="240"/>
      </w:pPr>
      <w:r>
        <w:t xml:space="preserve">Easterly, William. 2009. “Can the West Save Africa?” </w:t>
      </w:r>
      <w:r>
        <w:rPr>
          <w:i/>
          <w:iCs/>
        </w:rPr>
        <w:t>Journal of Economic Literature</w:t>
      </w:r>
      <w:r>
        <w:t xml:space="preserve"> 47 (2): 373–447.</w:t>
      </w:r>
    </w:p>
    <w:p w:rsidR="001630DC" w:rsidRDefault="001630DC" w:rsidP="00B11ABC">
      <w:pPr>
        <w:pStyle w:val="GridTable21"/>
        <w:spacing w:before="240" w:after="240"/>
      </w:pPr>
      <w:r>
        <w:t xml:space="preserve">Ebrahim, A. 2002. “Information Struggles: The Role of Information in the Reproduction of TNGO-Funder Relationships.” </w:t>
      </w:r>
      <w:r>
        <w:rPr>
          <w:i/>
          <w:iCs/>
        </w:rPr>
        <w:t>Nonprofit and Voluntary Sector Quarterly</w:t>
      </w:r>
      <w:r w:rsidR="00FD66DB">
        <w:t xml:space="preserve"> 31 (1): 84–114</w:t>
      </w:r>
      <w:r>
        <w:t>.</w:t>
      </w:r>
    </w:p>
    <w:p w:rsidR="001630DC" w:rsidRDefault="001630DC" w:rsidP="00B11ABC">
      <w:pPr>
        <w:pStyle w:val="GridTable21"/>
        <w:spacing w:before="240" w:after="240"/>
      </w:pPr>
      <w:r>
        <w:t>Ebrahim, Alnoor. 2003. “Accountabili</w:t>
      </w:r>
      <w:r w:rsidR="000E7929">
        <w:t xml:space="preserve">ty in Practice: Mechanisms for </w:t>
      </w:r>
      <w:r>
        <w:t xml:space="preserve">NGOs.” </w:t>
      </w:r>
      <w:r>
        <w:rPr>
          <w:i/>
          <w:iCs/>
        </w:rPr>
        <w:t>World Development</w:t>
      </w:r>
      <w:r>
        <w:t xml:space="preserve"> 31 (5): 813–29.</w:t>
      </w:r>
    </w:p>
    <w:p w:rsidR="001630DC" w:rsidRDefault="001630DC" w:rsidP="00B11ABC">
      <w:pPr>
        <w:pStyle w:val="GridTable21"/>
        <w:spacing w:before="240" w:after="240"/>
      </w:pPr>
      <w:r>
        <w:t xml:space="preserve">Edwards, Michael, and David Hulme. 1996a. “Beyond the Magic Bullet?  Lessons and Conclusions.” In </w:t>
      </w:r>
      <w:r w:rsidR="00FD66DB">
        <w:rPr>
          <w:i/>
          <w:iCs/>
        </w:rPr>
        <w:t xml:space="preserve">Beyond the Magic Bullet: </w:t>
      </w:r>
      <w:r>
        <w:rPr>
          <w:i/>
          <w:iCs/>
        </w:rPr>
        <w:t>NGO Performance and Accountability in the Post-Cold War World</w:t>
      </w:r>
      <w:r>
        <w:t>, edited by Michael Edwards and David Hulme, 254–66. Kumarian Press.</w:t>
      </w:r>
    </w:p>
    <w:p w:rsidR="001630DC" w:rsidRDefault="001630DC" w:rsidP="00B11ABC">
      <w:pPr>
        <w:pStyle w:val="GridTable21"/>
        <w:spacing w:before="240" w:after="240"/>
      </w:pPr>
      <w:r>
        <w:t>———. 1996b. “Introduct</w:t>
      </w:r>
      <w:r w:rsidR="000E7929">
        <w:t xml:space="preserve">ion: </w:t>
      </w:r>
      <w:r>
        <w:t xml:space="preserve">NGO Performance and Accountability.” In </w:t>
      </w:r>
      <w:r w:rsidR="00FD66DB">
        <w:rPr>
          <w:i/>
          <w:iCs/>
        </w:rPr>
        <w:t xml:space="preserve">Beyond the Magic Bullet: </w:t>
      </w:r>
      <w:r>
        <w:rPr>
          <w:i/>
          <w:iCs/>
        </w:rPr>
        <w:t>NGO Performance and Accountability in the Post-Cold War World</w:t>
      </w:r>
      <w:r>
        <w:t>, edited by Michael Edwards and David Hulme, 1–20. Kumarian Press.</w:t>
      </w:r>
    </w:p>
    <w:p w:rsidR="001630DC" w:rsidRDefault="001630DC" w:rsidP="00B11ABC">
      <w:pPr>
        <w:pStyle w:val="GridTable21"/>
        <w:spacing w:before="240" w:after="240"/>
      </w:pPr>
      <w:r>
        <w:t xml:space="preserve">———. 1996c. “Too Close for Comfort?  The Impact of Official Aid on </w:t>
      </w:r>
      <w:r w:rsidR="009944D4">
        <w:t>Nongovernmental</w:t>
      </w:r>
      <w:r>
        <w:t xml:space="preserve"> Organizations.” </w:t>
      </w:r>
      <w:r>
        <w:rPr>
          <w:i/>
          <w:iCs/>
        </w:rPr>
        <w:t>World Development</w:t>
      </w:r>
      <w:r>
        <w:t xml:space="preserve"> 24 (6): 961–73.</w:t>
      </w:r>
    </w:p>
    <w:p w:rsidR="001630DC" w:rsidRDefault="001630DC" w:rsidP="00B11ABC">
      <w:pPr>
        <w:pStyle w:val="GridTable21"/>
        <w:spacing w:before="240" w:after="240"/>
      </w:pPr>
      <w:r>
        <w:t xml:space="preserve">Eifert, Benn, Edward Miguel, and Daniel N. Posner. 2010. “Political Competition and Ethnic Identification in Africa.” </w:t>
      </w:r>
      <w:r>
        <w:rPr>
          <w:i/>
          <w:iCs/>
        </w:rPr>
        <w:t>American Journal of Political Science</w:t>
      </w:r>
      <w:r>
        <w:t xml:space="preserve"> 54 (2): 494–510.</w:t>
      </w:r>
    </w:p>
    <w:p w:rsidR="001630DC" w:rsidRDefault="001630DC" w:rsidP="00B11ABC">
      <w:pPr>
        <w:pStyle w:val="GridTable21"/>
        <w:spacing w:before="240" w:after="240"/>
      </w:pPr>
      <w:r>
        <w:t xml:space="preserve">Ekeh, Peter P. 1975. “Colonialism and the Two Publics in Africa: A Theoretical Statement.” </w:t>
      </w:r>
      <w:r>
        <w:rPr>
          <w:i/>
          <w:iCs/>
        </w:rPr>
        <w:t>Comparative Studies in Society and History</w:t>
      </w:r>
      <w:r>
        <w:t xml:space="preserve"> 17 (1): 91–112.</w:t>
      </w:r>
    </w:p>
    <w:p w:rsidR="001630DC" w:rsidRDefault="001630DC" w:rsidP="00B11ABC">
      <w:pPr>
        <w:pStyle w:val="GridTable21"/>
        <w:spacing w:before="240" w:after="240"/>
      </w:pPr>
      <w:r>
        <w:t xml:space="preserve">Elliott, Charles. 1987. “Some Aspects of Relations Between the North and South in the TNGO Sector.” </w:t>
      </w:r>
      <w:r>
        <w:rPr>
          <w:i/>
          <w:iCs/>
        </w:rPr>
        <w:t>World Development</w:t>
      </w:r>
      <w:r>
        <w:t xml:space="preserve"> 15 (Supplement): 57–68.</w:t>
      </w:r>
    </w:p>
    <w:p w:rsidR="001630DC" w:rsidRDefault="001630DC" w:rsidP="00B11ABC">
      <w:pPr>
        <w:pStyle w:val="GridTable21"/>
        <w:spacing w:before="240" w:after="240"/>
      </w:pPr>
      <w:r>
        <w:t xml:space="preserve">Englebert, Pierre. 2000. </w:t>
      </w:r>
      <w:r>
        <w:rPr>
          <w:i/>
          <w:iCs/>
        </w:rPr>
        <w:t>State Legitimacy and Development in Africa</w:t>
      </w:r>
      <w:r>
        <w:t>. Boulder: Lynne Rienner Publishers.</w:t>
      </w:r>
    </w:p>
    <w:p w:rsidR="001630DC" w:rsidRDefault="001630DC" w:rsidP="00B11ABC">
      <w:pPr>
        <w:pStyle w:val="GridTable21"/>
        <w:spacing w:before="240" w:after="240"/>
      </w:pPr>
      <w:r>
        <w:t xml:space="preserve">Esping-Andersen, Gosta. 1990. </w:t>
      </w:r>
      <w:r>
        <w:rPr>
          <w:i/>
          <w:iCs/>
        </w:rPr>
        <w:t>The Three Worlds of Welfare Capitalism</w:t>
      </w:r>
      <w:r>
        <w:t>. Princeton: Princeton University Press.</w:t>
      </w:r>
    </w:p>
    <w:p w:rsidR="001630DC" w:rsidRDefault="001630DC" w:rsidP="00B11ABC">
      <w:pPr>
        <w:pStyle w:val="GridTable21"/>
        <w:spacing w:before="240" w:after="240"/>
      </w:pPr>
      <w:r>
        <w:t xml:space="preserve">Fearon, James D., and David D. Laitin. 2003. “Ethnicity, Insurgency, and Civil War.” </w:t>
      </w:r>
      <w:r>
        <w:rPr>
          <w:i/>
          <w:iCs/>
        </w:rPr>
        <w:t>The American Political Science Review</w:t>
      </w:r>
      <w:r>
        <w:t xml:space="preserve"> 97 (1): 75–90.</w:t>
      </w:r>
    </w:p>
    <w:p w:rsidR="001630DC" w:rsidRDefault="001630DC" w:rsidP="00B11ABC">
      <w:pPr>
        <w:pStyle w:val="GridTable21"/>
        <w:spacing w:before="240" w:after="240"/>
      </w:pPr>
      <w:r>
        <w:t xml:space="preserve">Fearon, James D., and David D. Laitin. 1996. “Explaining Interethnic Cooperation.” </w:t>
      </w:r>
      <w:r>
        <w:rPr>
          <w:i/>
          <w:iCs/>
        </w:rPr>
        <w:t>The American Political Science Review</w:t>
      </w:r>
      <w:r>
        <w:t xml:space="preserve"> 90 (4): 715–35.</w:t>
      </w:r>
    </w:p>
    <w:p w:rsidR="001630DC" w:rsidRDefault="001630DC" w:rsidP="00B11ABC">
      <w:pPr>
        <w:pStyle w:val="GridTable21"/>
        <w:spacing w:before="240" w:after="240"/>
      </w:pPr>
      <w:r>
        <w:t xml:space="preserve">Fisher, Julie. 1998. </w:t>
      </w:r>
      <w:r w:rsidR="00862CCB">
        <w:rPr>
          <w:i/>
          <w:iCs/>
        </w:rPr>
        <w:t>Nongovernments</w:t>
      </w:r>
      <w:r w:rsidR="000E7929">
        <w:rPr>
          <w:i/>
          <w:iCs/>
        </w:rPr>
        <w:t xml:space="preserve">: </w:t>
      </w:r>
      <w:r>
        <w:rPr>
          <w:i/>
          <w:iCs/>
        </w:rPr>
        <w:t>NGOs and the Political Development of the Third World</w:t>
      </w:r>
      <w:r>
        <w:t>. West Hartford: Kumarian press.</w:t>
      </w:r>
    </w:p>
    <w:p w:rsidR="001630DC" w:rsidRDefault="001630DC" w:rsidP="00B11ABC">
      <w:pPr>
        <w:pStyle w:val="GridTable21"/>
        <w:spacing w:before="240" w:after="240"/>
      </w:pPr>
      <w:r>
        <w:t xml:space="preserve">Forje, John W. 2008. “Political Leadership, State-Civil Society Relations and the Search for Development Alternatives.” In </w:t>
      </w:r>
      <w:r>
        <w:rPr>
          <w:i/>
          <w:iCs/>
        </w:rPr>
        <w:t>Civil Society and the Search for Development Alternatives in Cameroon</w:t>
      </w:r>
      <w:r>
        <w:t>, edited by Emmanuel Yenshu Vubo, 191–205. Dakar: CODESRIA.</w:t>
      </w:r>
    </w:p>
    <w:p w:rsidR="001630DC" w:rsidRDefault="001630DC" w:rsidP="00B11ABC">
      <w:pPr>
        <w:pStyle w:val="GridTable21"/>
        <w:spacing w:before="240" w:after="240"/>
      </w:pPr>
      <w:r>
        <w:t xml:space="preserve">Frederickson, David G., and H. George Frederickson. 2006. </w:t>
      </w:r>
      <w:r>
        <w:rPr>
          <w:i/>
          <w:iCs/>
        </w:rPr>
        <w:t>Measuring the Performance of the Hollow State</w:t>
      </w:r>
      <w:r>
        <w:t>. Washington: Georgetown University Press.</w:t>
      </w:r>
    </w:p>
    <w:p w:rsidR="001630DC" w:rsidRDefault="001630DC" w:rsidP="00B11ABC">
      <w:pPr>
        <w:pStyle w:val="GridTable21"/>
        <w:spacing w:before="240" w:after="240"/>
      </w:pPr>
      <w:r>
        <w:t xml:space="preserve">Froelich, Karen A. 1999. “Diversification of Revenue Strategies: Evolving Resource Dependence in Nonprofit Organizations.” </w:t>
      </w:r>
      <w:r>
        <w:rPr>
          <w:i/>
          <w:iCs/>
        </w:rPr>
        <w:t>Nonprofit and Voluntary Sector Quarterly</w:t>
      </w:r>
      <w:r>
        <w:t xml:space="preserve"> 28 (3): 246–68.</w:t>
      </w:r>
    </w:p>
    <w:p w:rsidR="001630DC" w:rsidRDefault="001630DC" w:rsidP="00B11ABC">
      <w:pPr>
        <w:pStyle w:val="GridTable21"/>
        <w:spacing w:before="240" w:after="240"/>
      </w:pPr>
      <w:r>
        <w:t>Fruttero, Anna, and Varun Gauri. 2005. “The Strategic Choice</w:t>
      </w:r>
      <w:r w:rsidR="000E7929">
        <w:t xml:space="preserve">s of </w:t>
      </w:r>
      <w:r>
        <w:t xml:space="preserve">NGOs: Location Decisions in Rural Bangladesh.” </w:t>
      </w:r>
      <w:r>
        <w:rPr>
          <w:i/>
          <w:iCs/>
        </w:rPr>
        <w:t>The Journal of Development Studies</w:t>
      </w:r>
      <w:r>
        <w:t xml:space="preserve"> 41 (5): 759–87.</w:t>
      </w:r>
    </w:p>
    <w:p w:rsidR="001630DC" w:rsidRDefault="001630DC" w:rsidP="00B11ABC">
      <w:pPr>
        <w:pStyle w:val="GridTable21"/>
        <w:spacing w:before="240" w:after="240"/>
      </w:pPr>
      <w:r>
        <w:t>Galway, Lindsay P., Kitty K. Corbett, and Lei</w:t>
      </w:r>
      <w:r w:rsidR="00FD66DB">
        <w:t xml:space="preserve">lei Zeng. 2012. “Where Are the </w:t>
      </w:r>
      <w:r>
        <w:t>NGOs and Why? The Distribu</w:t>
      </w:r>
      <w:r w:rsidR="00FD66DB">
        <w:t xml:space="preserve">tion of Health and Development </w:t>
      </w:r>
      <w:r>
        <w:t xml:space="preserve">NGOs in Bolivia.” </w:t>
      </w:r>
      <w:r>
        <w:rPr>
          <w:i/>
          <w:iCs/>
        </w:rPr>
        <w:t>Globalization and Health</w:t>
      </w:r>
      <w:r>
        <w:t xml:space="preserve"> 8 (1): 38.</w:t>
      </w:r>
    </w:p>
    <w:p w:rsidR="001630DC" w:rsidRDefault="001630DC" w:rsidP="00B11ABC">
      <w:pPr>
        <w:pStyle w:val="GridTable21"/>
        <w:spacing w:before="240" w:after="240"/>
      </w:pPr>
      <w:r>
        <w:t xml:space="preserve">Garrow, Eve E. 2010. “Receipt of Government Revenue among Human Service Organizations.” </w:t>
      </w:r>
      <w:r>
        <w:rPr>
          <w:i/>
          <w:iCs/>
        </w:rPr>
        <w:t>Journal of Public Administration Research and Theory</w:t>
      </w:r>
      <w:r>
        <w:t xml:space="preserve"> 21 (3): 445–71.</w:t>
      </w:r>
    </w:p>
    <w:p w:rsidR="001630DC" w:rsidRDefault="001630DC" w:rsidP="00B11ABC">
      <w:pPr>
        <w:pStyle w:val="GridTable21"/>
        <w:spacing w:before="240" w:after="240"/>
      </w:pPr>
      <w:r>
        <w:t xml:space="preserve">Gazley, Beth. 2008. “Beyond the Contract: The Scope and Nature of Informal Government-Nonprofit Partnerships.” </w:t>
      </w:r>
      <w:r>
        <w:rPr>
          <w:i/>
          <w:iCs/>
        </w:rPr>
        <w:t>Public Administration Review</w:t>
      </w:r>
      <w:r>
        <w:t xml:space="preserve"> 68 (1): 141–54.</w:t>
      </w:r>
    </w:p>
    <w:p w:rsidR="001630DC" w:rsidRDefault="001630DC" w:rsidP="00B11ABC">
      <w:pPr>
        <w:pStyle w:val="GridTable21"/>
        <w:spacing w:before="240" w:after="240"/>
      </w:pPr>
      <w:r>
        <w:t xml:space="preserve">Gerdin, Martin, Patrice Chataigner, Leonie Tax, Anne Kubai, and Johan von Schreeb. 2014. “Does Need Matter? Needs Assessments and Decision-Making among Major Humanitarian Health Agencies.” </w:t>
      </w:r>
      <w:r>
        <w:rPr>
          <w:i/>
          <w:iCs/>
        </w:rPr>
        <w:t>Disasters</w:t>
      </w:r>
      <w:r>
        <w:t xml:space="preserve"> 38 (3): 451–64. doi:10.1111/disa.12065.</w:t>
      </w:r>
    </w:p>
    <w:p w:rsidR="001630DC" w:rsidRDefault="001630DC" w:rsidP="00B11ABC">
      <w:pPr>
        <w:pStyle w:val="GridTable21"/>
        <w:spacing w:before="240" w:after="240"/>
      </w:pPr>
      <w:r>
        <w:t xml:space="preserve">Ghoshal, Sumantra, and Christopher A. Bartlett. 1990. “The Multinational Corporation as an Interorganizational Network.” </w:t>
      </w:r>
      <w:r>
        <w:rPr>
          <w:i/>
          <w:iCs/>
        </w:rPr>
        <w:t>The Academy of Management Review</w:t>
      </w:r>
      <w:r w:rsidR="006816F9">
        <w:t xml:space="preserve"> 15 (4): 603</w:t>
      </w:r>
      <w:r>
        <w:t>.</w:t>
      </w:r>
    </w:p>
    <w:p w:rsidR="001630DC" w:rsidRDefault="001630DC" w:rsidP="00B11ABC">
      <w:pPr>
        <w:pStyle w:val="GridTable21"/>
        <w:spacing w:before="240" w:after="240"/>
      </w:pPr>
      <w:r>
        <w:t xml:space="preserve">Ghoshal, Sumantra, and Nitin Nohria. 1989. “Internal Differentiation within Multinational Corporations.” </w:t>
      </w:r>
      <w:r>
        <w:rPr>
          <w:i/>
          <w:iCs/>
        </w:rPr>
        <w:t>Strategic Management Journal</w:t>
      </w:r>
      <w:r>
        <w:t xml:space="preserve"> 10 (4): 323–37.</w:t>
      </w:r>
    </w:p>
    <w:p w:rsidR="001630DC" w:rsidRDefault="001630DC" w:rsidP="00B11ABC">
      <w:pPr>
        <w:pStyle w:val="GridTable21"/>
        <w:spacing w:before="240" w:after="240"/>
      </w:pPr>
      <w:r>
        <w:t xml:space="preserve">Gibelman, Margaret, and Sheldon R. Gelman. 2004. “A Loss of Credibility: Patterns of Wrongdoing Among </w:t>
      </w:r>
      <w:r w:rsidR="009944D4">
        <w:t>Nongovernmental</w:t>
      </w:r>
      <w:r>
        <w:t xml:space="preserve"> Organizations.” </w:t>
      </w:r>
      <w:r>
        <w:rPr>
          <w:i/>
          <w:iCs/>
        </w:rPr>
        <w:t>Voluntas: International Journal of Voluntary and Nonprofit Organizations</w:t>
      </w:r>
      <w:r>
        <w:t xml:space="preserve"> 15 (4): 355–81.</w:t>
      </w:r>
    </w:p>
    <w:p w:rsidR="001630DC" w:rsidRDefault="001630DC" w:rsidP="00B11ABC">
      <w:pPr>
        <w:pStyle w:val="GridTable21"/>
        <w:spacing w:before="240" w:after="240"/>
      </w:pPr>
      <w:r>
        <w:t xml:space="preserve">Green, Maia. 2012. “Anticipatory Development: Mobilizing Civil Society in Tanzania.” </w:t>
      </w:r>
      <w:r>
        <w:rPr>
          <w:i/>
          <w:iCs/>
        </w:rPr>
        <w:t>Critique of Anthropology</w:t>
      </w:r>
      <w:r>
        <w:t xml:space="preserve"> 32 (3): 309–33.</w:t>
      </w:r>
    </w:p>
    <w:p w:rsidR="006816F9" w:rsidRDefault="001630DC" w:rsidP="00B11ABC">
      <w:pPr>
        <w:pStyle w:val="GridTable21"/>
        <w:spacing w:before="240" w:after="240"/>
      </w:pPr>
      <w:r>
        <w:t xml:space="preserve">Gronbjerg, K. A., H. K. Liu, and T. H. Pollak. 2010. “Incorporated but Not IRS-Registered: Exploring the (Dark) Grey Fringes of the Nonprofit Universe.” </w:t>
      </w:r>
      <w:r>
        <w:rPr>
          <w:i/>
          <w:iCs/>
        </w:rPr>
        <w:t>Nonprofit and Voluntary Sector Quarterly</w:t>
      </w:r>
      <w:r>
        <w:t xml:space="preserve"> 39 (5): 925–45. </w:t>
      </w:r>
    </w:p>
    <w:p w:rsidR="001630DC" w:rsidRDefault="001630DC" w:rsidP="00B11ABC">
      <w:pPr>
        <w:pStyle w:val="GridTable21"/>
        <w:spacing w:before="240" w:after="240"/>
      </w:pPr>
      <w:r>
        <w:t xml:space="preserve">Gronbjerg, Kristen A. 2003a.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after="240"/>
      </w:pPr>
      <w:r>
        <w:t xml:space="preserve">———. 2003b. “Nonprofit Management Education: Taking Advantage of the Public Administration Setting.” </w:t>
      </w:r>
      <w:r>
        <w:rPr>
          <w:i/>
          <w:iCs/>
        </w:rPr>
        <w:t>Journal of Public Affairs</w:t>
      </w:r>
      <w:r>
        <w:t xml:space="preserve"> 9 (3): 165–68.</w:t>
      </w:r>
    </w:p>
    <w:p w:rsidR="001630DC" w:rsidRDefault="001630DC" w:rsidP="00B11ABC">
      <w:pPr>
        <w:pStyle w:val="GridTable21"/>
        <w:spacing w:before="240" w:after="240"/>
      </w:pPr>
      <w:r>
        <w:rPr>
          <w:i/>
          <w:iCs/>
        </w:rPr>
        <w:t>Guidestar-NCCS National Nonprofit Research Database</w:t>
      </w:r>
      <w:r>
        <w:t>. 2015. Washington: The Urban Institute. nccsweb.urban.org.</w:t>
      </w:r>
    </w:p>
    <w:p w:rsidR="001630DC" w:rsidRDefault="001630DC" w:rsidP="00B11ABC">
      <w:pPr>
        <w:pStyle w:val="GridTable21"/>
        <w:spacing w:before="240" w:after="240"/>
      </w:pPr>
      <w:r>
        <w:t xml:space="preserve">Guo, Chao. 2007. “When Government Becomes the Principal Philanthropist: The Effects of Public Funding on Patterns of Nonprofit Governance.” </w:t>
      </w:r>
      <w:r>
        <w:rPr>
          <w:i/>
          <w:iCs/>
        </w:rPr>
        <w:t>Public Administration Review</w:t>
      </w:r>
      <w:r>
        <w:t xml:space="preserve"> 67 (3): 458–73.</w:t>
      </w:r>
    </w:p>
    <w:p w:rsidR="001630DC" w:rsidRDefault="001630DC" w:rsidP="00B11ABC">
      <w:pPr>
        <w:pStyle w:val="GridTable21"/>
        <w:spacing w:before="240" w:after="240"/>
      </w:pPr>
      <w:r>
        <w:t xml:space="preserve">Gupta, Anil K., and Vijay Govindarajan. 2000. “Knowledge Flows Within Multinational Corporations.” </w:t>
      </w:r>
      <w:r>
        <w:rPr>
          <w:i/>
          <w:iCs/>
        </w:rPr>
        <w:t>Strategic Management Journal</w:t>
      </w:r>
      <w:r>
        <w:t xml:space="preserve"> 21: 473–96.</w:t>
      </w:r>
    </w:p>
    <w:p w:rsidR="001630DC" w:rsidRDefault="001630DC" w:rsidP="00B11ABC">
      <w:pPr>
        <w:pStyle w:val="GridTable21"/>
        <w:spacing w:before="240" w:after="240"/>
      </w:pPr>
      <w:r>
        <w:t xml:space="preserve">Habyarimana, James, Macartan Humphreys, Daniel N. Posner, and Jeremy M. Weinstein. 2007. “Why Does Ethnic Diversity Undermine Public Goods Provision?” </w:t>
      </w:r>
      <w:r>
        <w:rPr>
          <w:i/>
          <w:iCs/>
        </w:rPr>
        <w:t>American Political Science Review</w:t>
      </w:r>
      <w:r>
        <w:t xml:space="preserve"> 101 (04): 709–25.</w:t>
      </w:r>
    </w:p>
    <w:p w:rsidR="001630DC" w:rsidRDefault="001630DC" w:rsidP="00B11ABC">
      <w:pPr>
        <w:pStyle w:val="GridTable21"/>
        <w:spacing w:before="240" w:after="240"/>
      </w:pPr>
      <w:r>
        <w:t>Hailey, John, and Rick James. 2004. “‘Trees Die From the Top’:</w:t>
      </w:r>
      <w:r w:rsidR="000E7929">
        <w:t xml:space="preserve"> International Perspectives on </w:t>
      </w:r>
      <w:r>
        <w:t xml:space="preserve">NGO Leadership Development.” </w:t>
      </w:r>
      <w:r>
        <w:rPr>
          <w:i/>
          <w:iCs/>
        </w:rPr>
        <w:t>Voluntas: International Journal of Voluntary and Nonprofit Organizations</w:t>
      </w:r>
      <w:r>
        <w:t xml:space="preserve"> 15 (4): 343–53.</w:t>
      </w:r>
    </w:p>
    <w:p w:rsidR="001630DC" w:rsidRDefault="001630DC" w:rsidP="00B11ABC">
      <w:pPr>
        <w:pStyle w:val="GridTable21"/>
        <w:spacing w:before="240" w:after="240"/>
      </w:pPr>
      <w:r>
        <w:t xml:space="preserve">Hann, Chris. 1996. “Introduction: Political Society and Civil Anthropology.” In </w:t>
      </w:r>
      <w:r>
        <w:rPr>
          <w:i/>
          <w:iCs/>
        </w:rPr>
        <w:t>Civil Society: Challenging Western Models</w:t>
      </w:r>
      <w:r>
        <w:t>, edited by Chris Hann and Dunn, 1–26. London: Routledge.</w:t>
      </w:r>
    </w:p>
    <w:p w:rsidR="001630DC" w:rsidRDefault="001630DC" w:rsidP="00B11ABC">
      <w:pPr>
        <w:pStyle w:val="GridTable21"/>
        <w:spacing w:before="240" w:after="240"/>
      </w:pPr>
      <w:r>
        <w:t>Hearn, Julie. 2007</w:t>
      </w:r>
      <w:r w:rsidR="00FD66DB">
        <w:t xml:space="preserve">. “African </w:t>
      </w:r>
      <w:r>
        <w:t xml:space="preserve">NGOs: The New Compradors?” </w:t>
      </w:r>
      <w:r>
        <w:rPr>
          <w:i/>
          <w:iCs/>
        </w:rPr>
        <w:t>Development &amp; Change</w:t>
      </w:r>
      <w:r>
        <w:t xml:space="preserve"> 38 (6): 1095–1110.</w:t>
      </w:r>
    </w:p>
    <w:p w:rsidR="001630DC" w:rsidRDefault="001630DC" w:rsidP="00B11ABC">
      <w:pPr>
        <w:pStyle w:val="GridTable21"/>
        <w:spacing w:before="240" w:after="240"/>
      </w:pPr>
      <w:r>
        <w:t xml:space="preserve">Heinrich, Carolyn J., Laurence E. Jr. Lynn, and H. Brinton Milward. 2010. “A State of Agents? Sharpening the Debate and Evidence over the Extent and Impact of the Transformation of Governance.” </w:t>
      </w:r>
      <w:r>
        <w:rPr>
          <w:i/>
          <w:iCs/>
        </w:rPr>
        <w:t>Journal of Public Administration Research and Theory</w:t>
      </w:r>
      <w:r>
        <w:t xml:space="preserve"> 20 (Supplemental 1): i3–19.</w:t>
      </w:r>
    </w:p>
    <w:p w:rsidR="001630DC" w:rsidRDefault="001630DC" w:rsidP="00B11ABC">
      <w:pPr>
        <w:pStyle w:val="GridTable21"/>
        <w:spacing w:before="240" w:after="240"/>
      </w:pPr>
      <w:r>
        <w:t xml:space="preserve">Heinze, E.A. 2007. “The Rhetoric of Genocide in US Foreign Policy: Rwanda and Darfur Compared.” </w:t>
      </w:r>
      <w:r>
        <w:rPr>
          <w:i/>
          <w:iCs/>
        </w:rPr>
        <w:t>Political Science Quarterly</w:t>
      </w:r>
      <w:r>
        <w:t xml:space="preserve"> 122 (3): 359–83.</w:t>
      </w:r>
    </w:p>
    <w:p w:rsidR="001630DC" w:rsidRDefault="001630DC" w:rsidP="00B11ABC">
      <w:pPr>
        <w:pStyle w:val="GridTable21"/>
        <w:spacing w:before="240" w:after="240"/>
      </w:pPr>
      <w:r>
        <w:t xml:space="preserve">Herbst, Jeffery. 1990. “The Structural Adjustment of Politics in Africa.” </w:t>
      </w:r>
      <w:r>
        <w:rPr>
          <w:i/>
          <w:iCs/>
        </w:rPr>
        <w:t>World Development</w:t>
      </w:r>
      <w:r>
        <w:t xml:space="preserve"> 18 (7): 949–58.</w:t>
      </w:r>
    </w:p>
    <w:p w:rsidR="001630DC" w:rsidRDefault="001630DC" w:rsidP="00B11ABC">
      <w:pPr>
        <w:pStyle w:val="GridTable21"/>
        <w:spacing w:before="240" w:after="240"/>
      </w:pPr>
      <w:r>
        <w:t xml:space="preserve">Herbst, Jeffrey. 2000. </w:t>
      </w:r>
      <w:r>
        <w:rPr>
          <w:i/>
          <w:iCs/>
        </w:rPr>
        <w:t>States and Power in Africa: Comparative Lessons in Authority and Control</w:t>
      </w:r>
      <w:r>
        <w:t>. Princeton: Princeton University Press.</w:t>
      </w:r>
    </w:p>
    <w:p w:rsidR="001630DC" w:rsidRDefault="001630DC" w:rsidP="00B11ABC">
      <w:pPr>
        <w:pStyle w:val="GridTable21"/>
        <w:spacing w:before="240" w:after="240"/>
      </w:pPr>
      <w:r>
        <w:t xml:space="preserve">Herman, Robert D., and David O. Renz. 1999. “Theses on Nonprofit Organizational Effectiveness.” </w:t>
      </w:r>
      <w:r>
        <w:rPr>
          <w:i/>
          <w:iCs/>
        </w:rPr>
        <w:t>Nonprofit and Voluntary Sector Quarterly</w:t>
      </w:r>
      <w:r>
        <w:t xml:space="preserve"> 28 (2): 107–26.</w:t>
      </w:r>
    </w:p>
    <w:p w:rsidR="001630DC" w:rsidRDefault="001630DC" w:rsidP="00B11ABC">
      <w:pPr>
        <w:pStyle w:val="GridTable21"/>
        <w:spacing w:before="240" w:after="240"/>
      </w:pPr>
      <w:r>
        <w:t xml:space="preserve">Hertzke, Allen. 2004. </w:t>
      </w:r>
      <w:r>
        <w:rPr>
          <w:i/>
          <w:iCs/>
        </w:rPr>
        <w:t>Freeing God’s Children: The Unlikely Alliance for Global Human Rights</w:t>
      </w:r>
      <w:r>
        <w:t>. New York: Rowman &amp; Littlefield Publishers Inc.</w:t>
      </w:r>
    </w:p>
    <w:p w:rsidR="001630DC" w:rsidRDefault="001630DC" w:rsidP="00B11ABC">
      <w:pPr>
        <w:pStyle w:val="GridTable21"/>
        <w:spacing w:before="240" w:after="240"/>
      </w:pPr>
      <w:r>
        <w:t xml:space="preserve">Hicklin, Alisa, and Erik Godwin. 2009. “Agents of Change: The Role of Public Managers in Public Policy.” </w:t>
      </w:r>
      <w:r>
        <w:rPr>
          <w:i/>
          <w:iCs/>
        </w:rPr>
        <w:t>The Policy Studies Journal</w:t>
      </w:r>
      <w:r>
        <w:t xml:space="preserve"> 37 (1): 13–20.</w:t>
      </w:r>
    </w:p>
    <w:p w:rsidR="001630DC" w:rsidRDefault="001630DC" w:rsidP="00B11ABC">
      <w:pPr>
        <w:pStyle w:val="GridTable21"/>
        <w:spacing w:before="240" w:after="240"/>
      </w:pPr>
      <w:r>
        <w:t xml:space="preserve">Hudson, Bryant A., and Wolfgang Bielefeld. 1997. “Structures of Multinational Nonprofit Organizations.” </w:t>
      </w:r>
      <w:r>
        <w:rPr>
          <w:i/>
          <w:iCs/>
        </w:rPr>
        <w:t>Nonprofit Management and Leadership</w:t>
      </w:r>
      <w:r>
        <w:t xml:space="preserve"> 8 (1): 31–49.</w:t>
      </w:r>
    </w:p>
    <w:p w:rsidR="001630DC" w:rsidRDefault="001630DC" w:rsidP="00B11ABC">
      <w:pPr>
        <w:pStyle w:val="GridTable21"/>
        <w:spacing w:before="240" w:after="240"/>
      </w:pPr>
      <w:r>
        <w:t>Humanitarian Outcomes. 2015. “Aid Worker Security Database.” https://aidworkersecurity.org/incidents/report/summary.</w:t>
      </w:r>
    </w:p>
    <w:p w:rsidR="001630DC" w:rsidRDefault="001630DC" w:rsidP="00B11ABC">
      <w:pPr>
        <w:pStyle w:val="GridTable21"/>
        <w:spacing w:before="240" w:after="240"/>
      </w:pPr>
      <w:r>
        <w:t xml:space="preserve">Hyden, Goran. 2000. “The Governance Challenge in Africa.” In </w:t>
      </w:r>
      <w:r>
        <w:rPr>
          <w:i/>
          <w:iCs/>
        </w:rPr>
        <w:t>African Perspectives on Governance</w:t>
      </w:r>
      <w:r>
        <w:t>, edited by Goran Hyden, Hastings W.O. Okoth-Ogendo, and Bamidele Olowu, 1–32. Trenton: Africa World Press, Inc.</w:t>
      </w:r>
    </w:p>
    <w:p w:rsidR="001630DC" w:rsidRDefault="001630DC" w:rsidP="00B11ABC">
      <w:pPr>
        <w:pStyle w:val="GridTable21"/>
        <w:spacing w:before="240" w:after="240"/>
      </w:pPr>
      <w:r>
        <w:t>ICNL. 2015. “Country Reports: Sub-Saharan Africa.” http://www.icnl.org/research.</w:t>
      </w:r>
    </w:p>
    <w:p w:rsidR="001630DC" w:rsidRDefault="001630DC" w:rsidP="00B11ABC">
      <w:pPr>
        <w:pStyle w:val="GridTable21"/>
        <w:spacing w:before="240" w:after="240"/>
      </w:pPr>
      <w:r>
        <w:t xml:space="preserve">———. </w:t>
      </w:r>
      <w:r w:rsidR="000E7929">
        <w:t>2016. “</w:t>
      </w:r>
      <w:r>
        <w:t>NGO Law Monitor: Uganda.” The International Center for Not-for-Profit Law. http://www.icnl.org/research/monitor/uganda.html.</w:t>
      </w:r>
    </w:p>
    <w:p w:rsidR="001630DC" w:rsidRDefault="001630DC" w:rsidP="00B11ABC">
      <w:pPr>
        <w:pStyle w:val="GridTable21"/>
        <w:spacing w:before="240" w:after="240"/>
      </w:pPr>
      <w:r>
        <w:t xml:space="preserve">Igoe, Jim, and Tim Kelsall. 2005. “Introduction: Between a Rock and a Hard Place.” In </w:t>
      </w:r>
      <w:r>
        <w:rPr>
          <w:i/>
          <w:iCs/>
        </w:rPr>
        <w:t>Between a Rock and a Hard Place: Afri</w:t>
      </w:r>
      <w:r w:rsidR="000E7929">
        <w:rPr>
          <w:i/>
          <w:iCs/>
        </w:rPr>
        <w:t xml:space="preserve">can </w:t>
      </w:r>
      <w:r>
        <w:rPr>
          <w:i/>
          <w:iCs/>
        </w:rPr>
        <w:t>NGOs, Donors, and the State</w:t>
      </w:r>
      <w:r>
        <w:t>, edited by Jim Igoe and Tim Kelsall, 1–33. Durham: Carolina Academic Press.</w:t>
      </w:r>
    </w:p>
    <w:p w:rsidR="001630DC" w:rsidRDefault="001630DC" w:rsidP="00B11ABC">
      <w:pPr>
        <w:pStyle w:val="GridTable21"/>
        <w:spacing w:before="240" w:after="240"/>
      </w:pPr>
      <w:r>
        <w:t xml:space="preserve">Inglehart, Ronald. 1997. </w:t>
      </w:r>
      <w:r>
        <w:rPr>
          <w:i/>
          <w:iCs/>
        </w:rPr>
        <w:t>Modernization and Postmodernization: Cultural, Economic, and Political Change in 43 Societies</w:t>
      </w:r>
      <w:r>
        <w:t>. Princeton, NJ: Princeton University Press.</w:t>
      </w:r>
    </w:p>
    <w:p w:rsidR="001630DC" w:rsidRDefault="001630DC" w:rsidP="00B11ABC">
      <w:pPr>
        <w:pStyle w:val="GridTable21"/>
        <w:spacing w:before="240" w:after="240"/>
      </w:pPr>
      <w:r>
        <w:t xml:space="preserve">Inglehart, Ronald, and Christian Welzel. 2005. </w:t>
      </w:r>
      <w:r>
        <w:rPr>
          <w:i/>
          <w:iCs/>
        </w:rPr>
        <w:t>Modernization, Cultural Change and Democracy: The Human Development Sequence</w:t>
      </w:r>
      <w:r>
        <w:t>. Cambridge: Cambridge University Press.</w:t>
      </w:r>
    </w:p>
    <w:p w:rsidR="001630DC" w:rsidRDefault="001630DC" w:rsidP="00B11ABC">
      <w:pPr>
        <w:pStyle w:val="GridTable21"/>
        <w:spacing w:before="240" w:after="240"/>
      </w:pPr>
      <w:r>
        <w:t>Internal Revenue Service. 2015. “Publication 557: Tax-Exempt Status for Your Organization.” Internal Revenue Service. https://www.irs.gov/pub/irs-pdf/p557.pdf.</w:t>
      </w:r>
    </w:p>
    <w:p w:rsidR="001630DC" w:rsidRDefault="001630DC" w:rsidP="00B11ABC">
      <w:pPr>
        <w:pStyle w:val="GridTable21"/>
        <w:spacing w:before="240" w:after="240"/>
      </w:pPr>
      <w:r>
        <w:t xml:space="preserve">Jackson, Terrence. 2009. “A Critical Cross-Cultural Perspective for Developing Nonprofit International Management Capacity.” </w:t>
      </w:r>
      <w:r>
        <w:rPr>
          <w:i/>
          <w:iCs/>
        </w:rPr>
        <w:t>Nonprofit Management &amp; Leadership</w:t>
      </w:r>
      <w:r>
        <w:t xml:space="preserve"> 19 (4): 443–66.</w:t>
      </w:r>
    </w:p>
    <w:p w:rsidR="001630DC" w:rsidRDefault="001630DC" w:rsidP="00B11ABC">
      <w:pPr>
        <w:pStyle w:val="GridTable21"/>
        <w:spacing w:before="240" w:after="240"/>
      </w:pPr>
      <w:r>
        <w:t>Jackson, Terrence, and Richard Haines. 2007. “Cross-Cultur</w:t>
      </w:r>
      <w:r w:rsidR="000E7929">
        <w:t xml:space="preserve">al Management in South African </w:t>
      </w:r>
      <w:r>
        <w:t xml:space="preserve">NGOs.” </w:t>
      </w:r>
      <w:r>
        <w:rPr>
          <w:i/>
          <w:iCs/>
        </w:rPr>
        <w:t>South African Review of Sociology</w:t>
      </w:r>
      <w:r>
        <w:t xml:space="preserve"> 38 (1): 85–98.</w:t>
      </w:r>
    </w:p>
    <w:p w:rsidR="001630DC" w:rsidRDefault="001630DC" w:rsidP="00B11ABC">
      <w:pPr>
        <w:pStyle w:val="GridTable21"/>
        <w:spacing w:before="240" w:after="240"/>
      </w:pPr>
      <w:r>
        <w:t>Jaggers, Keith, Monty Marshall, and Ted Robert Gurr. 2013. “Polity IV.” Center for Systemic Peace. http://www.systemicpeace.org/polity/polity4.htm.</w:t>
      </w:r>
    </w:p>
    <w:p w:rsidR="001630DC" w:rsidRDefault="001630DC" w:rsidP="00B11ABC">
      <w:pPr>
        <w:pStyle w:val="GridTable21"/>
        <w:spacing w:before="240" w:after="240"/>
      </w:pPr>
      <w:r>
        <w:t xml:space="preserve">James, Estelle. 1989. “The Nonprofit Sector in Developing Countries: The Case of Sri Lanka.” In </w:t>
      </w:r>
      <w:r>
        <w:rPr>
          <w:i/>
          <w:iCs/>
        </w:rPr>
        <w:t>The Nonprofit Sector in International Perspective: Studies in Comparative Culture and Policy</w:t>
      </w:r>
      <w:r>
        <w:t>, edited by Estelle James, 289–318. New York: Oxford University Press.</w:t>
      </w:r>
    </w:p>
    <w:p w:rsidR="001630DC" w:rsidRDefault="001630DC" w:rsidP="00B11ABC">
      <w:pPr>
        <w:pStyle w:val="GridTable21"/>
        <w:spacing w:before="240" w:after="240"/>
      </w:pPr>
      <w:r>
        <w:t xml:space="preserve">James, Rick. 2008. “Leadership Development Inside-Out in Africa.” </w:t>
      </w:r>
      <w:r>
        <w:rPr>
          <w:i/>
          <w:iCs/>
        </w:rPr>
        <w:t>Nonprofit Management &amp; Leadership</w:t>
      </w:r>
      <w:r>
        <w:t xml:space="preserve"> 18 (3): 359–75.</w:t>
      </w:r>
    </w:p>
    <w:p w:rsidR="001630DC" w:rsidRDefault="001630DC" w:rsidP="00B11ABC">
      <w:pPr>
        <w:pStyle w:val="GridTable21"/>
        <w:spacing w:before="240" w:after="240"/>
      </w:pPr>
      <w:r>
        <w:t xml:space="preserve">Jenkins-Smith, Hank C., and Paul A. Sabatier. 1993. “The Study of the Public Policy Process.” In </w:t>
      </w:r>
      <w:r>
        <w:rPr>
          <w:i/>
          <w:iCs/>
        </w:rPr>
        <w:t>Policy Change and Learning: An Advocacy Coalition Approach</w:t>
      </w:r>
      <w:r>
        <w:t>, edited by Paul A. Sabatier and Hank C. Jenkins-Smith, 1–9. Boulder: Westview Press.</w:t>
      </w:r>
    </w:p>
    <w:p w:rsidR="001630DC" w:rsidRDefault="001630DC" w:rsidP="00B11ABC">
      <w:pPr>
        <w:pStyle w:val="GridTable21"/>
        <w:spacing w:before="240" w:after="240"/>
      </w:pPr>
      <w:r>
        <w:t xml:space="preserve">Jones, Bryan D. 2001. </w:t>
      </w:r>
      <w:r>
        <w:rPr>
          <w:i/>
          <w:iCs/>
        </w:rPr>
        <w:t>Politics and the Architecture of Choice: Bounded Rationality and Governance</w:t>
      </w:r>
      <w:r>
        <w:t>. Chicago: The University of Chicago Press.</w:t>
      </w:r>
    </w:p>
    <w:p w:rsidR="001630DC" w:rsidRDefault="001630DC" w:rsidP="00B11ABC">
      <w:pPr>
        <w:pStyle w:val="GridTable21"/>
        <w:spacing w:before="240" w:after="240"/>
      </w:pPr>
      <w:r>
        <w:t xml:space="preserve">Juma, Calestous, and Norman Clark. 1995. “Policy Research in Sub-Saharan Africa: An Exploration.” </w:t>
      </w:r>
      <w:r>
        <w:rPr>
          <w:i/>
          <w:iCs/>
        </w:rPr>
        <w:t>Public Administration and Development</w:t>
      </w:r>
      <w:r>
        <w:t xml:space="preserve"> 15: 121–37.</w:t>
      </w:r>
    </w:p>
    <w:p w:rsidR="001630DC" w:rsidRDefault="001630DC" w:rsidP="00B11ABC">
      <w:pPr>
        <w:pStyle w:val="GridTable21"/>
        <w:spacing w:before="240" w:after="240"/>
      </w:pPr>
      <w:r>
        <w:t>Kamruzzaman, Palash. 2013. “Civil Society or ‘Comprador Clas</w:t>
      </w:r>
      <w:r w:rsidR="00FD66DB">
        <w:t>s’, Participation or Parroting?</w:t>
      </w:r>
      <w:r>
        <w:t xml:space="preserve">” </w:t>
      </w:r>
      <w:r>
        <w:rPr>
          <w:i/>
          <w:iCs/>
        </w:rPr>
        <w:t>Progress in Development Studies</w:t>
      </w:r>
      <w:r>
        <w:t xml:space="preserve"> 13 (1): 31–49.</w:t>
      </w:r>
    </w:p>
    <w:p w:rsidR="001630DC" w:rsidRDefault="001630DC" w:rsidP="00B11ABC">
      <w:pPr>
        <w:pStyle w:val="GridTable21"/>
        <w:spacing w:before="240" w:after="240"/>
      </w:pPr>
      <w:r>
        <w:t xml:space="preserve">Kasara, Kimuli. 2007. “Tax Me If You Can: Ethnic Geography, Democracy, and the Taxation of Agriculture in Africa.” </w:t>
      </w:r>
      <w:r>
        <w:rPr>
          <w:i/>
          <w:iCs/>
        </w:rPr>
        <w:t>American Political Science Review</w:t>
      </w:r>
      <w:r>
        <w:t xml:space="preserve"> 101 (1): 159–72.</w:t>
      </w:r>
    </w:p>
    <w:p w:rsidR="001630DC" w:rsidRDefault="001630DC" w:rsidP="00B11ABC">
      <w:pPr>
        <w:pStyle w:val="GridTable21"/>
        <w:spacing w:before="240" w:after="240"/>
      </w:pPr>
      <w:r>
        <w:t xml:space="preserve">Keck, Margaret E., and Kathryn Sikkink. 1998. </w:t>
      </w:r>
      <w:r>
        <w:rPr>
          <w:i/>
          <w:iCs/>
        </w:rPr>
        <w:t>Activists Beyond Borders: Advocacy Networks in International Politics</w:t>
      </w:r>
      <w:r>
        <w:t>. Ithaca: Cornell University Press.</w:t>
      </w:r>
    </w:p>
    <w:p w:rsidR="001630DC" w:rsidRDefault="001630DC" w:rsidP="00B11ABC">
      <w:pPr>
        <w:pStyle w:val="GridTable21"/>
        <w:spacing w:before="240" w:after="240"/>
      </w:pPr>
      <w:r>
        <w:t>Kerlin, Janelle A. 2</w:t>
      </w:r>
      <w:r w:rsidR="000E7929">
        <w:t xml:space="preserve">006. “U.S.-Based International </w:t>
      </w:r>
      <w:r>
        <w:t xml:space="preserve">NGOs and Federal Government Foreign Assistance: Out of Alignment?” In </w:t>
      </w:r>
      <w:r>
        <w:rPr>
          <w:i/>
          <w:iCs/>
        </w:rPr>
        <w:t>Nonprofits &amp; Government: Collaboration &amp; Conflict</w:t>
      </w:r>
      <w:r>
        <w:t>, edited by Elizabeth T. Boris and C. Eugene Steuerie, 2nd ed., 373–98. Washington: The Urban Institute Press.</w:t>
      </w:r>
    </w:p>
    <w:p w:rsidR="001630DC" w:rsidRDefault="001630DC" w:rsidP="00B11ABC">
      <w:pPr>
        <w:pStyle w:val="GridTable21"/>
        <w:spacing w:before="240" w:after="240"/>
      </w:pPr>
      <w:r>
        <w:t xml:space="preserve">———. 2013. “Predicting Variation in Funding for International </w:t>
      </w:r>
      <w:r w:rsidR="009944D4">
        <w:t>Nongovernmental</w:t>
      </w:r>
      <w:r>
        <w:t xml:space="preserve"> Organizations Following Three External Events.” </w:t>
      </w:r>
      <w:r>
        <w:rPr>
          <w:i/>
          <w:iCs/>
        </w:rPr>
        <w:t>Nonprofit Management and Leadership</w:t>
      </w:r>
      <w:r>
        <w:t xml:space="preserve"> 23 (4): 473–90. doi:10.1002/nml.21075.</w:t>
      </w:r>
    </w:p>
    <w:p w:rsidR="001630DC" w:rsidRDefault="001630DC" w:rsidP="00B11ABC">
      <w:pPr>
        <w:pStyle w:val="GridTable21"/>
        <w:spacing w:before="240" w:after="240"/>
      </w:pPr>
      <w:r>
        <w:t xml:space="preserve">Khilnani, Sunil. 2001. “The Development of Civil Society.” In </w:t>
      </w:r>
      <w:r>
        <w:rPr>
          <w:i/>
          <w:iCs/>
        </w:rPr>
        <w:t>Civil Society: History and Possibilities</w:t>
      </w:r>
      <w:r>
        <w:t>, edited by Sudipta Kaviraj and Sunil Khilnani, 11–32. Cambridge: Cambridge University Press.</w:t>
      </w:r>
    </w:p>
    <w:p w:rsidR="001630DC" w:rsidRDefault="001630DC" w:rsidP="00B11ABC">
      <w:pPr>
        <w:pStyle w:val="GridTable21"/>
        <w:spacing w:before="240" w:after="240"/>
      </w:pPr>
      <w:r>
        <w:t xml:space="preserve">Kirk, G., and S. Beth Nolan. 2010. “Nonprofit Mission Statement Focus and Financial Performance.” </w:t>
      </w:r>
      <w:r>
        <w:rPr>
          <w:i/>
          <w:iCs/>
        </w:rPr>
        <w:t>Nonprofit Management &amp; Leadership</w:t>
      </w:r>
      <w:r>
        <w:t xml:space="preserve"> 20 (4): 473–90.</w:t>
      </w:r>
    </w:p>
    <w:p w:rsidR="001630DC" w:rsidRDefault="001630DC" w:rsidP="00B11ABC">
      <w:pPr>
        <w:pStyle w:val="GridTable21"/>
        <w:spacing w:before="240" w:after="240"/>
      </w:pPr>
      <w:r>
        <w:t xml:space="preserve">Koch, Dirk-Jan, Axel Dreher, Peter Nunnenkamp, and Rainer Thiele. 2009. “Keeping a Low Profile: What Determines the Allocation of Aid by Non-Governmental Organizations?” </w:t>
      </w:r>
      <w:r>
        <w:rPr>
          <w:i/>
          <w:iCs/>
        </w:rPr>
        <w:t>World Development</w:t>
      </w:r>
      <w:r>
        <w:t xml:space="preserve"> 37 (5): 902–18.</w:t>
      </w:r>
    </w:p>
    <w:p w:rsidR="001630DC" w:rsidRDefault="001630DC" w:rsidP="00B11ABC">
      <w:pPr>
        <w:pStyle w:val="GridTable21"/>
        <w:spacing w:before="240" w:after="240"/>
      </w:pPr>
      <w:r>
        <w:t xml:space="preserve">Lawrence, Paul R., and Davis Dyer. 1983. </w:t>
      </w:r>
      <w:r>
        <w:rPr>
          <w:i/>
          <w:iCs/>
        </w:rPr>
        <w:t>Renewing American Industry</w:t>
      </w:r>
      <w:r>
        <w:t>. London: Collier Macmillan Publishers.</w:t>
      </w:r>
    </w:p>
    <w:p w:rsidR="001630DC" w:rsidRDefault="001630DC" w:rsidP="00B11ABC">
      <w:pPr>
        <w:pStyle w:val="GridTable21"/>
        <w:spacing w:before="240" w:after="240"/>
      </w:pPr>
      <w:r>
        <w:t xml:space="preserve">Lawrence, Paul R., and Jay W. Lorsch. 1967. “Differentiation and Integration in Complex Organizations.” </w:t>
      </w:r>
      <w:r>
        <w:rPr>
          <w:i/>
          <w:iCs/>
        </w:rPr>
        <w:t>Administrative Science Quarterly</w:t>
      </w:r>
      <w:r>
        <w:t xml:space="preserve"> 12 (1): 1..</w:t>
      </w:r>
    </w:p>
    <w:p w:rsidR="001630DC" w:rsidRDefault="001630DC" w:rsidP="00B11ABC">
      <w:pPr>
        <w:pStyle w:val="GridTable21"/>
        <w:spacing w:before="240" w:after="240"/>
      </w:pPr>
      <w:r>
        <w:t xml:space="preserve">Lecy, Jesse D., and David M. Van Slyke. 2012. “Nonprofit Sector Growth and Density: Testing Theories of Government Support.” </w:t>
      </w:r>
      <w:r>
        <w:rPr>
          <w:i/>
          <w:iCs/>
        </w:rPr>
        <w:t>Journal of Public Administration Research and Theory</w:t>
      </w:r>
      <w:r>
        <w:t xml:space="preserve"> 23: 189–214. </w:t>
      </w:r>
    </w:p>
    <w:p w:rsidR="001630DC" w:rsidRDefault="001630DC" w:rsidP="00B11ABC">
      <w:pPr>
        <w:pStyle w:val="GridTable21"/>
        <w:spacing w:before="240" w:after="240"/>
      </w:pPr>
      <w:r>
        <w:t xml:space="preserve">Leonard, David K., and Scott Straus. 2003. </w:t>
      </w:r>
      <w:r>
        <w:rPr>
          <w:i/>
          <w:iCs/>
        </w:rPr>
        <w:t>Africa’s Stalled Development: International Causes and Cures</w:t>
      </w:r>
      <w:r>
        <w:t>. Boulder: Lynne Rienner Publishers.</w:t>
      </w:r>
    </w:p>
    <w:p w:rsidR="001630DC" w:rsidRDefault="001630DC" w:rsidP="00B11ABC">
      <w:pPr>
        <w:pStyle w:val="GridTable21"/>
        <w:spacing w:before="240" w:after="240"/>
      </w:pPr>
      <w:r>
        <w:t xml:space="preserve">LeRoux, Kelly, and N.S. Wright. 2010. “Findings from a National Survey of Nonprofit Social Service Agencies, Does Performance Measurement Improve Strategic Decision Making?” </w:t>
      </w:r>
      <w:r>
        <w:rPr>
          <w:i/>
          <w:iCs/>
        </w:rPr>
        <w:t>Nonprofit and Voluntary Sector Quarterly</w:t>
      </w:r>
      <w:r>
        <w:t xml:space="preserve"> 39 (4): 571–87.</w:t>
      </w:r>
    </w:p>
    <w:p w:rsidR="001630DC" w:rsidRDefault="001630DC" w:rsidP="00B11ABC">
      <w:pPr>
        <w:pStyle w:val="GridTable21"/>
        <w:spacing w:before="240" w:after="240"/>
      </w:pPr>
      <w:r>
        <w:t xml:space="preserve">Lewis, David. 2002. “Civil Society in African Contexts: Reflections on the ‘Usefulness’ of a Concept.” </w:t>
      </w:r>
      <w:r>
        <w:rPr>
          <w:i/>
          <w:iCs/>
        </w:rPr>
        <w:t>Development and Change</w:t>
      </w:r>
      <w:r>
        <w:t xml:space="preserve"> 33 (4): 569–86.</w:t>
      </w:r>
    </w:p>
    <w:p w:rsidR="001630DC" w:rsidRDefault="001630DC" w:rsidP="00B11ABC">
      <w:pPr>
        <w:pStyle w:val="GridTable21"/>
        <w:spacing w:before="240" w:after="240"/>
      </w:pPr>
      <w:r>
        <w:t xml:space="preserve">Lieberman, Evan S. 2009. </w:t>
      </w:r>
      <w:r>
        <w:rPr>
          <w:i/>
          <w:iCs/>
        </w:rPr>
        <w:t>Boundaries of Contagion: How Ethnic Politics Have Shaped Government Responses to AIDS</w:t>
      </w:r>
      <w:r>
        <w:t>. Princeton: Princeton University Press.</w:t>
      </w:r>
    </w:p>
    <w:p w:rsidR="001630DC" w:rsidRDefault="001630DC" w:rsidP="00B11ABC">
      <w:pPr>
        <w:pStyle w:val="GridTable21"/>
        <w:spacing w:before="240" w:after="240"/>
      </w:pPr>
      <w:r>
        <w:t xml:space="preserve">Lindblom, Charles E. 1959. “The Science of ‘Muddling Through.’” </w:t>
      </w:r>
      <w:r>
        <w:rPr>
          <w:i/>
          <w:iCs/>
        </w:rPr>
        <w:t>Public Administration Review</w:t>
      </w:r>
      <w:r>
        <w:t xml:space="preserve"> 19 (2): 79–88.</w:t>
      </w:r>
    </w:p>
    <w:p w:rsidR="001630DC" w:rsidRDefault="001630DC" w:rsidP="00B11ABC">
      <w:pPr>
        <w:pStyle w:val="GridTable21"/>
        <w:spacing w:before="240" w:after="240"/>
      </w:pPr>
      <w:r>
        <w:t>Lindenberg, Marc, and J. Patrick Dobel. 1999. “The Challenges of Globalization for Northern Intern</w:t>
      </w:r>
      <w:r w:rsidR="00115B2B">
        <w:t xml:space="preserve">ational Relief and Development </w:t>
      </w:r>
      <w:r>
        <w:t xml:space="preserve">NGOs.” </w:t>
      </w:r>
      <w:r>
        <w:rPr>
          <w:i/>
          <w:iCs/>
        </w:rPr>
        <w:t>Nonprofit and Voluntary Sector Quarterly</w:t>
      </w:r>
      <w:r>
        <w:t xml:space="preserve"> 28 (4): 4–24.</w:t>
      </w:r>
    </w:p>
    <w:p w:rsidR="001630DC" w:rsidRDefault="001630DC" w:rsidP="00B11ABC">
      <w:pPr>
        <w:pStyle w:val="GridTable21"/>
        <w:spacing w:before="240" w:after="240"/>
      </w:pPr>
      <w:r>
        <w:t xml:space="preserve">Lipsky, Michael. 1980. </w:t>
      </w:r>
      <w:r>
        <w:rPr>
          <w:i/>
          <w:iCs/>
        </w:rPr>
        <w:t>Street-Level Bureaucracy: Dilemmas of the Individual in Public Services</w:t>
      </w:r>
      <w:r>
        <w:t>. New York: Russell Sage Foundation.</w:t>
      </w:r>
    </w:p>
    <w:p w:rsidR="001630DC" w:rsidRDefault="001630DC" w:rsidP="00B11ABC">
      <w:pPr>
        <w:pStyle w:val="GridTable21"/>
        <w:spacing w:before="240" w:after="240"/>
      </w:pPr>
      <w:r>
        <w:t>Lussier, Danielle N., and M. Steven Fish. 2012. “Indonesia: The Benefits of Civic Engagement.”</w:t>
      </w:r>
    </w:p>
    <w:p w:rsidR="001630DC" w:rsidRDefault="001630DC" w:rsidP="00B11ABC">
      <w:pPr>
        <w:pStyle w:val="GridTable21"/>
        <w:spacing w:before="240" w:after="240"/>
      </w:pPr>
      <w:r>
        <w:t xml:space="preserve">Lynn, Laurence E. Jr., Carolyn J. Heinrich, and Carolyn J. Hill. 2001. “A Logic for Governance Research.” In </w:t>
      </w:r>
      <w:r>
        <w:rPr>
          <w:i/>
          <w:iCs/>
        </w:rPr>
        <w:t>Improving Governance:  A New Logic for Empirical Research</w:t>
      </w:r>
      <w:r>
        <w:t>. Washington: Georgetown University Press.</w:t>
      </w:r>
    </w:p>
    <w:p w:rsidR="001630DC" w:rsidRDefault="001630DC" w:rsidP="00B11ABC">
      <w:pPr>
        <w:pStyle w:val="GridTable21"/>
        <w:spacing w:before="240" w:after="240"/>
      </w:pPr>
      <w:r>
        <w:t>Ma</w:t>
      </w:r>
      <w:r w:rsidR="00115B2B">
        <w:t>rcussen, Henrik Secher. 1996. “</w:t>
      </w:r>
      <w:r>
        <w:t xml:space="preserve">NGOs, the State and Civil Society.” </w:t>
      </w:r>
      <w:r>
        <w:rPr>
          <w:i/>
          <w:iCs/>
        </w:rPr>
        <w:t>Review of African Political Economy</w:t>
      </w:r>
      <w:r>
        <w:t xml:space="preserve"> 23 (69): 405–23.</w:t>
      </w:r>
    </w:p>
    <w:p w:rsidR="001630DC" w:rsidRDefault="001630DC" w:rsidP="00B11ABC">
      <w:pPr>
        <w:pStyle w:val="GridTable21"/>
        <w:spacing w:before="240" w:after="240"/>
      </w:pPr>
      <w:r>
        <w:t xml:space="preserve">Markham, William T., Margaret A. Johnson, and Charles M. Bonjean. 1999. “Nonprofit Decision Making and Resource Allocation: The Importance of Membership Preferences, Community Needs, and Interorganizational Ties.” </w:t>
      </w:r>
      <w:r>
        <w:rPr>
          <w:i/>
          <w:iCs/>
        </w:rPr>
        <w:t>Nonprofit and Voluntary Sector Quarterly</w:t>
      </w:r>
      <w:r>
        <w:t xml:space="preserve"> 28 (2): 152–84.</w:t>
      </w:r>
    </w:p>
    <w:p w:rsidR="001630DC" w:rsidRDefault="001630DC" w:rsidP="00B11ABC">
      <w:pPr>
        <w:pStyle w:val="GridTable21"/>
        <w:spacing w:before="240" w:after="240"/>
      </w:pPr>
      <w:r>
        <w:t xml:space="preserve">Marwell, N. P. 2005. “The Nonprofit/For-Profit Continuum: Theorizing the Dynamics of Mixed-Form Markets.” </w:t>
      </w:r>
      <w:r>
        <w:rPr>
          <w:i/>
          <w:iCs/>
        </w:rPr>
        <w:t>Nonprofit and Voluntary Sector Quarterly</w:t>
      </w:r>
      <w:r>
        <w:t xml:space="preserve"> 34 (1): 7–28. </w:t>
      </w:r>
    </w:p>
    <w:p w:rsidR="001630DC" w:rsidRDefault="001630DC" w:rsidP="00B11ABC">
      <w:pPr>
        <w:pStyle w:val="GridTable21"/>
        <w:spacing w:before="240" w:after="240"/>
      </w:pPr>
      <w:r>
        <w:t xml:space="preserve">McCleary, Rachel M., and Robert J. Barro. 2008. “Private Voluntary Organizations Engaged in International Assistance, 1939-2004.” </w:t>
      </w:r>
      <w:r>
        <w:rPr>
          <w:i/>
          <w:iCs/>
        </w:rPr>
        <w:t>Nonprofit and Voluntary Sector Quarterly</w:t>
      </w:r>
      <w:r>
        <w:t xml:space="preserve"> 37 (3): 512–36.</w:t>
      </w:r>
    </w:p>
    <w:p w:rsidR="001630DC" w:rsidRDefault="001630DC" w:rsidP="00B11ABC">
      <w:pPr>
        <w:pStyle w:val="GridTable21"/>
        <w:spacing w:before="240" w:after="240"/>
      </w:pPr>
      <w:r>
        <w:t xml:space="preserve">McDougle, Lindsey. 2015. “The Accuracy of the Core Files for Studying Nonprofit Location: How Many Nonprofits Are There?” </w:t>
      </w:r>
      <w:r>
        <w:rPr>
          <w:i/>
          <w:iCs/>
        </w:rPr>
        <w:t>Nonprofit and Voluntary Sector Quarterly</w:t>
      </w:r>
      <w:r>
        <w:t xml:space="preserve"> 44 (3).</w:t>
      </w:r>
    </w:p>
    <w:p w:rsidR="001630DC" w:rsidRDefault="001630DC" w:rsidP="00B11ABC">
      <w:pPr>
        <w:pStyle w:val="GridTable21"/>
        <w:spacing w:before="240" w:after="240"/>
      </w:pPr>
      <w:r>
        <w:t xml:space="preserve">McKeever, Brice S., and Sarah L. Pettijohn. 2014. “The Nonprofit Sector in Brief 2014.” </w:t>
      </w:r>
      <w:r>
        <w:rPr>
          <w:i/>
          <w:iCs/>
        </w:rPr>
        <w:t>Washington, DC: Urban Institute</w:t>
      </w:r>
      <w:r>
        <w:t>. http://www.urban.org/sites/default/files/alfresco/publication-pdfs/413277-The-Nonprofit-Sector-in-Brief--.PDF?RSSFeed=UI_CenteronNonprofitsandPhilanthropy.xml.</w:t>
      </w:r>
    </w:p>
    <w:p w:rsidR="001630DC" w:rsidRDefault="001630DC" w:rsidP="00B11ABC">
      <w:pPr>
        <w:pStyle w:val="GridTable21"/>
        <w:spacing w:before="240" w:after="240"/>
      </w:pPr>
      <w:r>
        <w:t xml:space="preserve">McNabb, David E. 2010. </w:t>
      </w:r>
      <w:r>
        <w:rPr>
          <w:i/>
          <w:iCs/>
        </w:rPr>
        <w:t>Case Research in Public Management</w:t>
      </w:r>
      <w:r>
        <w:t>. Armonk: M.E. Sharpe.</w:t>
      </w:r>
    </w:p>
    <w:p w:rsidR="001630DC" w:rsidRDefault="001630DC" w:rsidP="00B11ABC">
      <w:pPr>
        <w:pStyle w:val="GridTable21"/>
        <w:spacing w:before="240" w:after="240"/>
      </w:pPr>
      <w:r>
        <w:t>Mercer, Cl</w:t>
      </w:r>
      <w:r w:rsidR="00115B2B">
        <w:t>aire. 2002. “</w:t>
      </w:r>
      <w:r>
        <w:t xml:space="preserve">NGOs, Civil Society and Democratization: A Critical Review of the Literature.” </w:t>
      </w:r>
      <w:r>
        <w:rPr>
          <w:i/>
          <w:iCs/>
        </w:rPr>
        <w:t>Progress in Development Studies</w:t>
      </w:r>
      <w:r>
        <w:t xml:space="preserve"> 2 (1): 5–22.</w:t>
      </w:r>
    </w:p>
    <w:p w:rsidR="001630DC" w:rsidRDefault="001630DC" w:rsidP="00B11ABC">
      <w:pPr>
        <w:pStyle w:val="GridTable21"/>
        <w:spacing w:before="240" w:after="240"/>
      </w:pPr>
      <w:r>
        <w:t xml:space="preserve">Milward, H. Brinton. 1994. “Non-Profit Contracting and the Hollow State.” </w:t>
      </w:r>
      <w:r>
        <w:rPr>
          <w:i/>
          <w:iCs/>
        </w:rPr>
        <w:t>Public Administration Review</w:t>
      </w:r>
      <w:r>
        <w:t xml:space="preserve"> 54 (1): 73–77.</w:t>
      </w:r>
    </w:p>
    <w:p w:rsidR="001630DC" w:rsidRDefault="001630DC" w:rsidP="00B11ABC">
      <w:pPr>
        <w:pStyle w:val="GridTable21"/>
        <w:spacing w:before="240" w:after="240"/>
      </w:pPr>
      <w:r>
        <w:t xml:space="preserve">Milward, H. Brinton, and Keith Provan. 2000. “Governing the Hollow State.” </w:t>
      </w:r>
      <w:r>
        <w:rPr>
          <w:i/>
          <w:iCs/>
        </w:rPr>
        <w:t>Journal of Public Administration Research and Theory</w:t>
      </w:r>
      <w:r>
        <w:t xml:space="preserve"> 10 (2): 359–80.</w:t>
      </w:r>
    </w:p>
    <w:p w:rsidR="001630DC" w:rsidRDefault="001630DC" w:rsidP="00B11ABC">
      <w:pPr>
        <w:pStyle w:val="GridTable21"/>
        <w:spacing w:before="240" w:after="240"/>
      </w:pPr>
      <w:r>
        <w:t xml:space="preserve">Mitchell, George E. 2012a. “Strategic Responses to Resource </w:t>
      </w:r>
      <w:r w:rsidR="00FD66DB">
        <w:t xml:space="preserve">Dependence Among Transnational </w:t>
      </w:r>
      <w:r>
        <w:t xml:space="preserve">NGOs Registered in the United States.” </w:t>
      </w:r>
      <w:r>
        <w:rPr>
          <w:i/>
          <w:iCs/>
        </w:rPr>
        <w:t>Voluntas</w:t>
      </w:r>
      <w:r>
        <w:t xml:space="preserve">. </w:t>
      </w:r>
    </w:p>
    <w:p w:rsidR="001630DC" w:rsidRDefault="001630DC" w:rsidP="00B11ABC">
      <w:pPr>
        <w:pStyle w:val="GridTable21"/>
        <w:spacing w:before="240" w:after="240"/>
      </w:pPr>
      <w:r>
        <w:t xml:space="preserve">———. 2012b. “The Construct of Organizational Effectiveness: Perspectives From Leaders of International Nonprofits in the United States.” </w:t>
      </w:r>
      <w:r>
        <w:rPr>
          <w:i/>
          <w:iCs/>
        </w:rPr>
        <w:t>Nonprofit and Voluntary Sector Quarterly</w:t>
      </w:r>
      <w:r>
        <w:t xml:space="preserve"> 42 (2): 324–45.</w:t>
      </w:r>
    </w:p>
    <w:p w:rsidR="001630DC" w:rsidRDefault="001630DC" w:rsidP="00B11ABC">
      <w:pPr>
        <w:pStyle w:val="GridTable21"/>
        <w:spacing w:before="240" w:after="240"/>
      </w:pPr>
      <w:r>
        <w:t>———. 2013. “Collaborative Pr</w:t>
      </w:r>
      <w:r w:rsidR="00115B2B">
        <w:t xml:space="preserve">opensities Among Transnational </w:t>
      </w:r>
      <w:r>
        <w:t xml:space="preserve">NGOs Registered in the United States.” </w:t>
      </w:r>
      <w:r>
        <w:rPr>
          <w:i/>
          <w:iCs/>
        </w:rPr>
        <w:t>Ameri</w:t>
      </w:r>
      <w:r w:rsidR="00115B2B">
        <w:rPr>
          <w:i/>
          <w:iCs/>
        </w:rPr>
        <w:t>can Review of Public Administrat</w:t>
      </w:r>
      <w:r>
        <w:rPr>
          <w:i/>
          <w:iCs/>
        </w:rPr>
        <w:t>ion</w:t>
      </w:r>
      <w:r>
        <w:t xml:space="preserve"> XX (X): 1–25.</w:t>
      </w:r>
    </w:p>
    <w:p w:rsidR="001630DC" w:rsidRDefault="001630DC" w:rsidP="00B11ABC">
      <w:pPr>
        <w:pStyle w:val="GridTable21"/>
        <w:spacing w:before="240" w:after="240"/>
      </w:pPr>
      <w:r>
        <w:t xml:space="preserve">Mitlin, Diana, Sam Hickey, and Anthony Bebbington. 2007. “Reclaiming Development? TNGOs and the Challenge of Alternatives.” </w:t>
      </w:r>
      <w:r>
        <w:rPr>
          <w:i/>
          <w:iCs/>
        </w:rPr>
        <w:t>World Development</w:t>
      </w:r>
      <w:r>
        <w:t xml:space="preserve"> 35 (10): 1699–1720.</w:t>
      </w:r>
    </w:p>
    <w:p w:rsidR="001630DC" w:rsidRDefault="001630DC" w:rsidP="00B11ABC">
      <w:pPr>
        <w:pStyle w:val="GridTable21"/>
        <w:spacing w:before="240" w:after="240"/>
      </w:pPr>
      <w:r>
        <w:t xml:space="preserve">Moe, Terry M. 1984. “The New Economics of Organization.” </w:t>
      </w:r>
      <w:r>
        <w:rPr>
          <w:i/>
          <w:iCs/>
        </w:rPr>
        <w:t>American Journal of Political Science</w:t>
      </w:r>
      <w:r>
        <w:t xml:space="preserve"> 28 (4): 739–77.</w:t>
      </w:r>
    </w:p>
    <w:p w:rsidR="001630DC" w:rsidRDefault="001630DC" w:rsidP="00B11ABC">
      <w:pPr>
        <w:pStyle w:val="GridTable21"/>
        <w:spacing w:before="240" w:after="240"/>
      </w:pPr>
      <w:r>
        <w:t xml:space="preserve">Mosley, Jennifer E. 2012. “Keeping the Lights On: How Government Funding Concerns Drive the Advocacy Agendas of Nonprofit Homeless Providers.” </w:t>
      </w:r>
      <w:r>
        <w:rPr>
          <w:i/>
          <w:iCs/>
        </w:rPr>
        <w:t>Journal of Public Administration Research and Theory</w:t>
      </w:r>
      <w:r>
        <w:t xml:space="preserve"> 22: 841–66. </w:t>
      </w:r>
    </w:p>
    <w:p w:rsidR="001630DC" w:rsidRDefault="001630DC" w:rsidP="00B11ABC">
      <w:pPr>
        <w:pStyle w:val="GridTable21"/>
        <w:spacing w:before="240" w:after="240"/>
      </w:pPr>
      <w:r>
        <w:t xml:space="preserve">Moulton, Stephanie, and Adam Eckerd. 2012. “Preserving the Publicness of the Nonprofit Sector: Resources, Roles, and Public Values.” </w:t>
      </w:r>
      <w:r>
        <w:rPr>
          <w:i/>
          <w:iCs/>
        </w:rPr>
        <w:t>Nonprofit and Voluntary Sector Quarterly</w:t>
      </w:r>
      <w:r>
        <w:t xml:space="preserve"> 41 (4): 656–85.</w:t>
      </w:r>
    </w:p>
    <w:p w:rsidR="001630DC" w:rsidRDefault="001630DC" w:rsidP="00B11ABC">
      <w:pPr>
        <w:pStyle w:val="GridTable21"/>
        <w:spacing w:before="240" w:after="240"/>
      </w:pPr>
      <w:r>
        <w:t xml:space="preserve">Moyo, Dambisa. 2009. </w:t>
      </w:r>
      <w:r>
        <w:rPr>
          <w:i/>
          <w:iCs/>
        </w:rPr>
        <w:t xml:space="preserve">Dead Aid: Why Aid Is Not Working And How There </w:t>
      </w:r>
      <w:r w:rsidR="00862CCB">
        <w:rPr>
          <w:i/>
          <w:iCs/>
        </w:rPr>
        <w:t>Is Better</w:t>
      </w:r>
      <w:r>
        <w:rPr>
          <w:i/>
          <w:iCs/>
        </w:rPr>
        <w:t xml:space="preserve"> Way For Africa</w:t>
      </w:r>
      <w:r>
        <w:t>. New York: Farrar, Straus and Giroux.</w:t>
      </w:r>
    </w:p>
    <w:p w:rsidR="001630DC" w:rsidRDefault="001630DC" w:rsidP="00B11ABC">
      <w:pPr>
        <w:pStyle w:val="GridTable21"/>
        <w:spacing w:before="240" w:after="240"/>
      </w:pPr>
      <w:r>
        <w:t xml:space="preserve">North, Douglass C. 1990. </w:t>
      </w:r>
      <w:r>
        <w:rPr>
          <w:i/>
          <w:iCs/>
        </w:rPr>
        <w:t>Institutions, Institutional Change and Economic Performance</w:t>
      </w:r>
      <w:r>
        <w:t>. Cambridge: Cambridge University Press.</w:t>
      </w:r>
    </w:p>
    <w:p w:rsidR="001630DC" w:rsidRDefault="001630DC" w:rsidP="00B11ABC">
      <w:pPr>
        <w:pStyle w:val="GridTable21"/>
        <w:spacing w:before="240" w:after="240"/>
      </w:pPr>
      <w:r>
        <w:t>Nunnenkamp, Peter, Janina Weingarth, a</w:t>
      </w:r>
      <w:r w:rsidR="00115B2B">
        <w:t xml:space="preserve">nd Johannes Weisser. 2009. “Is </w:t>
      </w:r>
      <w:r>
        <w:t xml:space="preserve">NGO Aid Not so Different after All? Comparing the Allocation of Swiss Aid by Private and Official Donors.” </w:t>
      </w:r>
      <w:r>
        <w:rPr>
          <w:i/>
          <w:iCs/>
        </w:rPr>
        <w:t>European Journal of Political Economy</w:t>
      </w:r>
      <w:r>
        <w:t xml:space="preserve"> 25: 422–38.</w:t>
      </w:r>
    </w:p>
    <w:p w:rsidR="001630DC" w:rsidRDefault="001630DC" w:rsidP="00B11ABC">
      <w:pPr>
        <w:pStyle w:val="GridTable21"/>
        <w:spacing w:before="240" w:after="240"/>
      </w:pPr>
      <w:r>
        <w:t xml:space="preserve">Nutt, P. C. 2005. “Comparing Public and Private Sector Decision-Making Practices.” </w:t>
      </w:r>
      <w:r>
        <w:rPr>
          <w:i/>
          <w:iCs/>
        </w:rPr>
        <w:t>Journal of Public Administration Research and Theory</w:t>
      </w:r>
      <w:r>
        <w:t xml:space="preserve"> 16 (2): 289–318. </w:t>
      </w:r>
    </w:p>
    <w:p w:rsidR="001630DC" w:rsidRDefault="001630DC" w:rsidP="00B11ABC">
      <w:pPr>
        <w:pStyle w:val="GridTable21"/>
        <w:spacing w:before="240" w:after="240"/>
      </w:pPr>
      <w:r>
        <w:t xml:space="preserve">Nye, J.S. 2008. “Public Diplomacy and Soft Power.” </w:t>
      </w:r>
      <w:r>
        <w:rPr>
          <w:i/>
          <w:iCs/>
        </w:rPr>
        <w:t>The Annals of the American Academy of Political and Social Science</w:t>
      </w:r>
      <w:r>
        <w:t xml:space="preserve"> 616 (1): 94–109.</w:t>
      </w:r>
    </w:p>
    <w:p w:rsidR="001630DC" w:rsidRDefault="001630DC" w:rsidP="00B11ABC">
      <w:pPr>
        <w:pStyle w:val="GridTable21"/>
        <w:spacing w:before="240" w:after="240"/>
      </w:pPr>
      <w:r>
        <w:t xml:space="preserve">Obadare, Ebenezer. 2011. “Civil Society in Sub-Saharan Africa.” In </w:t>
      </w:r>
      <w:r>
        <w:rPr>
          <w:i/>
          <w:iCs/>
        </w:rPr>
        <w:t>The Oxford Handbook of Civil Society</w:t>
      </w:r>
      <w:r>
        <w:t>, edited by Michael Edwards, 183–219. Oxford: Oxford University Press.</w:t>
      </w:r>
    </w:p>
    <w:p w:rsidR="001630DC" w:rsidRDefault="001630DC" w:rsidP="00B11ABC">
      <w:pPr>
        <w:pStyle w:val="GridTable21"/>
        <w:spacing w:before="240" w:after="240"/>
      </w:pPr>
      <w:r>
        <w:t xml:space="preserve">Okuku, Juma Anthony. 2002. “Civil Society and Democratisation Processes in Kenya and Uganda: A Comparative Analysis of the </w:t>
      </w:r>
      <w:r w:rsidR="00FD66DB">
        <w:t xml:space="preserve">Contribution of the Church and </w:t>
      </w:r>
      <w:r>
        <w:t xml:space="preserve">NGOs.” </w:t>
      </w:r>
      <w:r>
        <w:rPr>
          <w:i/>
          <w:iCs/>
        </w:rPr>
        <w:t>African Journal of Political Science</w:t>
      </w:r>
      <w:r>
        <w:t xml:space="preserve"> 7 (2): 81–97.</w:t>
      </w:r>
    </w:p>
    <w:p w:rsidR="001630DC" w:rsidRDefault="001630DC" w:rsidP="00B11ABC">
      <w:pPr>
        <w:pStyle w:val="GridTable21"/>
        <w:spacing w:before="240" w:after="240"/>
      </w:pPr>
      <w:r>
        <w:t xml:space="preserve">Olzak, Susan. 2011. “Does Globalization Breed Ethnic Discontent?” </w:t>
      </w:r>
      <w:r>
        <w:rPr>
          <w:i/>
          <w:iCs/>
        </w:rPr>
        <w:t>Journal of Conflict Resolution</w:t>
      </w:r>
      <w:r>
        <w:t xml:space="preserve"> 55 (3): 3–32.</w:t>
      </w:r>
    </w:p>
    <w:p w:rsidR="001630DC" w:rsidRDefault="001630DC" w:rsidP="00B11ABC">
      <w:pPr>
        <w:pStyle w:val="GridTable21"/>
        <w:spacing w:before="240" w:after="240"/>
      </w:pPr>
      <w:r>
        <w:t xml:space="preserve">O’Regan, Katherine, and Sharon M. Oster. 2005. “Does the Structure and Composition of the Board Matter?  The Case of Nonprofit Organizations.” </w:t>
      </w:r>
      <w:r>
        <w:rPr>
          <w:i/>
          <w:iCs/>
        </w:rPr>
        <w:t>Journal of Law, Economics &amp; Organization</w:t>
      </w:r>
      <w:r>
        <w:t xml:space="preserve"> 21 (1): 205–27.</w:t>
      </w:r>
    </w:p>
    <w:p w:rsidR="001630DC" w:rsidRDefault="001630DC" w:rsidP="00B11ABC">
      <w:pPr>
        <w:pStyle w:val="GridTable21"/>
        <w:spacing w:before="240" w:after="240"/>
      </w:pPr>
      <w:r>
        <w:t>Organization C. 2</w:t>
      </w:r>
      <w:r w:rsidR="00115B2B">
        <w:t xml:space="preserve">016. International Development </w:t>
      </w:r>
      <w:r w:rsidR="00FD66DB">
        <w:t>T</w:t>
      </w:r>
      <w:r>
        <w:t>NGO, Kampala. In person.</w:t>
      </w:r>
    </w:p>
    <w:p w:rsidR="001630DC" w:rsidRDefault="001630DC" w:rsidP="00B11ABC">
      <w:pPr>
        <w:pStyle w:val="GridTable21"/>
        <w:spacing w:before="240" w:after="240"/>
      </w:pPr>
      <w:r>
        <w:t xml:space="preserve">Ostrom, Elinor. 1990. </w:t>
      </w:r>
      <w:r>
        <w:rPr>
          <w:i/>
          <w:iCs/>
        </w:rPr>
        <w:t>Governing the Commons: The Evolution of Institutions for Collective Action</w:t>
      </w:r>
      <w:r>
        <w:t>. Cambridge: Cambridge University Press.</w:t>
      </w:r>
    </w:p>
    <w:p w:rsidR="001630DC" w:rsidRDefault="001630DC" w:rsidP="00B11ABC">
      <w:pPr>
        <w:pStyle w:val="GridTable21"/>
        <w:spacing w:before="240" w:after="240"/>
      </w:pPr>
      <w:r>
        <w:t xml:space="preserve">Pfeffer, Jeffrey, and Gerald R. Salancik. 2003. </w:t>
      </w:r>
      <w:r>
        <w:rPr>
          <w:i/>
          <w:iCs/>
        </w:rPr>
        <w:t>The External Control of Organizations</w:t>
      </w:r>
      <w:r>
        <w:t>. Stanford: Stanford University Press.</w:t>
      </w:r>
    </w:p>
    <w:p w:rsidR="001630DC" w:rsidRDefault="001630DC" w:rsidP="00B11ABC">
      <w:pPr>
        <w:pStyle w:val="GridTable21"/>
        <w:spacing w:before="240" w:after="240"/>
      </w:pPr>
      <w:r>
        <w:t xml:space="preserve">Provan, Keith G. 1983. “The Federation as an Interorganizational Linkage Network.” </w:t>
      </w:r>
      <w:r>
        <w:rPr>
          <w:i/>
          <w:iCs/>
        </w:rPr>
        <w:t>The Academy of Management Review</w:t>
      </w:r>
      <w:r>
        <w:t xml:space="preserve"> 8 (1): 79. </w:t>
      </w:r>
    </w:p>
    <w:p w:rsidR="001630DC" w:rsidRDefault="001630DC" w:rsidP="00B11ABC">
      <w:pPr>
        <w:pStyle w:val="GridTable21"/>
        <w:spacing w:before="240" w:after="240"/>
      </w:pPr>
      <w:r>
        <w:t xml:space="preserve">Przeworski, Adam. 2000. “Economic Development and Political Regimes.” In </w:t>
      </w:r>
      <w:r>
        <w:rPr>
          <w:i/>
          <w:iCs/>
        </w:rPr>
        <w:t>Development and Democracy</w:t>
      </w:r>
      <w:r>
        <w:t>.</w:t>
      </w:r>
    </w:p>
    <w:p w:rsidR="001630DC" w:rsidRDefault="001630DC" w:rsidP="00B11ABC">
      <w:pPr>
        <w:pStyle w:val="GridTable21"/>
        <w:spacing w:before="240" w:after="240"/>
      </w:pPr>
      <w:r>
        <w:t xml:space="preserve">Przeworski, Adam, and Fernando Limongi. 1993. “Political Regimes and Economic Growth.” </w:t>
      </w:r>
      <w:r>
        <w:rPr>
          <w:i/>
          <w:iCs/>
        </w:rPr>
        <w:t>The Journal of Economic Perspectives</w:t>
      </w:r>
      <w:r>
        <w:t xml:space="preserve"> 7 (3): 51–69.</w:t>
      </w:r>
    </w:p>
    <w:p w:rsidR="001630DC" w:rsidRDefault="001630DC" w:rsidP="00B11ABC">
      <w:pPr>
        <w:pStyle w:val="GridTable21"/>
        <w:spacing w:before="240" w:after="240"/>
      </w:pPr>
      <w:r>
        <w:t xml:space="preserve">Putnam, Robert. 1993. </w:t>
      </w:r>
      <w:r>
        <w:rPr>
          <w:i/>
          <w:iCs/>
        </w:rPr>
        <w:t>Making Democracy Work: Civic Traditions in Modern Italy</w:t>
      </w:r>
      <w:r>
        <w:t>. Princeton: Princeton University Press.</w:t>
      </w:r>
    </w:p>
    <w:p w:rsidR="001630DC" w:rsidRDefault="001630DC" w:rsidP="00B11ABC">
      <w:pPr>
        <w:pStyle w:val="GridTable21"/>
        <w:spacing w:before="240" w:after="240"/>
      </w:pPr>
      <w:r>
        <w:t xml:space="preserve">Rainey, Hal, John C. Ronquillo, and Claudia N. Avellaneda. 2010. “Decision Making in Public Organizations.” In </w:t>
      </w:r>
      <w:r>
        <w:rPr>
          <w:i/>
          <w:iCs/>
        </w:rPr>
        <w:t>Handbook of Decision Making</w:t>
      </w:r>
      <w:r>
        <w:t>, 349–78. Chichester: John Wiley &amp; Sons.</w:t>
      </w:r>
    </w:p>
    <w:p w:rsidR="001630DC" w:rsidRDefault="001630DC" w:rsidP="00B11ABC">
      <w:pPr>
        <w:pStyle w:val="GridTable21"/>
        <w:spacing w:before="240" w:after="240"/>
      </w:pPr>
      <w:r>
        <w:t xml:space="preserve">Raschky, Paul A., and Manijeh Schwindt. 2012. “On the Channel and Type of Aid: The Case of International Disaster Assistance.” </w:t>
      </w:r>
      <w:r>
        <w:rPr>
          <w:i/>
          <w:iCs/>
        </w:rPr>
        <w:t>European Journal of Political Economy</w:t>
      </w:r>
      <w:r>
        <w:t xml:space="preserve"> 28 (1): 119–31. </w:t>
      </w:r>
    </w:p>
    <w:p w:rsidR="001630DC" w:rsidRDefault="001630DC" w:rsidP="00B11ABC">
      <w:pPr>
        <w:pStyle w:val="GridTable21"/>
        <w:spacing w:before="240" w:after="240"/>
      </w:pPr>
      <w:r>
        <w:t>Reinhardt, Gina Yannite</w:t>
      </w:r>
      <w:r w:rsidR="00115B2B">
        <w:t xml:space="preserve">ll. 2009. “Matching Donors and </w:t>
      </w:r>
      <w:r>
        <w:t xml:space="preserve">NGOs: The Importance of Signaling in Funding Awards.” </w:t>
      </w:r>
      <w:r>
        <w:rPr>
          <w:i/>
          <w:iCs/>
        </w:rPr>
        <w:t>Journal of Theoretical Politics</w:t>
      </w:r>
      <w:r>
        <w:t xml:space="preserve"> 21 (3): 283–309.</w:t>
      </w:r>
    </w:p>
    <w:p w:rsidR="001630DC" w:rsidRDefault="001630DC" w:rsidP="00B11ABC">
      <w:pPr>
        <w:pStyle w:val="GridTable21"/>
        <w:spacing w:before="240" w:after="240"/>
      </w:pPr>
      <w:r>
        <w:t xml:space="preserve">Riddell, J. Barry. 1992. “Things Fall Apart Again: Structural Adjustment Programmes in Sub-Saharan Africa.” </w:t>
      </w:r>
      <w:r>
        <w:rPr>
          <w:i/>
          <w:iCs/>
        </w:rPr>
        <w:t>The Journal of Modern African Studies</w:t>
      </w:r>
      <w:r>
        <w:t xml:space="preserve"> 30 (1): 53–68.</w:t>
      </w:r>
    </w:p>
    <w:p w:rsidR="001630DC" w:rsidRDefault="00115B2B" w:rsidP="00B11ABC">
      <w:pPr>
        <w:pStyle w:val="GridTable21"/>
        <w:spacing w:before="240" w:after="240"/>
      </w:pPr>
      <w:r>
        <w:t>Roberts, Bill. 2000. “</w:t>
      </w:r>
      <w:r w:rsidR="001630DC">
        <w:t xml:space="preserve">NGO Leadership, Success, and Growth in Senegal: Lessons From Ground Level.” </w:t>
      </w:r>
      <w:r w:rsidR="001630DC">
        <w:rPr>
          <w:i/>
          <w:iCs/>
        </w:rPr>
        <w:t>Urban Anthropology and Studies of Cultural Systems and World Economic Development</w:t>
      </w:r>
      <w:r w:rsidR="001630DC">
        <w:t xml:space="preserve"> 29 (2): 143–80.</w:t>
      </w:r>
    </w:p>
    <w:p w:rsidR="001630DC" w:rsidRDefault="001630DC" w:rsidP="00B11ABC">
      <w:pPr>
        <w:pStyle w:val="GridTable21"/>
        <w:spacing w:before="240" w:after="240"/>
      </w:pPr>
      <w:r>
        <w:t>Roberts, Susan M., John Paul III Jone</w:t>
      </w:r>
      <w:r w:rsidR="00115B2B">
        <w:t>s, and Oliver Frohling. 2005. “</w:t>
      </w:r>
      <w:r>
        <w:t xml:space="preserve">NGOs and the Globalization of Managerialism: A Research Framework.” </w:t>
      </w:r>
      <w:r>
        <w:rPr>
          <w:i/>
          <w:iCs/>
        </w:rPr>
        <w:t>World Development</w:t>
      </w:r>
      <w:r>
        <w:t xml:space="preserve"> 33 (11): 1845–64.</w:t>
      </w:r>
    </w:p>
    <w:p w:rsidR="001630DC" w:rsidRDefault="001630DC" w:rsidP="00B11ABC">
      <w:pPr>
        <w:pStyle w:val="GridTable21"/>
        <w:spacing w:before="240" w:after="240"/>
      </w:pPr>
      <w:r>
        <w:t>Rogers,</w:t>
      </w:r>
      <w:r w:rsidR="00115B2B">
        <w:t xml:space="preserve"> Katrina S. 2011. “Soft Power, </w:t>
      </w:r>
      <w:r>
        <w:t xml:space="preserve">NGOs, and Climate Change: The Case of The Nature Conservancy.” In </w:t>
      </w:r>
      <w:r>
        <w:rPr>
          <w:i/>
          <w:iCs/>
        </w:rPr>
        <w:t>Climate Change and Environmental Ethics</w:t>
      </w:r>
      <w:r>
        <w:t>, edited by Ved P. Nanda, 217–35. New Brunswick: Transaction Publishers.</w:t>
      </w:r>
    </w:p>
    <w:p w:rsidR="001630DC" w:rsidRDefault="001630DC" w:rsidP="00B11ABC">
      <w:pPr>
        <w:pStyle w:val="GridTable21"/>
        <w:spacing w:before="240" w:after="240"/>
      </w:pPr>
      <w:r>
        <w:t xml:space="preserve">Rohrschneider, Robert, and Russell J. Dalton. 2002. “A Global Network? Transnational Cooperation among Environmental Groups.” </w:t>
      </w:r>
      <w:r>
        <w:rPr>
          <w:i/>
          <w:iCs/>
        </w:rPr>
        <w:t>The Journal of Politics</w:t>
      </w:r>
      <w:r>
        <w:t xml:space="preserve"> 64 (2): 510–33.</w:t>
      </w:r>
    </w:p>
    <w:p w:rsidR="001630DC" w:rsidRDefault="001630DC" w:rsidP="00B11ABC">
      <w:pPr>
        <w:pStyle w:val="GridTable21"/>
        <w:spacing w:before="240" w:after="240"/>
      </w:pPr>
      <w:r>
        <w:t xml:space="preserve">Rojas, Ronald R. 2000. “A Review of Models for Measuring Organizational Effectiveness Among For-Profit and Nonprofit Organizations.” </w:t>
      </w:r>
      <w:r>
        <w:rPr>
          <w:i/>
          <w:iCs/>
        </w:rPr>
        <w:t>Nonprofit Management and Leadership</w:t>
      </w:r>
      <w:r>
        <w:t xml:space="preserve"> 11 (1): 97–104.</w:t>
      </w:r>
    </w:p>
    <w:p w:rsidR="001630DC" w:rsidRDefault="001630DC" w:rsidP="00B11ABC">
      <w:pPr>
        <w:pStyle w:val="GridTable21"/>
        <w:spacing w:before="240" w:after="240"/>
      </w:pPr>
      <w:r>
        <w:t xml:space="preserve">Salamon, Lester M. 1994. “The Rise of the Nonprofit Sector.” </w:t>
      </w:r>
      <w:r>
        <w:rPr>
          <w:i/>
          <w:iCs/>
        </w:rPr>
        <w:t>Foreign Affairs</w:t>
      </w:r>
      <w:r>
        <w:t xml:space="preserve"> 73: 109–109.</w:t>
      </w:r>
    </w:p>
    <w:p w:rsidR="001630DC" w:rsidRDefault="001630DC" w:rsidP="00B11ABC">
      <w:pPr>
        <w:pStyle w:val="GridTable21"/>
        <w:spacing w:before="240" w:after="240"/>
      </w:pPr>
      <w:r>
        <w:t xml:space="preserve">———. 2010. “Putting the Civil Society Sector on the Economic Map of the World.” </w:t>
      </w:r>
      <w:r>
        <w:rPr>
          <w:i/>
          <w:iCs/>
        </w:rPr>
        <w:t>Annals of Public and Cooperative Economics</w:t>
      </w:r>
      <w:r>
        <w:t xml:space="preserve"> 81 (2): 167–210.</w:t>
      </w:r>
    </w:p>
    <w:p w:rsidR="001630DC" w:rsidRDefault="001630DC" w:rsidP="00B11ABC">
      <w:pPr>
        <w:pStyle w:val="GridTable21"/>
        <w:spacing w:before="240" w:after="240"/>
      </w:pPr>
      <w:r>
        <w:t xml:space="preserve">Sarkees, Meredith Reid, and Frank Wayman. 2010. </w:t>
      </w:r>
      <w:r>
        <w:rPr>
          <w:i/>
          <w:iCs/>
        </w:rPr>
        <w:t>Resort to War: 1816 - 2007</w:t>
      </w:r>
      <w:r>
        <w:t>. Washington: CQ Press.</w:t>
      </w:r>
    </w:p>
    <w:p w:rsidR="001630DC" w:rsidRDefault="001630DC" w:rsidP="00B11ABC">
      <w:pPr>
        <w:pStyle w:val="GridTable21"/>
        <w:spacing w:before="240" w:after="240"/>
      </w:pPr>
      <w:r>
        <w:t>Schmitz, Hans, Paloma Raggo, and Tosca Bruno-van Vijfeijken. 2012. “A</w:t>
      </w:r>
      <w:r w:rsidR="00115B2B">
        <w:t xml:space="preserve">ccountability of Transnational </w:t>
      </w:r>
      <w:r>
        <w:t xml:space="preserve">NGOs: Aspiration vs. Practice.” </w:t>
      </w:r>
      <w:r>
        <w:rPr>
          <w:i/>
          <w:iCs/>
        </w:rPr>
        <w:t>Nonprofit and Voluntary Sector Quarterly</w:t>
      </w:r>
      <w:r>
        <w:t xml:space="preserve"> 41 (6): 1175–94.</w:t>
      </w:r>
    </w:p>
    <w:p w:rsidR="001630DC" w:rsidRDefault="001630DC" w:rsidP="00B11ABC">
      <w:pPr>
        <w:pStyle w:val="GridTable21"/>
        <w:spacing w:before="240" w:after="240"/>
      </w:pPr>
      <w:r>
        <w:t>Schneider, Jo Anne. 2012. “Comparing Stewardship Across Faith-Based Organizations” 42 (3): 517–39.</w:t>
      </w:r>
    </w:p>
    <w:p w:rsidR="001630DC" w:rsidRDefault="001630DC" w:rsidP="00B11ABC">
      <w:pPr>
        <w:pStyle w:val="GridTable21"/>
        <w:spacing w:before="240" w:after="240"/>
      </w:pPr>
      <w:r>
        <w:t xml:space="preserve">Schoonhoven, Claudia Bird. 1981. “Problems with Contingency Theory: Testing Assumptions Hidden within the Language of Contingency ‘Theory.’” </w:t>
      </w:r>
      <w:r>
        <w:rPr>
          <w:i/>
          <w:iCs/>
        </w:rPr>
        <w:t>Administrative Science Quarterly</w:t>
      </w:r>
      <w:r>
        <w:t xml:space="preserve"> 26 (3): 349. </w:t>
      </w:r>
    </w:p>
    <w:p w:rsidR="001630DC" w:rsidRDefault="001630DC" w:rsidP="00B11ABC">
      <w:pPr>
        <w:pStyle w:val="GridTable21"/>
        <w:spacing w:before="240" w:after="240"/>
      </w:pPr>
      <w:r>
        <w:t xml:space="preserve">Schreier, M. 2012. </w:t>
      </w:r>
      <w:r>
        <w:rPr>
          <w:i/>
          <w:iCs/>
        </w:rPr>
        <w:t>Qualitative Content Analysis In Practice</w:t>
      </w:r>
      <w:r>
        <w:t>. Newbury: Sage Publications.</w:t>
      </w:r>
    </w:p>
    <w:p w:rsidR="001630DC" w:rsidRDefault="001630DC" w:rsidP="00B11ABC">
      <w:pPr>
        <w:pStyle w:val="GridTable21"/>
        <w:spacing w:before="240" w:after="240"/>
      </w:pPr>
      <w:r>
        <w:t xml:space="preserve">Simon, Herbert A. 1946. “The Proverbs of Administration.” </w:t>
      </w:r>
      <w:r>
        <w:rPr>
          <w:i/>
          <w:iCs/>
        </w:rPr>
        <w:t>Public Administration Review</w:t>
      </w:r>
      <w:r>
        <w:t xml:space="preserve"> 6 (1): 53–67.</w:t>
      </w:r>
    </w:p>
    <w:p w:rsidR="001630DC" w:rsidRDefault="001630DC" w:rsidP="00B11ABC">
      <w:pPr>
        <w:pStyle w:val="GridTable21"/>
        <w:spacing w:before="240" w:after="240"/>
      </w:pPr>
      <w:r>
        <w:t xml:space="preserve">Sloan, Margaret F. 2009. “The Effects of Nonprofit Accountability Ratings on Donor Behavior.” </w:t>
      </w:r>
      <w:r>
        <w:rPr>
          <w:i/>
          <w:iCs/>
        </w:rPr>
        <w:t>Nonprofit and Voluntary Sector Quarterly</w:t>
      </w:r>
      <w:r>
        <w:t xml:space="preserve"> 38 (2): 220–36.</w:t>
      </w:r>
    </w:p>
    <w:p w:rsidR="001630DC" w:rsidRDefault="001630DC" w:rsidP="00B11ABC">
      <w:pPr>
        <w:pStyle w:val="GridTable21"/>
        <w:spacing w:before="240" w:after="240"/>
      </w:pPr>
      <w:r>
        <w:t xml:space="preserve">Smillie, Ian. 1995. </w:t>
      </w:r>
      <w:r>
        <w:rPr>
          <w:i/>
          <w:iCs/>
        </w:rPr>
        <w:t>The Alms Bazaar: Altruism Under Fire - Non-Profit Organizations And International Development</w:t>
      </w:r>
      <w:r>
        <w:t>. London: Intermediate Technology Publications Ltd.</w:t>
      </w:r>
    </w:p>
    <w:p w:rsidR="001630DC" w:rsidRDefault="001630DC" w:rsidP="00B11ABC">
      <w:pPr>
        <w:pStyle w:val="GridTable21"/>
        <w:spacing w:before="240" w:after="240"/>
      </w:pPr>
      <w:r>
        <w:t xml:space="preserve">Smith, Brian H. 1989. “More than Altruism: The Politics of European International Charities.” In </w:t>
      </w:r>
      <w:r>
        <w:rPr>
          <w:i/>
          <w:iCs/>
        </w:rPr>
        <w:t>The Nonprofit Sector in International Perspective: Studies in Comparative Culture and Policy</w:t>
      </w:r>
      <w:r>
        <w:t>, edited by Estelle James, 319–38. New York: Oxford University Press.</w:t>
      </w:r>
    </w:p>
    <w:p w:rsidR="001630DC" w:rsidRDefault="001630DC" w:rsidP="00B11ABC">
      <w:pPr>
        <w:pStyle w:val="GridTable21"/>
        <w:spacing w:before="240" w:after="240"/>
      </w:pPr>
      <w:r>
        <w:t xml:space="preserve">Sowa, Jessica E. 2009. “The Collaboration Decision in Nonprofit Organizations: Views From the Front Line.” </w:t>
      </w:r>
      <w:r>
        <w:rPr>
          <w:i/>
          <w:iCs/>
        </w:rPr>
        <w:t>Nonprofit and Voluntary Sector Quarterly</w:t>
      </w:r>
      <w:r>
        <w:t xml:space="preserve"> 38 (6): 1003–25.</w:t>
      </w:r>
    </w:p>
    <w:p w:rsidR="001630DC" w:rsidRDefault="001630DC" w:rsidP="00B11ABC">
      <w:pPr>
        <w:pStyle w:val="GridTable21"/>
        <w:spacing w:before="240" w:after="240"/>
      </w:pPr>
      <w:r>
        <w:t xml:space="preserve">Stater, Keeley Jones. 2010. “How Permeable Is the Nonprofit Sector? Linking Resources, Demand, and Government Provision to the Distribution of Organizations Across Nonprofit Mission-Based Fields.” </w:t>
      </w:r>
      <w:r>
        <w:rPr>
          <w:i/>
          <w:iCs/>
        </w:rPr>
        <w:t>Nonprofit and Voluntary Sector Quarterly</w:t>
      </w:r>
      <w:r>
        <w:t xml:space="preserve"> 39 (4): 674–95.</w:t>
      </w:r>
    </w:p>
    <w:p w:rsidR="001630DC" w:rsidRDefault="001630DC" w:rsidP="00B11ABC">
      <w:pPr>
        <w:pStyle w:val="GridTable21"/>
        <w:spacing w:before="240" w:after="240"/>
      </w:pPr>
      <w:r>
        <w:t xml:space="preserve">Stone, Melissa Middelton, Mark A. Hager, and Jennifer J. Griffin. 2001. “Organizational Characteristics and Funding Environments: A Study of a Population of United Way-Affiliated Nonprofits.” </w:t>
      </w:r>
      <w:r>
        <w:rPr>
          <w:i/>
          <w:iCs/>
        </w:rPr>
        <w:t>Public Administration Review</w:t>
      </w:r>
      <w:r>
        <w:t xml:space="preserve"> 61 (3): 276–89.</w:t>
      </w:r>
    </w:p>
    <w:p w:rsidR="001630DC" w:rsidRDefault="001630DC" w:rsidP="00B11ABC">
      <w:pPr>
        <w:pStyle w:val="GridTable21"/>
        <w:spacing w:before="240" w:after="240"/>
      </w:pPr>
      <w:r>
        <w:t xml:space="preserve">Stroup, Sarah S. 2012. </w:t>
      </w:r>
      <w:r>
        <w:rPr>
          <w:i/>
          <w:iCs/>
        </w:rPr>
        <w:t xml:space="preserve">Borders </w:t>
      </w:r>
      <w:r w:rsidR="00115B2B">
        <w:rPr>
          <w:i/>
          <w:iCs/>
        </w:rPr>
        <w:t xml:space="preserve">Among Activists: International </w:t>
      </w:r>
      <w:r>
        <w:rPr>
          <w:i/>
          <w:iCs/>
        </w:rPr>
        <w:t>NGOs in the United States, Britain, and France</w:t>
      </w:r>
      <w:r>
        <w:t>. Ithaca: Cornell University Press.</w:t>
      </w:r>
    </w:p>
    <w:p w:rsidR="001630DC" w:rsidRDefault="001630DC" w:rsidP="00B11ABC">
      <w:pPr>
        <w:pStyle w:val="GridTable21"/>
        <w:spacing w:before="240" w:after="240"/>
      </w:pPr>
      <w:r>
        <w:t xml:space="preserve">Suzuki, N. 1988. </w:t>
      </w:r>
      <w:r w:rsidR="00FD66DB">
        <w:rPr>
          <w:i/>
          <w:iCs/>
        </w:rPr>
        <w:t xml:space="preserve">Inside </w:t>
      </w:r>
      <w:r>
        <w:rPr>
          <w:i/>
          <w:iCs/>
        </w:rPr>
        <w:t>NGOs</w:t>
      </w:r>
      <w:r>
        <w:t>. London: Intermediate Technology Publications Ltd.</w:t>
      </w:r>
    </w:p>
    <w:p w:rsidR="001630DC" w:rsidRDefault="001630DC" w:rsidP="00B11ABC">
      <w:pPr>
        <w:pStyle w:val="GridTable21"/>
        <w:spacing w:before="240" w:after="240"/>
      </w:pPr>
      <w:r>
        <w:t xml:space="preserve">Taylor, Frederick W. 1912. “Scientific Management.” In </w:t>
      </w:r>
      <w:r>
        <w:rPr>
          <w:i/>
          <w:iCs/>
        </w:rPr>
        <w:t>Classics of Public Administration</w:t>
      </w:r>
      <w:r>
        <w:t>, edited by Jay M. Shafritz and Albert C. Hyde, 7th ed., 37–39. Boston: Wadsworth.</w:t>
      </w:r>
    </w:p>
    <w:p w:rsidR="001630DC" w:rsidRDefault="001630DC" w:rsidP="00B11ABC">
      <w:pPr>
        <w:pStyle w:val="GridTable21"/>
        <w:spacing w:before="240" w:after="240"/>
      </w:pPr>
      <w:r>
        <w:t xml:space="preserve">Temudo, Marina Padrao. 2005. “Western Beliefs and Local Myths: A Case Study on </w:t>
      </w:r>
      <w:r w:rsidR="00FD66DB">
        <w:t xml:space="preserve">the Interface Between Farmers, </w:t>
      </w:r>
      <w:r>
        <w:t xml:space="preserve">NGOs and the State in Guinea-Bissau Rural Development Interventions.” In </w:t>
      </w:r>
      <w:r>
        <w:rPr>
          <w:i/>
          <w:iCs/>
        </w:rPr>
        <w:t>Between a Rock and a Ha</w:t>
      </w:r>
      <w:r w:rsidR="00EF5ED9">
        <w:rPr>
          <w:i/>
          <w:iCs/>
        </w:rPr>
        <w:t xml:space="preserve">rd Place: African </w:t>
      </w:r>
      <w:r>
        <w:rPr>
          <w:i/>
          <w:iCs/>
        </w:rPr>
        <w:t>NGOs, Donors, and the State</w:t>
      </w:r>
      <w:r>
        <w:t>, edited by Jim Igoe and Tim Kelsall, 253–77. Durham: Carolina Academic Press.</w:t>
      </w:r>
    </w:p>
    <w:p w:rsidR="001630DC" w:rsidRDefault="001630DC" w:rsidP="00B11ABC">
      <w:pPr>
        <w:pStyle w:val="GridTable21"/>
        <w:spacing w:before="240" w:after="240"/>
      </w:pPr>
      <w:r>
        <w:t>The World Bank. 2013. “World Development Indicators.” The World Bank. http://data.worldbank.org/indicator.</w:t>
      </w:r>
    </w:p>
    <w:p w:rsidR="001630DC" w:rsidRDefault="001630DC" w:rsidP="00B11ABC">
      <w:pPr>
        <w:pStyle w:val="GridTable21"/>
        <w:spacing w:before="240" w:after="240"/>
      </w:pPr>
      <w:r>
        <w:t>Transnational TNGO Initia</w:t>
      </w:r>
      <w:r w:rsidR="00EF5ED9">
        <w:t xml:space="preserve">tive. 2010. “The Transnational </w:t>
      </w:r>
      <w:r>
        <w:t>NGO Study: Rationale, Sampling and Research Process.” Moynihan Institute of Global Affairs, Syracuse University. http://www1.maxwell.syr.edu/moynihan/TNGO/Data/.</w:t>
      </w:r>
    </w:p>
    <w:p w:rsidR="001630DC" w:rsidRDefault="001630DC" w:rsidP="00B11ABC">
      <w:pPr>
        <w:pStyle w:val="GridTable21"/>
        <w:spacing w:before="240" w:after="240"/>
      </w:pPr>
      <w:r>
        <w:t>United Nations Statistics Division. 2015. “Demographic Yearbook.” unstats.un.org/unsd/demographic.</w:t>
      </w:r>
    </w:p>
    <w:p w:rsidR="001630DC" w:rsidRDefault="001630DC" w:rsidP="00B11ABC">
      <w:pPr>
        <w:pStyle w:val="GridTable21"/>
        <w:spacing w:before="240" w:after="240"/>
      </w:pPr>
      <w:r>
        <w:t>USAID. 2015. “U.S. Overseas Loans and Grants.” https://eads.usaid.gov/gbk/.</w:t>
      </w:r>
    </w:p>
    <w:p w:rsidR="001630DC" w:rsidRDefault="001630DC" w:rsidP="00B11ABC">
      <w:pPr>
        <w:pStyle w:val="GridTable21"/>
        <w:spacing w:before="240" w:after="240"/>
      </w:pPr>
      <w:r>
        <w:t xml:space="preserve">Van de Walle, Nicolas. 2001. “Decision Making in Post Colonial Africa.” In </w:t>
      </w:r>
      <w:r>
        <w:rPr>
          <w:i/>
          <w:iCs/>
        </w:rPr>
        <w:t>African Economies and the Politics of Permanent Crisis: 1979-1999</w:t>
      </w:r>
      <w:r>
        <w:t>, 113–51. Cambridge: Cambridge University Press.</w:t>
      </w:r>
    </w:p>
    <w:p w:rsidR="001630DC" w:rsidRDefault="001630DC" w:rsidP="00B11ABC">
      <w:pPr>
        <w:pStyle w:val="GridTable21"/>
        <w:spacing w:before="240" w:after="240"/>
      </w:pPr>
      <w:r>
        <w:t xml:space="preserve">Van Slyke, David M. 2006. “Agents or Stewards: Using Theory to Understand the Government-Nonprofit Social Service Contracting Relationship.” </w:t>
      </w:r>
      <w:r>
        <w:rPr>
          <w:i/>
          <w:iCs/>
        </w:rPr>
        <w:t>Journal of Public Administration Research and Theory</w:t>
      </w:r>
      <w:r>
        <w:t xml:space="preserve"> 17: 157–87.</w:t>
      </w:r>
    </w:p>
    <w:p w:rsidR="001630DC" w:rsidRDefault="001630DC" w:rsidP="00B11ABC">
      <w:pPr>
        <w:pStyle w:val="GridTable21"/>
        <w:spacing w:before="240" w:after="240"/>
      </w:pPr>
      <w:r>
        <w:t xml:space="preserve">Varshney, Ashutosh. 2001. “Ethnic Conflict and Civil Society: India and Beyond.” </w:t>
      </w:r>
      <w:r>
        <w:rPr>
          <w:i/>
          <w:iCs/>
        </w:rPr>
        <w:t>World Politics</w:t>
      </w:r>
      <w:r>
        <w:t xml:space="preserve"> 53 (3): 362–98.</w:t>
      </w:r>
    </w:p>
    <w:p w:rsidR="001630DC" w:rsidRDefault="001630DC" w:rsidP="00B11ABC">
      <w:pPr>
        <w:pStyle w:val="GridTable21"/>
        <w:spacing w:before="240" w:after="240"/>
      </w:pPr>
      <w:r>
        <w:t xml:space="preserve">Verbruggen, Sandra, Johan Christiaens, and Koen Milis. 2011. “Can Resource Dependence and Coercive Isomorphism Explain Nonprofit Organizations’ Compliance with Reporting Standards?” </w:t>
      </w:r>
      <w:r>
        <w:rPr>
          <w:i/>
          <w:iCs/>
        </w:rPr>
        <w:t>Nonprofit and Voluntary Sector Quarterly</w:t>
      </w:r>
      <w:r>
        <w:t xml:space="preserve"> 40 (1): 5–32.</w:t>
      </w:r>
    </w:p>
    <w:p w:rsidR="001630DC" w:rsidRDefault="001630DC" w:rsidP="00B11ABC">
      <w:pPr>
        <w:pStyle w:val="GridTable21"/>
        <w:spacing w:before="240" w:after="240"/>
      </w:pPr>
      <w:r>
        <w:t xml:space="preserve">Watkins, Susan Cotts, Ann Swidler, and Thomas Hannan. 2012. “Outsourcing Social Transformation: Development TNGOs as Organizations.” </w:t>
      </w:r>
      <w:r>
        <w:rPr>
          <w:i/>
          <w:iCs/>
        </w:rPr>
        <w:t>Annual Review of Sociology</w:t>
      </w:r>
      <w:r>
        <w:t xml:space="preserve"> 38: 285–315.</w:t>
      </w:r>
    </w:p>
    <w:p w:rsidR="001630DC" w:rsidRDefault="001630DC" w:rsidP="00B11ABC">
      <w:pPr>
        <w:pStyle w:val="GridTable21"/>
        <w:spacing w:before="240" w:after="240"/>
      </w:pPr>
      <w:r>
        <w:t xml:space="preserve">Wilson, James Q. 1973. </w:t>
      </w:r>
      <w:r>
        <w:rPr>
          <w:i/>
          <w:iCs/>
        </w:rPr>
        <w:t>Political Organizations</w:t>
      </w:r>
      <w:r>
        <w:t>. New York: Basic Books.</w:t>
      </w:r>
    </w:p>
    <w:p w:rsidR="001630DC" w:rsidRDefault="001630DC" w:rsidP="00B11ABC">
      <w:pPr>
        <w:pStyle w:val="GridTable21"/>
        <w:spacing w:before="240" w:after="240"/>
      </w:pPr>
      <w:r>
        <w:t xml:space="preserve">Wittberg, Patricia A. 2013. “Faith-Based Umbrella Organizations: Implications for Religious Identity.” </w:t>
      </w:r>
      <w:r>
        <w:rPr>
          <w:i/>
          <w:iCs/>
        </w:rPr>
        <w:t>Nonprofit and Voluntary Sector Quarterly</w:t>
      </w:r>
      <w:r>
        <w:t xml:space="preserve"> 42 (3): 540–62.</w:t>
      </w:r>
    </w:p>
    <w:p w:rsidR="001630DC" w:rsidRDefault="001630DC" w:rsidP="00B11ABC">
      <w:pPr>
        <w:pStyle w:val="GridTable21"/>
        <w:spacing w:before="240" w:after="240"/>
      </w:pPr>
      <w:r>
        <w:t>Wood, Geof, and Gough, Ian. n.d. “Welfare Regimes: Linking Social Policy to Social Development.” staff.bath.ac.uk/hssgdw/wood-gough.pdf.</w:t>
      </w:r>
    </w:p>
    <w:p w:rsidR="001630DC" w:rsidRDefault="001630DC" w:rsidP="00B11ABC">
      <w:pPr>
        <w:pStyle w:val="GridTable21"/>
        <w:spacing w:before="240" w:after="240"/>
      </w:pPr>
      <w:r>
        <w:t xml:space="preserve">Wood, Geof, and Ian Gough. 2006. “A Comparative Welfare Regime Approach to Global Social Policy.” </w:t>
      </w:r>
      <w:r>
        <w:rPr>
          <w:i/>
          <w:iCs/>
        </w:rPr>
        <w:t>World Development</w:t>
      </w:r>
      <w:r>
        <w:t xml:space="preserve"> 34 (10): 1696–1712. </w:t>
      </w:r>
    </w:p>
    <w:p w:rsidR="001630DC" w:rsidRDefault="001630DC" w:rsidP="00B11ABC">
      <w:pPr>
        <w:pStyle w:val="GridTable21"/>
        <w:spacing w:before="240" w:after="240"/>
      </w:pPr>
      <w:r>
        <w:t xml:space="preserve">Young, Dennis R. 2001. “Organizational Identity in Nonprofit Organizations: Strategic and Structural Implications.” </w:t>
      </w:r>
      <w:r>
        <w:rPr>
          <w:i/>
          <w:iCs/>
        </w:rPr>
        <w:t>Nonprofit Management and Leadership</w:t>
      </w:r>
      <w:r>
        <w:t xml:space="preserve"> 12 (2): 139–57.</w:t>
      </w:r>
    </w:p>
    <w:p w:rsidR="001630DC" w:rsidRDefault="001630DC" w:rsidP="00B11ABC">
      <w:pPr>
        <w:pStyle w:val="GridTable21"/>
        <w:spacing w:before="240" w:after="240"/>
      </w:pPr>
      <w:r>
        <w:t xml:space="preserve">Young, Dennis R., Bonnie L. Koenig, Adil Najam, and Julie Fisher. 1999. “Strategy and Structure in Managing Global Associations.” </w:t>
      </w:r>
      <w:r>
        <w:rPr>
          <w:i/>
          <w:iCs/>
        </w:rPr>
        <w:t>Voluntas: International Journal of Voluntary and Nonprofit Organizations</w:t>
      </w:r>
      <w:r>
        <w:t xml:space="preserve"> 10 (4): 323–43.</w:t>
      </w:r>
    </w:p>
    <w:p w:rsidR="001630DC" w:rsidRDefault="001630DC" w:rsidP="00B11ABC">
      <w:pPr>
        <w:pStyle w:val="GridTable21"/>
        <w:spacing w:before="240" w:after="240"/>
      </w:pPr>
      <w:r>
        <w:t xml:space="preserve">Zald, M.N., and R.A. Garner. 1987. “Social Movement Organizations: Growth, Decay, and Change.” In </w:t>
      </w:r>
      <w:r>
        <w:rPr>
          <w:i/>
          <w:iCs/>
        </w:rPr>
        <w:t>Social Movements in an Organizational Society</w:t>
      </w:r>
      <w:r>
        <w:t>, edited by M.N. Zald and J.D. McCarthy, 161–80. New Brunswick: Transaction Publishers.</w:t>
      </w:r>
    </w:p>
    <w:p w:rsidR="001630DC" w:rsidRPr="00477D0B" w:rsidRDefault="001630DC" w:rsidP="001630DC">
      <w:pPr>
        <w:jc w:val="center"/>
        <w:rPr>
          <w:i/>
          <w:szCs w:val="24"/>
        </w:rPr>
      </w:pPr>
      <w:r w:rsidRPr="00477D0B">
        <w:rPr>
          <w:i/>
        </w:rPr>
        <w:fldChar w:fldCharType="end"/>
      </w:r>
    </w:p>
    <w:p w:rsidR="001630DC" w:rsidRPr="00FE4328" w:rsidRDefault="001630DC" w:rsidP="001630DC">
      <w:pPr>
        <w:pStyle w:val="Heading1"/>
        <w:jc w:val="both"/>
        <w:rPr>
          <w:b/>
          <w:color w:val="auto"/>
          <w:sz w:val="28"/>
        </w:rPr>
      </w:pPr>
      <w:r w:rsidRPr="00FE4328">
        <w:rPr>
          <w:b/>
          <w:color w:val="auto"/>
          <w:sz w:val="28"/>
        </w:rPr>
        <w:br w:type="page"/>
      </w:r>
      <w:bookmarkStart w:id="313" w:name="_Toc450079239"/>
      <w:r w:rsidRPr="00FE4328">
        <w:rPr>
          <w:b/>
          <w:color w:val="auto"/>
          <w:sz w:val="28"/>
        </w:rPr>
        <w:t>: Conclusions, Implications, and Directions for Future Research</w:t>
      </w:r>
      <w:bookmarkEnd w:id="313"/>
    </w:p>
    <w:p w:rsidR="001630DC" w:rsidRDefault="001630DC">
      <w:pPr>
        <w:rPr>
          <w:b/>
        </w:rPr>
      </w:pPr>
    </w:p>
    <w:p w:rsidR="00504DC3" w:rsidRDefault="00504DC3" w:rsidP="00504DC3">
      <w:pPr>
        <w:spacing w:line="480" w:lineRule="auto"/>
        <w:rPr>
          <w:szCs w:val="24"/>
        </w:rPr>
      </w:pPr>
    </w:p>
    <w:p w:rsidR="001630DC" w:rsidRPr="00FE4328" w:rsidRDefault="001630DC" w:rsidP="00504DC3">
      <w:pPr>
        <w:pStyle w:val="Heading2"/>
        <w:numPr>
          <w:ilvl w:val="0"/>
          <w:numId w:val="0"/>
        </w:numPr>
        <w:jc w:val="center"/>
        <w:rPr>
          <w:b/>
          <w:color w:val="auto"/>
          <w:sz w:val="24"/>
        </w:rPr>
      </w:pPr>
      <w:bookmarkStart w:id="314" w:name="_Toc450079240"/>
      <w:r w:rsidRPr="00FE4328">
        <w:rPr>
          <w:b/>
          <w:color w:val="auto"/>
          <w:sz w:val="24"/>
        </w:rPr>
        <w:t>5.1: Conclusions</w:t>
      </w:r>
      <w:bookmarkEnd w:id="314"/>
    </w:p>
    <w:p w:rsidR="001630DC" w:rsidRPr="001000CC" w:rsidRDefault="001630DC" w:rsidP="001630DC">
      <w:pPr>
        <w:jc w:val="center"/>
        <w:rPr>
          <w:b/>
        </w:rPr>
      </w:pPr>
    </w:p>
    <w:p w:rsidR="005F761F" w:rsidRDefault="001630DC" w:rsidP="001630DC">
      <w:pPr>
        <w:spacing w:line="480" w:lineRule="auto"/>
      </w:pPr>
      <w:r w:rsidRPr="001000CC">
        <w:rPr>
          <w:b/>
        </w:rPr>
        <w:tab/>
      </w:r>
      <w:r w:rsidRPr="001000CC">
        <w:t>This dissertation was motivated by a lack of scholarship on international nonprofit</w:t>
      </w:r>
      <w:r w:rsidR="002A7F50">
        <w:t xml:space="preserve">s in public administration, in broader field of nonprofit studies, and the </w:t>
      </w:r>
      <w:r w:rsidRPr="001000CC">
        <w:t xml:space="preserve">need to better understand how and why </w:t>
      </w:r>
      <w:r w:rsidR="002A7F50">
        <w:t>TNGOs</w:t>
      </w:r>
      <w:r w:rsidRPr="001000CC">
        <w:t xml:space="preserve"> make certain location decisions. </w:t>
      </w:r>
      <w:r w:rsidR="005F761F">
        <w:t xml:space="preserve">In its three empirical chapters, it outlines factors that drive U.S.-based TNGO location choices, including country attractiveness; U.S. government attention and foreign policy agendas; and </w:t>
      </w:r>
      <w:r w:rsidR="00B50ED0">
        <w:t>the organizational structure and sector. Existing explanations for TNGO location decisions are singular and are dominated by resource dependency. Although resource dependency offers a foundation for decision-making theory, revisions must be made to build a more complete picture of TNGO locat</w:t>
      </w:r>
      <w:r w:rsidR="00FD66DB">
        <w:t xml:space="preserve">ion and decision-making and to </w:t>
      </w:r>
      <w:r w:rsidR="00B50ED0">
        <w:t xml:space="preserve">test the generalizability of existing explanations across cases in a more dynamic fashion. Furthermore, greater </w:t>
      </w:r>
      <w:r w:rsidR="0030652A">
        <w:t>attention</w:t>
      </w:r>
      <w:r w:rsidR="00B50ED0">
        <w:t xml:space="preserve"> should be given to the diversity of the TNGO sector. Specifically, </w:t>
      </w:r>
      <w:r w:rsidR="0030652A">
        <w:t xml:space="preserve">theoretical updates should include sector variation and weight which factors matter most and for what reasons. </w:t>
      </w:r>
    </w:p>
    <w:p w:rsidR="001630DC" w:rsidRPr="001000CC" w:rsidRDefault="005F761F" w:rsidP="001630DC">
      <w:pPr>
        <w:spacing w:line="480" w:lineRule="auto"/>
      </w:pPr>
      <w:r>
        <w:tab/>
      </w:r>
      <w:r w:rsidR="001630DC" w:rsidRPr="001000CC">
        <w:t xml:space="preserve">The project began by reviewing previous research on the decision-making, location, </w:t>
      </w:r>
      <w:r w:rsidR="001630DC">
        <w:t>TNGO</w:t>
      </w:r>
      <w:r w:rsidR="001630DC" w:rsidRPr="001000CC">
        <w:t xml:space="preserve">s, and related topics. This revealed that several literatures </w:t>
      </w:r>
      <w:r w:rsidR="00E820EF">
        <w:t>address</w:t>
      </w:r>
      <w:r w:rsidR="001630DC" w:rsidRPr="001000CC">
        <w:t xml:space="preserve"> either </w:t>
      </w:r>
      <w:r w:rsidR="001630DC">
        <w:t>TNGO</w:t>
      </w:r>
      <w:r w:rsidR="001630DC" w:rsidRPr="001000CC">
        <w:t xml:space="preserve">s or decision-making. However, it also illustrated the lack of synthesis between these literatures and the lack of attention to international cases in nonprofit studies, public administration, and public policy. Furthermore, this review </w:t>
      </w:r>
      <w:r w:rsidR="00E820EF">
        <w:t>underscored</w:t>
      </w:r>
      <w:r w:rsidR="001630DC" w:rsidRPr="001000CC">
        <w:t xml:space="preserve"> the low levels of cross-pollination between the pieces of scholarship </w:t>
      </w:r>
      <w:r w:rsidR="00E820EF">
        <w:t>on</w:t>
      </w:r>
      <w:r w:rsidR="001630DC" w:rsidRPr="001000CC">
        <w:t xml:space="preserve"> </w:t>
      </w:r>
      <w:r w:rsidR="001630DC">
        <w:t>TNGO</w:t>
      </w:r>
      <w:r w:rsidR="001630DC" w:rsidRPr="001000CC">
        <w:t xml:space="preserve">s, location, and </w:t>
      </w:r>
      <w:r w:rsidR="00E820EF">
        <w:t>decision-</w:t>
      </w:r>
      <w:r w:rsidR="001630DC" w:rsidRPr="001000CC">
        <w:t xml:space="preserve">making. </w:t>
      </w:r>
      <w:r w:rsidR="00E820EF">
        <w:t>While</w:t>
      </w:r>
      <w:r w:rsidR="001630DC" w:rsidRPr="001000CC">
        <w:t xml:space="preserve"> development studies, comparative politics, and international relations regularly incorporate </w:t>
      </w:r>
      <w:r w:rsidR="001630DC">
        <w:t>TNGO</w:t>
      </w:r>
      <w:r w:rsidR="001630DC" w:rsidRPr="001000CC">
        <w:t xml:space="preserve">s as units of analysis, they are concerned with the external environment rather than the inner-workings of such organizations. Theories of decision-making include individual level and organization level explanations, yet they overlook international case studies. Nonprofit studies, public management, and public administration highlight the significance of administration and links to the policy sphere, but overwhelmingly focus on Western cases. </w:t>
      </w:r>
      <w:r w:rsidR="00E820EF">
        <w:t xml:space="preserve">Consequently, this dissertation offers first steps toward not only understanding location decision-making, but also an opportunity to compare and test the generalizability of nonprofit theories. </w:t>
      </w:r>
    </w:p>
    <w:p w:rsidR="001630DC" w:rsidRDefault="001630DC" w:rsidP="001630DC">
      <w:pPr>
        <w:spacing w:line="480" w:lineRule="auto"/>
      </w:pPr>
      <w:r w:rsidRPr="001000CC">
        <w:tab/>
      </w:r>
      <w:r w:rsidR="00BA69A1">
        <w:t>More specifically, three</w:t>
      </w:r>
      <w:r w:rsidRPr="001000CC">
        <w:t xml:space="preserve"> missed opportunities</w:t>
      </w:r>
      <w:r w:rsidR="00BA69A1">
        <w:t xml:space="preserve"> are presented by a review of the existing literature</w:t>
      </w:r>
      <w:r w:rsidRPr="001000CC">
        <w:t xml:space="preserve">. </w:t>
      </w:r>
      <w:r w:rsidR="00BA69A1">
        <w:t xml:space="preserve">Each of these missed opportunities should be incorporated into existing theory to develop more robust </w:t>
      </w:r>
      <w:r w:rsidR="008C4137">
        <w:t>explanations. First, resource dependency theory neglects external elements that should be incorporated in order to fully understand TNGO behavior. D</w:t>
      </w:r>
      <w:r w:rsidRPr="001000CC">
        <w:t xml:space="preserve">rawing together research on the external environment from development studies and comparative politics, I first examined what makes a country more or less attractive to a </w:t>
      </w:r>
      <w:r>
        <w:t>TNGO</w:t>
      </w:r>
      <w:r w:rsidRPr="001000CC">
        <w:t xml:space="preserve">. Analysis of the location of </w:t>
      </w:r>
      <w:r>
        <w:t>U.S.-based</w:t>
      </w:r>
      <w:r w:rsidRPr="001000CC">
        <w:t xml:space="preserve"> </w:t>
      </w:r>
      <w:r>
        <w:t>TNGO</w:t>
      </w:r>
      <w:r w:rsidRPr="001000CC">
        <w:t xml:space="preserve">s and country characteristics </w:t>
      </w:r>
      <w:r>
        <w:t xml:space="preserve">provided support for existing explanations for TNGO and nonprofit density, including the level of need. However, there was also clear evidence that explanations of country attractiveness and TNGO location are more complex than purely need. However, the neediest countries were not the most attractive. Instead, the operating environment and political environment are also influential. </w:t>
      </w:r>
      <w:r w:rsidR="008C4137">
        <w:t xml:space="preserve">This illustrates the challenges of existing explanations for location and decision-making in TNGOs. Their singular approach </w:t>
      </w:r>
      <w:r w:rsidR="006E38B6">
        <w:t>over-emphasizes one aspect of the environment and makes assumptions about what is most important to a TNGO. In this dissertation we see that decision-making is a multi-</w:t>
      </w:r>
      <w:r w:rsidR="00FD66DB">
        <w:t>faceted</w:t>
      </w:r>
      <w:r w:rsidR="006E38B6">
        <w:t xml:space="preserve"> endeavor that varies by organization location, and importantly by sector. As such, the narrative about TNGO location is one that considers need, safety, and potential for success. </w:t>
      </w:r>
    </w:p>
    <w:p w:rsidR="001630DC" w:rsidRDefault="001630DC" w:rsidP="001630DC">
      <w:pPr>
        <w:spacing w:line="480" w:lineRule="auto"/>
        <w:ind w:firstLine="720"/>
      </w:pPr>
      <w:r>
        <w:t>U.S.-based TNGOs are attracted to countries in which there is relative political stability compared to countries with less open regimes that engaged in coercion; for example, limitations on the freedom of speech or regimes that engage in extrajudicial killings as a means to maintain power At the same time, U.S.-based TNGOs are attracted to countries with higher degrees of conflict as well as countries with a higher number of borders. This suggests that different U.S.-based TNGOs may have higher or lower thresholds for risk tolerance. In addition, the proximity of a country to these conflicts may make a location more attractive to TNGOs possibly because of access and the stability offered by the country neighboring the conflict zone. I also posited that U.S.-based TNGOs required a certain level of infrastructure to communicate and operate. This proved to be untrue, raising a question about whether TNGOs follow infrastructure or whether infrastructure follows TNGOs. Considered as a whole, this narrative illustrates the challenges of existing explanations for TNGO location given their simplicity. Instead, location choices are more layered and complex. Although TNGOs are drawn to challenging environments, their assessments incorporate operational and political stability as well as the level of need.</w:t>
      </w:r>
    </w:p>
    <w:p w:rsidR="001630DC" w:rsidRDefault="001630DC" w:rsidP="001630DC">
      <w:pPr>
        <w:spacing w:line="480" w:lineRule="auto"/>
        <w:ind w:firstLine="720"/>
      </w:pPr>
      <w:r>
        <w:t xml:space="preserve">One finding in Chapter 2 was that there are more U.S.-based TNGOs in countries with higher levels of U.S. foreign assistance. This is unsurprising when one considers the number of TNGOs with federal grants or contracts or the sheer number of foreign assistance dollars available, however, it begs the question of donor influence. Are the location decisions of U.S.-based TNGOs influenced by government attention to particular countries? Turning to research on resource dependency among nonprofits and TNGOs, Chapter 3 examined whether signals from the U.S. government in key speeches and documents influenced U.S.-based TNGO location. There is a clear and strong relationship between TNGO location and country mentions in strategic documents. </w:t>
      </w:r>
    </w:p>
    <w:p w:rsidR="001630DC" w:rsidRDefault="001630DC" w:rsidP="001630DC">
      <w:pPr>
        <w:spacing w:line="480" w:lineRule="auto"/>
        <w:ind w:firstLine="720"/>
      </w:pPr>
      <w:r>
        <w:t xml:space="preserve">Certain organizational characteristics made a TNGO more or less likely to be in a country that received government attention. Faith-based TNGOs were less likely to be in strategic initiative countries, providing evidence that supports previous findings concerning the relationship between government and faith-based organizations. Some sectors are also more likely to be in strategic countries, including TNGOs focused on agriculture and development. Older TNGOs are also more likely to operate in countries cited by the U.S. government. </w:t>
      </w:r>
    </w:p>
    <w:p w:rsidR="001630DC" w:rsidRDefault="001630DC" w:rsidP="001630DC">
      <w:pPr>
        <w:spacing w:line="480" w:lineRule="auto"/>
        <w:ind w:firstLine="720"/>
      </w:pPr>
      <w:r>
        <w:t xml:space="preserve">The directionality of the relationship was unclear though. Were TNGOs acting as advocates that attracted government attention? Were TNGOs truly resource dependent and therefore subject to donor influence? Or is the explanation simply that TNGOs and the U.S. government have similar assessment strategies and interests where foreign assistance is concerned? To delve deeper into this relationship, data from the second chapter on country characteristics was incorporated into the analysis of government attention. </w:t>
      </w:r>
    </w:p>
    <w:p w:rsidR="001630DC" w:rsidRDefault="001630DC" w:rsidP="001630DC">
      <w:pPr>
        <w:spacing w:line="480" w:lineRule="auto"/>
        <w:ind w:firstLine="720"/>
      </w:pPr>
      <w:r>
        <w:t xml:space="preserve">In the second model, government attention to a country was measured as the number of times that country was mentioned in a particular year rather than as a dummy variable. In this test, the number of times a country was mentioned in strategic documents was negatively correlated with the total number of U.S.-based TNGOs in that country, meaning there are fewer U.S.-based TNGOs in countries that are frequently mentioned by the U.S. government. Considered in conjunction with the first set of findings, this suggests that TNGOs possess greater agency than resource dependency grants. Instead TNGOs assess location using more than resources. However, government attention may have more influence for certain countries or causes. It also likely matters more for organizations with an existing relationship with a government agency or for those with lower revenue diversification. </w:t>
      </w:r>
    </w:p>
    <w:p w:rsidR="001630DC" w:rsidRDefault="001630DC" w:rsidP="001630DC">
      <w:pPr>
        <w:spacing w:line="480" w:lineRule="auto"/>
        <w:ind w:firstLine="720"/>
      </w:pPr>
      <w:r>
        <w:t xml:space="preserve">The findings of the first two empirical chapters prodded further exploration. Combining literatures on organizational structure, nonprofit identity, federative organizations, and multi-national corporations, Chapter 4 develops a framework of TNGO organizational structure, communication, and decision-making. This framework draws from contingency theory to propose four models of decision-making and organizational structure based on the environmental complexity and resource availability. Contingency theory posits that organizational structure is dependent upon local resources and environmental complexity. To transfer to TNGOs, certain adaptations have to be made to the framework. This includes the addition of social enterprise as an organizational structure. The framework was further adapted based on interviews with international development TNGOs conducted in Uganda. </w:t>
      </w:r>
    </w:p>
    <w:p w:rsidR="001630DC" w:rsidRDefault="001630DC" w:rsidP="001630DC">
      <w:pPr>
        <w:spacing w:line="480" w:lineRule="auto"/>
        <w:ind w:firstLine="720"/>
      </w:pPr>
      <w:r>
        <w:t>TNGOs may organize in one of four ways: centralized, federative, hybrid/integrative, or social entrepreneurship. Each structure is characterized by different levels of autonomy for country offices, socialization within the organization, and formalization. This shapes the internal dynamics of the organization, including who makes decisions and how these are communicated. For example, centralized organizations exhibit the lowest autonomy for country offices, whereas federative and hybrid organizations exhibit the highest level of autonomy for country offices. This suggests that organizations with less opportunity to raise funds at the country level or organizations in which resources are already concentrated at headquarters are more likely to be centralized structures that follow a top-down decision-ma</w:t>
      </w:r>
      <w:r w:rsidR="0030652A">
        <w:t>king and communication process.</w:t>
      </w:r>
    </w:p>
    <w:tbl>
      <w:tblPr>
        <w:tblpPr w:leftFromText="180" w:rightFromText="180" w:vertAnchor="text" w:horzAnchor="page" w:tblpX="4105" w:tblpY="386"/>
        <w:tblW w:w="49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424"/>
      </w:tblGrid>
      <w:tr w:rsidR="00313C0A" w:rsidRPr="00AD1A9A">
        <w:tc>
          <w:tcPr>
            <w:tcW w:w="2528" w:type="dxa"/>
            <w:tcBorders>
              <w:top w:val="single" w:sz="6" w:space="0" w:color="auto"/>
              <w:left w:val="single" w:sz="6" w:space="0" w:color="auto"/>
              <w:bottom w:val="single" w:sz="6" w:space="0" w:color="auto"/>
              <w:right w:val="single" w:sz="6" w:space="0" w:color="auto"/>
            </w:tcBorders>
            <w:shd w:val="clear" w:color="auto" w:fill="auto"/>
          </w:tcPr>
          <w:p w:rsidR="00313C0A" w:rsidRDefault="00313C0A" w:rsidP="00313C0A">
            <w:pPr>
              <w:jc w:val="center"/>
              <w:textAlignment w:val="baseline"/>
              <w:rPr>
                <w:b/>
                <w:bCs/>
                <w:sz w:val="20"/>
                <w:szCs w:val="20"/>
              </w:rPr>
            </w:pPr>
            <w:r w:rsidRPr="00201ADC">
              <w:rPr>
                <w:b/>
                <w:bCs/>
                <w:sz w:val="20"/>
                <w:szCs w:val="20"/>
              </w:rPr>
              <w:t>Integrative / Hybrid</w:t>
            </w:r>
          </w:p>
          <w:p w:rsidR="00313C0A" w:rsidRPr="00201ADC" w:rsidRDefault="00313C0A" w:rsidP="00313C0A">
            <w:pPr>
              <w:jc w:val="center"/>
              <w:textAlignment w:val="baseline"/>
              <w:rPr>
                <w:rFonts w:ascii="Tahoma" w:hAnsi="Tahoma" w:cs="Tahoma"/>
                <w:sz w:val="20"/>
                <w:szCs w:val="20"/>
              </w:rPr>
            </w:pPr>
          </w:p>
          <w:p w:rsidR="00313C0A" w:rsidRPr="00201ADC" w:rsidRDefault="00313C0A" w:rsidP="00313C0A">
            <w:pPr>
              <w:jc w:val="center"/>
              <w:textAlignment w:val="baseline"/>
              <w:rPr>
                <w:rFonts w:ascii="Tahoma" w:hAnsi="Tahoma" w:cs="Tahoma"/>
                <w:sz w:val="20"/>
                <w:szCs w:val="20"/>
              </w:rPr>
            </w:pPr>
            <w:r w:rsidRPr="00201ADC">
              <w:rPr>
                <w:sz w:val="20"/>
                <w:szCs w:val="20"/>
              </w:rPr>
              <w:t>Low Centralization</w:t>
            </w:r>
          </w:p>
          <w:p w:rsidR="00313C0A" w:rsidRPr="00201ADC" w:rsidRDefault="00313C0A" w:rsidP="00313C0A">
            <w:pPr>
              <w:jc w:val="center"/>
              <w:textAlignment w:val="baseline"/>
              <w:rPr>
                <w:rFonts w:ascii="Tahoma" w:hAnsi="Tahoma" w:cs="Tahoma"/>
                <w:sz w:val="20"/>
                <w:szCs w:val="20"/>
              </w:rPr>
            </w:pPr>
            <w:r w:rsidRPr="00201ADC">
              <w:rPr>
                <w:sz w:val="20"/>
                <w:szCs w:val="20"/>
              </w:rPr>
              <w:t>Moderate Formalization</w:t>
            </w:r>
          </w:p>
          <w:p w:rsidR="00313C0A" w:rsidRPr="00201ADC" w:rsidRDefault="00313C0A" w:rsidP="00313C0A">
            <w:pPr>
              <w:jc w:val="center"/>
              <w:textAlignment w:val="baseline"/>
              <w:rPr>
                <w:rFonts w:ascii="Tahoma" w:hAnsi="Tahoma" w:cs="Tahoma"/>
                <w:sz w:val="20"/>
                <w:szCs w:val="20"/>
              </w:rPr>
            </w:pPr>
            <w:r w:rsidRPr="00201ADC">
              <w:rPr>
                <w:sz w:val="20"/>
                <w:szCs w:val="20"/>
              </w:rPr>
              <w:t>High Socialization</w:t>
            </w:r>
          </w:p>
        </w:tc>
        <w:tc>
          <w:tcPr>
            <w:tcW w:w="2424" w:type="dxa"/>
            <w:tcBorders>
              <w:top w:val="single" w:sz="6" w:space="0" w:color="auto"/>
              <w:left w:val="outset" w:sz="6" w:space="0" w:color="auto"/>
              <w:bottom w:val="single" w:sz="6" w:space="0" w:color="auto"/>
              <w:right w:val="single" w:sz="6" w:space="0" w:color="auto"/>
            </w:tcBorders>
            <w:shd w:val="clear" w:color="auto" w:fill="auto"/>
          </w:tcPr>
          <w:p w:rsidR="00313C0A" w:rsidRDefault="00313C0A" w:rsidP="00313C0A">
            <w:pPr>
              <w:jc w:val="center"/>
              <w:textAlignment w:val="baseline"/>
              <w:rPr>
                <w:b/>
                <w:bCs/>
                <w:sz w:val="20"/>
                <w:szCs w:val="20"/>
              </w:rPr>
            </w:pPr>
            <w:r w:rsidRPr="00201ADC">
              <w:rPr>
                <w:b/>
                <w:bCs/>
                <w:sz w:val="20"/>
                <w:szCs w:val="20"/>
              </w:rPr>
              <w:t>Social Enterprise</w:t>
            </w:r>
          </w:p>
          <w:p w:rsidR="00313C0A" w:rsidRPr="00201ADC" w:rsidRDefault="00313C0A" w:rsidP="00313C0A">
            <w:pPr>
              <w:jc w:val="center"/>
              <w:textAlignment w:val="baseline"/>
              <w:rPr>
                <w:rFonts w:ascii="Tahoma" w:hAnsi="Tahoma" w:cs="Tahoma"/>
                <w:sz w:val="20"/>
                <w:szCs w:val="20"/>
              </w:rPr>
            </w:pPr>
          </w:p>
          <w:p w:rsidR="00313C0A" w:rsidRPr="00201ADC" w:rsidRDefault="00313C0A" w:rsidP="00313C0A">
            <w:pPr>
              <w:jc w:val="center"/>
              <w:textAlignment w:val="baseline"/>
              <w:rPr>
                <w:rFonts w:ascii="Tahoma" w:hAnsi="Tahoma" w:cs="Tahoma"/>
                <w:sz w:val="20"/>
                <w:szCs w:val="20"/>
              </w:rPr>
            </w:pPr>
            <w:r w:rsidRPr="00201ADC">
              <w:rPr>
                <w:sz w:val="20"/>
                <w:szCs w:val="20"/>
              </w:rPr>
              <w:t>High Centralization</w:t>
            </w:r>
          </w:p>
          <w:p w:rsidR="00313C0A" w:rsidRPr="00201ADC" w:rsidRDefault="00313C0A" w:rsidP="00313C0A">
            <w:pPr>
              <w:jc w:val="center"/>
              <w:textAlignment w:val="baseline"/>
              <w:rPr>
                <w:rFonts w:ascii="Tahoma" w:hAnsi="Tahoma" w:cs="Tahoma"/>
                <w:sz w:val="20"/>
                <w:szCs w:val="20"/>
              </w:rPr>
            </w:pPr>
            <w:r w:rsidRPr="00201ADC">
              <w:rPr>
                <w:sz w:val="20"/>
                <w:szCs w:val="20"/>
              </w:rPr>
              <w:t>Moderate Formalization</w:t>
            </w:r>
          </w:p>
          <w:p w:rsidR="00313C0A" w:rsidRPr="00201ADC" w:rsidRDefault="00313C0A" w:rsidP="00313C0A">
            <w:pPr>
              <w:jc w:val="center"/>
              <w:textAlignment w:val="baseline"/>
              <w:rPr>
                <w:rFonts w:ascii="Tahoma" w:hAnsi="Tahoma" w:cs="Tahoma"/>
                <w:sz w:val="20"/>
                <w:szCs w:val="20"/>
              </w:rPr>
            </w:pPr>
            <w:r w:rsidRPr="00201ADC">
              <w:rPr>
                <w:sz w:val="20"/>
                <w:szCs w:val="20"/>
              </w:rPr>
              <w:t>High Socialization</w:t>
            </w:r>
          </w:p>
        </w:tc>
      </w:tr>
      <w:tr w:rsidR="00313C0A" w:rsidRPr="00AD1A9A">
        <w:tc>
          <w:tcPr>
            <w:tcW w:w="2528" w:type="dxa"/>
            <w:tcBorders>
              <w:top w:val="outset" w:sz="6" w:space="0" w:color="auto"/>
              <w:left w:val="single" w:sz="6" w:space="0" w:color="auto"/>
              <w:bottom w:val="single" w:sz="6" w:space="0" w:color="auto"/>
              <w:right w:val="single" w:sz="6" w:space="0" w:color="auto"/>
            </w:tcBorders>
            <w:shd w:val="clear" w:color="auto" w:fill="auto"/>
          </w:tcPr>
          <w:p w:rsidR="00313C0A" w:rsidRDefault="00313C0A" w:rsidP="00313C0A">
            <w:pPr>
              <w:jc w:val="center"/>
              <w:textAlignment w:val="baseline"/>
              <w:rPr>
                <w:b/>
                <w:bCs/>
                <w:sz w:val="20"/>
                <w:szCs w:val="20"/>
              </w:rPr>
            </w:pPr>
            <w:r w:rsidRPr="00201ADC">
              <w:rPr>
                <w:b/>
                <w:bCs/>
                <w:sz w:val="20"/>
                <w:szCs w:val="20"/>
              </w:rPr>
              <w:t>Hierarchy / Centralized</w:t>
            </w:r>
          </w:p>
          <w:p w:rsidR="00313C0A" w:rsidRPr="00201ADC" w:rsidRDefault="00313C0A" w:rsidP="00313C0A">
            <w:pPr>
              <w:jc w:val="center"/>
              <w:textAlignment w:val="baseline"/>
              <w:rPr>
                <w:rFonts w:ascii="Tahoma" w:hAnsi="Tahoma" w:cs="Tahoma"/>
                <w:sz w:val="20"/>
                <w:szCs w:val="20"/>
              </w:rPr>
            </w:pPr>
          </w:p>
          <w:p w:rsidR="00313C0A" w:rsidRPr="00201ADC" w:rsidRDefault="00313C0A" w:rsidP="00313C0A">
            <w:pPr>
              <w:jc w:val="center"/>
              <w:textAlignment w:val="baseline"/>
              <w:rPr>
                <w:rFonts w:ascii="Tahoma" w:hAnsi="Tahoma" w:cs="Tahoma"/>
                <w:sz w:val="20"/>
                <w:szCs w:val="20"/>
              </w:rPr>
            </w:pPr>
            <w:r w:rsidRPr="00201ADC">
              <w:rPr>
                <w:sz w:val="20"/>
                <w:szCs w:val="20"/>
              </w:rPr>
              <w:t>High Centralization</w:t>
            </w:r>
          </w:p>
          <w:p w:rsidR="00313C0A" w:rsidRPr="00201ADC" w:rsidRDefault="00313C0A" w:rsidP="00313C0A">
            <w:pPr>
              <w:jc w:val="center"/>
              <w:textAlignment w:val="baseline"/>
              <w:rPr>
                <w:rFonts w:ascii="Tahoma" w:hAnsi="Tahoma" w:cs="Tahoma"/>
                <w:sz w:val="20"/>
                <w:szCs w:val="20"/>
              </w:rPr>
            </w:pPr>
            <w:r w:rsidRPr="00201ADC">
              <w:rPr>
                <w:sz w:val="20"/>
                <w:szCs w:val="20"/>
              </w:rPr>
              <w:t>Low Formalization</w:t>
            </w:r>
          </w:p>
          <w:p w:rsidR="00313C0A" w:rsidRPr="00201ADC" w:rsidRDefault="00313C0A" w:rsidP="00313C0A">
            <w:pPr>
              <w:jc w:val="center"/>
              <w:textAlignment w:val="baseline"/>
              <w:rPr>
                <w:rFonts w:ascii="Tahoma" w:hAnsi="Tahoma" w:cs="Tahoma"/>
                <w:sz w:val="20"/>
                <w:szCs w:val="20"/>
              </w:rPr>
            </w:pPr>
            <w:r w:rsidRPr="00201ADC">
              <w:rPr>
                <w:sz w:val="20"/>
                <w:szCs w:val="20"/>
              </w:rPr>
              <w:t>Low Socialization</w:t>
            </w:r>
          </w:p>
        </w:tc>
        <w:tc>
          <w:tcPr>
            <w:tcW w:w="2424" w:type="dxa"/>
            <w:tcBorders>
              <w:top w:val="outset" w:sz="6" w:space="0" w:color="auto"/>
              <w:left w:val="outset" w:sz="6" w:space="0" w:color="auto"/>
              <w:bottom w:val="single" w:sz="6" w:space="0" w:color="auto"/>
              <w:right w:val="single" w:sz="6" w:space="0" w:color="auto"/>
            </w:tcBorders>
            <w:shd w:val="clear" w:color="auto" w:fill="auto"/>
          </w:tcPr>
          <w:p w:rsidR="00313C0A" w:rsidRDefault="00313C0A" w:rsidP="00313C0A">
            <w:pPr>
              <w:jc w:val="center"/>
              <w:textAlignment w:val="baseline"/>
              <w:rPr>
                <w:b/>
                <w:bCs/>
                <w:sz w:val="20"/>
                <w:szCs w:val="20"/>
              </w:rPr>
            </w:pPr>
            <w:r w:rsidRPr="00201ADC">
              <w:rPr>
                <w:b/>
                <w:bCs/>
                <w:sz w:val="20"/>
                <w:szCs w:val="20"/>
              </w:rPr>
              <w:t>Federative / Decentralized</w:t>
            </w:r>
          </w:p>
          <w:p w:rsidR="00313C0A" w:rsidRPr="00201ADC" w:rsidRDefault="00313C0A" w:rsidP="00313C0A">
            <w:pPr>
              <w:jc w:val="center"/>
              <w:textAlignment w:val="baseline"/>
              <w:rPr>
                <w:rFonts w:ascii="Tahoma" w:hAnsi="Tahoma" w:cs="Tahoma"/>
                <w:sz w:val="20"/>
                <w:szCs w:val="20"/>
              </w:rPr>
            </w:pPr>
          </w:p>
          <w:p w:rsidR="00313C0A" w:rsidRPr="00201ADC" w:rsidRDefault="00313C0A" w:rsidP="00313C0A">
            <w:pPr>
              <w:jc w:val="center"/>
              <w:textAlignment w:val="baseline"/>
              <w:rPr>
                <w:rFonts w:ascii="Tahoma" w:hAnsi="Tahoma" w:cs="Tahoma"/>
                <w:sz w:val="20"/>
                <w:szCs w:val="20"/>
              </w:rPr>
            </w:pPr>
            <w:r w:rsidRPr="00201ADC">
              <w:rPr>
                <w:sz w:val="20"/>
                <w:szCs w:val="20"/>
              </w:rPr>
              <w:t>Low Centralization</w:t>
            </w:r>
          </w:p>
          <w:p w:rsidR="00313C0A" w:rsidRPr="00201ADC" w:rsidRDefault="00313C0A" w:rsidP="00313C0A">
            <w:pPr>
              <w:jc w:val="center"/>
              <w:textAlignment w:val="baseline"/>
              <w:rPr>
                <w:rFonts w:ascii="Tahoma" w:hAnsi="Tahoma" w:cs="Tahoma"/>
                <w:sz w:val="20"/>
                <w:szCs w:val="20"/>
              </w:rPr>
            </w:pPr>
            <w:r w:rsidRPr="00201ADC">
              <w:rPr>
                <w:sz w:val="20"/>
                <w:szCs w:val="20"/>
              </w:rPr>
              <w:t>High Formalization</w:t>
            </w:r>
          </w:p>
          <w:p w:rsidR="00313C0A" w:rsidRPr="00201ADC" w:rsidRDefault="00313C0A" w:rsidP="00313C0A">
            <w:pPr>
              <w:jc w:val="center"/>
              <w:textAlignment w:val="baseline"/>
              <w:rPr>
                <w:rFonts w:ascii="Tahoma" w:hAnsi="Tahoma" w:cs="Tahoma"/>
                <w:sz w:val="20"/>
                <w:szCs w:val="20"/>
              </w:rPr>
            </w:pPr>
            <w:r w:rsidRPr="00201ADC">
              <w:rPr>
                <w:sz w:val="20"/>
                <w:szCs w:val="20"/>
              </w:rPr>
              <w:t>Low Socialization</w:t>
            </w:r>
          </w:p>
        </w:tc>
      </w:tr>
    </w:tbl>
    <w:p w:rsidR="001630DC" w:rsidRDefault="001630DC" w:rsidP="00FD66DB">
      <w:pPr>
        <w:spacing w:line="480" w:lineRule="auto"/>
      </w:pPr>
    </w:p>
    <w:p w:rsidR="001630DC" w:rsidRDefault="00BC20CD" w:rsidP="001630DC">
      <w:pPr>
        <w:spacing w:line="480" w:lineRule="auto"/>
      </w:pPr>
      <w:r>
        <w:rPr>
          <w:b/>
          <w:noProof/>
        </w:rPr>
        <mc:AlternateContent>
          <mc:Choice Requires="wps">
            <w:drawing>
              <wp:anchor distT="0" distB="0" distL="114300" distR="114300" simplePos="0" relativeHeight="251682304" behindDoc="0" locked="0" layoutInCell="1" allowOverlap="1">
                <wp:simplePos x="0" y="0"/>
                <wp:positionH relativeFrom="column">
                  <wp:posOffset>228600</wp:posOffset>
                </wp:positionH>
                <wp:positionV relativeFrom="paragraph">
                  <wp:posOffset>122555</wp:posOffset>
                </wp:positionV>
                <wp:extent cx="1028700" cy="1143000"/>
                <wp:effectExtent l="0" t="0" r="0" b="0"/>
                <wp:wrapSquare wrapText="bothSides"/>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11430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F43496" w:rsidRPr="00201ADC" w:rsidRDefault="00F43496" w:rsidP="001630DC">
                            <w:pPr>
                              <w:pStyle w:val="paragraph"/>
                              <w:spacing w:before="0" w:beforeAutospacing="0" w:after="0" w:afterAutospacing="0"/>
                              <w:ind w:firstLine="720"/>
                              <w:textAlignment w:val="baseline"/>
                              <w:rPr>
                                <w:rFonts w:ascii="Tahoma" w:hAnsi="Tahoma" w:cs="Tahoma"/>
                              </w:rPr>
                            </w:pPr>
                            <w:r w:rsidRPr="00201ADC">
                              <w:rPr>
                                <w:rStyle w:val="normaltextrun"/>
                                <w:rFonts w:ascii="Times New Roman" w:hAnsi="Times New Roman"/>
                              </w:rPr>
                              <w:t>(high)</w:t>
                            </w:r>
                            <w:r w:rsidRPr="00201ADC">
                              <w:rPr>
                                <w:rStyle w:val="eop"/>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eop"/>
                                <w:rFonts w:ascii="Calibri" w:hAnsi="Calibri" w:cs="Tahoma"/>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normaltextrun"/>
                                <w:rFonts w:ascii="Times New Roman" w:hAnsi="Times New Roman"/>
                                <w:b/>
                                <w:bCs/>
                              </w:rPr>
                              <w:t>Environment</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normaltextrun"/>
                                <w:rFonts w:ascii="Times New Roman" w:hAnsi="Times New Roman"/>
                                <w:b/>
                                <w:bCs/>
                              </w:rPr>
                              <w:t>Complexity</w:t>
                            </w:r>
                            <w:r w:rsidRPr="00201ADC">
                              <w:rPr>
                                <w:rStyle w:val="eop"/>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eop"/>
                                <w:rFonts w:ascii="Calibri" w:hAnsi="Calibri" w:cs="Tahoma"/>
                              </w:rPr>
                              <w:t> </w:t>
                            </w:r>
                          </w:p>
                          <w:p w:rsidR="00F43496" w:rsidRPr="00201ADC" w:rsidRDefault="00F43496" w:rsidP="001630DC">
                            <w:pPr>
                              <w:pStyle w:val="paragraph"/>
                              <w:spacing w:before="0" w:beforeAutospacing="0" w:after="0" w:afterAutospacing="0"/>
                              <w:ind w:left="720"/>
                              <w:textAlignment w:val="baseline"/>
                              <w:rPr>
                                <w:rFonts w:ascii="Tahoma" w:hAnsi="Tahoma" w:cs="Tahoma"/>
                              </w:rPr>
                            </w:pPr>
                            <w:r w:rsidRPr="00201ADC">
                              <w:rPr>
                                <w:rStyle w:val="normaltextrun"/>
                                <w:rFonts w:ascii="Times New Roman" w:hAnsi="Times New Roman"/>
                              </w:rPr>
                              <w:t>(low)</w:t>
                            </w:r>
                          </w:p>
                          <w:p w:rsidR="00F43496" w:rsidRPr="00201ADC" w:rsidRDefault="00F43496" w:rsidP="001630DC">
                            <w:pPr>
                              <w:spacing w:line="480" w:lineRule="auto"/>
                              <w:ind w:firstLine="720"/>
                              <w:rPr>
                                <w:sz w:val="20"/>
                                <w:szCs w:val="20"/>
                              </w:rPr>
                            </w:pPr>
                          </w:p>
                          <w:p w:rsidR="00F43496" w:rsidRPr="00201ADC" w:rsidRDefault="00F4349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47" type="#_x0000_t202" style="position:absolute;margin-left:18pt;margin-top:9.65pt;width:81pt;height:9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" filled="f" stroked="f">
                <v:path arrowok="t"/>
                <v:textbox>
                  <w:txbxContent>
                    <w:p w:rsidR="00F43496" w:rsidRPr="00201ADC" w:rsidRDefault="00F43496" w:rsidP="001630DC">
                      <w:pPr>
                        <w:pStyle w:val="paragraph"/>
                        <w:spacing w:before="0" w:beforeAutospacing="0" w:after="0" w:afterAutospacing="0"/>
                        <w:ind w:firstLine="720"/>
                        <w:textAlignment w:val="baseline"/>
                        <w:rPr>
                          <w:rFonts w:ascii="Tahoma" w:hAnsi="Tahoma" w:cs="Tahoma"/>
                        </w:rPr>
                      </w:pPr>
                      <w:r w:rsidRPr="00201ADC">
                        <w:rPr>
                          <w:rStyle w:val="normaltextrun"/>
                          <w:rFonts w:ascii="Times New Roman" w:hAnsi="Times New Roman"/>
                        </w:rPr>
                        <w:t>(high)</w:t>
                      </w:r>
                      <w:r w:rsidRPr="00201ADC">
                        <w:rPr>
                          <w:rStyle w:val="eop"/>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eop"/>
                          <w:rFonts w:ascii="Calibri" w:hAnsi="Calibri" w:cs="Tahoma"/>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normaltextrun"/>
                          <w:rFonts w:ascii="Times New Roman" w:hAnsi="Times New Roman"/>
                          <w:b/>
                          <w:bCs/>
                        </w:rPr>
                        <w:t>Environment</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normaltextrun"/>
                          <w:rFonts w:ascii="Times New Roman" w:hAnsi="Times New Roman"/>
                          <w:b/>
                          <w:bCs/>
                        </w:rPr>
                        <w:t>Complexity</w:t>
                      </w:r>
                      <w:r w:rsidRPr="00201ADC">
                        <w:rPr>
                          <w:rStyle w:val="eop"/>
                        </w:rPr>
                        <w:t> </w:t>
                      </w:r>
                    </w:p>
                    <w:p w:rsidR="00F43496" w:rsidRPr="00201ADC" w:rsidRDefault="00F43496" w:rsidP="001630DC">
                      <w:pPr>
                        <w:pStyle w:val="paragraph"/>
                        <w:spacing w:before="0" w:beforeAutospacing="0" w:after="0" w:afterAutospacing="0"/>
                        <w:textAlignment w:val="baseline"/>
                        <w:rPr>
                          <w:rFonts w:ascii="Tahoma" w:hAnsi="Tahoma" w:cs="Tahoma"/>
                        </w:rPr>
                      </w:pPr>
                      <w:r w:rsidRPr="00201ADC">
                        <w:rPr>
                          <w:rStyle w:val="eop"/>
                          <w:rFonts w:ascii="Calibri" w:hAnsi="Calibri" w:cs="Tahoma"/>
                        </w:rPr>
                        <w:t> </w:t>
                      </w:r>
                    </w:p>
                    <w:p w:rsidR="00F43496" w:rsidRPr="00201ADC" w:rsidRDefault="00F43496" w:rsidP="001630DC">
                      <w:pPr>
                        <w:pStyle w:val="paragraph"/>
                        <w:spacing w:before="0" w:beforeAutospacing="0" w:after="0" w:afterAutospacing="0"/>
                        <w:ind w:left="720"/>
                        <w:textAlignment w:val="baseline"/>
                        <w:rPr>
                          <w:rFonts w:ascii="Tahoma" w:hAnsi="Tahoma" w:cs="Tahoma"/>
                        </w:rPr>
                      </w:pPr>
                      <w:r w:rsidRPr="00201ADC">
                        <w:rPr>
                          <w:rStyle w:val="normaltextrun"/>
                          <w:rFonts w:ascii="Times New Roman" w:hAnsi="Times New Roman"/>
                        </w:rPr>
                        <w:t>(low)</w:t>
                      </w:r>
                    </w:p>
                    <w:p w:rsidR="00F43496" w:rsidRPr="00201ADC" w:rsidRDefault="00F43496" w:rsidP="001630DC">
                      <w:pPr>
                        <w:spacing w:line="480" w:lineRule="auto"/>
                        <w:ind w:firstLine="720"/>
                        <w:rPr>
                          <w:sz w:val="20"/>
                          <w:szCs w:val="20"/>
                        </w:rPr>
                      </w:pPr>
                    </w:p>
                    <w:p w:rsidR="00F43496" w:rsidRPr="00201ADC" w:rsidRDefault="00F43496">
                      <w:pPr>
                        <w:rPr>
                          <w:sz w:val="20"/>
                          <w:szCs w:val="20"/>
                        </w:rPr>
                      </w:pPr>
                    </w:p>
                  </w:txbxContent>
                </v:textbox>
                <w10:wrap type="square"/>
              </v:shape>
            </w:pict>
          </mc:Fallback>
        </mc:AlternateContent>
      </w:r>
    </w:p>
    <w:p w:rsidR="001630DC" w:rsidRDefault="001630DC" w:rsidP="001630DC">
      <w:pPr>
        <w:spacing w:line="480" w:lineRule="auto"/>
      </w:pPr>
    </w:p>
    <w:p w:rsidR="001630DC" w:rsidRDefault="001630DC" w:rsidP="001630DC">
      <w:pPr>
        <w:jc w:val="center"/>
        <w:rPr>
          <w:b/>
        </w:rPr>
      </w:pPr>
    </w:p>
    <w:p w:rsidR="001630DC" w:rsidRDefault="001630DC" w:rsidP="001630DC">
      <w:pPr>
        <w:jc w:val="center"/>
        <w:rPr>
          <w:b/>
        </w:rPr>
      </w:pPr>
    </w:p>
    <w:p w:rsidR="001630DC" w:rsidRDefault="001630DC" w:rsidP="001630DC">
      <w:pPr>
        <w:jc w:val="center"/>
        <w:rPr>
          <w:b/>
        </w:rPr>
      </w:pPr>
    </w:p>
    <w:p w:rsidR="00E203F8" w:rsidRDefault="00E203F8" w:rsidP="001630DC">
      <w:pPr>
        <w:pStyle w:val="paragraph"/>
        <w:spacing w:before="0" w:beforeAutospacing="0" w:after="0" w:afterAutospacing="0"/>
        <w:ind w:firstLine="2880"/>
        <w:textAlignment w:val="baseline"/>
        <w:rPr>
          <w:rStyle w:val="normaltextrun"/>
          <w:rFonts w:ascii="Times New Roman" w:hAnsi="Times New Roman"/>
        </w:rPr>
      </w:pPr>
      <w:r>
        <w:rPr>
          <w:rStyle w:val="normaltextrun"/>
          <w:rFonts w:ascii="Times New Roman" w:hAnsi="Times New Roman"/>
        </w:rPr>
        <w:t xml:space="preserve">         </w:t>
      </w:r>
    </w:p>
    <w:p w:rsidR="00E203F8" w:rsidRDefault="00E203F8" w:rsidP="00E203F8">
      <w:pPr>
        <w:pStyle w:val="paragraph"/>
        <w:spacing w:before="0" w:beforeAutospacing="0" w:after="0" w:afterAutospacing="0"/>
        <w:ind w:firstLine="2880"/>
        <w:textAlignment w:val="baseline"/>
        <w:rPr>
          <w:rStyle w:val="normaltextrun"/>
          <w:rFonts w:ascii="Times New Roman" w:hAnsi="Times New Roman"/>
        </w:rPr>
      </w:pPr>
      <w:r>
        <w:rPr>
          <w:rStyle w:val="normaltextrun"/>
          <w:rFonts w:ascii="Times New Roman" w:hAnsi="Times New Roman"/>
        </w:rPr>
        <w:t xml:space="preserve">   </w:t>
      </w:r>
    </w:p>
    <w:p w:rsidR="001630DC" w:rsidRDefault="002F33C7" w:rsidP="001630DC">
      <w:pPr>
        <w:jc w:val="center"/>
        <w:rPr>
          <w:b/>
          <w:bCs/>
          <w:sz w:val="22"/>
          <w:shd w:val="clear" w:color="auto" w:fill="FFFFFF"/>
        </w:rPr>
      </w:pPr>
      <w:r>
        <w:rPr>
          <w:b/>
          <w:bCs/>
          <w:noProof/>
          <w:sz w:val="22"/>
          <w:shd w:val="clear" w:color="auto" w:fill="FFFFFF"/>
        </w:rPr>
        <w:drawing>
          <wp:inline distT="0" distB="0" distL="0" distR="0">
            <wp:extent cx="2506345" cy="457200"/>
            <wp:effectExtent l="25400" t="0" r="8255" b="0"/>
            <wp:docPr id="7" name="Picture 7" descr="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 4"/>
                    <pic:cNvPicPr>
                      <a:picLocks noChangeAspect="1" noChangeArrowheads="1"/>
                    </pic:cNvPicPr>
                  </pic:nvPicPr>
                  <pic:blipFill>
                    <a:blip r:embed="rId12"/>
                    <a:srcRect/>
                    <a:stretch>
                      <a:fillRect/>
                    </a:stretch>
                  </pic:blipFill>
                  <pic:spPr bwMode="auto">
                    <a:xfrm>
                      <a:off x="0" y="0"/>
                      <a:ext cx="2506345" cy="457200"/>
                    </a:xfrm>
                    <a:prstGeom prst="rect">
                      <a:avLst/>
                    </a:prstGeom>
                    <a:noFill/>
                    <a:ln w="9525">
                      <a:noFill/>
                      <a:miter lim="800000"/>
                      <a:headEnd/>
                      <a:tailEnd/>
                    </a:ln>
                  </pic:spPr>
                </pic:pic>
              </a:graphicData>
            </a:graphic>
          </wp:inline>
        </w:drawing>
      </w:r>
    </w:p>
    <w:p w:rsidR="001630DC" w:rsidRPr="00FB1D4A" w:rsidRDefault="001630DC" w:rsidP="001630DC">
      <w:pPr>
        <w:jc w:val="center"/>
        <w:rPr>
          <w:sz w:val="22"/>
        </w:rPr>
      </w:pPr>
      <w:bookmarkStart w:id="315" w:name="_Toc318115843"/>
      <w:r w:rsidRPr="00FB1D4A">
        <w:rPr>
          <w:b/>
          <w:sz w:val="22"/>
        </w:rPr>
        <w:t xml:space="preserve">Figure </w:t>
      </w:r>
      <w:r>
        <w:rPr>
          <w:b/>
          <w:sz w:val="22"/>
        </w:rPr>
        <w:t xml:space="preserve">4.4: </w:t>
      </w:r>
      <w:r w:rsidRPr="00FB1D4A">
        <w:rPr>
          <w:b/>
          <w:sz w:val="22"/>
        </w:rPr>
        <w:t xml:space="preserve">Predicted Organization Structure by Fit Adapted to </w:t>
      </w:r>
      <w:r>
        <w:rPr>
          <w:b/>
          <w:sz w:val="22"/>
        </w:rPr>
        <w:t>TNGO</w:t>
      </w:r>
      <w:r w:rsidRPr="00FB1D4A">
        <w:rPr>
          <w:b/>
          <w:sz w:val="22"/>
        </w:rPr>
        <w:t>s</w:t>
      </w:r>
      <w:bookmarkEnd w:id="315"/>
    </w:p>
    <w:p w:rsidR="001630DC" w:rsidRDefault="001630DC" w:rsidP="001630DC">
      <w:pPr>
        <w:jc w:val="center"/>
        <w:rPr>
          <w:b/>
        </w:rPr>
      </w:pPr>
    </w:p>
    <w:p w:rsidR="001630DC" w:rsidRDefault="001630DC" w:rsidP="001630DC">
      <w:pPr>
        <w:spacing w:line="480" w:lineRule="auto"/>
        <w:ind w:firstLine="720"/>
      </w:pPr>
    </w:p>
    <w:p w:rsidR="001630DC" w:rsidRDefault="001630DC" w:rsidP="001630DC">
      <w:pPr>
        <w:spacing w:line="480" w:lineRule="auto"/>
        <w:ind w:firstLine="720"/>
      </w:pPr>
      <w:r>
        <w:t>Socialization is highest in hybrid organizations, which engage in open communicat</w:t>
      </w:r>
      <w:bookmarkStart w:id="316" w:name="_GoBack"/>
      <w:bookmarkEnd w:id="316"/>
      <w:r>
        <w:t xml:space="preserve">ion and participatory decision-making. This means that feedback from the U.S. headquarters flows down to the country units, and input from country units flows back up to headquarters. This creates an incremental model of decision-making and greater equality between the organization’s units. In contrast, socialization is lowest in federative models. Country offices make decisions independent of headquarters and other units; however, there is a cohesive brand, mission, and message. This brand legitimates country units and is managed by the umbrella entity. Formalization, or how well policies and procedures are defined, is low to moderate in most instances. Federative organizations, however, are characterized by high degrees of formalization. Figure 8 illustrates the characteristics and fit for each organizational structure. </w:t>
      </w:r>
    </w:p>
    <w:p w:rsidR="001630DC" w:rsidRDefault="001630DC" w:rsidP="001630DC">
      <w:pPr>
        <w:spacing w:line="480" w:lineRule="auto"/>
        <w:ind w:firstLine="720"/>
      </w:pPr>
      <w:r>
        <w:t xml:space="preserve">This updated model takes into consideration an adapted definition of environmental complexity for U.S.-based TNGOs, including consideration of nonprofit identity and the addition of a new organizational structure. It is a first step toward understanding variation in structure among TNGOs. Such a framework is useful for understanding how TNGOs interpret identity and how fit is subject to the scope of work in which they are engaged. Furthermore, it informs the decision-making findings concerning location first and second empirical chapter by incorporating internal and external drivers of location decision-making. </w:t>
      </w:r>
    </w:p>
    <w:p w:rsidR="00FD66DB" w:rsidRPr="00B75D82" w:rsidRDefault="001630DC" w:rsidP="00B75D82">
      <w:pPr>
        <w:spacing w:line="480" w:lineRule="auto"/>
        <w:ind w:firstLine="720"/>
      </w:pPr>
      <w:r>
        <w:t xml:space="preserve">These findings provide a strong and original body of evidence that help to explain factors that influence U.S.-based TNGO location selection. By synthesizing scholarship across disciplines and taking both external and internal drivers into consideration, this dissertation provides empirical support for some pieces of existing explanations and encourages further analysis of others. In addition, the dissertation as a whole provides a foundation for building theory about TNGO decision-making related to location. </w:t>
      </w:r>
    </w:p>
    <w:p w:rsidR="00FD66DB" w:rsidRDefault="00FD66DB" w:rsidP="00504DC3">
      <w:pPr>
        <w:spacing w:line="480" w:lineRule="auto"/>
        <w:rPr>
          <w:szCs w:val="24"/>
        </w:rPr>
      </w:pPr>
    </w:p>
    <w:p w:rsidR="001630DC" w:rsidRPr="00504DC3" w:rsidRDefault="001630DC" w:rsidP="00504DC3">
      <w:pPr>
        <w:spacing w:line="480" w:lineRule="auto"/>
        <w:ind w:firstLine="720"/>
        <w:jc w:val="center"/>
      </w:pPr>
      <w:r w:rsidRPr="00FE4328">
        <w:rPr>
          <w:b/>
        </w:rPr>
        <w:t>5.2: Implications</w:t>
      </w:r>
    </w:p>
    <w:p w:rsidR="001630DC" w:rsidRDefault="001630DC" w:rsidP="001630DC">
      <w:pPr>
        <w:jc w:val="center"/>
        <w:rPr>
          <w:b/>
        </w:rPr>
      </w:pPr>
    </w:p>
    <w:p w:rsidR="001630DC" w:rsidRDefault="001630DC" w:rsidP="001630DC">
      <w:pPr>
        <w:spacing w:line="480" w:lineRule="auto"/>
      </w:pPr>
      <w:r>
        <w:rPr>
          <w:b/>
        </w:rPr>
        <w:tab/>
      </w:r>
      <w:r>
        <w:t xml:space="preserve">Scholars and practitioners who are interested in what drives TNGO density and how these decisions are made should reconsider their understanding and approach to these questions. Location decisions specifically are understudied in the scholarship summarized in this dissertation. However, location has direct implications for effectiveness and efficiency. For example, nonprofit density is often examined through the lens of program specialization. Location is equally important for donors and organizations seeking to maximize their impact and who wish to avoid duplication of services. </w:t>
      </w:r>
    </w:p>
    <w:p w:rsidR="001630DC" w:rsidRDefault="001630DC" w:rsidP="001630DC">
      <w:pPr>
        <w:spacing w:line="480" w:lineRule="auto"/>
      </w:pPr>
      <w:r>
        <w:tab/>
        <w:t>Scholars will be particularly interested in the finding concerning government attention and TNGO location as it relates to resource dependency. This presents an opportunity to further develop narratives surrounding resource dependency. It also creates an opening for advocacy research and comparative analysis of nonprofit and government attention and agenda setting.</w:t>
      </w:r>
    </w:p>
    <w:p w:rsidR="001630DC" w:rsidRDefault="001630DC" w:rsidP="001630DC">
      <w:pPr>
        <w:spacing w:line="480" w:lineRule="auto"/>
      </w:pPr>
      <w:r>
        <w:tab/>
        <w:t xml:space="preserve">The finding that TNGOs are attracted to countries that present some challenges, but are not the neediest will also be of interest to scholars and practitioners. For scholars, this offers a new avenue of exploration in service provision, especially where government failure is concerned. For practitioners and donors, it may help to build accountability and transparency. The finding that many TNGOs do not collaborate with local TNGOs, despite pushes by donors to do so, and that nationals are often limited to implementation positions will also be of interest. A better understanding of motives and environment of decision-making is important for sustainable relationships between the two. It is also necessary to maximize impact and to generate the desired long-term change. </w:t>
      </w:r>
    </w:p>
    <w:p w:rsidR="00D33107" w:rsidRDefault="001630DC" w:rsidP="001630DC">
      <w:pPr>
        <w:spacing w:line="480" w:lineRule="auto"/>
      </w:pPr>
      <w:r>
        <w:tab/>
      </w:r>
      <w:r w:rsidR="00FD66DB">
        <w:t>T</w:t>
      </w:r>
      <w:r>
        <w:t xml:space="preserve">hat TNGOs are attracted to conflict as well as countries with a greater number of borders </w:t>
      </w:r>
      <w:r w:rsidR="00FD66DB">
        <w:t>holds</w:t>
      </w:r>
      <w:r>
        <w:t xml:space="preserve"> implications for </w:t>
      </w:r>
      <w:r w:rsidR="00FD66DB">
        <w:t>scholars</w:t>
      </w:r>
      <w:r>
        <w:t xml:space="preserve"> interested in conflict, migration, and internati</w:t>
      </w:r>
      <w:r w:rsidR="00FD66DB">
        <w:t xml:space="preserve">onal relief. Those studying the logistics and </w:t>
      </w:r>
      <w:r>
        <w:t xml:space="preserve">operations of TNGOs may also be interested. For example, convenience might be redefined as access to difficult areas that are </w:t>
      </w:r>
      <w:r w:rsidR="00FD66DB">
        <w:t>also of interest to a TNGO</w:t>
      </w:r>
      <w:r>
        <w:t xml:space="preserve">. </w:t>
      </w:r>
      <w:r w:rsidR="009B1493">
        <w:t>P</w:t>
      </w:r>
      <w:r>
        <w:t>ractitioners and may benefit from further exploration of TNGO proximity to beneficiaries and borders</w:t>
      </w:r>
      <w:r w:rsidR="009B1493">
        <w:t>, particularly where difficult to reach populations are concerned</w:t>
      </w:r>
      <w:r>
        <w:t xml:space="preserve">. </w:t>
      </w:r>
      <w:r w:rsidR="009B1493">
        <w:t>This finding is also timely in light of the restrictive TNGO legislation discussed earlier as it may provide alternatives to displaced TNGOs.</w:t>
      </w:r>
      <w:r>
        <w:t xml:space="preserve"> </w:t>
      </w:r>
    </w:p>
    <w:p w:rsidR="005F761F" w:rsidRDefault="00D33107" w:rsidP="00504DC3">
      <w:pPr>
        <w:spacing w:line="480" w:lineRule="auto"/>
      </w:pPr>
      <w:r>
        <w:tab/>
      </w:r>
      <w:r w:rsidR="00FD66DB">
        <w:t>This</w:t>
      </w:r>
      <w:r>
        <w:t xml:space="preserve"> study lead</w:t>
      </w:r>
      <w:r w:rsidR="00FD66DB">
        <w:t>s</w:t>
      </w:r>
      <w:r>
        <w:t xml:space="preserve"> to a more robust theory about TNGO location. Building on singular existing theories, this research draws together explanations for decision-making, attempting to clarify location choices. I</w:t>
      </w:r>
      <w:r w:rsidR="00A91267">
        <w:t>n addition, it seeks to detail which elements matter most to TNGO location. Resource dependency is a contributing factor; survival is a challenge that many no</w:t>
      </w:r>
      <w:r w:rsidR="001A3C48">
        <w:t xml:space="preserve">nprofits face as open systems. However, TNGOs possess greater agency than it permits. Rather than a principal-agent or principal-steward dynamic, TNGOs possess preferences and choose whether </w:t>
      </w:r>
      <w:r w:rsidR="00FD66DB">
        <w:t>or not to engage</w:t>
      </w:r>
      <w:r w:rsidR="001A3C48">
        <w:t xml:space="preserve">, to be influenced as well as to influence, and a shrewdness about where their energy </w:t>
      </w:r>
      <w:r w:rsidR="005F761F">
        <w:t>and resources are best spent.</w:t>
      </w:r>
    </w:p>
    <w:p w:rsidR="004F45FB" w:rsidRDefault="004F45FB" w:rsidP="00504DC3">
      <w:pPr>
        <w:spacing w:line="480" w:lineRule="auto"/>
      </w:pPr>
    </w:p>
    <w:p w:rsidR="001630DC" w:rsidRPr="00C4343B" w:rsidRDefault="001630DC" w:rsidP="00FD66DB">
      <w:pPr>
        <w:pStyle w:val="Heading2"/>
        <w:numPr>
          <w:ilvl w:val="0"/>
          <w:numId w:val="0"/>
        </w:numPr>
        <w:jc w:val="center"/>
        <w:rPr>
          <w:b/>
          <w:color w:val="auto"/>
          <w:sz w:val="24"/>
        </w:rPr>
      </w:pPr>
      <w:bookmarkStart w:id="317" w:name="_Toc450079241"/>
      <w:r w:rsidRPr="00C4343B">
        <w:rPr>
          <w:b/>
          <w:color w:val="auto"/>
          <w:sz w:val="24"/>
        </w:rPr>
        <w:t>5.3: Future Research</w:t>
      </w:r>
      <w:bookmarkEnd w:id="317"/>
    </w:p>
    <w:p w:rsidR="001630DC" w:rsidRDefault="001630DC" w:rsidP="001630DC">
      <w:pPr>
        <w:jc w:val="center"/>
        <w:rPr>
          <w:b/>
        </w:rPr>
      </w:pPr>
    </w:p>
    <w:p w:rsidR="001630DC" w:rsidRDefault="001630DC" w:rsidP="001630DC">
      <w:pPr>
        <w:spacing w:line="480" w:lineRule="auto"/>
      </w:pPr>
      <w:r>
        <w:rPr>
          <w:b/>
        </w:rPr>
        <w:tab/>
      </w:r>
      <w:r>
        <w:t xml:space="preserve">As discussed in the previous section, the findings presented in this dissertation contribute to the fields of nonprofit studies and public administration in three ways. First, it builds theory about location decision-making among TNGOs. Second, it expands the scope of public administration by adding international country case studies. Third, it contributes international organization cases. This allows existing explanations to be tested in a multi-national and multi-sector comparison. Beyond these fields, this dissertation also contributes to development studies and comparative politics through its examination of organization structure and internal communication, creating a more complete and accurate description of TNGOs in the field. Lastly, it synthesizes literature from a range of fields that study TNGOs and incorporates external and internal drivers of location decision-making. </w:t>
      </w:r>
    </w:p>
    <w:p w:rsidR="001630DC" w:rsidRDefault="001630DC" w:rsidP="001630DC">
      <w:pPr>
        <w:spacing w:line="480" w:lineRule="auto"/>
      </w:pPr>
      <w:r>
        <w:tab/>
        <w:t>The results presented here should be treated as part of an o</w:t>
      </w:r>
      <w:r w:rsidR="00B11ABC">
        <w:t>ngo</w:t>
      </w:r>
      <w:r>
        <w:t>ing research agenda subject to additional data collection, analysis, and refinement. As a first step in this direction, a study of this type should be conducted in a cross-sector domestic context to test whether the findings are specific to international nonprofits or whether they are more broadly applicable. This research would allow researchers to test for generalizability in the nonprofit sector. It may also yield interesting findings for nonprofit density and levels of need. For example, do service oriented nonprofits locate in or near beneficiaries with the most need? Alternatively, what benefit do nonprofits that act as pioneers of economic development in gentrifying urban neighborhoods bring to long-time residents?</w:t>
      </w:r>
    </w:p>
    <w:p w:rsidR="001630DC" w:rsidRDefault="001630DC" w:rsidP="001630DC">
      <w:pPr>
        <w:spacing w:line="480" w:lineRule="auto"/>
      </w:pPr>
      <w:r>
        <w:tab/>
        <w:t>Returning to the international context, next steps in this research should include further examination of country proximity to need. Do TNGOs locate in neighboring countries for safety, stability, and access? If so, this may hold implications for the host country as well as the targeted beneficiaries. This research would shed further light on location decision-making and perhaps provide predictive power for future conflict, minimizing duplication of services and saturation.</w:t>
      </w:r>
    </w:p>
    <w:p w:rsidR="001630DC" w:rsidRDefault="001630DC" w:rsidP="001630DC">
      <w:pPr>
        <w:spacing w:line="480" w:lineRule="auto"/>
      </w:pPr>
      <w:r>
        <w:tab/>
        <w:t xml:space="preserve">A study related to conflict and a future direction for research related to this dissertation is an examination of risk tolerance across TNGOs. Rather than focusing only on conflict, this line of research should include natural disasters and complex emergencies. A survival analysis would provide an opportunity to explore which organizations join or drop out of emergencies. For example, how do TNGOs vary in their risk tolerance across sector and by emergency? This research might be used to improve response to emergencies. In addition, it could also be used to bolster accountability mechanisms through an understanding of who is present and how to best manage the response and resources in a collaborative manner. This analysis would be of interest to scholars, policymakers, and practitioners working on a number of topics. </w:t>
      </w:r>
    </w:p>
    <w:p w:rsidR="001630DC" w:rsidRDefault="001630DC" w:rsidP="001630DC">
      <w:pPr>
        <w:spacing w:line="480" w:lineRule="auto"/>
      </w:pPr>
      <w:r>
        <w:tab/>
        <w:t>A fourth direction of research is a two-part project. First, further analysis of the directionality of government attention and TNGO location is necessary. This research provides a better understanding of the drivers of location among TNGOs and a more nuanced explanation of resource dependency. Further study of location, government attention, and location should explore variation across subsectors in particular, as well as organizational characteristics. Interviews with country directors presented in the fourth chapter did not identify a clear pattern in the relationship between government attention and location, except that TNGOs with significant grants or contracts from USAID were especially influenced by that agency. Additional interviews to enlarge the sample may distill a pattern, and should certainly include U.S.-based executives and Boards of Directors. The second aspect of this research examines mission drift among TNGOs as it relates to government attention. The most obvious approach would be resource dependency. However, the finding concerning TNGO agency in Chapter 3 points in a different direction. Rather than assume resource dependency, new lines of research should approach TNGOs as entities that care both about survivability as well as mission. As such, what types of agency do TNGOs exercise? To what degree do they spin their image and proposals to fit donor requirements, and does this constitute mission drift?</w:t>
      </w:r>
    </w:p>
    <w:p w:rsidR="001630DC" w:rsidRDefault="001630DC" w:rsidP="001630DC">
      <w:pPr>
        <w:spacing w:line="480" w:lineRule="auto"/>
      </w:pPr>
      <w:r>
        <w:tab/>
        <w:t>Finally, the framework presented in Chapter 4 is ripe for further conceptual tweaking and theoretical development. More specifically, the social enterprise structure should be fully integrated into the framework. Additional empirical observations should also be employed to build out the framework. Empirical observations can then be tested to determine if the typology is accurate and what adjustments are required.</w:t>
      </w:r>
    </w:p>
    <w:p w:rsidR="001630DC" w:rsidRPr="00F656AD" w:rsidRDefault="001630DC" w:rsidP="001630DC">
      <w:pPr>
        <w:spacing w:line="480" w:lineRule="auto"/>
      </w:pPr>
      <w:r>
        <w:tab/>
        <w:t xml:space="preserve">This list is not exhaustive. There is significant room for scholarship on TNGOs in the nonprofit and public administration space that is useful to academics and practitioners alike. The questions asked in this dissertation and as part of future research do not apply only to international scopes of work. TNGOs can be examined from a domestic location or organizational culture perspective, or the questions asked here can be adapted to nonprofit organizations operating in the domestic sphere. My wish is that this dissertation serves as a starting point for future research and a guide for scholarship that has practical and theoretical implications. Most importantly, it and the research that follows should be used to improve nonprofit management and to create long-term public benefit. </w:t>
      </w:r>
      <w:r w:rsidRPr="00C4343B">
        <w:rPr>
          <w:b/>
        </w:rPr>
        <w:br w:type="page"/>
        <w:t xml:space="preserve">Appendix A: </w:t>
      </w:r>
      <w:r>
        <w:rPr>
          <w:b/>
        </w:rPr>
        <w:t>U.S.-based</w:t>
      </w:r>
      <w:r w:rsidRPr="00C4343B">
        <w:rPr>
          <w:b/>
        </w:rPr>
        <w:t xml:space="preserve"> </w:t>
      </w:r>
      <w:r>
        <w:rPr>
          <w:b/>
        </w:rPr>
        <w:t>TNGO</w:t>
      </w:r>
      <w:r w:rsidRPr="00C4343B">
        <w:rPr>
          <w:b/>
        </w:rPr>
        <w:t xml:space="preserve"> Interview Protocol</w:t>
      </w:r>
    </w:p>
    <w:p w:rsidR="001630DC" w:rsidRPr="00477D0B" w:rsidRDefault="001630DC" w:rsidP="001630DC"/>
    <w:p w:rsidR="001630DC" w:rsidRPr="00477D0B" w:rsidRDefault="001630DC" w:rsidP="001630DC">
      <w:pPr>
        <w:ind w:left="3600" w:firstLine="720"/>
        <w:jc w:val="right"/>
        <w:rPr>
          <w:szCs w:val="24"/>
          <w:u w:val="single"/>
        </w:rPr>
      </w:pPr>
      <w:r w:rsidRPr="00477D0B">
        <w:rPr>
          <w:szCs w:val="24"/>
        </w:rPr>
        <w:t>Date:</w:t>
      </w:r>
      <w:r w:rsidRPr="00477D0B">
        <w:rPr>
          <w:szCs w:val="24"/>
          <w:u w:val="single"/>
        </w:rPr>
        <w:tab/>
      </w:r>
      <w:r w:rsidRPr="00477D0B">
        <w:rPr>
          <w:szCs w:val="24"/>
          <w:u w:val="single"/>
        </w:rPr>
        <w:tab/>
      </w:r>
      <w:r w:rsidRPr="00477D0B">
        <w:rPr>
          <w:szCs w:val="24"/>
          <w:u w:val="single"/>
        </w:rPr>
        <w:tab/>
      </w:r>
      <w:r w:rsidRPr="00477D0B">
        <w:rPr>
          <w:szCs w:val="24"/>
          <w:u w:val="single"/>
        </w:rPr>
        <w:tab/>
      </w:r>
      <w:r w:rsidRPr="00477D0B">
        <w:rPr>
          <w:szCs w:val="24"/>
          <w:u w:val="single"/>
        </w:rPr>
        <w:tab/>
      </w:r>
    </w:p>
    <w:p w:rsidR="001630DC" w:rsidRPr="00477D0B" w:rsidRDefault="001630DC" w:rsidP="001630DC">
      <w:pPr>
        <w:ind w:left="2880" w:firstLine="720"/>
        <w:jc w:val="right"/>
        <w:rPr>
          <w:szCs w:val="24"/>
          <w:u w:val="single"/>
        </w:rPr>
      </w:pPr>
      <w:r w:rsidRPr="00477D0B">
        <w:rPr>
          <w:szCs w:val="24"/>
        </w:rPr>
        <w:t>Interview:</w:t>
      </w:r>
      <w:r w:rsidRPr="00477D0B">
        <w:rPr>
          <w:szCs w:val="24"/>
          <w:u w:val="single"/>
        </w:rPr>
        <w:tab/>
      </w:r>
      <w:r w:rsidRPr="00477D0B">
        <w:rPr>
          <w:szCs w:val="24"/>
          <w:u w:val="single"/>
        </w:rPr>
        <w:tab/>
      </w:r>
      <w:r w:rsidRPr="00477D0B">
        <w:rPr>
          <w:szCs w:val="24"/>
          <w:u w:val="single"/>
        </w:rPr>
        <w:tab/>
      </w:r>
      <w:r w:rsidRPr="00477D0B">
        <w:rPr>
          <w:szCs w:val="24"/>
          <w:u w:val="single"/>
        </w:rPr>
        <w:tab/>
      </w:r>
    </w:p>
    <w:p w:rsidR="001630DC" w:rsidRPr="00477D0B" w:rsidRDefault="001630DC" w:rsidP="001630DC">
      <w:pPr>
        <w:jc w:val="center"/>
        <w:rPr>
          <w:b/>
          <w:szCs w:val="24"/>
        </w:rPr>
      </w:pPr>
    </w:p>
    <w:p w:rsidR="001630DC" w:rsidRDefault="001630DC" w:rsidP="001630DC">
      <w:pPr>
        <w:jc w:val="center"/>
        <w:rPr>
          <w:b/>
          <w:szCs w:val="24"/>
        </w:rPr>
      </w:pPr>
      <w:r>
        <w:rPr>
          <w:b/>
          <w:szCs w:val="24"/>
        </w:rPr>
        <w:t>U.S.-based</w:t>
      </w:r>
      <w:r w:rsidRPr="00477D0B">
        <w:rPr>
          <w:b/>
          <w:szCs w:val="24"/>
        </w:rPr>
        <w:t xml:space="preserve"> </w:t>
      </w:r>
      <w:r>
        <w:rPr>
          <w:b/>
          <w:szCs w:val="24"/>
        </w:rPr>
        <w:t>TNGO</w:t>
      </w:r>
      <w:r w:rsidRPr="00477D0B">
        <w:rPr>
          <w:b/>
          <w:szCs w:val="24"/>
        </w:rPr>
        <w:t xml:space="preserve"> Interview Protocol</w:t>
      </w:r>
    </w:p>
    <w:p w:rsidR="001630DC" w:rsidRPr="00477D0B" w:rsidRDefault="001630DC" w:rsidP="001630DC">
      <w:pPr>
        <w:jc w:val="center"/>
        <w:rPr>
          <w:b/>
          <w:szCs w:val="24"/>
        </w:rPr>
      </w:pPr>
    </w:p>
    <w:p w:rsidR="001630DC" w:rsidRDefault="001630DC" w:rsidP="001630DC">
      <w:pPr>
        <w:rPr>
          <w:szCs w:val="24"/>
        </w:rPr>
      </w:pPr>
      <w:r w:rsidRPr="00477D0B">
        <w:rPr>
          <w:szCs w:val="24"/>
        </w:rPr>
        <w:t xml:space="preserve">Thank you for taking the time to meet with me today. As I described to you in my e-mail, I am working on a research project on where </w:t>
      </w:r>
      <w:r>
        <w:rPr>
          <w:szCs w:val="24"/>
        </w:rPr>
        <w:t>TNGO</w:t>
      </w:r>
      <w:r w:rsidRPr="00477D0B">
        <w:rPr>
          <w:szCs w:val="24"/>
        </w:rPr>
        <w:t xml:space="preserve">s locate at the country level. I am specifically interested in how and why organizations based in the U.S. choose to implement programs in certain countries. First, I would like to advise you that you may refuse to participate in this interview or stop this interview at any time. Would you like to participate in this interview at this time? </w:t>
      </w:r>
    </w:p>
    <w:p w:rsidR="001630DC" w:rsidRPr="00477D0B" w:rsidRDefault="001630DC" w:rsidP="001630DC">
      <w:pPr>
        <w:rPr>
          <w:szCs w:val="24"/>
        </w:rPr>
      </w:pPr>
    </w:p>
    <w:p w:rsidR="001630DC" w:rsidRPr="00477D0B" w:rsidRDefault="001630DC" w:rsidP="001630DC">
      <w:pPr>
        <w:rPr>
          <w:szCs w:val="24"/>
          <w:u w:val="single"/>
        </w:rPr>
      </w:pPr>
      <w:r w:rsidRPr="00477D0B">
        <w:rPr>
          <w:b/>
          <w:szCs w:val="24"/>
          <w:u w:val="single"/>
        </w:rPr>
        <w:t>General Questions (sample prompts)</w:t>
      </w:r>
    </w:p>
    <w:p w:rsidR="001630DC" w:rsidRPr="00477D0B" w:rsidRDefault="001630DC" w:rsidP="001630DC">
      <w:pPr>
        <w:pStyle w:val="ColorfulList-Accent11"/>
        <w:numPr>
          <w:ilvl w:val="0"/>
          <w:numId w:val="13"/>
        </w:numPr>
        <w:rPr>
          <w:u w:val="single"/>
        </w:rPr>
      </w:pPr>
      <w:r w:rsidRPr="00477D0B">
        <w:t>What is the name of your organization?</w:t>
      </w:r>
    </w:p>
    <w:p w:rsidR="001630DC" w:rsidRPr="00477D0B" w:rsidRDefault="001630DC" w:rsidP="001630DC">
      <w:pPr>
        <w:pStyle w:val="ColorfulList-Accent11"/>
        <w:numPr>
          <w:ilvl w:val="0"/>
          <w:numId w:val="13"/>
        </w:numPr>
        <w:rPr>
          <w:u w:val="single"/>
        </w:rPr>
      </w:pPr>
      <w:r w:rsidRPr="00477D0B">
        <w:t>What is your role here?</w:t>
      </w:r>
    </w:p>
    <w:p w:rsidR="001630DC" w:rsidRPr="00477D0B" w:rsidRDefault="001630DC" w:rsidP="001630DC">
      <w:pPr>
        <w:pStyle w:val="ColorfulList-Accent11"/>
        <w:numPr>
          <w:ilvl w:val="1"/>
          <w:numId w:val="13"/>
        </w:numPr>
        <w:rPr>
          <w:u w:val="single"/>
        </w:rPr>
      </w:pPr>
      <w:r w:rsidRPr="00477D0B">
        <w:t>How long have you been with the organization?</w:t>
      </w:r>
    </w:p>
    <w:p w:rsidR="001630DC" w:rsidRPr="00477D0B" w:rsidRDefault="001630DC" w:rsidP="001630DC">
      <w:pPr>
        <w:pStyle w:val="ColorfulList-Accent11"/>
        <w:numPr>
          <w:ilvl w:val="1"/>
          <w:numId w:val="13"/>
        </w:numPr>
        <w:rPr>
          <w:u w:val="single"/>
        </w:rPr>
      </w:pPr>
      <w:r w:rsidRPr="00477D0B">
        <w:t>How long have you worked in this sector?</w:t>
      </w:r>
    </w:p>
    <w:p w:rsidR="001630DC" w:rsidRPr="00477D0B" w:rsidRDefault="001630DC" w:rsidP="001630DC">
      <w:pPr>
        <w:pStyle w:val="ColorfulList-Accent11"/>
        <w:numPr>
          <w:ilvl w:val="0"/>
          <w:numId w:val="13"/>
        </w:numPr>
        <w:rPr>
          <w:u w:val="single"/>
        </w:rPr>
      </w:pPr>
      <w:r w:rsidRPr="00477D0B">
        <w:t>The IRS and NCCS categorize your organization as [</w:t>
      </w:r>
      <w:r w:rsidRPr="00477D0B">
        <w:rPr>
          <w:b/>
        </w:rPr>
        <w:t>NTEE sector code</w:t>
      </w:r>
      <w:r w:rsidRPr="00477D0B">
        <w:t>], is this categorization a good representation of your work?</w:t>
      </w:r>
    </w:p>
    <w:p w:rsidR="001630DC" w:rsidRPr="00477D0B" w:rsidRDefault="001630DC" w:rsidP="001630DC">
      <w:pPr>
        <w:pStyle w:val="ColorfulList-Accent11"/>
        <w:numPr>
          <w:ilvl w:val="0"/>
          <w:numId w:val="13"/>
        </w:numPr>
        <w:rPr>
          <w:u w:val="single"/>
        </w:rPr>
      </w:pPr>
      <w:r w:rsidRPr="00477D0B">
        <w:t>Is the organization driven by commitment to a specific country, region, or demographic or is it issue driven?</w:t>
      </w:r>
    </w:p>
    <w:p w:rsidR="001630DC" w:rsidRPr="00477D0B" w:rsidRDefault="001630DC" w:rsidP="001630DC">
      <w:pPr>
        <w:pStyle w:val="ColorfulList-Accent11"/>
        <w:numPr>
          <w:ilvl w:val="0"/>
          <w:numId w:val="13"/>
        </w:numPr>
        <w:rPr>
          <w:u w:val="single"/>
        </w:rPr>
      </w:pPr>
      <w:r w:rsidRPr="00477D0B">
        <w:t>I see from your website that your mission addresses [</w:t>
      </w:r>
      <w:r w:rsidRPr="00477D0B">
        <w:rPr>
          <w:b/>
        </w:rPr>
        <w:t>summarize mission statement</w:t>
      </w:r>
      <w:r w:rsidRPr="00477D0B">
        <w:t>]. Would your work be important no matter where it was located?</w:t>
      </w:r>
    </w:p>
    <w:p w:rsidR="001630DC" w:rsidRPr="00477D0B" w:rsidRDefault="001630DC" w:rsidP="001630DC">
      <w:pPr>
        <w:rPr>
          <w:szCs w:val="24"/>
        </w:rPr>
      </w:pPr>
    </w:p>
    <w:p w:rsidR="001630DC" w:rsidRPr="00477D0B" w:rsidRDefault="001630DC" w:rsidP="001630DC">
      <w:pPr>
        <w:rPr>
          <w:b/>
          <w:szCs w:val="24"/>
          <w:u w:val="single"/>
        </w:rPr>
      </w:pPr>
      <w:r w:rsidRPr="00477D0B">
        <w:rPr>
          <w:b/>
          <w:szCs w:val="24"/>
          <w:u w:val="single"/>
        </w:rPr>
        <w:t>Location Questions (sample prompts)</w:t>
      </w:r>
    </w:p>
    <w:p w:rsidR="001630DC" w:rsidRPr="00477D0B" w:rsidRDefault="001630DC" w:rsidP="001630DC">
      <w:pPr>
        <w:pStyle w:val="ColorfulList-Accent11"/>
        <w:numPr>
          <w:ilvl w:val="0"/>
          <w:numId w:val="14"/>
        </w:numPr>
      </w:pPr>
      <w:r w:rsidRPr="00477D0B">
        <w:t>I see from your organization’s Form 990 that it works in [</w:t>
      </w:r>
      <w:r w:rsidRPr="00477D0B">
        <w:rPr>
          <w:b/>
        </w:rPr>
        <w:t>number of countries</w:t>
      </w:r>
      <w:r w:rsidRPr="00477D0B">
        <w:t>], is this accurate?</w:t>
      </w:r>
    </w:p>
    <w:p w:rsidR="001630DC" w:rsidRPr="00477D0B" w:rsidRDefault="001630DC" w:rsidP="001630DC">
      <w:pPr>
        <w:pStyle w:val="ColorfulList-Accent11"/>
        <w:numPr>
          <w:ilvl w:val="1"/>
          <w:numId w:val="14"/>
        </w:numPr>
      </w:pPr>
      <w:r w:rsidRPr="00477D0B">
        <w:t>What brought you to those areas/[</w:t>
      </w:r>
      <w:r w:rsidRPr="00477D0B">
        <w:rPr>
          <w:b/>
        </w:rPr>
        <w:t>country</w:t>
      </w:r>
      <w:r w:rsidRPr="00477D0B">
        <w:t>]?</w:t>
      </w:r>
    </w:p>
    <w:p w:rsidR="001630DC" w:rsidRPr="00477D0B" w:rsidRDefault="001630DC" w:rsidP="001630DC">
      <w:pPr>
        <w:pStyle w:val="ColorfulList-Accent11"/>
        <w:numPr>
          <w:ilvl w:val="0"/>
          <w:numId w:val="14"/>
        </w:numPr>
      </w:pPr>
      <w:r w:rsidRPr="00477D0B">
        <w:t>Are you actively considering expansion? Where?</w:t>
      </w:r>
    </w:p>
    <w:p w:rsidR="001630DC" w:rsidRPr="00477D0B" w:rsidRDefault="001630DC" w:rsidP="001630DC">
      <w:pPr>
        <w:pStyle w:val="ColorfulList-Accent11"/>
        <w:numPr>
          <w:ilvl w:val="1"/>
          <w:numId w:val="14"/>
        </w:numPr>
      </w:pPr>
      <w:r w:rsidRPr="00477D0B">
        <w:t>What would have to happen to not expand?</w:t>
      </w:r>
    </w:p>
    <w:p w:rsidR="001630DC" w:rsidRPr="00477D0B" w:rsidRDefault="001630DC" w:rsidP="001630DC">
      <w:pPr>
        <w:pStyle w:val="ColorfulList-Accent11"/>
        <w:numPr>
          <w:ilvl w:val="1"/>
          <w:numId w:val="14"/>
        </w:numPr>
      </w:pPr>
      <w:r w:rsidRPr="00477D0B">
        <w:t>Does the work of other organizations come into consideration in location decisions?</w:t>
      </w:r>
    </w:p>
    <w:p w:rsidR="001630DC" w:rsidRPr="00477D0B" w:rsidRDefault="001630DC" w:rsidP="001630DC">
      <w:pPr>
        <w:pStyle w:val="ColorfulList-Accent11"/>
        <w:numPr>
          <w:ilvl w:val="0"/>
          <w:numId w:val="14"/>
        </w:numPr>
      </w:pPr>
      <w:r w:rsidRPr="00477D0B">
        <w:t>External events such as the 2011 earthquake in Haiti can be important to some organizations when deciding to enter or exit a country. Do external events influence location decisions?</w:t>
      </w:r>
    </w:p>
    <w:p w:rsidR="001630DC" w:rsidRPr="00477D0B" w:rsidRDefault="001630DC" w:rsidP="001630DC">
      <w:pPr>
        <w:pStyle w:val="ColorfulList-Accent11"/>
        <w:numPr>
          <w:ilvl w:val="1"/>
          <w:numId w:val="14"/>
        </w:numPr>
      </w:pPr>
      <w:r w:rsidRPr="00477D0B">
        <w:t xml:space="preserve">In the news, several </w:t>
      </w:r>
      <w:r>
        <w:t>TNGO</w:t>
      </w:r>
      <w:r w:rsidRPr="00477D0B">
        <w:t>s decided to withdrawal international staff from areas affected by Ebola. How does risk figure into your organization’s decisions to enter or exit?</w:t>
      </w:r>
    </w:p>
    <w:p w:rsidR="001630DC" w:rsidRDefault="001630DC" w:rsidP="001630DC">
      <w:pPr>
        <w:pStyle w:val="ColorfulList-Accent11"/>
        <w:numPr>
          <w:ilvl w:val="1"/>
          <w:numId w:val="14"/>
        </w:numPr>
      </w:pPr>
      <w:r w:rsidRPr="00477D0B">
        <w:t>How does your organization assess risk?</w:t>
      </w:r>
    </w:p>
    <w:p w:rsidR="001630DC" w:rsidRDefault="001630DC" w:rsidP="001630DC">
      <w:pPr>
        <w:pStyle w:val="ColorfulList-Accent11"/>
      </w:pPr>
    </w:p>
    <w:p w:rsidR="001630DC" w:rsidRDefault="001630DC" w:rsidP="001630DC">
      <w:pPr>
        <w:pStyle w:val="ColorfulList-Accent11"/>
      </w:pPr>
    </w:p>
    <w:p w:rsidR="001630DC" w:rsidRDefault="001630DC" w:rsidP="001630DC">
      <w:pPr>
        <w:pStyle w:val="ColorfulList-Accent11"/>
      </w:pPr>
    </w:p>
    <w:p w:rsidR="001630DC" w:rsidRPr="00477D0B" w:rsidRDefault="001630DC" w:rsidP="001630DC">
      <w:pPr>
        <w:pStyle w:val="ColorfulList-Accent11"/>
      </w:pPr>
    </w:p>
    <w:p w:rsidR="001630DC" w:rsidRPr="00477D0B" w:rsidRDefault="001630DC" w:rsidP="001630DC">
      <w:pPr>
        <w:rPr>
          <w:szCs w:val="24"/>
        </w:rPr>
      </w:pPr>
    </w:p>
    <w:p w:rsidR="001630DC" w:rsidRPr="002F5197" w:rsidRDefault="001630DC" w:rsidP="001630DC">
      <w:pPr>
        <w:rPr>
          <w:szCs w:val="24"/>
        </w:rPr>
      </w:pPr>
      <w:r w:rsidRPr="002F5197">
        <w:rPr>
          <w:b/>
          <w:szCs w:val="24"/>
          <w:u w:val="single"/>
        </w:rPr>
        <w:t>Organizational Questions (sample prompts)</w:t>
      </w:r>
    </w:p>
    <w:p w:rsidR="001630DC" w:rsidRPr="002F5197" w:rsidRDefault="001630DC" w:rsidP="001630DC">
      <w:pPr>
        <w:pStyle w:val="ColorfulList-Accent11"/>
        <w:numPr>
          <w:ilvl w:val="0"/>
          <w:numId w:val="17"/>
        </w:numPr>
      </w:pPr>
      <w:r w:rsidRPr="002F5197">
        <w:t xml:space="preserve">Some organizations have religious foundations that are a core part of the institution, and others because of donors. Tell me about how faith is (not) involved for your organization? </w:t>
      </w:r>
    </w:p>
    <w:p w:rsidR="001630DC" w:rsidRPr="002F5197" w:rsidRDefault="001630DC" w:rsidP="001630DC">
      <w:pPr>
        <w:pStyle w:val="ColorfulList-Accent11"/>
        <w:numPr>
          <w:ilvl w:val="0"/>
          <w:numId w:val="17"/>
        </w:numPr>
      </w:pPr>
      <w:r w:rsidRPr="002F5197">
        <w:t>In some organizations the Board of Directors plays a formative role in meeting the goals of the organization, providing contacts, special skills, and passion for the cause. What is the Board of Directors role in program development and strategic planning?</w:t>
      </w:r>
    </w:p>
    <w:p w:rsidR="001630DC" w:rsidRPr="002F5197" w:rsidRDefault="001630DC" w:rsidP="001630DC">
      <w:pPr>
        <w:pStyle w:val="ColorfulList-Accent11"/>
        <w:numPr>
          <w:ilvl w:val="0"/>
          <w:numId w:val="17"/>
        </w:numPr>
      </w:pPr>
      <w:r w:rsidRPr="002F5197">
        <w:t>Are decisions about programming and location participatory or made at the executive level?</w:t>
      </w:r>
    </w:p>
    <w:p w:rsidR="001630DC" w:rsidRPr="002F5197" w:rsidRDefault="001630DC" w:rsidP="001630DC">
      <w:pPr>
        <w:pStyle w:val="ColorfulList-Accent11"/>
        <w:numPr>
          <w:ilvl w:val="1"/>
          <w:numId w:val="17"/>
        </w:numPr>
      </w:pPr>
      <w:r w:rsidRPr="002F5197">
        <w:t>What is the role of in-country staff in decision-making?</w:t>
      </w:r>
    </w:p>
    <w:p w:rsidR="001630DC" w:rsidRPr="002F5197" w:rsidRDefault="001630DC" w:rsidP="001630DC">
      <w:pPr>
        <w:pStyle w:val="ColorfulList-Accent11"/>
        <w:numPr>
          <w:ilvl w:val="1"/>
          <w:numId w:val="17"/>
        </w:numPr>
      </w:pPr>
      <w:r w:rsidRPr="002F5197">
        <w:t>Do decision-makers value the views of staff?</w:t>
      </w:r>
    </w:p>
    <w:p w:rsidR="001630DC" w:rsidRPr="002F5197" w:rsidRDefault="001630DC" w:rsidP="001630DC">
      <w:pPr>
        <w:pStyle w:val="ColorfulList-Accent11"/>
        <w:numPr>
          <w:ilvl w:val="0"/>
          <w:numId w:val="17"/>
        </w:numPr>
      </w:pPr>
      <w:r w:rsidRPr="002F5197">
        <w:t>How does your organization identify problems to which it can supply solutions?</w:t>
      </w:r>
    </w:p>
    <w:p w:rsidR="001630DC" w:rsidRPr="002F5197" w:rsidRDefault="001630DC" w:rsidP="001630DC">
      <w:pPr>
        <w:pStyle w:val="ColorfulList-Accent11"/>
        <w:numPr>
          <w:ilvl w:val="1"/>
          <w:numId w:val="17"/>
        </w:numPr>
      </w:pPr>
      <w:r w:rsidRPr="002F5197">
        <w:t xml:space="preserve">How do you prioritize programs? </w:t>
      </w:r>
    </w:p>
    <w:p w:rsidR="001630DC" w:rsidRPr="002F5197" w:rsidRDefault="001630DC" w:rsidP="001630DC">
      <w:pPr>
        <w:pStyle w:val="ColorfulList-Accent11"/>
        <w:numPr>
          <w:ilvl w:val="1"/>
          <w:numId w:val="17"/>
        </w:numPr>
      </w:pPr>
      <w:r w:rsidRPr="002F5197">
        <w:t>Does the process differ for countries you have never worked in compared to those where you already have a presence?</w:t>
      </w:r>
    </w:p>
    <w:p w:rsidR="001630DC" w:rsidRPr="002F5197" w:rsidRDefault="001630DC" w:rsidP="001630DC">
      <w:pPr>
        <w:pStyle w:val="ColorfulList-Accent11"/>
        <w:numPr>
          <w:ilvl w:val="1"/>
          <w:numId w:val="17"/>
        </w:numPr>
      </w:pPr>
      <w:r w:rsidRPr="002F5197">
        <w:t>Does program prioritization differ between the U.S. and field offices, or between sectors or countries?</w:t>
      </w:r>
    </w:p>
    <w:p w:rsidR="001630DC" w:rsidRPr="002F5197" w:rsidRDefault="001630DC" w:rsidP="001630DC">
      <w:pPr>
        <w:rPr>
          <w:szCs w:val="24"/>
        </w:rPr>
      </w:pPr>
    </w:p>
    <w:p w:rsidR="001630DC" w:rsidRPr="002F5197" w:rsidRDefault="001630DC" w:rsidP="001630DC">
      <w:pPr>
        <w:rPr>
          <w:b/>
          <w:szCs w:val="24"/>
          <w:u w:val="single"/>
        </w:rPr>
      </w:pPr>
      <w:r w:rsidRPr="002F5197">
        <w:rPr>
          <w:b/>
          <w:szCs w:val="24"/>
          <w:u w:val="single"/>
        </w:rPr>
        <w:t>Resources (sample prompts)</w:t>
      </w:r>
    </w:p>
    <w:p w:rsidR="001630DC" w:rsidRPr="002F5197" w:rsidRDefault="001630DC" w:rsidP="001630DC">
      <w:pPr>
        <w:pStyle w:val="ColorfulList-Accent11"/>
        <w:numPr>
          <w:ilvl w:val="0"/>
          <w:numId w:val="15"/>
        </w:numPr>
      </w:pPr>
      <w:r w:rsidRPr="002F5197">
        <w:t>Where are the largest expenditures in the organization by program and country?</w:t>
      </w:r>
    </w:p>
    <w:p w:rsidR="001630DC" w:rsidRPr="002F5197" w:rsidRDefault="001630DC" w:rsidP="001630DC">
      <w:pPr>
        <w:pStyle w:val="ColorfulList-Accent11"/>
        <w:numPr>
          <w:ilvl w:val="0"/>
          <w:numId w:val="15"/>
        </w:numPr>
      </w:pPr>
      <w:r w:rsidRPr="002F5197">
        <w:t xml:space="preserve">Within academia many discuss external influences on the type or location of work that </w:t>
      </w:r>
      <w:r>
        <w:t>TNGO</w:t>
      </w:r>
      <w:r w:rsidRPr="002F5197">
        <w:t>s do. Do donors influence location choice? How?</w:t>
      </w:r>
    </w:p>
    <w:p w:rsidR="001630DC" w:rsidRPr="002F5197" w:rsidRDefault="001630DC" w:rsidP="001630DC">
      <w:pPr>
        <w:rPr>
          <w:szCs w:val="24"/>
        </w:rPr>
      </w:pPr>
    </w:p>
    <w:p w:rsidR="001630DC" w:rsidRPr="002F5197" w:rsidRDefault="001630DC" w:rsidP="001630DC">
      <w:pPr>
        <w:rPr>
          <w:b/>
          <w:szCs w:val="24"/>
          <w:u w:val="single"/>
        </w:rPr>
      </w:pPr>
      <w:r w:rsidRPr="002F5197">
        <w:rPr>
          <w:b/>
          <w:szCs w:val="24"/>
          <w:u w:val="single"/>
        </w:rPr>
        <w:t>Final Questions (sample prompts)</w:t>
      </w:r>
    </w:p>
    <w:p w:rsidR="001630DC" w:rsidRPr="002F5197" w:rsidRDefault="001630DC" w:rsidP="001630DC">
      <w:pPr>
        <w:pStyle w:val="ColorfulList-Accent11"/>
        <w:numPr>
          <w:ilvl w:val="0"/>
          <w:numId w:val="16"/>
        </w:numPr>
        <w:rPr>
          <w:u w:val="single"/>
        </w:rPr>
      </w:pPr>
      <w:r w:rsidRPr="002F5197">
        <w:t>How can the decision-making process be improved in the future?</w:t>
      </w:r>
    </w:p>
    <w:p w:rsidR="001630DC" w:rsidRPr="002F5197" w:rsidRDefault="001630DC" w:rsidP="001630DC">
      <w:pPr>
        <w:pStyle w:val="ColorfulList-Accent11"/>
        <w:numPr>
          <w:ilvl w:val="1"/>
          <w:numId w:val="16"/>
        </w:numPr>
        <w:rPr>
          <w:u w:val="single"/>
        </w:rPr>
      </w:pPr>
      <w:r w:rsidRPr="002F5197">
        <w:t>What program areas/regions does your organization make the most difference in?</w:t>
      </w:r>
    </w:p>
    <w:p w:rsidR="001630DC" w:rsidRPr="002F5197" w:rsidRDefault="001630DC" w:rsidP="001630DC">
      <w:pPr>
        <w:pStyle w:val="ColorfulList-Accent11"/>
        <w:numPr>
          <w:ilvl w:val="1"/>
          <w:numId w:val="16"/>
        </w:numPr>
        <w:rPr>
          <w:u w:val="single"/>
        </w:rPr>
      </w:pPr>
      <w:r w:rsidRPr="002F5197">
        <w:t>Which program areas/regions is there the most improvement in?</w:t>
      </w:r>
    </w:p>
    <w:p w:rsidR="001630DC" w:rsidRPr="002F5197" w:rsidRDefault="001630DC" w:rsidP="001630DC">
      <w:pPr>
        <w:pStyle w:val="ColorfulList-Accent11"/>
        <w:numPr>
          <w:ilvl w:val="0"/>
          <w:numId w:val="16"/>
        </w:numPr>
        <w:rPr>
          <w:u w:val="single"/>
        </w:rPr>
      </w:pPr>
      <w:r w:rsidRPr="002F5197">
        <w:t>Are there any other important factors that I have overlooked that you feel are important in determining where your organization works?</w:t>
      </w:r>
    </w:p>
    <w:p w:rsidR="001630DC" w:rsidRPr="002F5197" w:rsidRDefault="001630DC" w:rsidP="001630DC">
      <w:pPr>
        <w:pStyle w:val="ColorfulList-Accent11"/>
        <w:numPr>
          <w:ilvl w:val="0"/>
          <w:numId w:val="16"/>
        </w:numPr>
        <w:rPr>
          <w:u w:val="single"/>
        </w:rPr>
      </w:pPr>
      <w:r w:rsidRPr="002F5197">
        <w:t xml:space="preserve">Is there anyone else you feel that I should talk to? You may provide me with their contact information, or I can give you mine so that they may contact me directly. </w:t>
      </w:r>
    </w:p>
    <w:p w:rsidR="001630DC" w:rsidRPr="00E72F6B" w:rsidRDefault="001630DC" w:rsidP="001630DC">
      <w:pPr>
        <w:spacing w:after="160" w:line="259" w:lineRule="auto"/>
        <w:rPr>
          <w:b/>
          <w:sz w:val="28"/>
        </w:rPr>
      </w:pPr>
    </w:p>
    <w:sectPr w:rsidR="001630DC" w:rsidRPr="00E72F6B" w:rsidSect="00B11ABC">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496" w:rsidRDefault="00F43496" w:rsidP="001630DC">
      <w:r>
        <w:separator/>
      </w:r>
    </w:p>
  </w:endnote>
  <w:endnote w:type="continuationSeparator" w:id="0">
    <w:p w:rsidR="00F43496" w:rsidRDefault="00F43496" w:rsidP="0016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PMincho">
    <w:altName w:val="ＭＳ Ｐ明朝"/>
    <w:panose1 w:val="02020600040205080304"/>
    <w:charset w:val="80"/>
    <w:family w:val="roman"/>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hruti">
    <w:panose1 w:val="020B0502040204020203"/>
    <w:charset w:val="00"/>
    <w:family w:val="swiss"/>
    <w:pitch w:val="variable"/>
    <w:sig w:usb0="00040003" w:usb1="00000000" w:usb2="00000000" w:usb3="00000000" w:csb0="00000001" w:csb1="00000000"/>
  </w:font>
  <w:font w:name="Noteworthy Light">
    <w:charset w:val="00"/>
    <w:family w:val="auto"/>
    <w:pitch w:val="variable"/>
    <w:sig w:usb0="8000006F" w:usb1="08000048" w:usb2="14600000" w:usb3="00000000" w:csb0="0000011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96" w:rsidRDefault="00F43496">
    <w:pPr>
      <w:pStyle w:val="Footer"/>
    </w:pPr>
  </w:p>
  <w:p w:rsidR="00F43496" w:rsidRDefault="00F434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96" w:rsidRDefault="00F43496" w:rsidP="001630DC">
    <w:pPr>
      <w:pStyle w:val="Footer"/>
      <w:jc w:val="center"/>
    </w:pPr>
    <w:r>
      <w:fldChar w:fldCharType="begin"/>
    </w:r>
    <w:r>
      <w:instrText xml:space="preserve"> PAGE   \* MERGEFORMAT </w:instrText>
    </w:r>
    <w:r>
      <w:fldChar w:fldCharType="separate"/>
    </w:r>
    <w:r w:rsidR="001517D5">
      <w:rPr>
        <w:noProof/>
      </w:rPr>
      <w:t>x</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96" w:rsidRDefault="00F43496" w:rsidP="001630DC">
    <w:pPr>
      <w:pStyle w:val="Footer"/>
      <w:jc w:val="center"/>
    </w:pPr>
    <w:r>
      <w:fldChar w:fldCharType="begin"/>
    </w:r>
    <w:r>
      <w:instrText xml:space="preserve"> PAGE   \* MERGEFORMAT </w:instrText>
    </w:r>
    <w:r>
      <w:fldChar w:fldCharType="separate"/>
    </w:r>
    <w:r w:rsidR="001517D5">
      <w:rPr>
        <w:noProof/>
      </w:rPr>
      <w:t>70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96" w:rsidRDefault="00F43496" w:rsidP="001630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3496" w:rsidRDefault="00F4349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96" w:rsidRDefault="00F43496" w:rsidP="001630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17D5">
      <w:rPr>
        <w:rStyle w:val="PageNumber"/>
        <w:noProof/>
      </w:rPr>
      <w:t>221</w:t>
    </w:r>
    <w:r>
      <w:rPr>
        <w:rStyle w:val="PageNumber"/>
      </w:rPr>
      <w:fldChar w:fldCharType="end"/>
    </w:r>
  </w:p>
  <w:p w:rsidR="00F43496" w:rsidRDefault="00F43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496" w:rsidRDefault="00F43496" w:rsidP="001630DC">
      <w:r>
        <w:separator/>
      </w:r>
    </w:p>
  </w:footnote>
  <w:footnote w:type="continuationSeparator" w:id="0">
    <w:p w:rsidR="00F43496" w:rsidRDefault="00F43496" w:rsidP="001630DC">
      <w:r>
        <w:continuationSeparator/>
      </w:r>
    </w:p>
  </w:footnote>
  <w:footnote w:id="1">
    <w:p w:rsidR="00F43496" w:rsidRDefault="00F43496" w:rsidP="009944D4">
      <w:pPr>
        <w:pStyle w:val="FootnoteText"/>
        <w:spacing w:line="480" w:lineRule="auto"/>
      </w:pPr>
      <w:r w:rsidRPr="002B21D7">
        <w:rPr>
          <w:rStyle w:val="FootnoteReference"/>
        </w:rPr>
        <w:footnoteRef/>
      </w:r>
      <w:r w:rsidRPr="002B21D7">
        <w:t xml:space="preserve"> </w:t>
      </w:r>
      <w:r w:rsidRPr="00F83032">
        <w:rPr>
          <w:sz w:val="24"/>
        </w:rPr>
        <w:t>See Fruterro and Garui (2005), Haque (2002) and Kamruzzaman (2013) on NGO placement in Bangladesh; Raberg and Rudel (2007) on sustainable development entities in Ecuador; and Rogers (2011) on the Nature Conservancy.</w:t>
      </w:r>
      <w:r w:rsidRPr="002B21D7">
        <w:t xml:space="preserve"> </w:t>
      </w:r>
    </w:p>
  </w:footnote>
  <w:footnote w:id="2">
    <w:p w:rsidR="00F43496" w:rsidRDefault="00F43496" w:rsidP="009944D4">
      <w:pPr>
        <w:pStyle w:val="FootnoteText"/>
        <w:spacing w:line="480" w:lineRule="auto"/>
      </w:pPr>
      <w:r w:rsidRPr="002A250F">
        <w:rPr>
          <w:rStyle w:val="FootnoteReference"/>
          <w:sz w:val="24"/>
        </w:rPr>
        <w:footnoteRef/>
      </w:r>
      <w:r w:rsidRPr="002A250F">
        <w:rPr>
          <w:sz w:val="24"/>
        </w:rPr>
        <w:t xml:space="preserve"> </w:t>
      </w:r>
      <w:r w:rsidRPr="00F24320">
        <w:rPr>
          <w:color w:val="000000"/>
          <w:sz w:val="24"/>
        </w:rPr>
        <w:t>Food insecurity in the period from January to March 2015 was rated as “crisis” among poor households in the near term, and as “emergency” in portions of South Sudan in the medium term by the Famine Early Warning Systems Network (FEWS) (</w:t>
      </w:r>
      <w:hyperlink r:id="rId1" w:history="1">
        <w:r w:rsidRPr="00F24320">
          <w:rPr>
            <w:rStyle w:val="Hyperlink"/>
            <w:color w:val="000000"/>
            <w:sz w:val="24"/>
          </w:rPr>
          <w:t>http://www.fews.net/</w:t>
        </w:r>
      </w:hyperlink>
      <w:r w:rsidRPr="00F24320">
        <w:rPr>
          <w:color w:val="000000"/>
          <w:sz w:val="24"/>
        </w:rPr>
        <w:t>). Established by the US Agency for International Development (USAID), FEWS provides analyzes</w:t>
      </w:r>
      <w:r w:rsidRPr="002A250F">
        <w:rPr>
          <w:sz w:val="24"/>
        </w:rPr>
        <w:t xml:space="preserve"> data across five U.S. federal agencies and 22 field offices to assist government and NGOs respond to humanitarian crises. </w:t>
      </w:r>
    </w:p>
  </w:footnote>
  <w:footnote w:id="3">
    <w:p w:rsidR="00F43496" w:rsidRDefault="00F43496" w:rsidP="009944D4">
      <w:pPr>
        <w:pStyle w:val="FootnoteText"/>
        <w:spacing w:line="480" w:lineRule="auto"/>
      </w:pPr>
      <w:r w:rsidRPr="004652DA">
        <w:rPr>
          <w:rStyle w:val="FootnoteReference"/>
          <w:sz w:val="24"/>
        </w:rPr>
        <w:footnoteRef/>
      </w:r>
      <w:r w:rsidRPr="004652DA">
        <w:rPr>
          <w:sz w:val="24"/>
        </w:rPr>
        <w:t xml:space="preserve"> Médicins Sans Fontières (MSF) is a French </w:t>
      </w:r>
      <w:r>
        <w:rPr>
          <w:sz w:val="24"/>
        </w:rPr>
        <w:t>T</w:t>
      </w:r>
      <w:r w:rsidRPr="004652DA">
        <w:rPr>
          <w:sz w:val="24"/>
        </w:rPr>
        <w:t>NGO better known as Doctors Without Borders in the U.S.</w:t>
      </w:r>
    </w:p>
  </w:footnote>
  <w:footnote w:id="4">
    <w:p w:rsidR="00F43496" w:rsidRPr="00DF4AFC" w:rsidRDefault="00F43496" w:rsidP="009944D4">
      <w:pPr>
        <w:pStyle w:val="FootnoteText"/>
        <w:spacing w:line="480" w:lineRule="auto"/>
        <w:rPr>
          <w:sz w:val="24"/>
          <w:szCs w:val="24"/>
        </w:rPr>
      </w:pPr>
      <w:r w:rsidRPr="00DF4AFC">
        <w:rPr>
          <w:rStyle w:val="FootnoteReference"/>
          <w:sz w:val="24"/>
          <w:szCs w:val="24"/>
        </w:rPr>
        <w:footnoteRef/>
      </w:r>
      <w:r w:rsidRPr="00DF4AFC">
        <w:rPr>
          <w:sz w:val="24"/>
          <w:szCs w:val="24"/>
        </w:rPr>
        <w:t xml:space="preserve"> Also see the policy literature on core and secondary belief systems, especially Hank Jenkins-Smith, for further discussion on which beliefs are more negotiable than others. </w:t>
      </w:r>
    </w:p>
  </w:footnote>
  <w:footnote w:id="5">
    <w:p w:rsidR="00F43496" w:rsidRPr="00F24320" w:rsidRDefault="00F43496" w:rsidP="009944D4">
      <w:pPr>
        <w:pStyle w:val="FootnoteText"/>
        <w:spacing w:line="480" w:lineRule="auto"/>
        <w:rPr>
          <w:color w:val="000000"/>
        </w:rPr>
      </w:pPr>
      <w:r w:rsidRPr="00E43BCF">
        <w:rPr>
          <w:rStyle w:val="FootnoteReference"/>
          <w:sz w:val="24"/>
        </w:rPr>
        <w:footnoteRef/>
      </w:r>
      <w:r w:rsidRPr="00E43BCF">
        <w:rPr>
          <w:sz w:val="24"/>
        </w:rPr>
        <w:t xml:space="preserve"> United States </w:t>
      </w:r>
      <w:r w:rsidRPr="00F24320">
        <w:rPr>
          <w:color w:val="000000"/>
          <w:sz w:val="24"/>
        </w:rPr>
        <w:t>Agency for International Development (USAID), created in 1961 under the Foreign Assistance Act of 1961, drew together several development organizations into a single agency. This formative moment shaped U.S. foreign assistance for more than half a century. USAID is charged with administering aid to foreign countries with the objective of advancing social and economic development (</w:t>
      </w:r>
      <w:hyperlink r:id="rId2" w:history="1">
        <w:r w:rsidRPr="00F24320">
          <w:rPr>
            <w:rStyle w:val="Hyperlink"/>
            <w:color w:val="000000"/>
            <w:sz w:val="24"/>
          </w:rPr>
          <w:t>www.usaid.gov/who-we-are</w:t>
        </w:r>
      </w:hyperlink>
      <w:r w:rsidRPr="00F24320">
        <w:rPr>
          <w:color w:val="000000"/>
          <w:sz w:val="24"/>
        </w:rPr>
        <w:t xml:space="preserve">). </w:t>
      </w:r>
    </w:p>
  </w:footnote>
  <w:footnote w:id="6">
    <w:p w:rsidR="00F43496" w:rsidRPr="00DF4AFC" w:rsidRDefault="00F43496" w:rsidP="009944D4">
      <w:pPr>
        <w:pStyle w:val="FootnoteText"/>
        <w:rPr>
          <w:sz w:val="24"/>
          <w:szCs w:val="24"/>
        </w:rPr>
      </w:pPr>
      <w:r w:rsidRPr="00DF4AFC">
        <w:rPr>
          <w:rStyle w:val="FootnoteReference"/>
          <w:sz w:val="24"/>
          <w:szCs w:val="24"/>
        </w:rPr>
        <w:footnoteRef/>
      </w:r>
      <w:r w:rsidRPr="00DF4AFC">
        <w:rPr>
          <w:sz w:val="24"/>
          <w:szCs w:val="24"/>
        </w:rPr>
        <w:t xml:space="preserve"> Field interviews, Kampala</w:t>
      </w:r>
      <w:r>
        <w:rPr>
          <w:sz w:val="24"/>
          <w:szCs w:val="24"/>
        </w:rPr>
        <w:t>, Uganda,</w:t>
      </w:r>
      <w:r w:rsidRPr="00DF4AFC">
        <w:rPr>
          <w:sz w:val="24"/>
          <w:szCs w:val="24"/>
        </w:rPr>
        <w:t xml:space="preserve"> Summer 2015</w:t>
      </w:r>
    </w:p>
  </w:footnote>
  <w:footnote w:id="7">
    <w:p w:rsidR="00F43496" w:rsidRDefault="00F43496" w:rsidP="009944D4">
      <w:pPr>
        <w:pStyle w:val="FootnoteText"/>
        <w:spacing w:line="480" w:lineRule="auto"/>
      </w:pPr>
      <w:r w:rsidRPr="00007F06">
        <w:rPr>
          <w:rStyle w:val="FootnoteReference"/>
          <w:sz w:val="24"/>
        </w:rPr>
        <w:footnoteRef/>
      </w:r>
      <w:r w:rsidRPr="00007F06">
        <w:rPr>
          <w:sz w:val="24"/>
        </w:rPr>
        <w:t xml:space="preserve"> Returning to food insecurity, the 2014 Ebola outbreak in West Africa serves as a good example of issues created by fear and catastrophe that would have otherwise been addressed. Here, sickness compounded by drought resulted in untended crops and subsequently a food shortage. While attention and resources focused on the sick, the food crisis grew into a second humanitarian crisis. </w:t>
      </w:r>
    </w:p>
  </w:footnote>
  <w:footnote w:id="8">
    <w:p w:rsidR="00F43496" w:rsidRPr="00A279DA" w:rsidRDefault="00F43496" w:rsidP="001630DC">
      <w:pPr>
        <w:pStyle w:val="FootnoteText"/>
        <w:spacing w:line="480" w:lineRule="auto"/>
        <w:rPr>
          <w:sz w:val="24"/>
          <w:szCs w:val="24"/>
        </w:rPr>
      </w:pPr>
      <w:r w:rsidRPr="00A279DA">
        <w:rPr>
          <w:rStyle w:val="FootnoteReference"/>
          <w:sz w:val="24"/>
          <w:szCs w:val="24"/>
        </w:rPr>
        <w:footnoteRef/>
      </w:r>
      <w:r w:rsidRPr="00A279DA">
        <w:rPr>
          <w:sz w:val="24"/>
          <w:szCs w:val="24"/>
        </w:rPr>
        <w:t xml:space="preserve"> The term </w:t>
      </w:r>
      <w:r>
        <w:rPr>
          <w:sz w:val="24"/>
          <w:szCs w:val="24"/>
        </w:rPr>
        <w:t>TNGO</w:t>
      </w:r>
      <w:r w:rsidRPr="00A279DA">
        <w:rPr>
          <w:sz w:val="24"/>
          <w:szCs w:val="24"/>
        </w:rPr>
        <w:t xml:space="preserve"> is used in this dissertation; however, nonprofit and </w:t>
      </w:r>
      <w:r>
        <w:rPr>
          <w:sz w:val="24"/>
          <w:szCs w:val="24"/>
        </w:rPr>
        <w:t>TNGO</w:t>
      </w:r>
      <w:r w:rsidRPr="00A279DA">
        <w:rPr>
          <w:sz w:val="24"/>
          <w:szCs w:val="24"/>
        </w:rPr>
        <w:t xml:space="preserve"> are treated as interchangeable. </w:t>
      </w:r>
      <w:r>
        <w:rPr>
          <w:sz w:val="24"/>
          <w:szCs w:val="24"/>
        </w:rPr>
        <w:t>TNGO</w:t>
      </w:r>
      <w:r w:rsidRPr="00A279DA">
        <w:rPr>
          <w:sz w:val="24"/>
          <w:szCs w:val="24"/>
        </w:rPr>
        <w:t xml:space="preserve"> refers to organizations with domestic and international scopes of work outside the U.S. while the term nonprofit is typically used to distinguish between domestic and international organizations in the U.S. Otherwise, both are subject to the non-distribution constraint as well as the same requirements to achieve nonprofit legal status. </w:t>
      </w:r>
    </w:p>
  </w:footnote>
  <w:footnote w:id="9">
    <w:p w:rsidR="00F43496" w:rsidRPr="008E1625" w:rsidRDefault="00F43496" w:rsidP="001630DC">
      <w:pPr>
        <w:pStyle w:val="FootnoteText"/>
        <w:spacing w:line="480" w:lineRule="auto"/>
        <w:rPr>
          <w:sz w:val="24"/>
          <w:szCs w:val="24"/>
        </w:rPr>
      </w:pPr>
      <w:r w:rsidRPr="008E1625">
        <w:rPr>
          <w:rStyle w:val="FootnoteReference"/>
          <w:sz w:val="24"/>
          <w:szCs w:val="24"/>
        </w:rPr>
        <w:footnoteRef/>
      </w:r>
      <w:r w:rsidRPr="008E1625">
        <w:rPr>
          <w:sz w:val="24"/>
          <w:szCs w:val="24"/>
        </w:rPr>
        <w:t xml:space="preserve"> Fruterro and Gauri </w:t>
      </w:r>
      <w:r w:rsidRPr="008E1625">
        <w:rPr>
          <w:sz w:val="24"/>
          <w:szCs w:val="24"/>
        </w:rPr>
        <w:fldChar w:fldCharType="begin"/>
      </w:r>
      <w:r>
        <w:rPr>
          <w:sz w:val="24"/>
          <w:szCs w:val="24"/>
        </w:rPr>
        <w:instrText xml:space="preserve"> ADDIN ZOTERO_ITEM CSL_CITATION {"citationID":"Mad5XKXM","properties":{"formattedCitation":"(Fruttero and Gauri 2005)","plainCitation":"(Fruttero and Gauri 2005)"},"citationItems":[{"id":1311,"uris":["http://zotero.org/users/381007/items/STMX9W64"],"uri":["http://zotero.org/users/381007/items/STMX9W64"],"itemData":{"id":1311,"type":"article-journal","title":"The Strategic Choices of NGOs: Location Decisions in Rural Bangladesh","container-title":"The Journal of Development Studies","page":"759-787","volume":"41","issue":"5","abstract":"Whether disaggregated by sector of work or parent organization, the data sows that the net change in NGO programs in a community is not related to indicators of community need.  Instead, NGOs established new programs where they had no programs previously, and that they did not avoid duplicating efforts of other NGOs.  Finds negative and significant effect of NGO programs on # of per capita programs by same NGO.  Evidence of both humanitarian and pragmatic conerns in lcoation. Although NGOs may not be targeting at the community level, they may be targeting within the community.","author":[{"family":"Fruttero","given":"Anna"},{"family":"Gauri","given":"Varun"}],"issued":{"date-parts":[["2005"]]}}}],"schema":"https://github.com/citation-style-language/schema/raw/master/csl-citation.json"} </w:instrText>
      </w:r>
      <w:r w:rsidRPr="008E1625">
        <w:rPr>
          <w:sz w:val="24"/>
          <w:szCs w:val="24"/>
        </w:rPr>
        <w:fldChar w:fldCharType="separate"/>
      </w:r>
      <w:r w:rsidRPr="008E1625">
        <w:rPr>
          <w:noProof/>
          <w:sz w:val="24"/>
          <w:szCs w:val="24"/>
        </w:rPr>
        <w:t>(2005)</w:t>
      </w:r>
      <w:r w:rsidRPr="008E1625">
        <w:rPr>
          <w:sz w:val="24"/>
          <w:szCs w:val="24"/>
        </w:rPr>
        <w:fldChar w:fldCharType="end"/>
      </w:r>
      <w:r w:rsidRPr="008E1625">
        <w:rPr>
          <w:sz w:val="24"/>
          <w:szCs w:val="24"/>
        </w:rPr>
        <w:t xml:space="preserve"> challenge the need argument, providing evidence that </w:t>
      </w:r>
      <w:r>
        <w:rPr>
          <w:sz w:val="24"/>
          <w:szCs w:val="24"/>
        </w:rPr>
        <w:t>TNGO</w:t>
      </w:r>
      <w:r w:rsidRPr="008E1625">
        <w:rPr>
          <w:sz w:val="24"/>
          <w:szCs w:val="24"/>
        </w:rPr>
        <w:t xml:space="preserve">s do not select the neediest communities and instead seek to maximize their coverage area despite service duplication. </w:t>
      </w:r>
    </w:p>
  </w:footnote>
  <w:footnote w:id="10">
    <w:p w:rsidR="00F43496" w:rsidRPr="00A279DA" w:rsidRDefault="00F43496" w:rsidP="001630DC">
      <w:pPr>
        <w:pStyle w:val="FootnoteText"/>
        <w:spacing w:line="480" w:lineRule="auto"/>
        <w:rPr>
          <w:sz w:val="24"/>
          <w:szCs w:val="24"/>
        </w:rPr>
      </w:pPr>
      <w:r w:rsidRPr="00A279DA">
        <w:rPr>
          <w:rStyle w:val="FootnoteReference"/>
          <w:sz w:val="24"/>
          <w:szCs w:val="24"/>
        </w:rPr>
        <w:footnoteRef/>
      </w:r>
      <w:r w:rsidRPr="00A279DA">
        <w:rPr>
          <w:sz w:val="24"/>
          <w:szCs w:val="24"/>
        </w:rPr>
        <w:t xml:space="preserve"> The NCCS conducted estimates in 1999 and 2009; this figure reflects the 2009 estimate. The Urban Institute estimates that the nonprofit sector grew at a rate of 8.6 between 2002 and 2012. Public charities make the largest and fastest category (29.6 percent) category of nonprofit, accounting for two-thirds of the sector and three-quarters of sector revenue ($1.65 trillion USD) </w:t>
      </w:r>
      <w:r w:rsidRPr="00A279DA">
        <w:rPr>
          <w:sz w:val="24"/>
          <w:szCs w:val="24"/>
        </w:rPr>
        <w:fldChar w:fldCharType="begin"/>
      </w:r>
      <w:r>
        <w:rPr>
          <w:sz w:val="24"/>
          <w:szCs w:val="24"/>
        </w:rPr>
        <w:instrText xml:space="preserve"> ADDIN ZOTERO_ITEM CSL_CITATION {"citationID":"PSrLjsi1","properties":{"formattedCitation":"(McKeever and Pettijohn 2014)","plainCitation":"(McKeever and Pettijohn 2014)"},"citationItems":[{"id":3549,"uris":["http://zotero.org/users/381007/items/FMU5MIQ3"],"uri":["http://zotero.org/users/381007/items/FMU5MIQ3"],"itemData":{"id":3549,"type":"article-journal","title":"The Nonprofit Sector in Brief 2014","container-title":"Washington, DC: Urban Institute","source":"Google Scholar","URL":"http://www.urban.org/sites/default/files/alfresco/publication-pdfs/413277-The-Nonprofit-Sector-in-Brief--.PDF?RSSFeed=UI_CenteronNonprofitsandPhilanthropy.xml","author":[{"family":"McKeever","given":"Brice S."},{"family":"Pettijohn","given":"Sarah L."}],"issued":{"date-parts":[["2014"]]},"accessed":{"date-parts":[["2015",9,16]]}}}],"schema":"https://github.com/citation-style-language/schema/raw/master/csl-citation.json"} </w:instrText>
      </w:r>
      <w:r w:rsidRPr="00A279DA">
        <w:rPr>
          <w:sz w:val="24"/>
          <w:szCs w:val="24"/>
        </w:rPr>
        <w:fldChar w:fldCharType="separate"/>
      </w:r>
      <w:r w:rsidRPr="00A279DA">
        <w:rPr>
          <w:noProof/>
          <w:sz w:val="24"/>
          <w:szCs w:val="24"/>
        </w:rPr>
        <w:t>(McKeever and Pettijohn 2014)</w:t>
      </w:r>
      <w:r w:rsidRPr="00A279DA">
        <w:rPr>
          <w:sz w:val="24"/>
          <w:szCs w:val="24"/>
        </w:rPr>
        <w:fldChar w:fldCharType="end"/>
      </w:r>
    </w:p>
  </w:footnote>
  <w:footnote w:id="11">
    <w:p w:rsidR="00F43496" w:rsidRPr="00A279DA" w:rsidRDefault="00F43496" w:rsidP="001630DC">
      <w:pPr>
        <w:pStyle w:val="FootnoteText"/>
        <w:spacing w:line="480" w:lineRule="auto"/>
        <w:rPr>
          <w:sz w:val="24"/>
          <w:szCs w:val="24"/>
        </w:rPr>
      </w:pPr>
      <w:r w:rsidRPr="00A279DA">
        <w:rPr>
          <w:rStyle w:val="FootnoteReference"/>
          <w:sz w:val="24"/>
          <w:szCs w:val="24"/>
        </w:rPr>
        <w:footnoteRef/>
      </w:r>
      <w:r w:rsidRPr="00A279DA">
        <w:rPr>
          <w:sz w:val="24"/>
          <w:szCs w:val="24"/>
        </w:rPr>
        <w:t xml:space="preserve"> Other studies also employ revenue as a decision rule; some use a moving average over several years. Revenue from year to year between 2008 and 2012 shows only a handful of extreme fluctuations. This may be the result of the $1 million threshold used to select organizations or a reflection of the time period. As a result, a moving average is not used in this chapter. For more on revenue thresholds see Transnational </w:t>
      </w:r>
      <w:r>
        <w:rPr>
          <w:sz w:val="24"/>
          <w:szCs w:val="24"/>
        </w:rPr>
        <w:t>TNGO</w:t>
      </w:r>
      <w:r w:rsidRPr="00A279DA">
        <w:rPr>
          <w:sz w:val="24"/>
          <w:szCs w:val="24"/>
        </w:rPr>
        <w:t xml:space="preserve"> Initiative </w:t>
      </w:r>
      <w:r w:rsidRPr="00A279DA">
        <w:rPr>
          <w:sz w:val="24"/>
          <w:szCs w:val="24"/>
        </w:rPr>
        <w:fldChar w:fldCharType="begin"/>
      </w:r>
      <w:r>
        <w:rPr>
          <w:sz w:val="24"/>
          <w:szCs w:val="24"/>
        </w:rPr>
        <w:instrText xml:space="preserve"> ADDIN ZOTERO_ITEM CSL_CITATION {"citationID":"m48s7Fqm","properties":{"formattedCitation":"(Transnational NGO Initiative 2010; Kerlin 2013; Koch et al. 2009)","plainCitation":"(Transnational NGO Initiative 2010; Kerlin 2013; Koch et al. 2009)"},"citationItems":[{"id":3187,"uris":["http://zotero.org/users/381007/items/KBMZEDUF"],"uri":["http://zotero.org/users/381007/items/KBMZEDUF"],"itemData":{"id":3187,"type":"article","title":"The Transnational NGO Study: Rationale, Sampling and Research Process","publisher":"Moynihan Institute of Global Affairs, Syracuse University","URL":"http://www1.maxwell.syr.edu/moynihan/tngo/Data/","author":[{"family":"Transnational NGO Initiative","given":""}],"issued":{"date-parts":[["2010"]]},"accessed":{"date-parts":[["2013",9,13]]}}},{"id":3194,"uris":["http://zotero.org/users/381007/items/MT64P3DQ"],"uri":["http://zotero.org/users/381007/items/MT64P3DQ"],"itemData":{"id":3194,"type":"article-journal","title":"Predicting Variation in Funding for International Nongovernmental Organizations Following Three External Events","container-title":"Nonprofit Management and Leadership","page":"473-490","volume":"23","issue":"4","source":"CrossRef","DOI":"10.1002/nml.21075","ISSN":"10486682","language":"en","author":[{"family":"Kerlin","given":"Janelle A."}],"issued":{"date-parts":[["2013",6]]},"accessed":{"date-parts":[["2014",4,20]]}}},{"id":961,"uris":["http://zotero.org/users/381007/items/HT6W88M6"],"uri":["http://zotero.org/users/381007/items/HT6W88M6"],"itemData":{"id":961,"type":"article-journal","title":"Keeping a Low Profile: What Determines the Allocation of Aid by Non-Governmental Organizations?","container-title":"World Development","page":"902-918","volume":"37","issue":"5","abstract":"We analyze the targeting of non-governmental organization (NGO) aid across countries in a multivariate regression frame-\nwork, based on a dataset for 61 important international NGOs. While our results show that NGOs are more active in the neediest coun-\ntries, we reject the hypothesis that NGOs complement official aid through engaging in difficult institutional environments. Rather, they\nreplicate location choices of official ‘‘backdonors.”\nMoreover, NGOs follow other NGOs so that aid gets clustered. Finally, NGOs select recipient countries with common traits related to religion or colonial history. Our findings suggest that NGOs keep a low profile rather than distinguishing themselves from other donors. It remains open to debate, however, whether these findings also apply to the wide variety of smaller NGOs (not covered by our sample)","author":[{"family":"Koch","given":"Dirk-Jan"},{"family":"Dreher","given":"Axel"},{"family":"Nunnenkamp","given":"Peter"},{"family":"Thiele","given":"Rainer"}],"issued":{"date-parts":[["2009"]]}}}],"schema":"https://github.com/citation-style-language/schema/raw/master/csl-citation.json"} </w:instrText>
      </w:r>
      <w:r w:rsidRPr="00A279DA">
        <w:rPr>
          <w:sz w:val="24"/>
          <w:szCs w:val="24"/>
        </w:rPr>
        <w:fldChar w:fldCharType="separate"/>
      </w:r>
      <w:r w:rsidRPr="00A279DA">
        <w:rPr>
          <w:noProof/>
          <w:sz w:val="24"/>
          <w:szCs w:val="24"/>
        </w:rPr>
        <w:t>(2010), Kerlin (2013), and Koch et al. (2009)</w:t>
      </w:r>
      <w:r w:rsidRPr="00A279DA">
        <w:rPr>
          <w:sz w:val="24"/>
          <w:szCs w:val="24"/>
        </w:rPr>
        <w:fldChar w:fldCharType="end"/>
      </w:r>
      <w:r w:rsidRPr="00A279DA">
        <w:rPr>
          <w:sz w:val="24"/>
          <w:szCs w:val="24"/>
        </w:rPr>
        <w:t>.</w:t>
      </w:r>
    </w:p>
  </w:footnote>
  <w:footnote w:id="12">
    <w:p w:rsidR="00F43496" w:rsidRPr="00A279DA" w:rsidRDefault="00F43496" w:rsidP="001630DC">
      <w:pPr>
        <w:pStyle w:val="FootnoteText"/>
        <w:spacing w:line="480" w:lineRule="auto"/>
        <w:rPr>
          <w:sz w:val="24"/>
          <w:szCs w:val="24"/>
        </w:rPr>
      </w:pPr>
      <w:r w:rsidRPr="00A279DA">
        <w:rPr>
          <w:rStyle w:val="FootnoteReference"/>
          <w:sz w:val="24"/>
          <w:szCs w:val="24"/>
        </w:rPr>
        <w:footnoteRef/>
      </w:r>
      <w:r w:rsidRPr="00A279DA">
        <w:rPr>
          <w:sz w:val="24"/>
          <w:szCs w:val="24"/>
        </w:rPr>
        <w:t xml:space="preserve"> The following subcategories were excluded based on the in-country decision rule: international understanding; professional societies, associations; research institutes and/or public policy analysis; nonmonetary support N.E.C.; promotion of international understanding; international cultural exchange; international student exchange and aid; international exchanges; arms control and peace organizations; United Nations association; and domestic national security were excluded. An assessment of these sub-categories showed that many organizations possessed multiple Q codes and that these were most likely not to meet the in-country programming decision rule. </w:t>
      </w:r>
    </w:p>
    <w:p w:rsidR="00F43496" w:rsidRDefault="00F43496" w:rsidP="001630DC">
      <w:pPr>
        <w:pStyle w:val="FootnoteText"/>
      </w:pPr>
    </w:p>
  </w:footnote>
  <w:footnote w:id="13">
    <w:p w:rsidR="00F43496" w:rsidRDefault="00F43496" w:rsidP="001630DC">
      <w:pPr>
        <w:pStyle w:val="FootnoteText"/>
        <w:spacing w:line="480" w:lineRule="auto"/>
      </w:pPr>
      <w:r w:rsidRPr="009D05FA">
        <w:rPr>
          <w:rStyle w:val="FootnoteReference"/>
          <w:sz w:val="24"/>
          <w:szCs w:val="24"/>
        </w:rPr>
        <w:footnoteRef/>
      </w:r>
      <w:r w:rsidRPr="009D05FA">
        <w:rPr>
          <w:sz w:val="24"/>
          <w:szCs w:val="24"/>
        </w:rPr>
        <w:t xml:space="preserve"> This figure is based on data collected from form 990s for U.S. registered 501(c)(3) nonprofits with more than $1 million USD reported in the National Center for Charitable Statistics (NCCS) search and an office, staff, or infrastructure abroad.</w:t>
      </w:r>
    </w:p>
  </w:footnote>
  <w:footnote w:id="14">
    <w:p w:rsidR="00F43496" w:rsidRDefault="00F43496" w:rsidP="001630DC">
      <w:pPr>
        <w:pStyle w:val="FootnoteText"/>
        <w:spacing w:line="480" w:lineRule="auto"/>
      </w:pPr>
      <w:r w:rsidRPr="009D05FA">
        <w:rPr>
          <w:rStyle w:val="FootnoteReference"/>
          <w:sz w:val="24"/>
          <w:szCs w:val="24"/>
        </w:rPr>
        <w:footnoteRef/>
      </w:r>
      <w:r w:rsidRPr="009D05FA">
        <w:rPr>
          <w:sz w:val="24"/>
          <w:szCs w:val="24"/>
        </w:rPr>
        <w:t xml:space="preserve"> Formerly the White House Office of Faith-based and Community Initiatives, established under George W. Bush in 2001. </w:t>
      </w:r>
    </w:p>
  </w:footnote>
  <w:footnote w:id="15">
    <w:p w:rsidR="00F43496" w:rsidRDefault="00F43496" w:rsidP="001630DC">
      <w:pPr>
        <w:pStyle w:val="FootnoteText"/>
        <w:spacing w:line="480" w:lineRule="auto"/>
      </w:pPr>
      <w:r w:rsidRPr="009D05FA">
        <w:rPr>
          <w:rStyle w:val="FootnoteReference"/>
          <w:sz w:val="24"/>
          <w:szCs w:val="24"/>
        </w:rPr>
        <w:footnoteRef/>
      </w:r>
      <w:r w:rsidRPr="009D05FA">
        <w:rPr>
          <w:sz w:val="24"/>
          <w:szCs w:val="24"/>
        </w:rPr>
        <w:t xml:space="preserve"> The following subcategories did not meet the decision rule and were excluded: international understanding; professional societies, associations; research institutes and/or public policy analysis; nonmonetary support N.E.C.; promotion of international understanding; international cultural exchange; international student exchange and aid; international exchanges; arms control and peace organizations; United Nations association; and domestic national security were excluded. An assessment of these sub-categories showed that many organizations possessed multiple Q codes and that these were most likely not to meet the in-country programming decision rule. </w:t>
      </w:r>
    </w:p>
  </w:footnote>
  <w:footnote w:id="16">
    <w:p w:rsidR="00F43496" w:rsidRDefault="00F43496" w:rsidP="001630DC">
      <w:pPr>
        <w:pStyle w:val="FootnoteText"/>
        <w:spacing w:line="480" w:lineRule="auto"/>
      </w:pPr>
      <w:r w:rsidRPr="00E43BCF">
        <w:rPr>
          <w:rStyle w:val="FootnoteReference"/>
          <w:sz w:val="24"/>
          <w:szCs w:val="24"/>
        </w:rPr>
        <w:footnoteRef/>
      </w:r>
      <w:r w:rsidRPr="00E43BCF">
        <w:rPr>
          <w:sz w:val="24"/>
          <w:szCs w:val="24"/>
        </w:rPr>
        <w:t xml:space="preserve"> NTEE codes represent broad categories and are assigned based on the organizations application for 501(c)(3) status. As an organization grows, the NTEE code may no longer accurately reflect the scope of its work. Categories and subcategories might be divided to create more descriptive categorizations; Kerlin (2013) re-coded organizations to better reflect their work in international relief. A similar process is being considered in the development of this project. </w:t>
      </w:r>
    </w:p>
  </w:footnote>
  <w:footnote w:id="17">
    <w:p w:rsidR="00F43496" w:rsidRDefault="00F43496" w:rsidP="001630DC">
      <w:pPr>
        <w:pStyle w:val="FootnoteText"/>
        <w:spacing w:line="480" w:lineRule="auto"/>
      </w:pPr>
      <w:r w:rsidRPr="00E43BCF">
        <w:rPr>
          <w:rStyle w:val="FootnoteReference"/>
          <w:sz w:val="24"/>
          <w:szCs w:val="24"/>
        </w:rPr>
        <w:footnoteRef/>
      </w:r>
      <w:r w:rsidRPr="00E43BCF">
        <w:rPr>
          <w:sz w:val="24"/>
          <w:szCs w:val="24"/>
        </w:rPr>
        <w:t xml:space="preserve"> </w:t>
      </w:r>
      <w:r w:rsidRPr="00B11ABC">
        <w:rPr>
          <w:sz w:val="24"/>
          <w:szCs w:val="24"/>
        </w:rPr>
        <w:t xml:space="preserve">Documents were collected from </w:t>
      </w:r>
      <w:hyperlink r:id="rId3" w:history="1">
        <w:r w:rsidRPr="00B11ABC">
          <w:rPr>
            <w:rStyle w:val="Hyperlink"/>
            <w:color w:val="auto"/>
            <w:sz w:val="24"/>
            <w:szCs w:val="24"/>
          </w:rPr>
          <w:t>www.clscholarshiporg</w:t>
        </w:r>
      </w:hyperlink>
      <w:r w:rsidRPr="00B11ABC">
        <w:rPr>
          <w:sz w:val="24"/>
          <w:szCs w:val="24"/>
        </w:rPr>
        <w:t xml:space="preserve"> (CLS); </w:t>
      </w:r>
      <w:hyperlink r:id="rId4" w:history="1">
        <w:r w:rsidRPr="00B11ABC">
          <w:rPr>
            <w:rStyle w:val="Hyperlink"/>
            <w:color w:val="auto"/>
            <w:sz w:val="24"/>
            <w:szCs w:val="24"/>
          </w:rPr>
          <w:t>www.whitehouse.gov</w:t>
        </w:r>
      </w:hyperlink>
      <w:r w:rsidRPr="00B11ABC">
        <w:rPr>
          <w:sz w:val="24"/>
          <w:szCs w:val="24"/>
        </w:rPr>
        <w:t xml:space="preserve"> (NSS); and the National Archives Center for Legislative Archives at </w:t>
      </w:r>
      <w:hyperlink r:id="rId5" w:history="1">
        <w:r w:rsidRPr="00B11ABC">
          <w:rPr>
            <w:rStyle w:val="Hyperlink"/>
            <w:color w:val="auto"/>
            <w:sz w:val="24"/>
            <w:szCs w:val="24"/>
          </w:rPr>
          <w:t>www.archives.gov/legislative/features/sotu</w:t>
        </w:r>
      </w:hyperlink>
      <w:r w:rsidRPr="00B11ABC">
        <w:rPr>
          <w:sz w:val="24"/>
          <w:szCs w:val="24"/>
        </w:rPr>
        <w:t xml:space="preserve"> (SOTU).</w:t>
      </w:r>
    </w:p>
  </w:footnote>
  <w:footnote w:id="18">
    <w:p w:rsidR="00F43496" w:rsidRDefault="00F43496" w:rsidP="001630DC">
      <w:pPr>
        <w:pStyle w:val="FootnoteText"/>
        <w:spacing w:line="480" w:lineRule="auto"/>
      </w:pPr>
      <w:r w:rsidRPr="000B54DC">
        <w:rPr>
          <w:rStyle w:val="FootnoteReference"/>
        </w:rPr>
        <w:footnoteRef/>
      </w:r>
      <w:r w:rsidRPr="00D34965">
        <w:rPr>
          <w:sz w:val="24"/>
          <w:szCs w:val="24"/>
        </w:rPr>
        <w:t xml:space="preserve"> This excludes 501(c)(3) private foundations,</w:t>
      </w:r>
      <w:r>
        <w:rPr>
          <w:sz w:val="24"/>
          <w:szCs w:val="24"/>
        </w:rPr>
        <w:t xml:space="preserve"> universities and colleges, and hospitals, </w:t>
      </w:r>
      <w:r w:rsidRPr="00D34965">
        <w:rPr>
          <w:sz w:val="24"/>
          <w:szCs w:val="24"/>
        </w:rPr>
        <w:t>which are also captured in the public charity category. Private foundations</w:t>
      </w:r>
      <w:r>
        <w:rPr>
          <w:sz w:val="24"/>
          <w:szCs w:val="24"/>
        </w:rPr>
        <w:t xml:space="preserve"> in particular</w:t>
      </w:r>
      <w:r w:rsidRPr="00D34965">
        <w:rPr>
          <w:sz w:val="24"/>
          <w:szCs w:val="24"/>
        </w:rPr>
        <w:t xml:space="preserve"> are excluded because they do not engage in implementation. Although they may shape decision-making in some cases, as discussed in the previous chapter, they</w:t>
      </w:r>
      <w:r>
        <w:rPr>
          <w:sz w:val="24"/>
          <w:szCs w:val="24"/>
        </w:rPr>
        <w:t xml:space="preserve"> along with the other excluded public charities</w:t>
      </w:r>
      <w:r w:rsidRPr="00D34965">
        <w:rPr>
          <w:sz w:val="24"/>
          <w:szCs w:val="24"/>
        </w:rPr>
        <w:t xml:space="preserve"> are not subject to the same operational and logistical commitments of other public charities. Furthermore, private foundations report financial and organizational information to the IRS using the form 990-PF. This form asks questions different from that of the form 990 filed by the </w:t>
      </w:r>
      <w:r>
        <w:rPr>
          <w:sz w:val="24"/>
          <w:szCs w:val="24"/>
        </w:rPr>
        <w:t>TNGO</w:t>
      </w:r>
      <w:r w:rsidRPr="00D34965">
        <w:rPr>
          <w:sz w:val="24"/>
          <w:szCs w:val="24"/>
        </w:rPr>
        <w:t xml:space="preserve">s included in this dataset. </w:t>
      </w:r>
    </w:p>
  </w:footnote>
  <w:footnote w:id="19">
    <w:p w:rsidR="00F43496" w:rsidRDefault="00F43496" w:rsidP="001630DC">
      <w:pPr>
        <w:pStyle w:val="FootnoteText"/>
        <w:spacing w:line="480" w:lineRule="auto"/>
      </w:pPr>
      <w:r w:rsidRPr="000B54DC">
        <w:rPr>
          <w:rStyle w:val="FootnoteReference"/>
        </w:rPr>
        <w:footnoteRef/>
      </w:r>
      <w:r w:rsidRPr="006711A3">
        <w:rPr>
          <w:sz w:val="24"/>
          <w:szCs w:val="24"/>
        </w:rPr>
        <w:t xml:space="preserve"> Kenya is perhaps the most often studied case in sub-Saharan Africa (see Berg-Schlosser, Dirk and Rainer Siegler 1990; Brass 2012; Hyden 1984; Okuku 2002; Rono 2002; Bratton and Kimenyi 2008). Kenya is also attractive to </w:t>
      </w:r>
      <w:r>
        <w:rPr>
          <w:sz w:val="24"/>
          <w:szCs w:val="24"/>
        </w:rPr>
        <w:t>TNGO</w:t>
      </w:r>
      <w:r w:rsidRPr="006711A3">
        <w:rPr>
          <w:sz w:val="24"/>
          <w:szCs w:val="24"/>
        </w:rPr>
        <w:t xml:space="preserve">s for its geography and infrastructure. Its proximity to several “hot spots” in the region along with its roads, Internet, and telephone infrastructure make it an ideal operational and logistical environment for regional headquarters and implementation inside and outside of the country. </w:t>
      </w:r>
      <w:r>
        <w:rPr>
          <w:sz w:val="24"/>
          <w:szCs w:val="24"/>
        </w:rPr>
        <w:t xml:space="preserve">In addition, the political stability of Kenya facilitates TNGO activities, despite some restrictive legislation concerning TNGOs. </w:t>
      </w:r>
    </w:p>
  </w:footnote>
  <w:footnote w:id="20">
    <w:p w:rsidR="00F43496" w:rsidRDefault="00F43496" w:rsidP="001630DC">
      <w:pPr>
        <w:pStyle w:val="FootnoteText"/>
      </w:pPr>
      <w:r w:rsidRPr="000B54DC">
        <w:rPr>
          <w:rStyle w:val="FootnoteReference"/>
        </w:rPr>
        <w:footnoteRef/>
      </w:r>
      <w:r w:rsidRPr="00F44854">
        <w:rPr>
          <w:sz w:val="24"/>
          <w:szCs w:val="24"/>
        </w:rPr>
        <w:t xml:space="preserve"> See Appendix A for complete list of interview prompts. </w:t>
      </w:r>
    </w:p>
  </w:footnote>
  <w:footnote w:id="21">
    <w:p w:rsidR="00F43496" w:rsidRDefault="00F43496" w:rsidP="001630DC">
      <w:pPr>
        <w:pStyle w:val="FootnoteText"/>
        <w:spacing w:line="480" w:lineRule="auto"/>
      </w:pPr>
      <w:r w:rsidRPr="00701FB4">
        <w:rPr>
          <w:rStyle w:val="FootnoteReference"/>
          <w:sz w:val="24"/>
        </w:rPr>
        <w:footnoteRef/>
      </w:r>
      <w:r w:rsidRPr="00701FB4">
        <w:rPr>
          <w:sz w:val="24"/>
        </w:rPr>
        <w:t xml:space="preserve"> One organization operates as a for-profit social enterprise, offering microloans, while the other operates as a nonprofit social enterprise. It offers agricultural and technical services. The nonprofit self-identifies itself as a hybrid organization, however, it was re</w:t>
      </w:r>
      <w:r>
        <w:rPr>
          <w:sz w:val="24"/>
        </w:rPr>
        <w:t>-</w:t>
      </w:r>
      <w:r w:rsidRPr="00701FB4">
        <w:rPr>
          <w:sz w:val="24"/>
        </w:rPr>
        <w:t xml:space="preserve">categorized following comparative analysis with other hybrid </w:t>
      </w:r>
      <w:r>
        <w:rPr>
          <w:sz w:val="24"/>
        </w:rPr>
        <w:t>TNGO</w:t>
      </w:r>
      <w:r w:rsidRPr="00701FB4">
        <w:rPr>
          <w:sz w:val="24"/>
        </w:rPr>
        <w:t xml:space="preserve">s. </w:t>
      </w:r>
    </w:p>
  </w:footnote>
  <w:footnote w:id="22">
    <w:p w:rsidR="00F43496" w:rsidRPr="00F1318A" w:rsidRDefault="00F43496" w:rsidP="001630DC">
      <w:pPr>
        <w:pStyle w:val="FootnoteText"/>
        <w:spacing w:line="480" w:lineRule="auto"/>
        <w:rPr>
          <w:sz w:val="24"/>
          <w:szCs w:val="24"/>
        </w:rPr>
      </w:pPr>
      <w:r w:rsidRPr="000B54DC">
        <w:rPr>
          <w:rStyle w:val="FootnoteReference"/>
        </w:rPr>
        <w:footnoteRef/>
      </w:r>
      <w:r w:rsidRPr="00CB7EE6">
        <w:rPr>
          <w:sz w:val="24"/>
          <w:szCs w:val="24"/>
        </w:rPr>
        <w:t xml:space="preserve"> </w:t>
      </w:r>
      <w:r>
        <w:rPr>
          <w:sz w:val="24"/>
          <w:szCs w:val="24"/>
        </w:rPr>
        <w:t xml:space="preserve">This is the direct result of the </w:t>
      </w:r>
      <w:r w:rsidRPr="00CB7EE6">
        <w:rPr>
          <w:sz w:val="24"/>
          <w:szCs w:val="24"/>
        </w:rPr>
        <w:t>Th</w:t>
      </w:r>
      <w:r>
        <w:rPr>
          <w:sz w:val="24"/>
          <w:szCs w:val="24"/>
        </w:rPr>
        <w:t>e Lord’s Resistance Army (LRA), which d</w:t>
      </w:r>
      <w:r w:rsidRPr="00CB7EE6">
        <w:rPr>
          <w:sz w:val="24"/>
          <w:szCs w:val="24"/>
        </w:rPr>
        <w:t xml:space="preserve">isrupted peace and stability in northern Uganda in the mid-1990s </w:t>
      </w:r>
      <w:r>
        <w:rPr>
          <w:sz w:val="24"/>
          <w:szCs w:val="24"/>
        </w:rPr>
        <w:t xml:space="preserve">and continued a low-level conflict until the mid-2000s.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4661D1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6184128"/>
    <w:lvl w:ilvl="0">
      <w:start w:val="1"/>
      <w:numFmt w:val="decimal"/>
      <w:lvlText w:val="%1."/>
      <w:lvlJc w:val="left"/>
      <w:pPr>
        <w:tabs>
          <w:tab w:val="num" w:pos="1800"/>
        </w:tabs>
        <w:ind w:left="1800" w:hanging="360"/>
      </w:pPr>
      <w:rPr>
        <w:rFonts w:cs="Times New Roman"/>
      </w:rPr>
    </w:lvl>
  </w:abstractNum>
  <w:abstractNum w:abstractNumId="2" w15:restartNumberingAfterBreak="0">
    <w:nsid w:val="FFFFFF7F"/>
    <w:multiLevelType w:val="singleLevel"/>
    <w:tmpl w:val="7520EABC"/>
    <w:lvl w:ilvl="0">
      <w:start w:val="1"/>
      <w:numFmt w:val="decimal"/>
      <w:lvlText w:val="%1."/>
      <w:lvlJc w:val="left"/>
      <w:pPr>
        <w:tabs>
          <w:tab w:val="num" w:pos="720"/>
        </w:tabs>
        <w:ind w:left="720" w:hanging="360"/>
      </w:pPr>
      <w:rPr>
        <w:rFonts w:cs="Times New Roman"/>
      </w:rPr>
    </w:lvl>
  </w:abstractNum>
  <w:abstractNum w:abstractNumId="3" w15:restartNumberingAfterBreak="0">
    <w:nsid w:val="00486FA8"/>
    <w:multiLevelType w:val="multilevel"/>
    <w:tmpl w:val="83B2C9C4"/>
    <w:lvl w:ilvl="0">
      <w:start w:val="1"/>
      <w:numFmt w:val="decimal"/>
      <w:pStyle w:val="Heading1"/>
      <w:suff w:val="space"/>
      <w:lvlText w:val="Chapter %1"/>
      <w:lvlJc w:val="left"/>
      <w:pPr>
        <w:ind w:left="0" w:firstLine="0"/>
      </w:pPr>
      <w:rPr>
        <w:b/>
        <w:bCs w:val="0"/>
        <w:i w:val="0"/>
        <w:iCs w:val="0"/>
        <w:caps w:val="0"/>
        <w:smallCaps w:val="0"/>
        <w:strike w:val="0"/>
        <w:dstrike w:val="0"/>
        <w:outline w:val="0"/>
        <w:shadow w:val="0"/>
        <w:emboss w:val="0"/>
        <w:imprint w:val="0"/>
        <w:noProof w:val="0"/>
        <w:vanish w:val="0"/>
        <w:color w:val="000000" w:themeColor="text1"/>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05D864A0"/>
    <w:multiLevelType w:val="hybridMultilevel"/>
    <w:tmpl w:val="AC1C63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4A0F2F"/>
    <w:multiLevelType w:val="hybridMultilevel"/>
    <w:tmpl w:val="3F48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23A31"/>
    <w:multiLevelType w:val="multilevel"/>
    <w:tmpl w:val="5A307B66"/>
    <w:lvl w:ilvl="0">
      <w:start w:val="1"/>
      <w:numFmt w:val="decimal"/>
      <w:suff w:val="space"/>
      <w:lvlText w:val="Chapter %1"/>
      <w:lvlJc w:val="left"/>
      <w:pPr>
        <w:ind w:left="0" w:firstLine="0"/>
      </w:pPr>
      <w:rPr>
        <w:rFonts w:ascii="Times New Roman Bold" w:hAnsi="Times New Roman Bold" w:hint="default"/>
        <w:b/>
        <w:i w:val="0"/>
        <w:color w:val="auto"/>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7FF11B6"/>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1E30F94"/>
    <w:multiLevelType w:val="hybridMultilevel"/>
    <w:tmpl w:val="033C79D6"/>
    <w:lvl w:ilvl="0" w:tplc="FEC6B43C">
      <w:start w:val="2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F36B2"/>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6B33844"/>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7091B77"/>
    <w:multiLevelType w:val="multilevel"/>
    <w:tmpl w:val="5A307B66"/>
    <w:lvl w:ilvl="0">
      <w:start w:val="1"/>
      <w:numFmt w:val="decimal"/>
      <w:suff w:val="space"/>
      <w:lvlText w:val="Chapter %1"/>
      <w:lvlJc w:val="left"/>
      <w:pPr>
        <w:ind w:left="0" w:firstLine="0"/>
      </w:pPr>
      <w:rPr>
        <w:rFonts w:ascii="Times New Roman Bold" w:hAnsi="Times New Roman Bold" w:hint="default"/>
        <w:b/>
        <w:i w:val="0"/>
        <w:color w:val="auto"/>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7C545CC"/>
    <w:multiLevelType w:val="multilevel"/>
    <w:tmpl w:val="5A307B66"/>
    <w:lvl w:ilvl="0">
      <w:start w:val="1"/>
      <w:numFmt w:val="decimal"/>
      <w:suff w:val="space"/>
      <w:lvlText w:val="Chapter %1"/>
      <w:lvlJc w:val="left"/>
      <w:pPr>
        <w:ind w:left="0" w:firstLine="0"/>
      </w:pPr>
      <w:rPr>
        <w:rFonts w:ascii="Times New Roman Bold" w:hAnsi="Times New Roman Bold" w:hint="default"/>
        <w:b/>
        <w:i w:val="0"/>
        <w:color w:val="auto"/>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46A572E"/>
    <w:multiLevelType w:val="hybridMultilevel"/>
    <w:tmpl w:val="E07CB55E"/>
    <w:lvl w:ilvl="0" w:tplc="4094E8F0">
      <w:start w:val="2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746F5"/>
    <w:multiLevelType w:val="multilevel"/>
    <w:tmpl w:val="6F28C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0DB22C3"/>
    <w:multiLevelType w:val="hybridMultilevel"/>
    <w:tmpl w:val="7DBAEC3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BFC2000"/>
    <w:multiLevelType w:val="hybridMultilevel"/>
    <w:tmpl w:val="04DCE08E"/>
    <w:lvl w:ilvl="0" w:tplc="559CAA9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B54594"/>
    <w:multiLevelType w:val="multilevel"/>
    <w:tmpl w:val="5A307B66"/>
    <w:lvl w:ilvl="0">
      <w:start w:val="1"/>
      <w:numFmt w:val="decimal"/>
      <w:suff w:val="space"/>
      <w:lvlText w:val="Chapter %1"/>
      <w:lvlJc w:val="left"/>
      <w:pPr>
        <w:ind w:left="0" w:firstLine="0"/>
      </w:pPr>
      <w:rPr>
        <w:rFonts w:ascii="Times New Roman Bold" w:hAnsi="Times New Roman Bold" w:hint="default"/>
        <w:b/>
        <w:i w:val="0"/>
        <w:color w:val="auto"/>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17174DB"/>
    <w:multiLevelType w:val="hybridMultilevel"/>
    <w:tmpl w:val="6F28C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A01C5C"/>
    <w:multiLevelType w:val="hybridMultilevel"/>
    <w:tmpl w:val="4DA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D40D4"/>
    <w:multiLevelType w:val="hybridMultilevel"/>
    <w:tmpl w:val="8CD8C2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D3D027D"/>
    <w:multiLevelType w:val="hybridMultilevel"/>
    <w:tmpl w:val="436C1462"/>
    <w:lvl w:ilvl="0" w:tplc="9FF616F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495CE3"/>
    <w:multiLevelType w:val="multilevel"/>
    <w:tmpl w:val="5A307B66"/>
    <w:lvl w:ilvl="0">
      <w:start w:val="1"/>
      <w:numFmt w:val="decimal"/>
      <w:suff w:val="space"/>
      <w:lvlText w:val="Chapter %1"/>
      <w:lvlJc w:val="left"/>
      <w:pPr>
        <w:ind w:left="0" w:firstLine="0"/>
      </w:pPr>
      <w:rPr>
        <w:rFonts w:ascii="Times New Roman Bold" w:hAnsi="Times New Roman Bold" w:hint="default"/>
        <w:b/>
        <w:i w:val="0"/>
        <w:color w:val="auto"/>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D7C0C8C"/>
    <w:multiLevelType w:val="hybridMultilevel"/>
    <w:tmpl w:val="FB384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57214"/>
    <w:multiLevelType w:val="hybridMultilevel"/>
    <w:tmpl w:val="8EC2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60BE7"/>
    <w:multiLevelType w:val="hybridMultilevel"/>
    <w:tmpl w:val="A56A5E6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10A6684"/>
    <w:multiLevelType w:val="hybridMultilevel"/>
    <w:tmpl w:val="6992795E"/>
    <w:lvl w:ilvl="0" w:tplc="5A6C64AA">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2C51F2"/>
    <w:multiLevelType w:val="hybridMultilevel"/>
    <w:tmpl w:val="EF7A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B31F2C"/>
    <w:multiLevelType w:val="hybridMultilevel"/>
    <w:tmpl w:val="E320EEFA"/>
    <w:lvl w:ilvl="0" w:tplc="ADB212B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421090"/>
    <w:multiLevelType w:val="hybridMultilevel"/>
    <w:tmpl w:val="4E90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9279EF"/>
    <w:multiLevelType w:val="hybridMultilevel"/>
    <w:tmpl w:val="1D686D6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3C50AE"/>
    <w:multiLevelType w:val="hybridMultilevel"/>
    <w:tmpl w:val="8CD8C2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21"/>
  </w:num>
  <w:num w:numId="4">
    <w:abstractNumId w:val="28"/>
  </w:num>
  <w:num w:numId="5">
    <w:abstractNumId w:val="16"/>
  </w:num>
  <w:num w:numId="6">
    <w:abstractNumId w:val="5"/>
  </w:num>
  <w:num w:numId="7">
    <w:abstractNumId w:val="13"/>
  </w:num>
  <w:num w:numId="8">
    <w:abstractNumId w:val="27"/>
  </w:num>
  <w:num w:numId="9">
    <w:abstractNumId w:val="23"/>
  </w:num>
  <w:num w:numId="10">
    <w:abstractNumId w:val="8"/>
  </w:num>
  <w:num w:numId="11">
    <w:abstractNumId w:val="26"/>
  </w:num>
  <w:num w:numId="12">
    <w:abstractNumId w:val="4"/>
  </w:num>
  <w:num w:numId="13">
    <w:abstractNumId w:val="20"/>
  </w:num>
  <w:num w:numId="14">
    <w:abstractNumId w:val="15"/>
  </w:num>
  <w:num w:numId="15">
    <w:abstractNumId w:val="30"/>
  </w:num>
  <w:num w:numId="16">
    <w:abstractNumId w:val="31"/>
  </w:num>
  <w:num w:numId="17">
    <w:abstractNumId w:val="25"/>
  </w:num>
  <w:num w:numId="18">
    <w:abstractNumId w:val="19"/>
  </w:num>
  <w:num w:numId="19">
    <w:abstractNumId w:val="24"/>
  </w:num>
  <w:num w:numId="20">
    <w:abstractNumId w:val="18"/>
  </w:num>
  <w:num w:numId="21">
    <w:abstractNumId w:val="14"/>
  </w:num>
  <w:num w:numId="22">
    <w:abstractNumId w:val="0"/>
  </w:num>
  <w:num w:numId="23">
    <w:abstractNumId w:val="29"/>
  </w:num>
  <w:num w:numId="24">
    <w:abstractNumId w:val="3"/>
  </w:num>
  <w:num w:numId="25">
    <w:abstractNumId w:val="10"/>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12"/>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7"/>
  </w:num>
  <w:num w:numId="33">
    <w:abstractNumId w:val="22"/>
  </w:num>
  <w:num w:numId="34">
    <w:abstractNumId w:val="1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C4"/>
    <w:rsid w:val="00015E72"/>
    <w:rsid w:val="000408C4"/>
    <w:rsid w:val="00047930"/>
    <w:rsid w:val="00075F70"/>
    <w:rsid w:val="00091183"/>
    <w:rsid w:val="00092B91"/>
    <w:rsid w:val="000C2C60"/>
    <w:rsid w:val="000E58FA"/>
    <w:rsid w:val="000E7929"/>
    <w:rsid w:val="001119A4"/>
    <w:rsid w:val="0011380A"/>
    <w:rsid w:val="00115B2B"/>
    <w:rsid w:val="00141859"/>
    <w:rsid w:val="001517D5"/>
    <w:rsid w:val="001630DC"/>
    <w:rsid w:val="001A1CBE"/>
    <w:rsid w:val="001A3C48"/>
    <w:rsid w:val="001C255D"/>
    <w:rsid w:val="001D1DAE"/>
    <w:rsid w:val="00201ADC"/>
    <w:rsid w:val="0022093D"/>
    <w:rsid w:val="0022297A"/>
    <w:rsid w:val="0022515F"/>
    <w:rsid w:val="00236CA2"/>
    <w:rsid w:val="00270F7E"/>
    <w:rsid w:val="00293B32"/>
    <w:rsid w:val="002A7F50"/>
    <w:rsid w:val="002B48DA"/>
    <w:rsid w:val="002C1833"/>
    <w:rsid w:val="002D0774"/>
    <w:rsid w:val="002D13C7"/>
    <w:rsid w:val="002D7EC5"/>
    <w:rsid w:val="002F33C7"/>
    <w:rsid w:val="0030652A"/>
    <w:rsid w:val="00313C0A"/>
    <w:rsid w:val="003173AC"/>
    <w:rsid w:val="00383665"/>
    <w:rsid w:val="003B4EC4"/>
    <w:rsid w:val="004233D7"/>
    <w:rsid w:val="00440A5A"/>
    <w:rsid w:val="00447B59"/>
    <w:rsid w:val="00453D8D"/>
    <w:rsid w:val="00482840"/>
    <w:rsid w:val="00485420"/>
    <w:rsid w:val="004F45FB"/>
    <w:rsid w:val="00504DC3"/>
    <w:rsid w:val="0051128C"/>
    <w:rsid w:val="0054306A"/>
    <w:rsid w:val="005A0FFD"/>
    <w:rsid w:val="005B3F65"/>
    <w:rsid w:val="005F3655"/>
    <w:rsid w:val="005F761F"/>
    <w:rsid w:val="00605315"/>
    <w:rsid w:val="00614FC3"/>
    <w:rsid w:val="0061603D"/>
    <w:rsid w:val="00652DA5"/>
    <w:rsid w:val="00653503"/>
    <w:rsid w:val="00661D68"/>
    <w:rsid w:val="0067021C"/>
    <w:rsid w:val="006816F9"/>
    <w:rsid w:val="006A1E20"/>
    <w:rsid w:val="006A663C"/>
    <w:rsid w:val="006A6BB0"/>
    <w:rsid w:val="006B0F43"/>
    <w:rsid w:val="006D3608"/>
    <w:rsid w:val="006E38B6"/>
    <w:rsid w:val="006F55C2"/>
    <w:rsid w:val="007008D9"/>
    <w:rsid w:val="00721FC0"/>
    <w:rsid w:val="00724CC8"/>
    <w:rsid w:val="007A1CF5"/>
    <w:rsid w:val="007D7F64"/>
    <w:rsid w:val="008159E1"/>
    <w:rsid w:val="0084627E"/>
    <w:rsid w:val="008611A5"/>
    <w:rsid w:val="00862CCB"/>
    <w:rsid w:val="00865D9F"/>
    <w:rsid w:val="00877929"/>
    <w:rsid w:val="00877EED"/>
    <w:rsid w:val="008A0BB4"/>
    <w:rsid w:val="008C4137"/>
    <w:rsid w:val="008C47C5"/>
    <w:rsid w:val="008D289A"/>
    <w:rsid w:val="009944D4"/>
    <w:rsid w:val="009A03CF"/>
    <w:rsid w:val="009B1493"/>
    <w:rsid w:val="009B725E"/>
    <w:rsid w:val="009D0BC0"/>
    <w:rsid w:val="009D13F5"/>
    <w:rsid w:val="009F390E"/>
    <w:rsid w:val="00A053FB"/>
    <w:rsid w:val="00A12093"/>
    <w:rsid w:val="00A2134E"/>
    <w:rsid w:val="00A5446C"/>
    <w:rsid w:val="00A54D15"/>
    <w:rsid w:val="00A65828"/>
    <w:rsid w:val="00A869F1"/>
    <w:rsid w:val="00A91267"/>
    <w:rsid w:val="00AA0569"/>
    <w:rsid w:val="00AB0760"/>
    <w:rsid w:val="00AF475C"/>
    <w:rsid w:val="00B11ABC"/>
    <w:rsid w:val="00B50ED0"/>
    <w:rsid w:val="00B75D82"/>
    <w:rsid w:val="00B97971"/>
    <w:rsid w:val="00BA5873"/>
    <w:rsid w:val="00BA69A1"/>
    <w:rsid w:val="00BC20CD"/>
    <w:rsid w:val="00BE607E"/>
    <w:rsid w:val="00C03A9D"/>
    <w:rsid w:val="00C0526E"/>
    <w:rsid w:val="00C40C9E"/>
    <w:rsid w:val="00C63432"/>
    <w:rsid w:val="00CB4ECA"/>
    <w:rsid w:val="00CC730C"/>
    <w:rsid w:val="00CE5E04"/>
    <w:rsid w:val="00D33107"/>
    <w:rsid w:val="00D96D01"/>
    <w:rsid w:val="00DA4797"/>
    <w:rsid w:val="00DB0351"/>
    <w:rsid w:val="00DC64B0"/>
    <w:rsid w:val="00DD20E7"/>
    <w:rsid w:val="00DD501B"/>
    <w:rsid w:val="00E203F8"/>
    <w:rsid w:val="00E2789E"/>
    <w:rsid w:val="00E40FA0"/>
    <w:rsid w:val="00E43661"/>
    <w:rsid w:val="00E60EC9"/>
    <w:rsid w:val="00E67B1D"/>
    <w:rsid w:val="00E75D72"/>
    <w:rsid w:val="00E820EF"/>
    <w:rsid w:val="00EF5ED9"/>
    <w:rsid w:val="00F1318A"/>
    <w:rsid w:val="00F24320"/>
    <w:rsid w:val="00F3282C"/>
    <w:rsid w:val="00F43496"/>
    <w:rsid w:val="00F538C1"/>
    <w:rsid w:val="00F5441D"/>
    <w:rsid w:val="00F57AC5"/>
    <w:rsid w:val="00F72C99"/>
    <w:rsid w:val="00FD5238"/>
    <w:rsid w:val="00FD66DB"/>
    <w:rsid w:val="00FF431D"/>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1C123AC-6ADC-4B4D-9334-63D4AFA3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Helv"/>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DDB"/>
    <w:rPr>
      <w:rFonts w:ascii="Times New Roman" w:hAnsi="Times New Roman" w:cs="Times New Roman"/>
      <w:sz w:val="24"/>
      <w:szCs w:val="22"/>
    </w:rPr>
  </w:style>
  <w:style w:type="paragraph" w:styleId="Heading1">
    <w:name w:val="heading 1"/>
    <w:basedOn w:val="Normal"/>
    <w:next w:val="Normal"/>
    <w:link w:val="Heading1Char"/>
    <w:qFormat/>
    <w:rsid w:val="00FA0C01"/>
    <w:pPr>
      <w:keepNext/>
      <w:keepLines/>
      <w:numPr>
        <w:numId w:val="24"/>
      </w:numPr>
      <w:spacing w:before="240"/>
      <w:outlineLvl w:val="0"/>
    </w:pPr>
    <w:rPr>
      <w:rFonts w:eastAsia="MS PMincho"/>
      <w:color w:val="365F91"/>
      <w:sz w:val="32"/>
      <w:szCs w:val="32"/>
    </w:rPr>
  </w:style>
  <w:style w:type="paragraph" w:styleId="Heading2">
    <w:name w:val="heading 2"/>
    <w:basedOn w:val="Normal"/>
    <w:next w:val="Normal"/>
    <w:link w:val="Heading2Char"/>
    <w:qFormat/>
    <w:rsid w:val="00425374"/>
    <w:pPr>
      <w:keepNext/>
      <w:keepLines/>
      <w:numPr>
        <w:ilvl w:val="1"/>
        <w:numId w:val="24"/>
      </w:numPr>
      <w:spacing w:before="40"/>
      <w:outlineLvl w:val="1"/>
    </w:pPr>
    <w:rPr>
      <w:rFonts w:eastAsia="MS PMincho"/>
      <w:color w:val="365F91"/>
      <w:sz w:val="26"/>
      <w:szCs w:val="26"/>
    </w:rPr>
  </w:style>
  <w:style w:type="paragraph" w:styleId="Heading3">
    <w:name w:val="heading 3"/>
    <w:basedOn w:val="Normal"/>
    <w:next w:val="Normal"/>
    <w:link w:val="Heading3Char"/>
    <w:qFormat/>
    <w:rsid w:val="004D30F9"/>
    <w:pPr>
      <w:keepNext/>
      <w:keepLines/>
      <w:numPr>
        <w:ilvl w:val="2"/>
        <w:numId w:val="24"/>
      </w:numPr>
      <w:spacing w:before="200"/>
      <w:outlineLvl w:val="2"/>
    </w:pPr>
    <w:rPr>
      <w:rFonts w:eastAsia="MS PMincho"/>
      <w:b/>
      <w:bCs/>
      <w:color w:val="4F81BD"/>
    </w:rPr>
  </w:style>
  <w:style w:type="paragraph" w:styleId="Heading4">
    <w:name w:val="heading 4"/>
    <w:basedOn w:val="Normal"/>
    <w:next w:val="Normal"/>
    <w:link w:val="Heading4Char"/>
    <w:qFormat/>
    <w:rsid w:val="004D30F9"/>
    <w:pPr>
      <w:keepNext/>
      <w:keepLines/>
      <w:numPr>
        <w:ilvl w:val="3"/>
        <w:numId w:val="24"/>
      </w:numPr>
      <w:spacing w:before="200"/>
      <w:outlineLvl w:val="3"/>
    </w:pPr>
    <w:rPr>
      <w:rFonts w:eastAsia="MS PMincho"/>
      <w:b/>
      <w:bCs/>
      <w:i/>
      <w:iCs/>
      <w:color w:val="4F81BD"/>
    </w:rPr>
  </w:style>
  <w:style w:type="paragraph" w:styleId="Heading5">
    <w:name w:val="heading 5"/>
    <w:basedOn w:val="Normal"/>
    <w:next w:val="Normal"/>
    <w:link w:val="Heading5Char"/>
    <w:qFormat/>
    <w:rsid w:val="004D30F9"/>
    <w:pPr>
      <w:keepNext/>
      <w:keepLines/>
      <w:numPr>
        <w:ilvl w:val="4"/>
        <w:numId w:val="24"/>
      </w:numPr>
      <w:spacing w:before="200"/>
      <w:outlineLvl w:val="4"/>
    </w:pPr>
    <w:rPr>
      <w:rFonts w:eastAsia="MS PMincho"/>
      <w:color w:val="244061"/>
    </w:rPr>
  </w:style>
  <w:style w:type="paragraph" w:styleId="Heading6">
    <w:name w:val="heading 6"/>
    <w:basedOn w:val="Normal"/>
    <w:next w:val="Normal"/>
    <w:link w:val="Heading6Char"/>
    <w:qFormat/>
    <w:rsid w:val="004D30F9"/>
    <w:pPr>
      <w:keepNext/>
      <w:keepLines/>
      <w:numPr>
        <w:ilvl w:val="5"/>
        <w:numId w:val="24"/>
      </w:numPr>
      <w:spacing w:before="200"/>
      <w:outlineLvl w:val="5"/>
    </w:pPr>
    <w:rPr>
      <w:rFonts w:eastAsia="MS PMincho"/>
      <w:i/>
      <w:iCs/>
      <w:color w:val="244061"/>
    </w:rPr>
  </w:style>
  <w:style w:type="paragraph" w:styleId="Heading7">
    <w:name w:val="heading 7"/>
    <w:basedOn w:val="Normal"/>
    <w:next w:val="Normal"/>
    <w:link w:val="Heading7Char"/>
    <w:qFormat/>
    <w:rsid w:val="004D30F9"/>
    <w:pPr>
      <w:keepNext/>
      <w:keepLines/>
      <w:numPr>
        <w:ilvl w:val="6"/>
        <w:numId w:val="24"/>
      </w:numPr>
      <w:spacing w:before="200"/>
      <w:outlineLvl w:val="6"/>
    </w:pPr>
    <w:rPr>
      <w:rFonts w:eastAsia="MS PMincho"/>
      <w:i/>
      <w:iCs/>
      <w:color w:val="404040"/>
    </w:rPr>
  </w:style>
  <w:style w:type="paragraph" w:styleId="Heading8">
    <w:name w:val="heading 8"/>
    <w:basedOn w:val="Normal"/>
    <w:next w:val="Normal"/>
    <w:link w:val="Heading8Char"/>
    <w:qFormat/>
    <w:rsid w:val="004D30F9"/>
    <w:pPr>
      <w:keepNext/>
      <w:keepLines/>
      <w:numPr>
        <w:ilvl w:val="7"/>
        <w:numId w:val="24"/>
      </w:numPr>
      <w:spacing w:before="200"/>
      <w:outlineLvl w:val="7"/>
    </w:pPr>
    <w:rPr>
      <w:rFonts w:eastAsia="MS PMincho"/>
      <w:color w:val="363636"/>
      <w:sz w:val="20"/>
      <w:szCs w:val="20"/>
    </w:rPr>
  </w:style>
  <w:style w:type="paragraph" w:styleId="Heading9">
    <w:name w:val="heading 9"/>
    <w:basedOn w:val="Normal"/>
    <w:next w:val="Normal"/>
    <w:link w:val="Heading9Char"/>
    <w:qFormat/>
    <w:rsid w:val="004D30F9"/>
    <w:pPr>
      <w:keepNext/>
      <w:keepLines/>
      <w:numPr>
        <w:ilvl w:val="8"/>
        <w:numId w:val="24"/>
      </w:numPr>
      <w:spacing w:before="200"/>
      <w:outlineLvl w:val="8"/>
    </w:pPr>
    <w:rPr>
      <w:rFonts w:eastAsia="MS PMincho"/>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A0C01"/>
    <w:rPr>
      <w:rFonts w:ascii="Times New Roman" w:eastAsia="MS PMincho" w:hAnsi="Times New Roman" w:cs="Times New Roman"/>
      <w:color w:val="365F91"/>
      <w:sz w:val="32"/>
      <w:szCs w:val="32"/>
    </w:rPr>
  </w:style>
  <w:style w:type="character" w:customStyle="1" w:styleId="Heading2Char">
    <w:name w:val="Heading 2 Char"/>
    <w:link w:val="Heading2"/>
    <w:locked/>
    <w:rsid w:val="00425374"/>
    <w:rPr>
      <w:rFonts w:ascii="Times New Roman" w:eastAsia="MS PMincho" w:hAnsi="Times New Roman" w:cs="Times New Roman"/>
      <w:color w:val="365F91"/>
      <w:sz w:val="26"/>
      <w:szCs w:val="26"/>
    </w:rPr>
  </w:style>
  <w:style w:type="paragraph" w:customStyle="1" w:styleId="Dissertation">
    <w:name w:val="Dissertation"/>
    <w:basedOn w:val="Heading1"/>
    <w:link w:val="DissertationChar"/>
    <w:rsid w:val="00FA0C01"/>
    <w:rPr>
      <w:sz w:val="28"/>
    </w:rPr>
  </w:style>
  <w:style w:type="character" w:customStyle="1" w:styleId="DissertationChar">
    <w:name w:val="Dissertation Char"/>
    <w:link w:val="Dissertation"/>
    <w:locked/>
    <w:rsid w:val="003C0D5D"/>
    <w:rPr>
      <w:rFonts w:ascii="Times New Roman" w:eastAsia="MS PMincho" w:hAnsi="Times New Roman" w:cs="Times New Roman"/>
      <w:color w:val="365F91"/>
      <w:sz w:val="32"/>
      <w:szCs w:val="32"/>
    </w:rPr>
  </w:style>
  <w:style w:type="paragraph" w:styleId="Header">
    <w:name w:val="header"/>
    <w:basedOn w:val="Normal"/>
    <w:link w:val="HeaderChar"/>
    <w:uiPriority w:val="99"/>
    <w:unhideWhenUsed/>
    <w:rsid w:val="00780568"/>
    <w:pPr>
      <w:tabs>
        <w:tab w:val="center" w:pos="4320"/>
        <w:tab w:val="right" w:pos="8640"/>
      </w:tabs>
    </w:pPr>
  </w:style>
  <w:style w:type="character" w:customStyle="1" w:styleId="HeaderChar">
    <w:name w:val="Header Char"/>
    <w:link w:val="Header"/>
    <w:uiPriority w:val="99"/>
    <w:locked/>
    <w:rsid w:val="00780568"/>
    <w:rPr>
      <w:rFonts w:ascii="Times New Roman" w:hAnsi="Times New Roman" w:cs="Times New Roman"/>
      <w:b/>
    </w:rPr>
  </w:style>
  <w:style w:type="paragraph" w:styleId="Footer">
    <w:name w:val="footer"/>
    <w:basedOn w:val="Normal"/>
    <w:link w:val="FooterChar"/>
    <w:uiPriority w:val="99"/>
    <w:unhideWhenUsed/>
    <w:rsid w:val="00780568"/>
    <w:pPr>
      <w:tabs>
        <w:tab w:val="center" w:pos="4320"/>
        <w:tab w:val="right" w:pos="8640"/>
      </w:tabs>
    </w:pPr>
  </w:style>
  <w:style w:type="character" w:customStyle="1" w:styleId="FooterChar">
    <w:name w:val="Footer Char"/>
    <w:link w:val="Footer"/>
    <w:uiPriority w:val="99"/>
    <w:locked/>
    <w:rsid w:val="00780568"/>
    <w:rPr>
      <w:rFonts w:ascii="Times New Roman" w:hAnsi="Times New Roman" w:cs="Times New Roman"/>
      <w:b/>
    </w:rPr>
  </w:style>
  <w:style w:type="character" w:styleId="CommentReference">
    <w:name w:val="annotation reference"/>
    <w:uiPriority w:val="99"/>
    <w:semiHidden/>
    <w:unhideWhenUsed/>
    <w:rsid w:val="00836DDB"/>
    <w:rPr>
      <w:rFonts w:cs="Times New Roman"/>
      <w:sz w:val="18"/>
      <w:szCs w:val="18"/>
    </w:rPr>
  </w:style>
  <w:style w:type="paragraph" w:styleId="CommentText">
    <w:name w:val="annotation text"/>
    <w:basedOn w:val="Normal"/>
    <w:link w:val="CommentTextChar"/>
    <w:uiPriority w:val="99"/>
    <w:semiHidden/>
    <w:unhideWhenUsed/>
    <w:rsid w:val="00836DDB"/>
    <w:rPr>
      <w:szCs w:val="24"/>
    </w:rPr>
  </w:style>
  <w:style w:type="character" w:customStyle="1" w:styleId="CommentTextChar">
    <w:name w:val="Comment Text Char"/>
    <w:link w:val="CommentText"/>
    <w:uiPriority w:val="99"/>
    <w:semiHidden/>
    <w:locked/>
    <w:rsid w:val="00836DDB"/>
    <w:rPr>
      <w:rFonts w:cs="Times New Roman"/>
      <w:sz w:val="24"/>
      <w:szCs w:val="24"/>
    </w:rPr>
  </w:style>
  <w:style w:type="paragraph" w:styleId="CommentSubject">
    <w:name w:val="annotation subject"/>
    <w:basedOn w:val="CommentText"/>
    <w:next w:val="CommentText"/>
    <w:link w:val="CommentSubjectChar"/>
    <w:uiPriority w:val="99"/>
    <w:semiHidden/>
    <w:unhideWhenUsed/>
    <w:rsid w:val="00836DDB"/>
    <w:rPr>
      <w:b/>
      <w:bCs/>
      <w:sz w:val="20"/>
      <w:szCs w:val="20"/>
    </w:rPr>
  </w:style>
  <w:style w:type="character" w:customStyle="1" w:styleId="CommentSubjectChar">
    <w:name w:val="Comment Subject Char"/>
    <w:link w:val="CommentSubject"/>
    <w:uiPriority w:val="99"/>
    <w:semiHidden/>
    <w:locked/>
    <w:rsid w:val="00836DDB"/>
    <w:rPr>
      <w:rFonts w:cs="Times New Roman"/>
      <w:b/>
      <w:bCs/>
      <w:sz w:val="20"/>
      <w:szCs w:val="20"/>
    </w:rPr>
  </w:style>
  <w:style w:type="paragraph" w:styleId="BalloonText">
    <w:name w:val="Balloon Text"/>
    <w:basedOn w:val="Normal"/>
    <w:link w:val="BalloonTextChar"/>
    <w:uiPriority w:val="99"/>
    <w:semiHidden/>
    <w:unhideWhenUsed/>
    <w:rsid w:val="00836DDB"/>
    <w:rPr>
      <w:rFonts w:ascii="Lucida Grande" w:hAnsi="Lucida Grande"/>
      <w:sz w:val="18"/>
      <w:szCs w:val="18"/>
    </w:rPr>
  </w:style>
  <w:style w:type="character" w:customStyle="1" w:styleId="BalloonTextChar">
    <w:name w:val="Balloon Text Char"/>
    <w:link w:val="BalloonText"/>
    <w:uiPriority w:val="99"/>
    <w:semiHidden/>
    <w:locked/>
    <w:rsid w:val="00836DDB"/>
    <w:rPr>
      <w:rFonts w:ascii="Lucida Grande" w:hAnsi="Lucida Grande" w:cs="Times New Roman"/>
      <w:sz w:val="18"/>
      <w:szCs w:val="18"/>
    </w:rPr>
  </w:style>
  <w:style w:type="paragraph" w:styleId="FootnoteText">
    <w:name w:val="footnote text"/>
    <w:basedOn w:val="Normal"/>
    <w:link w:val="FootnoteTextChar"/>
    <w:unhideWhenUsed/>
    <w:rsid w:val="00836DDB"/>
    <w:rPr>
      <w:sz w:val="20"/>
      <w:szCs w:val="20"/>
    </w:rPr>
  </w:style>
  <w:style w:type="character" w:customStyle="1" w:styleId="FootnoteTextChar">
    <w:name w:val="Footnote Text Char"/>
    <w:link w:val="FootnoteText"/>
    <w:locked/>
    <w:rsid w:val="00836DDB"/>
    <w:rPr>
      <w:rFonts w:cs="Times New Roman"/>
      <w:sz w:val="20"/>
      <w:szCs w:val="20"/>
    </w:rPr>
  </w:style>
  <w:style w:type="character" w:styleId="FootnoteReference">
    <w:name w:val="footnote reference"/>
    <w:unhideWhenUsed/>
    <w:rsid w:val="00836DDB"/>
    <w:rPr>
      <w:rFonts w:cs="Times New Roman"/>
      <w:vertAlign w:val="superscript"/>
    </w:rPr>
  </w:style>
  <w:style w:type="character" w:styleId="Hyperlink">
    <w:name w:val="Hyperlink"/>
    <w:uiPriority w:val="99"/>
    <w:unhideWhenUsed/>
    <w:rsid w:val="00836DDB"/>
    <w:rPr>
      <w:rFonts w:cs="Times New Roman"/>
      <w:color w:val="0000FF"/>
      <w:u w:val="single"/>
    </w:rPr>
  </w:style>
  <w:style w:type="paragraph" w:customStyle="1" w:styleId="ColorfulList-Accent11">
    <w:name w:val="Colorful List - Accent 11"/>
    <w:basedOn w:val="Normal"/>
    <w:uiPriority w:val="34"/>
    <w:qFormat/>
    <w:rsid w:val="00836DDB"/>
    <w:pPr>
      <w:ind w:left="720"/>
      <w:contextualSpacing/>
    </w:pPr>
    <w:rPr>
      <w:szCs w:val="24"/>
    </w:rPr>
  </w:style>
  <w:style w:type="character" w:styleId="Strong">
    <w:name w:val="Strong"/>
    <w:uiPriority w:val="22"/>
    <w:qFormat/>
    <w:rsid w:val="00836DDB"/>
    <w:rPr>
      <w:rFonts w:cs="Times New Roman"/>
      <w:b/>
      <w:bCs/>
    </w:rPr>
  </w:style>
  <w:style w:type="character" w:styleId="Emphasis">
    <w:name w:val="Emphasis"/>
    <w:uiPriority w:val="20"/>
    <w:qFormat/>
    <w:rsid w:val="00836DDB"/>
    <w:rPr>
      <w:rFonts w:cs="Times New Roman"/>
      <w:i/>
      <w:iCs/>
    </w:rPr>
  </w:style>
  <w:style w:type="paragraph" w:customStyle="1" w:styleId="GridTable21">
    <w:name w:val="Grid Table 21"/>
    <w:basedOn w:val="Normal"/>
    <w:next w:val="Normal"/>
    <w:uiPriority w:val="37"/>
    <w:unhideWhenUsed/>
    <w:rsid w:val="00836DDB"/>
    <w:pPr>
      <w:ind w:left="720" w:hanging="720"/>
    </w:pPr>
    <w:rPr>
      <w:szCs w:val="24"/>
    </w:rPr>
  </w:style>
  <w:style w:type="paragraph" w:styleId="NormalWeb">
    <w:name w:val="Normal (Web)"/>
    <w:basedOn w:val="Normal"/>
    <w:uiPriority w:val="99"/>
    <w:rsid w:val="00836DDB"/>
    <w:pPr>
      <w:spacing w:beforeLines="1" w:afterLines="1"/>
    </w:pPr>
    <w:rPr>
      <w:rFonts w:ascii="Times" w:hAnsi="Times"/>
      <w:sz w:val="20"/>
      <w:szCs w:val="20"/>
    </w:rPr>
  </w:style>
  <w:style w:type="character" w:styleId="PageNumber">
    <w:name w:val="page number"/>
    <w:uiPriority w:val="99"/>
    <w:semiHidden/>
    <w:unhideWhenUsed/>
    <w:rsid w:val="00836DDB"/>
    <w:rPr>
      <w:rFonts w:cs="Times New Roman"/>
    </w:rPr>
  </w:style>
  <w:style w:type="paragraph" w:styleId="EndnoteText">
    <w:name w:val="endnote text"/>
    <w:basedOn w:val="Normal"/>
    <w:link w:val="EndnoteTextChar"/>
    <w:uiPriority w:val="99"/>
    <w:semiHidden/>
    <w:unhideWhenUsed/>
    <w:rsid w:val="00836DDB"/>
    <w:rPr>
      <w:sz w:val="20"/>
      <w:szCs w:val="20"/>
    </w:rPr>
  </w:style>
  <w:style w:type="character" w:customStyle="1" w:styleId="EndnoteTextChar">
    <w:name w:val="Endnote Text Char"/>
    <w:link w:val="EndnoteText"/>
    <w:uiPriority w:val="99"/>
    <w:semiHidden/>
    <w:locked/>
    <w:rsid w:val="00836DDB"/>
    <w:rPr>
      <w:rFonts w:ascii="Times New Roman" w:hAnsi="Times New Roman" w:cs="Times New Roman"/>
      <w:sz w:val="20"/>
      <w:szCs w:val="20"/>
    </w:rPr>
  </w:style>
  <w:style w:type="character" w:styleId="EndnoteReference">
    <w:name w:val="endnote reference"/>
    <w:uiPriority w:val="99"/>
    <w:semiHidden/>
    <w:unhideWhenUsed/>
    <w:rsid w:val="00836DDB"/>
    <w:rPr>
      <w:rFonts w:cs="Times New Roman"/>
      <w:vertAlign w:val="superscript"/>
    </w:rPr>
  </w:style>
  <w:style w:type="paragraph" w:customStyle="1" w:styleId="ColorfulShading-Accent11">
    <w:name w:val="Colorful Shading - Accent 11"/>
    <w:hidden/>
    <w:uiPriority w:val="99"/>
    <w:semiHidden/>
    <w:rsid w:val="00836DDB"/>
    <w:rPr>
      <w:rFonts w:cs="Times New Roman"/>
      <w:sz w:val="24"/>
      <w:szCs w:val="24"/>
    </w:rPr>
  </w:style>
  <w:style w:type="paragraph" w:styleId="Caption">
    <w:name w:val="caption"/>
    <w:basedOn w:val="Normal"/>
    <w:next w:val="Normal"/>
    <w:uiPriority w:val="99"/>
    <w:qFormat/>
    <w:rsid w:val="00836DDB"/>
    <w:pPr>
      <w:spacing w:after="200"/>
    </w:pPr>
    <w:rPr>
      <w:i/>
      <w:iCs/>
      <w:color w:val="1F497D"/>
      <w:sz w:val="18"/>
      <w:szCs w:val="18"/>
    </w:rPr>
  </w:style>
  <w:style w:type="paragraph" w:customStyle="1" w:styleId="GridTable31">
    <w:name w:val="Grid Table 31"/>
    <w:basedOn w:val="Heading1"/>
    <w:next w:val="Normal"/>
    <w:uiPriority w:val="39"/>
    <w:unhideWhenUsed/>
    <w:qFormat/>
    <w:rsid w:val="00425374"/>
    <w:pPr>
      <w:spacing w:line="259" w:lineRule="auto"/>
      <w:outlineLvl w:val="9"/>
    </w:pPr>
  </w:style>
  <w:style w:type="paragraph" w:styleId="TOC1">
    <w:name w:val="toc 1"/>
    <w:basedOn w:val="Normal"/>
    <w:next w:val="Normal"/>
    <w:autoRedefine/>
    <w:uiPriority w:val="39"/>
    <w:unhideWhenUsed/>
    <w:rsid w:val="005747D9"/>
    <w:pPr>
      <w:tabs>
        <w:tab w:val="right" w:leader="dot" w:pos="8486"/>
      </w:tabs>
      <w:spacing w:after="100"/>
    </w:pPr>
    <w:rPr>
      <w:b/>
      <w:noProof/>
    </w:rPr>
  </w:style>
  <w:style w:type="paragraph" w:styleId="TOC2">
    <w:name w:val="toc 2"/>
    <w:basedOn w:val="Normal"/>
    <w:next w:val="Normal"/>
    <w:autoRedefine/>
    <w:uiPriority w:val="39"/>
    <w:unhideWhenUsed/>
    <w:rsid w:val="008D289A"/>
    <w:pPr>
      <w:tabs>
        <w:tab w:val="right" w:leader="dot" w:pos="8486"/>
      </w:tabs>
      <w:spacing w:after="100"/>
      <w:ind w:left="240"/>
    </w:pPr>
    <w:rPr>
      <w:noProof/>
    </w:rPr>
  </w:style>
  <w:style w:type="table" w:styleId="TableGrid">
    <w:name w:val="Table Grid"/>
    <w:basedOn w:val="TableNormal"/>
    <w:uiPriority w:val="39"/>
    <w:rsid w:val="003C0D5D"/>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1">
    <w:name w:val="Subheading 1"/>
    <w:basedOn w:val="Heading2"/>
    <w:link w:val="Subheading1Char"/>
    <w:qFormat/>
    <w:rsid w:val="003C0D5D"/>
    <w:pPr>
      <w:jc w:val="center"/>
    </w:pPr>
    <w:rPr>
      <w:b/>
      <w:color w:val="auto"/>
      <w:sz w:val="28"/>
      <w:szCs w:val="28"/>
    </w:rPr>
  </w:style>
  <w:style w:type="character" w:customStyle="1" w:styleId="Subheading1Char">
    <w:name w:val="Subheading 1 Char"/>
    <w:link w:val="Subheading1"/>
    <w:locked/>
    <w:rsid w:val="003C0D5D"/>
    <w:rPr>
      <w:rFonts w:ascii="Times New Roman" w:eastAsia="MS PMincho" w:hAnsi="Times New Roman" w:cs="Times New Roman"/>
      <w:b/>
      <w:color w:val="365F91"/>
      <w:sz w:val="28"/>
      <w:szCs w:val="28"/>
    </w:rPr>
  </w:style>
  <w:style w:type="paragraph" w:customStyle="1" w:styleId="ChapterTitle">
    <w:name w:val="Chapter Title"/>
    <w:basedOn w:val="Heading1"/>
    <w:link w:val="ChapterTitleChar"/>
    <w:qFormat/>
    <w:rsid w:val="003C0D5D"/>
    <w:pPr>
      <w:jc w:val="center"/>
    </w:pPr>
    <w:rPr>
      <w:b/>
      <w:color w:val="auto"/>
      <w:sz w:val="28"/>
      <w:szCs w:val="28"/>
    </w:rPr>
  </w:style>
  <w:style w:type="character" w:customStyle="1" w:styleId="ChapterTitleChar">
    <w:name w:val="Chapter Title Char"/>
    <w:link w:val="ChapterTitle"/>
    <w:locked/>
    <w:rsid w:val="003C0D5D"/>
    <w:rPr>
      <w:rFonts w:ascii="Times New Roman" w:eastAsia="MS PMincho" w:hAnsi="Times New Roman" w:cs="Times New Roman"/>
      <w:b/>
      <w:color w:val="365F91"/>
      <w:sz w:val="28"/>
      <w:szCs w:val="28"/>
    </w:rPr>
  </w:style>
  <w:style w:type="paragraph" w:customStyle="1" w:styleId="Subheading2">
    <w:name w:val="Subheading 2"/>
    <w:basedOn w:val="Normal"/>
    <w:link w:val="Subheading2Char"/>
    <w:qFormat/>
    <w:rsid w:val="003C0D5D"/>
    <w:pPr>
      <w:spacing w:line="480" w:lineRule="auto"/>
      <w:jc w:val="center"/>
    </w:pPr>
    <w:rPr>
      <w:i/>
      <w:szCs w:val="24"/>
    </w:rPr>
  </w:style>
  <w:style w:type="character" w:customStyle="1" w:styleId="Subheading2Char">
    <w:name w:val="Subheading 2 Char"/>
    <w:link w:val="Subheading2"/>
    <w:locked/>
    <w:rsid w:val="003C0D5D"/>
    <w:rPr>
      <w:rFonts w:ascii="Times New Roman" w:hAnsi="Times New Roman" w:cs="Times New Roman"/>
      <w:i/>
      <w:sz w:val="24"/>
      <w:szCs w:val="24"/>
    </w:rPr>
  </w:style>
  <w:style w:type="paragraph" w:styleId="TableofFigures">
    <w:name w:val="table of figures"/>
    <w:basedOn w:val="Normal"/>
    <w:next w:val="Normal"/>
    <w:uiPriority w:val="99"/>
    <w:unhideWhenUsed/>
    <w:rsid w:val="00883612"/>
    <w:rPr>
      <w:szCs w:val="24"/>
    </w:rPr>
  </w:style>
  <w:style w:type="paragraph" w:styleId="TOC3">
    <w:name w:val="toc 3"/>
    <w:basedOn w:val="Normal"/>
    <w:next w:val="Normal"/>
    <w:autoRedefine/>
    <w:uiPriority w:val="39"/>
    <w:unhideWhenUsed/>
    <w:rsid w:val="00366B8B"/>
    <w:pPr>
      <w:ind w:left="480"/>
    </w:pPr>
  </w:style>
  <w:style w:type="paragraph" w:styleId="TOC4">
    <w:name w:val="toc 4"/>
    <w:basedOn w:val="Normal"/>
    <w:next w:val="Normal"/>
    <w:autoRedefine/>
    <w:uiPriority w:val="39"/>
    <w:unhideWhenUsed/>
    <w:rsid w:val="00366B8B"/>
    <w:pPr>
      <w:ind w:left="720"/>
    </w:pPr>
  </w:style>
  <w:style w:type="paragraph" w:styleId="TOC5">
    <w:name w:val="toc 5"/>
    <w:basedOn w:val="Normal"/>
    <w:next w:val="Normal"/>
    <w:autoRedefine/>
    <w:uiPriority w:val="39"/>
    <w:unhideWhenUsed/>
    <w:rsid w:val="00366B8B"/>
    <w:pPr>
      <w:ind w:left="960"/>
    </w:pPr>
  </w:style>
  <w:style w:type="paragraph" w:styleId="TOC6">
    <w:name w:val="toc 6"/>
    <w:basedOn w:val="Normal"/>
    <w:next w:val="Normal"/>
    <w:autoRedefine/>
    <w:uiPriority w:val="39"/>
    <w:unhideWhenUsed/>
    <w:rsid w:val="00366B8B"/>
    <w:pPr>
      <w:ind w:left="1200"/>
    </w:pPr>
  </w:style>
  <w:style w:type="paragraph" w:styleId="TOC7">
    <w:name w:val="toc 7"/>
    <w:basedOn w:val="Normal"/>
    <w:next w:val="Normal"/>
    <w:autoRedefine/>
    <w:uiPriority w:val="39"/>
    <w:unhideWhenUsed/>
    <w:rsid w:val="00366B8B"/>
    <w:pPr>
      <w:ind w:left="1440"/>
    </w:pPr>
  </w:style>
  <w:style w:type="paragraph" w:styleId="TOC8">
    <w:name w:val="toc 8"/>
    <w:basedOn w:val="Normal"/>
    <w:next w:val="Normal"/>
    <w:autoRedefine/>
    <w:uiPriority w:val="39"/>
    <w:unhideWhenUsed/>
    <w:rsid w:val="00366B8B"/>
    <w:pPr>
      <w:ind w:left="1680"/>
    </w:pPr>
  </w:style>
  <w:style w:type="paragraph" w:styleId="TOC9">
    <w:name w:val="toc 9"/>
    <w:basedOn w:val="Normal"/>
    <w:next w:val="Normal"/>
    <w:autoRedefine/>
    <w:uiPriority w:val="39"/>
    <w:unhideWhenUsed/>
    <w:rsid w:val="00366B8B"/>
    <w:pPr>
      <w:ind w:left="1920"/>
    </w:pPr>
  </w:style>
  <w:style w:type="paragraph" w:customStyle="1" w:styleId="paragraph">
    <w:name w:val="paragraph"/>
    <w:basedOn w:val="Normal"/>
    <w:rsid w:val="00E72F6B"/>
    <w:pPr>
      <w:spacing w:before="100" w:beforeAutospacing="1" w:after="100" w:afterAutospacing="1"/>
    </w:pPr>
    <w:rPr>
      <w:rFonts w:ascii="Times" w:eastAsia="MS PGothic" w:hAnsi="Times"/>
      <w:sz w:val="20"/>
      <w:szCs w:val="20"/>
    </w:rPr>
  </w:style>
  <w:style w:type="character" w:customStyle="1" w:styleId="normaltextrun">
    <w:name w:val="normaltextrun"/>
    <w:basedOn w:val="DefaultParagraphFont"/>
    <w:rsid w:val="00E72F6B"/>
  </w:style>
  <w:style w:type="character" w:customStyle="1" w:styleId="eop">
    <w:name w:val="eop"/>
    <w:basedOn w:val="DefaultParagraphFont"/>
    <w:rsid w:val="00E72F6B"/>
  </w:style>
  <w:style w:type="character" w:customStyle="1" w:styleId="Heading3Char">
    <w:name w:val="Heading 3 Char"/>
    <w:link w:val="Heading3"/>
    <w:rsid w:val="004D30F9"/>
    <w:rPr>
      <w:rFonts w:ascii="Times New Roman" w:eastAsia="MS PMincho" w:hAnsi="Times New Roman" w:cs="Times New Roman"/>
      <w:b/>
      <w:bCs/>
      <w:color w:val="4F81BD"/>
      <w:sz w:val="24"/>
    </w:rPr>
  </w:style>
  <w:style w:type="character" w:customStyle="1" w:styleId="Heading4Char">
    <w:name w:val="Heading 4 Char"/>
    <w:link w:val="Heading4"/>
    <w:rsid w:val="004D30F9"/>
    <w:rPr>
      <w:rFonts w:ascii="Times New Roman" w:eastAsia="MS PMincho" w:hAnsi="Times New Roman" w:cs="Times New Roman"/>
      <w:b/>
      <w:bCs/>
      <w:i/>
      <w:iCs/>
      <w:color w:val="4F81BD"/>
      <w:sz w:val="24"/>
    </w:rPr>
  </w:style>
  <w:style w:type="character" w:customStyle="1" w:styleId="Heading5Char">
    <w:name w:val="Heading 5 Char"/>
    <w:link w:val="Heading5"/>
    <w:rsid w:val="004D30F9"/>
    <w:rPr>
      <w:rFonts w:ascii="Times New Roman" w:eastAsia="MS PMincho" w:hAnsi="Times New Roman" w:cs="Times New Roman"/>
      <w:color w:val="244061"/>
      <w:sz w:val="24"/>
    </w:rPr>
  </w:style>
  <w:style w:type="character" w:customStyle="1" w:styleId="Heading6Char">
    <w:name w:val="Heading 6 Char"/>
    <w:link w:val="Heading6"/>
    <w:rsid w:val="004D30F9"/>
    <w:rPr>
      <w:rFonts w:ascii="Times New Roman" w:eastAsia="MS PMincho" w:hAnsi="Times New Roman" w:cs="Times New Roman"/>
      <w:i/>
      <w:iCs/>
      <w:color w:val="244061"/>
      <w:sz w:val="24"/>
    </w:rPr>
  </w:style>
  <w:style w:type="character" w:customStyle="1" w:styleId="Heading7Char">
    <w:name w:val="Heading 7 Char"/>
    <w:link w:val="Heading7"/>
    <w:rsid w:val="004D30F9"/>
    <w:rPr>
      <w:rFonts w:ascii="Times New Roman" w:eastAsia="MS PMincho" w:hAnsi="Times New Roman" w:cs="Times New Roman"/>
      <w:i/>
      <w:iCs/>
      <w:color w:val="404040"/>
      <w:sz w:val="24"/>
    </w:rPr>
  </w:style>
  <w:style w:type="character" w:customStyle="1" w:styleId="Heading8Char">
    <w:name w:val="Heading 8 Char"/>
    <w:link w:val="Heading8"/>
    <w:rsid w:val="004D30F9"/>
    <w:rPr>
      <w:rFonts w:ascii="Times New Roman" w:eastAsia="MS PMincho" w:hAnsi="Times New Roman" w:cs="Times New Roman"/>
      <w:color w:val="363636"/>
      <w:sz w:val="20"/>
      <w:szCs w:val="20"/>
    </w:rPr>
  </w:style>
  <w:style w:type="character" w:customStyle="1" w:styleId="Heading9Char">
    <w:name w:val="Heading 9 Char"/>
    <w:link w:val="Heading9"/>
    <w:rsid w:val="004D30F9"/>
    <w:rPr>
      <w:rFonts w:ascii="Times New Roman" w:eastAsia="MS PMincho" w:hAnsi="Times New Roman" w:cs="Times New Roman"/>
      <w:i/>
      <w:iCs/>
      <w:color w:val="363636"/>
      <w:sz w:val="20"/>
      <w:szCs w:val="20"/>
    </w:rPr>
  </w:style>
  <w:style w:type="paragraph" w:styleId="Bibliography">
    <w:name w:val="Bibliography"/>
    <w:basedOn w:val="Normal"/>
    <w:next w:val="Normal"/>
    <w:unhideWhenUsed/>
    <w:rsid w:val="00DD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www.clscholarshiporg" TargetMode="External"/><Relationship Id="rId2" Type="http://schemas.openxmlformats.org/officeDocument/2006/relationships/hyperlink" Target="http://www.usaid.gov/who-we-are" TargetMode="External"/><Relationship Id="rId1" Type="http://schemas.openxmlformats.org/officeDocument/2006/relationships/hyperlink" Target="http://www.fews.net/" TargetMode="External"/><Relationship Id="rId5" Type="http://schemas.openxmlformats.org/officeDocument/2006/relationships/hyperlink" Target="http://www.archives.gov/legislative/features/sotu" TargetMode="External"/><Relationship Id="rId4" Type="http://schemas.openxmlformats.org/officeDocument/2006/relationships/hyperlink" Target="http://www.whitehous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240</Pages>
  <Words>141716</Words>
  <Characters>807787</Characters>
  <Application>Microsoft Office Word</Application>
  <DocSecurity>0</DocSecurity>
  <Lines>6731</Lines>
  <Paragraphs>1895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947608</CharactersWithSpaces>
  <SharedDoc>false</SharedDoc>
  <HLinks>
    <vt:vector size="54" baseType="variant">
      <vt:variant>
        <vt:i4>1114217</vt:i4>
      </vt:variant>
      <vt:variant>
        <vt:i4>21</vt:i4>
      </vt:variant>
      <vt:variant>
        <vt:i4>0</vt:i4>
      </vt:variant>
      <vt:variant>
        <vt:i4>5</vt:i4>
      </vt:variant>
      <vt:variant>
        <vt:lpwstr>http://www.archives.gov/legislative/features/sotu</vt:lpwstr>
      </vt:variant>
      <vt:variant>
        <vt:lpwstr/>
      </vt:variant>
      <vt:variant>
        <vt:i4>852005</vt:i4>
      </vt:variant>
      <vt:variant>
        <vt:i4>18</vt:i4>
      </vt:variant>
      <vt:variant>
        <vt:i4>0</vt:i4>
      </vt:variant>
      <vt:variant>
        <vt:i4>5</vt:i4>
      </vt:variant>
      <vt:variant>
        <vt:lpwstr>http://www.whitehouse.gov</vt:lpwstr>
      </vt:variant>
      <vt:variant>
        <vt:lpwstr/>
      </vt:variant>
      <vt:variant>
        <vt:i4>2555971</vt:i4>
      </vt:variant>
      <vt:variant>
        <vt:i4>15</vt:i4>
      </vt:variant>
      <vt:variant>
        <vt:i4>0</vt:i4>
      </vt:variant>
      <vt:variant>
        <vt:i4>5</vt:i4>
      </vt:variant>
      <vt:variant>
        <vt:lpwstr>http://www.clscholarshiporg</vt:lpwstr>
      </vt:variant>
      <vt:variant>
        <vt:lpwstr/>
      </vt:variant>
      <vt:variant>
        <vt:i4>7995392</vt:i4>
      </vt:variant>
      <vt:variant>
        <vt:i4>3</vt:i4>
      </vt:variant>
      <vt:variant>
        <vt:i4>0</vt:i4>
      </vt:variant>
      <vt:variant>
        <vt:i4>5</vt:i4>
      </vt:variant>
      <vt:variant>
        <vt:lpwstr>http://www.usaid.gov/who-we-are</vt:lpwstr>
      </vt:variant>
      <vt:variant>
        <vt:lpwstr/>
      </vt:variant>
      <vt:variant>
        <vt:i4>6160476</vt:i4>
      </vt:variant>
      <vt:variant>
        <vt:i4>0</vt:i4>
      </vt:variant>
      <vt:variant>
        <vt:i4>0</vt:i4>
      </vt:variant>
      <vt:variant>
        <vt:i4>5</vt:i4>
      </vt:variant>
      <vt:variant>
        <vt:lpwstr>http://www.fews.net/</vt:lpwstr>
      </vt:variant>
      <vt:variant>
        <vt:lpwstr/>
      </vt:variant>
      <vt:variant>
        <vt:i4>2949185</vt:i4>
      </vt:variant>
      <vt:variant>
        <vt:i4>513891</vt:i4>
      </vt:variant>
      <vt:variant>
        <vt:i4>1028</vt:i4>
      </vt:variant>
      <vt:variant>
        <vt:i4>1</vt:i4>
      </vt:variant>
      <vt:variant>
        <vt:lpwstr>Table 2</vt:lpwstr>
      </vt:variant>
      <vt:variant>
        <vt:lpwstr/>
      </vt:variant>
      <vt:variant>
        <vt:i4>2949191</vt:i4>
      </vt:variant>
      <vt:variant>
        <vt:i4>814442</vt:i4>
      </vt:variant>
      <vt:variant>
        <vt:i4>1029</vt:i4>
      </vt:variant>
      <vt:variant>
        <vt:i4>1</vt:i4>
      </vt:variant>
      <vt:variant>
        <vt:lpwstr>Table 4</vt:lpwstr>
      </vt:variant>
      <vt:variant>
        <vt:lpwstr/>
      </vt:variant>
      <vt:variant>
        <vt:i4>2949191</vt:i4>
      </vt:variant>
      <vt:variant>
        <vt:i4>882946</vt:i4>
      </vt:variant>
      <vt:variant>
        <vt:i4>1031</vt:i4>
      </vt:variant>
      <vt:variant>
        <vt:i4>1</vt:i4>
      </vt:variant>
      <vt:variant>
        <vt:lpwstr>Table 4</vt:lpwstr>
      </vt:variant>
      <vt:variant>
        <vt:lpwstr/>
      </vt:variant>
      <vt:variant>
        <vt:i4>2949191</vt:i4>
      </vt:variant>
      <vt:variant>
        <vt:i4>934539</vt:i4>
      </vt:variant>
      <vt:variant>
        <vt:i4>1030</vt:i4>
      </vt:variant>
      <vt:variant>
        <vt:i4>1</vt:i4>
      </vt:variant>
      <vt:variant>
        <vt:lpwstr>Table 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Meghann Rother</dc:creator>
  <cp:keywords/>
  <cp:lastModifiedBy>Customer</cp:lastModifiedBy>
  <cp:revision>2</cp:revision>
  <cp:lastPrinted>2016-05-04T16:21:00Z</cp:lastPrinted>
  <dcterms:created xsi:type="dcterms:W3CDTF">2016-05-04T16:21:00Z</dcterms:created>
  <dcterms:modified xsi:type="dcterms:W3CDTF">2016-05-04T16:21:00Z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id="RCznEHtS"/&gt;&lt;style id="http://www.zotero.org/styles/chicago-author-date"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