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3D173" w14:textId="20B146CA" w:rsidR="00317DDF" w:rsidRDefault="006E3127" w:rsidP="006E3127">
      <w:pPr>
        <w:spacing w:line="480" w:lineRule="auto"/>
        <w:jc w:val="center"/>
        <w:rPr>
          <w:rFonts w:ascii="Times New Roman" w:hAnsi="Times New Roman" w:cs="Times New Roman"/>
          <w:sz w:val="28"/>
          <w:szCs w:val="28"/>
        </w:rPr>
      </w:pPr>
      <w:bookmarkStart w:id="0" w:name="_Hlk3195473"/>
      <w:bookmarkEnd w:id="0"/>
      <w:r>
        <w:rPr>
          <w:rFonts w:ascii="Times New Roman" w:hAnsi="Times New Roman" w:cs="Times New Roman"/>
          <w:sz w:val="28"/>
          <w:szCs w:val="28"/>
        </w:rPr>
        <w:t>UNIVERSITY OF OKLAHOMA</w:t>
      </w:r>
    </w:p>
    <w:p w14:paraId="4BF5764B" w14:textId="1884B779" w:rsidR="006E3127" w:rsidRDefault="006E3127" w:rsidP="006E3127">
      <w:pPr>
        <w:spacing w:line="480" w:lineRule="auto"/>
        <w:jc w:val="center"/>
        <w:rPr>
          <w:rFonts w:ascii="Times New Roman" w:hAnsi="Times New Roman" w:cs="Times New Roman"/>
          <w:sz w:val="28"/>
          <w:szCs w:val="28"/>
        </w:rPr>
      </w:pPr>
      <w:r>
        <w:rPr>
          <w:rFonts w:ascii="Times New Roman" w:hAnsi="Times New Roman" w:cs="Times New Roman"/>
          <w:sz w:val="28"/>
          <w:szCs w:val="28"/>
        </w:rPr>
        <w:t>GRADUATE COLLEGE</w:t>
      </w:r>
    </w:p>
    <w:p w14:paraId="31C84D51" w14:textId="6C4AE3FB" w:rsidR="006E3127" w:rsidRPr="006E3127" w:rsidRDefault="006E3127" w:rsidP="00904F8C">
      <w:pPr>
        <w:spacing w:line="480" w:lineRule="auto"/>
        <w:rPr>
          <w:rFonts w:ascii="Times New Roman" w:hAnsi="Times New Roman" w:cs="Times New Roman"/>
          <w:sz w:val="28"/>
          <w:szCs w:val="28"/>
        </w:rPr>
      </w:pPr>
    </w:p>
    <w:p w14:paraId="1018FFEF" w14:textId="661A0AB5" w:rsidR="006E3127" w:rsidRDefault="00601066" w:rsidP="006E3127">
      <w:pPr>
        <w:spacing w:line="480" w:lineRule="auto"/>
        <w:jc w:val="center"/>
        <w:rPr>
          <w:rFonts w:ascii="Times New Roman" w:hAnsi="Times New Roman" w:cs="Times New Roman"/>
          <w:bCs/>
          <w:sz w:val="28"/>
          <w:szCs w:val="28"/>
        </w:rPr>
      </w:pPr>
      <w:r>
        <w:rPr>
          <w:rFonts w:ascii="Times New Roman" w:hAnsi="Times New Roman" w:cs="Times New Roman"/>
          <w:bCs/>
          <w:sz w:val="28"/>
          <w:szCs w:val="28"/>
        </w:rPr>
        <w:t>HIGH RESOLUTION SEQEUNCE STRATIGRAPHY OF THE NPRA, NORTH SLOPE, ALASKA</w:t>
      </w:r>
      <w:r w:rsidR="00736226">
        <w:rPr>
          <w:rFonts w:ascii="Times New Roman" w:hAnsi="Times New Roman" w:cs="Times New Roman"/>
          <w:bCs/>
          <w:sz w:val="28"/>
          <w:szCs w:val="28"/>
        </w:rPr>
        <w:t xml:space="preserve">: </w:t>
      </w:r>
    </w:p>
    <w:p w14:paraId="49FFE628" w14:textId="792D592E" w:rsidR="00904F8C" w:rsidRDefault="00904F8C" w:rsidP="006E3127">
      <w:pPr>
        <w:spacing w:line="480" w:lineRule="auto"/>
        <w:jc w:val="center"/>
        <w:rPr>
          <w:rFonts w:ascii="Times New Roman" w:hAnsi="Times New Roman" w:cs="Times New Roman"/>
          <w:bCs/>
          <w:sz w:val="28"/>
          <w:szCs w:val="28"/>
        </w:rPr>
      </w:pPr>
    </w:p>
    <w:p w14:paraId="3BE60F83" w14:textId="2958F36C" w:rsidR="00904F8C" w:rsidRDefault="00904F8C" w:rsidP="006E3127">
      <w:pPr>
        <w:spacing w:line="480" w:lineRule="auto"/>
        <w:jc w:val="center"/>
        <w:rPr>
          <w:rFonts w:ascii="Times New Roman" w:hAnsi="Times New Roman" w:cs="Times New Roman"/>
          <w:bCs/>
          <w:sz w:val="28"/>
          <w:szCs w:val="28"/>
        </w:rPr>
      </w:pPr>
      <w:r>
        <w:rPr>
          <w:rFonts w:ascii="Times New Roman" w:hAnsi="Times New Roman" w:cs="Times New Roman"/>
          <w:bCs/>
          <w:sz w:val="28"/>
          <w:szCs w:val="28"/>
        </w:rPr>
        <w:t>A THESIS</w:t>
      </w:r>
    </w:p>
    <w:p w14:paraId="547F2DC1" w14:textId="3537EC6E" w:rsidR="00904F8C" w:rsidRDefault="00904F8C" w:rsidP="006E3127">
      <w:pPr>
        <w:spacing w:line="480" w:lineRule="auto"/>
        <w:jc w:val="center"/>
        <w:rPr>
          <w:rFonts w:ascii="Times New Roman" w:hAnsi="Times New Roman" w:cs="Times New Roman"/>
          <w:bCs/>
          <w:sz w:val="28"/>
          <w:szCs w:val="28"/>
        </w:rPr>
      </w:pPr>
      <w:r>
        <w:rPr>
          <w:rFonts w:ascii="Times New Roman" w:hAnsi="Times New Roman" w:cs="Times New Roman"/>
          <w:bCs/>
          <w:sz w:val="28"/>
          <w:szCs w:val="28"/>
        </w:rPr>
        <w:t>SUBMITTED TO THE GRADUATE FACULTY</w:t>
      </w:r>
    </w:p>
    <w:p w14:paraId="1BC3D9C4" w14:textId="77777777" w:rsidR="00904F8C" w:rsidRDefault="00904F8C" w:rsidP="006E3127">
      <w:pPr>
        <w:spacing w:line="480" w:lineRule="auto"/>
        <w:jc w:val="center"/>
        <w:rPr>
          <w:rFonts w:ascii="Times New Roman" w:hAnsi="Times New Roman" w:cs="Times New Roman"/>
          <w:bCs/>
          <w:sz w:val="28"/>
          <w:szCs w:val="28"/>
        </w:rPr>
      </w:pPr>
      <w:r>
        <w:rPr>
          <w:rFonts w:ascii="Times New Roman" w:hAnsi="Times New Roman" w:cs="Times New Roman"/>
          <w:bCs/>
          <w:sz w:val="28"/>
          <w:szCs w:val="28"/>
        </w:rPr>
        <w:t xml:space="preserve">In partial fulfillment of the requirements for the </w:t>
      </w:r>
    </w:p>
    <w:p w14:paraId="3D760B22" w14:textId="255417C6" w:rsidR="00904F8C" w:rsidRDefault="00904F8C" w:rsidP="006E3127">
      <w:pPr>
        <w:spacing w:line="480" w:lineRule="auto"/>
        <w:jc w:val="center"/>
        <w:rPr>
          <w:rFonts w:ascii="Times New Roman" w:hAnsi="Times New Roman" w:cs="Times New Roman"/>
          <w:bCs/>
          <w:sz w:val="28"/>
          <w:szCs w:val="28"/>
        </w:rPr>
      </w:pPr>
      <w:r>
        <w:rPr>
          <w:rFonts w:ascii="Times New Roman" w:hAnsi="Times New Roman" w:cs="Times New Roman"/>
          <w:bCs/>
          <w:sz w:val="28"/>
          <w:szCs w:val="28"/>
        </w:rPr>
        <w:t>Degree of</w:t>
      </w:r>
    </w:p>
    <w:p w14:paraId="2620D4EF" w14:textId="1C9C5D16" w:rsidR="00904F8C" w:rsidRDefault="00635CD5" w:rsidP="006E3127">
      <w:pPr>
        <w:spacing w:line="480" w:lineRule="auto"/>
        <w:jc w:val="center"/>
        <w:rPr>
          <w:rFonts w:ascii="Times New Roman" w:hAnsi="Times New Roman" w:cs="Times New Roman"/>
          <w:bCs/>
          <w:sz w:val="28"/>
          <w:szCs w:val="28"/>
        </w:rPr>
      </w:pPr>
      <w:r>
        <w:rPr>
          <w:rFonts w:ascii="Times New Roman" w:hAnsi="Times New Roman" w:cs="Times New Roman"/>
          <w:bCs/>
          <w:sz w:val="28"/>
          <w:szCs w:val="28"/>
        </w:rPr>
        <w:t>MASTER OF SCIENCE</w:t>
      </w:r>
    </w:p>
    <w:p w14:paraId="766C90C7" w14:textId="0F334B67" w:rsidR="006E3127" w:rsidRDefault="006E3127" w:rsidP="006E3127">
      <w:pPr>
        <w:spacing w:line="480" w:lineRule="auto"/>
        <w:jc w:val="center"/>
        <w:rPr>
          <w:rFonts w:ascii="Times New Roman" w:hAnsi="Times New Roman" w:cs="Times New Roman"/>
          <w:sz w:val="28"/>
          <w:szCs w:val="28"/>
        </w:rPr>
      </w:pPr>
    </w:p>
    <w:p w14:paraId="3DE057DB" w14:textId="734757A3" w:rsidR="00904F8C" w:rsidRDefault="00904F8C" w:rsidP="006E3127">
      <w:pPr>
        <w:spacing w:line="480" w:lineRule="auto"/>
        <w:jc w:val="center"/>
        <w:rPr>
          <w:rFonts w:ascii="Times New Roman" w:hAnsi="Times New Roman" w:cs="Times New Roman"/>
          <w:sz w:val="28"/>
          <w:szCs w:val="28"/>
        </w:rPr>
      </w:pPr>
      <w:r>
        <w:rPr>
          <w:rFonts w:ascii="Times New Roman" w:hAnsi="Times New Roman" w:cs="Times New Roman"/>
          <w:sz w:val="28"/>
          <w:szCs w:val="28"/>
        </w:rPr>
        <w:t>BY</w:t>
      </w:r>
    </w:p>
    <w:p w14:paraId="12FA0BCB" w14:textId="7656DDEC" w:rsidR="00904F8C" w:rsidRDefault="00601066" w:rsidP="006E3127">
      <w:pPr>
        <w:spacing w:line="480" w:lineRule="auto"/>
        <w:jc w:val="center"/>
        <w:rPr>
          <w:rFonts w:ascii="Times New Roman" w:hAnsi="Times New Roman" w:cs="Times New Roman"/>
          <w:sz w:val="28"/>
          <w:szCs w:val="28"/>
        </w:rPr>
      </w:pPr>
      <w:r>
        <w:rPr>
          <w:rFonts w:ascii="Times New Roman" w:hAnsi="Times New Roman" w:cs="Times New Roman"/>
          <w:sz w:val="28"/>
          <w:szCs w:val="28"/>
        </w:rPr>
        <w:t>SAMUEL WALL BERG</w:t>
      </w:r>
    </w:p>
    <w:p w14:paraId="5F9753A6" w14:textId="3CF01B08" w:rsidR="00904F8C" w:rsidRDefault="00904F8C" w:rsidP="006E3127">
      <w:pPr>
        <w:spacing w:line="480" w:lineRule="auto"/>
        <w:jc w:val="center"/>
        <w:rPr>
          <w:rFonts w:ascii="Times New Roman" w:hAnsi="Times New Roman" w:cs="Times New Roman"/>
          <w:sz w:val="28"/>
          <w:szCs w:val="28"/>
        </w:rPr>
      </w:pPr>
      <w:r>
        <w:rPr>
          <w:rFonts w:ascii="Times New Roman" w:hAnsi="Times New Roman" w:cs="Times New Roman"/>
          <w:sz w:val="28"/>
          <w:szCs w:val="28"/>
        </w:rPr>
        <w:t>Norman, Oklahoma</w:t>
      </w:r>
    </w:p>
    <w:p w14:paraId="6249CD95" w14:textId="70AB8DE3" w:rsidR="00904F8C" w:rsidRDefault="00904F8C" w:rsidP="006E3127">
      <w:pPr>
        <w:spacing w:line="480" w:lineRule="auto"/>
        <w:jc w:val="center"/>
        <w:rPr>
          <w:rFonts w:ascii="Times New Roman" w:hAnsi="Times New Roman" w:cs="Times New Roman"/>
          <w:sz w:val="28"/>
          <w:szCs w:val="28"/>
        </w:rPr>
      </w:pPr>
      <w:r>
        <w:rPr>
          <w:rFonts w:ascii="Times New Roman" w:hAnsi="Times New Roman" w:cs="Times New Roman"/>
          <w:sz w:val="28"/>
          <w:szCs w:val="28"/>
        </w:rPr>
        <w:t>2019</w:t>
      </w:r>
    </w:p>
    <w:p w14:paraId="3F94290C" w14:textId="31F782CF" w:rsidR="00BE07FE" w:rsidRDefault="00BE07FE" w:rsidP="00571BAC">
      <w:pPr>
        <w:spacing w:line="276" w:lineRule="auto"/>
        <w:rPr>
          <w:rFonts w:ascii="Times New Roman" w:hAnsi="Times New Roman" w:cs="Times New Roman"/>
          <w:sz w:val="28"/>
          <w:szCs w:val="28"/>
        </w:rPr>
      </w:pPr>
    </w:p>
    <w:p w14:paraId="2B5182CF" w14:textId="4472655C" w:rsidR="001A08C2" w:rsidRDefault="00583F4E" w:rsidP="00BE07FE">
      <w:pPr>
        <w:spacing w:line="240" w:lineRule="auto"/>
        <w:jc w:val="center"/>
        <w:rPr>
          <w:rFonts w:ascii="Times New Roman" w:hAnsi="Times New Roman" w:cs="Times New Roman"/>
          <w:bCs/>
          <w:sz w:val="28"/>
          <w:szCs w:val="28"/>
        </w:rPr>
      </w:pPr>
      <w:r>
        <w:rPr>
          <w:rFonts w:ascii="Times New Roman" w:hAnsi="Times New Roman" w:cs="Times New Roman"/>
          <w:bCs/>
          <w:sz w:val="28"/>
          <w:szCs w:val="28"/>
        </w:rPr>
        <w:t>HIGH RESOLUTION</w:t>
      </w:r>
      <w:r w:rsidR="0083558F">
        <w:rPr>
          <w:rFonts w:ascii="Times New Roman" w:hAnsi="Times New Roman" w:cs="Times New Roman"/>
          <w:bCs/>
          <w:sz w:val="28"/>
          <w:szCs w:val="28"/>
        </w:rPr>
        <w:t xml:space="preserve"> SEQEUNCE STRATIGRAPHY OF THE NPRA, NORTH SLOPE, ALASKA</w:t>
      </w:r>
    </w:p>
    <w:p w14:paraId="2AE08881" w14:textId="77777777" w:rsidR="001A08C2" w:rsidRDefault="001A08C2" w:rsidP="00BE07FE">
      <w:pPr>
        <w:spacing w:line="240" w:lineRule="auto"/>
        <w:jc w:val="center"/>
        <w:rPr>
          <w:rFonts w:ascii="Times New Roman" w:hAnsi="Times New Roman" w:cs="Times New Roman"/>
          <w:bCs/>
          <w:sz w:val="28"/>
          <w:szCs w:val="28"/>
        </w:rPr>
      </w:pPr>
    </w:p>
    <w:p w14:paraId="7F6203AE" w14:textId="4EC4D5C6" w:rsidR="00BE07FE" w:rsidRDefault="00BE07FE" w:rsidP="006E3127">
      <w:pPr>
        <w:spacing w:line="480" w:lineRule="auto"/>
        <w:jc w:val="center"/>
        <w:rPr>
          <w:rFonts w:ascii="Times New Roman" w:hAnsi="Times New Roman" w:cs="Times New Roman"/>
          <w:sz w:val="28"/>
          <w:szCs w:val="28"/>
        </w:rPr>
      </w:pPr>
    </w:p>
    <w:p w14:paraId="7049E86A" w14:textId="6BB53482" w:rsidR="00BE07FE" w:rsidRDefault="00BE07FE" w:rsidP="006E3127">
      <w:pPr>
        <w:spacing w:line="480" w:lineRule="auto"/>
        <w:jc w:val="center"/>
        <w:rPr>
          <w:rFonts w:ascii="Times New Roman" w:hAnsi="Times New Roman" w:cs="Times New Roman"/>
          <w:sz w:val="28"/>
          <w:szCs w:val="28"/>
        </w:rPr>
      </w:pPr>
      <w:r>
        <w:rPr>
          <w:rFonts w:ascii="Times New Roman" w:hAnsi="Times New Roman" w:cs="Times New Roman"/>
          <w:sz w:val="28"/>
          <w:szCs w:val="28"/>
        </w:rPr>
        <w:t xml:space="preserve">A THESIS APPROVED FOR </w:t>
      </w:r>
      <w:r w:rsidR="001A08C2">
        <w:rPr>
          <w:rFonts w:ascii="Times New Roman" w:hAnsi="Times New Roman" w:cs="Times New Roman"/>
          <w:sz w:val="28"/>
          <w:szCs w:val="28"/>
        </w:rPr>
        <w:t xml:space="preserve">THE </w:t>
      </w:r>
    </w:p>
    <w:p w14:paraId="21AC4F2C" w14:textId="15538193" w:rsidR="001A08C2" w:rsidRDefault="00927685" w:rsidP="006E3127">
      <w:pPr>
        <w:spacing w:line="480" w:lineRule="auto"/>
        <w:jc w:val="center"/>
        <w:rPr>
          <w:rFonts w:ascii="Times New Roman" w:hAnsi="Times New Roman" w:cs="Times New Roman"/>
          <w:sz w:val="28"/>
          <w:szCs w:val="28"/>
        </w:rPr>
      </w:pPr>
      <w:r>
        <w:rPr>
          <w:rFonts w:ascii="Times New Roman" w:hAnsi="Times New Roman" w:cs="Times New Roman"/>
          <w:sz w:val="28"/>
          <w:szCs w:val="28"/>
        </w:rPr>
        <w:t xml:space="preserve"> SCHOOL OF GEOSCIENCES</w:t>
      </w:r>
    </w:p>
    <w:p w14:paraId="165728E6" w14:textId="28C8CFA8" w:rsidR="00BE07FE" w:rsidRDefault="00BE07FE" w:rsidP="006E3127">
      <w:pPr>
        <w:spacing w:line="480" w:lineRule="auto"/>
        <w:jc w:val="center"/>
        <w:rPr>
          <w:rFonts w:ascii="Times New Roman" w:hAnsi="Times New Roman" w:cs="Times New Roman"/>
          <w:sz w:val="28"/>
          <w:szCs w:val="28"/>
        </w:rPr>
      </w:pPr>
    </w:p>
    <w:p w14:paraId="3AD31A2D" w14:textId="4FA00863" w:rsidR="00BE07FE" w:rsidRDefault="00BE07FE" w:rsidP="00BE07FE">
      <w:pPr>
        <w:spacing w:line="240" w:lineRule="auto"/>
        <w:jc w:val="center"/>
        <w:rPr>
          <w:rFonts w:ascii="Times New Roman" w:hAnsi="Times New Roman" w:cs="Times New Roman"/>
          <w:sz w:val="28"/>
          <w:szCs w:val="28"/>
        </w:rPr>
      </w:pPr>
    </w:p>
    <w:p w14:paraId="03BD9D45" w14:textId="61F67CB0" w:rsidR="00BE07FE" w:rsidRDefault="00BE07FE" w:rsidP="00BE07FE">
      <w:pPr>
        <w:spacing w:line="240" w:lineRule="auto"/>
        <w:jc w:val="center"/>
        <w:rPr>
          <w:rFonts w:ascii="Times New Roman" w:hAnsi="Times New Roman" w:cs="Times New Roman"/>
          <w:sz w:val="28"/>
          <w:szCs w:val="28"/>
        </w:rPr>
      </w:pPr>
      <w:r>
        <w:rPr>
          <w:rFonts w:ascii="Times New Roman" w:hAnsi="Times New Roman" w:cs="Times New Roman"/>
          <w:sz w:val="28"/>
          <w:szCs w:val="28"/>
        </w:rPr>
        <w:t>BY</w:t>
      </w:r>
      <w:r w:rsidR="00927685">
        <w:rPr>
          <w:rFonts w:ascii="Times New Roman" w:hAnsi="Times New Roman" w:cs="Times New Roman"/>
          <w:sz w:val="28"/>
          <w:szCs w:val="28"/>
        </w:rPr>
        <w:t xml:space="preserve"> THE COMMITTEE CONSISTING OF</w:t>
      </w:r>
    </w:p>
    <w:p w14:paraId="4E984B5F" w14:textId="30991B62" w:rsidR="00BE07FE" w:rsidRDefault="00BE07FE" w:rsidP="00BE07FE">
      <w:pPr>
        <w:spacing w:line="240" w:lineRule="auto"/>
        <w:jc w:val="center"/>
        <w:rPr>
          <w:rFonts w:ascii="Times New Roman" w:hAnsi="Times New Roman" w:cs="Times New Roman"/>
          <w:sz w:val="28"/>
          <w:szCs w:val="28"/>
        </w:rPr>
      </w:pPr>
    </w:p>
    <w:p w14:paraId="7CBC3A04" w14:textId="5C0AAD3A" w:rsidR="00BE07FE" w:rsidRDefault="00BE07FE" w:rsidP="00BE07FE">
      <w:pPr>
        <w:spacing w:line="240" w:lineRule="auto"/>
        <w:jc w:val="center"/>
        <w:rPr>
          <w:rFonts w:ascii="Times New Roman" w:hAnsi="Times New Roman" w:cs="Times New Roman"/>
          <w:sz w:val="28"/>
          <w:szCs w:val="28"/>
        </w:rPr>
      </w:pPr>
    </w:p>
    <w:p w14:paraId="20A47AFD" w14:textId="77777777" w:rsidR="00BE07FE" w:rsidRDefault="00BE07FE" w:rsidP="00BE07FE">
      <w:pPr>
        <w:spacing w:line="240" w:lineRule="auto"/>
        <w:jc w:val="center"/>
        <w:rPr>
          <w:rFonts w:ascii="Times New Roman" w:hAnsi="Times New Roman" w:cs="Times New Roman"/>
          <w:sz w:val="28"/>
          <w:szCs w:val="28"/>
        </w:rPr>
      </w:pPr>
    </w:p>
    <w:p w14:paraId="11A8E092" w14:textId="3F9EB028" w:rsidR="00BE07FE" w:rsidRDefault="00BE07FE" w:rsidP="00927685">
      <w:pPr>
        <w:spacing w:line="240" w:lineRule="auto"/>
        <w:jc w:val="center"/>
        <w:rPr>
          <w:rFonts w:ascii="Times New Roman" w:hAnsi="Times New Roman" w:cs="Times New Roman"/>
          <w:sz w:val="28"/>
          <w:szCs w:val="28"/>
        </w:rPr>
      </w:pPr>
    </w:p>
    <w:p w14:paraId="64142E94" w14:textId="72F55E40" w:rsidR="006E3127" w:rsidRDefault="00BE07FE" w:rsidP="00BE07FE">
      <w:pPr>
        <w:spacing w:line="240" w:lineRule="auto"/>
        <w:jc w:val="right"/>
        <w:rPr>
          <w:rFonts w:ascii="Times New Roman" w:hAnsi="Times New Roman" w:cs="Times New Roman"/>
          <w:sz w:val="28"/>
          <w:szCs w:val="28"/>
        </w:rPr>
      </w:pPr>
      <w:r>
        <w:rPr>
          <w:rFonts w:ascii="Times New Roman" w:hAnsi="Times New Roman" w:cs="Times New Roman"/>
          <w:sz w:val="28"/>
          <w:szCs w:val="28"/>
        </w:rPr>
        <w:t>Dr. John D. Pigott, Chair</w:t>
      </w:r>
    </w:p>
    <w:p w14:paraId="4A2DB6B5" w14:textId="56C72887" w:rsidR="00BE07FE" w:rsidRDefault="00BE07FE" w:rsidP="00BE07FE">
      <w:pPr>
        <w:spacing w:line="240" w:lineRule="auto"/>
        <w:jc w:val="right"/>
        <w:rPr>
          <w:rFonts w:ascii="Times New Roman" w:hAnsi="Times New Roman" w:cs="Times New Roman"/>
          <w:sz w:val="28"/>
          <w:szCs w:val="28"/>
        </w:rPr>
      </w:pPr>
    </w:p>
    <w:p w14:paraId="0E263F66" w14:textId="45D8BA82" w:rsidR="00BE07FE" w:rsidRDefault="00BE07FE" w:rsidP="00BE07FE">
      <w:pPr>
        <w:spacing w:line="240" w:lineRule="auto"/>
        <w:jc w:val="right"/>
        <w:rPr>
          <w:rFonts w:ascii="Times New Roman" w:hAnsi="Times New Roman" w:cs="Times New Roman"/>
          <w:sz w:val="28"/>
          <w:szCs w:val="28"/>
        </w:rPr>
      </w:pPr>
    </w:p>
    <w:p w14:paraId="43733E83" w14:textId="2800EE55" w:rsidR="00BE07FE" w:rsidRDefault="00BE07FE" w:rsidP="00BE07FE">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Dr. </w:t>
      </w:r>
      <w:r w:rsidR="0083558F">
        <w:rPr>
          <w:rFonts w:ascii="Times New Roman" w:hAnsi="Times New Roman" w:cs="Times New Roman"/>
          <w:sz w:val="28"/>
          <w:szCs w:val="28"/>
        </w:rPr>
        <w:t>Heather Bedle</w:t>
      </w:r>
    </w:p>
    <w:p w14:paraId="5A13CE46" w14:textId="44DD2FD1" w:rsidR="00BE07FE" w:rsidRDefault="00BE07FE" w:rsidP="00BE07FE">
      <w:pPr>
        <w:spacing w:line="240" w:lineRule="auto"/>
        <w:jc w:val="right"/>
        <w:rPr>
          <w:rFonts w:ascii="Times New Roman" w:hAnsi="Times New Roman" w:cs="Times New Roman"/>
          <w:sz w:val="28"/>
          <w:szCs w:val="28"/>
        </w:rPr>
      </w:pPr>
    </w:p>
    <w:p w14:paraId="74803D57" w14:textId="2677EE1C" w:rsidR="00BE07FE" w:rsidRDefault="00BE07FE" w:rsidP="00BE07FE">
      <w:pPr>
        <w:spacing w:line="240" w:lineRule="auto"/>
        <w:jc w:val="right"/>
        <w:rPr>
          <w:rFonts w:ascii="Times New Roman" w:hAnsi="Times New Roman" w:cs="Times New Roman"/>
          <w:sz w:val="28"/>
          <w:szCs w:val="28"/>
        </w:rPr>
      </w:pPr>
    </w:p>
    <w:p w14:paraId="7700461B" w14:textId="4728CAD0" w:rsidR="006E3127" w:rsidRPr="006E3127" w:rsidRDefault="00BE07FE" w:rsidP="00BE07FE">
      <w:pPr>
        <w:spacing w:line="240" w:lineRule="auto"/>
        <w:jc w:val="right"/>
        <w:rPr>
          <w:rFonts w:ascii="Times New Roman" w:hAnsi="Times New Roman" w:cs="Times New Roman"/>
          <w:sz w:val="28"/>
          <w:szCs w:val="28"/>
        </w:rPr>
      </w:pPr>
      <w:r>
        <w:rPr>
          <w:rFonts w:ascii="Times New Roman" w:hAnsi="Times New Roman" w:cs="Times New Roman"/>
          <w:sz w:val="28"/>
          <w:szCs w:val="28"/>
        </w:rPr>
        <w:t xml:space="preserve">Dr. </w:t>
      </w:r>
      <w:r w:rsidR="0083558F">
        <w:rPr>
          <w:rFonts w:ascii="Times New Roman" w:hAnsi="Times New Roman" w:cs="Times New Roman"/>
          <w:sz w:val="28"/>
          <w:szCs w:val="28"/>
        </w:rPr>
        <w:t>Roger Slatt</w:t>
      </w:r>
    </w:p>
    <w:p w14:paraId="095E7933" w14:textId="1B053EC3" w:rsidR="006E3127" w:rsidRDefault="006E3127" w:rsidP="006E3127">
      <w:pPr>
        <w:jc w:val="center"/>
        <w:rPr>
          <w:rFonts w:ascii="Times New Roman" w:hAnsi="Times New Roman" w:cs="Times New Roman"/>
          <w:sz w:val="28"/>
          <w:szCs w:val="28"/>
        </w:rPr>
      </w:pPr>
    </w:p>
    <w:p w14:paraId="3345923C" w14:textId="0F07E802" w:rsidR="001C64FE" w:rsidRDefault="001C64FE" w:rsidP="006E3127">
      <w:pPr>
        <w:jc w:val="center"/>
        <w:rPr>
          <w:rFonts w:ascii="Times New Roman" w:hAnsi="Times New Roman" w:cs="Times New Roman"/>
          <w:sz w:val="28"/>
          <w:szCs w:val="28"/>
        </w:rPr>
      </w:pPr>
    </w:p>
    <w:p w14:paraId="3D5C50E5" w14:textId="19983590" w:rsidR="001C64FE" w:rsidRDefault="001C64FE" w:rsidP="006E3127">
      <w:pPr>
        <w:jc w:val="center"/>
        <w:rPr>
          <w:rFonts w:ascii="Times New Roman" w:hAnsi="Times New Roman" w:cs="Times New Roman"/>
          <w:sz w:val="28"/>
          <w:szCs w:val="28"/>
        </w:rPr>
      </w:pPr>
    </w:p>
    <w:p w14:paraId="7F4B9D04" w14:textId="12D39C24" w:rsidR="001C64FE" w:rsidRDefault="001C64FE" w:rsidP="006E3127">
      <w:pPr>
        <w:jc w:val="center"/>
        <w:rPr>
          <w:rFonts w:ascii="Times New Roman" w:hAnsi="Times New Roman" w:cs="Times New Roman"/>
          <w:sz w:val="28"/>
          <w:szCs w:val="28"/>
        </w:rPr>
      </w:pPr>
    </w:p>
    <w:p w14:paraId="5B19C3F4" w14:textId="067F4E4C" w:rsidR="001C64FE" w:rsidRDefault="001C64FE" w:rsidP="006E3127">
      <w:pPr>
        <w:jc w:val="center"/>
        <w:rPr>
          <w:rFonts w:ascii="Times New Roman" w:hAnsi="Times New Roman" w:cs="Times New Roman"/>
          <w:sz w:val="28"/>
          <w:szCs w:val="28"/>
        </w:rPr>
      </w:pPr>
    </w:p>
    <w:p w14:paraId="5CEB673D" w14:textId="4DE480C0" w:rsidR="001C64FE" w:rsidRDefault="001C64FE" w:rsidP="006E3127">
      <w:pPr>
        <w:jc w:val="center"/>
        <w:rPr>
          <w:rFonts w:ascii="Times New Roman" w:hAnsi="Times New Roman" w:cs="Times New Roman"/>
          <w:sz w:val="28"/>
          <w:szCs w:val="28"/>
        </w:rPr>
      </w:pPr>
    </w:p>
    <w:p w14:paraId="522C2DAD" w14:textId="03E11D38" w:rsidR="001C64FE" w:rsidRDefault="001C64FE" w:rsidP="006E3127">
      <w:pPr>
        <w:jc w:val="center"/>
        <w:rPr>
          <w:rFonts w:ascii="Times New Roman" w:hAnsi="Times New Roman" w:cs="Times New Roman"/>
          <w:sz w:val="28"/>
          <w:szCs w:val="28"/>
        </w:rPr>
      </w:pPr>
    </w:p>
    <w:p w14:paraId="6E2A98E0" w14:textId="7337B7AB" w:rsidR="001C64FE" w:rsidRDefault="001C64FE" w:rsidP="006E3127">
      <w:pPr>
        <w:jc w:val="center"/>
        <w:rPr>
          <w:rFonts w:ascii="Times New Roman" w:hAnsi="Times New Roman" w:cs="Times New Roman"/>
          <w:sz w:val="28"/>
          <w:szCs w:val="28"/>
        </w:rPr>
      </w:pPr>
    </w:p>
    <w:p w14:paraId="3B8E0359" w14:textId="52233A48" w:rsidR="001C64FE" w:rsidRDefault="001C64FE" w:rsidP="006E3127">
      <w:pPr>
        <w:jc w:val="center"/>
        <w:rPr>
          <w:rFonts w:ascii="Times New Roman" w:hAnsi="Times New Roman" w:cs="Times New Roman"/>
          <w:sz w:val="28"/>
          <w:szCs w:val="28"/>
        </w:rPr>
      </w:pPr>
    </w:p>
    <w:p w14:paraId="2C7FCAE7" w14:textId="3D97C53A" w:rsidR="001C64FE" w:rsidRDefault="001C64FE" w:rsidP="006E3127">
      <w:pPr>
        <w:jc w:val="center"/>
        <w:rPr>
          <w:rFonts w:ascii="Times New Roman" w:hAnsi="Times New Roman" w:cs="Times New Roman"/>
          <w:sz w:val="28"/>
          <w:szCs w:val="28"/>
        </w:rPr>
      </w:pPr>
    </w:p>
    <w:p w14:paraId="02761C96" w14:textId="08336A28" w:rsidR="001C64FE" w:rsidRDefault="001C64FE" w:rsidP="006E3127">
      <w:pPr>
        <w:jc w:val="center"/>
        <w:rPr>
          <w:rFonts w:ascii="Times New Roman" w:hAnsi="Times New Roman" w:cs="Times New Roman"/>
          <w:sz w:val="28"/>
          <w:szCs w:val="28"/>
        </w:rPr>
      </w:pPr>
    </w:p>
    <w:p w14:paraId="377C34D6" w14:textId="3303B7F8" w:rsidR="001C64FE" w:rsidRDefault="001C64FE" w:rsidP="006E3127">
      <w:pPr>
        <w:jc w:val="center"/>
        <w:rPr>
          <w:rFonts w:ascii="Times New Roman" w:hAnsi="Times New Roman" w:cs="Times New Roman"/>
          <w:sz w:val="28"/>
          <w:szCs w:val="28"/>
        </w:rPr>
      </w:pPr>
    </w:p>
    <w:p w14:paraId="30B58587" w14:textId="3ED05D1E" w:rsidR="001C64FE" w:rsidRDefault="001C64FE" w:rsidP="006E3127">
      <w:pPr>
        <w:jc w:val="center"/>
        <w:rPr>
          <w:rFonts w:ascii="Times New Roman" w:hAnsi="Times New Roman" w:cs="Times New Roman"/>
          <w:sz w:val="28"/>
          <w:szCs w:val="28"/>
        </w:rPr>
      </w:pPr>
    </w:p>
    <w:p w14:paraId="5A910FE7" w14:textId="0A1C001D" w:rsidR="001C64FE" w:rsidRDefault="001C64FE" w:rsidP="006E3127">
      <w:pPr>
        <w:jc w:val="center"/>
        <w:rPr>
          <w:rFonts w:ascii="Times New Roman" w:hAnsi="Times New Roman" w:cs="Times New Roman"/>
          <w:sz w:val="28"/>
          <w:szCs w:val="28"/>
        </w:rPr>
      </w:pPr>
    </w:p>
    <w:p w14:paraId="6F3D214A" w14:textId="1732FC09" w:rsidR="001C64FE" w:rsidRDefault="001C64FE" w:rsidP="006E3127">
      <w:pPr>
        <w:jc w:val="center"/>
        <w:rPr>
          <w:rFonts w:ascii="Times New Roman" w:hAnsi="Times New Roman" w:cs="Times New Roman"/>
          <w:sz w:val="28"/>
          <w:szCs w:val="28"/>
        </w:rPr>
      </w:pPr>
    </w:p>
    <w:p w14:paraId="19FBAB55" w14:textId="66E888FC" w:rsidR="001C64FE" w:rsidRDefault="001C64FE" w:rsidP="006E3127">
      <w:pPr>
        <w:jc w:val="center"/>
        <w:rPr>
          <w:rFonts w:ascii="Times New Roman" w:hAnsi="Times New Roman" w:cs="Times New Roman"/>
          <w:sz w:val="28"/>
          <w:szCs w:val="28"/>
        </w:rPr>
      </w:pPr>
    </w:p>
    <w:p w14:paraId="01DC12BA" w14:textId="72C7219D" w:rsidR="001C64FE" w:rsidRDefault="001C64FE" w:rsidP="006E3127">
      <w:pPr>
        <w:jc w:val="center"/>
        <w:rPr>
          <w:rFonts w:ascii="Times New Roman" w:hAnsi="Times New Roman" w:cs="Times New Roman"/>
          <w:sz w:val="28"/>
          <w:szCs w:val="28"/>
        </w:rPr>
      </w:pPr>
    </w:p>
    <w:p w14:paraId="5C617F25" w14:textId="235789A2" w:rsidR="001C64FE" w:rsidRDefault="001C64FE" w:rsidP="006E3127">
      <w:pPr>
        <w:jc w:val="center"/>
        <w:rPr>
          <w:rFonts w:ascii="Times New Roman" w:hAnsi="Times New Roman" w:cs="Times New Roman"/>
          <w:sz w:val="28"/>
          <w:szCs w:val="28"/>
        </w:rPr>
      </w:pPr>
    </w:p>
    <w:p w14:paraId="7047C17F" w14:textId="0BD72771" w:rsidR="001C64FE" w:rsidRDefault="001C64FE" w:rsidP="006E3127">
      <w:pPr>
        <w:jc w:val="center"/>
        <w:rPr>
          <w:rFonts w:ascii="Times New Roman" w:hAnsi="Times New Roman" w:cs="Times New Roman"/>
          <w:sz w:val="28"/>
          <w:szCs w:val="28"/>
        </w:rPr>
      </w:pPr>
    </w:p>
    <w:p w14:paraId="5810C8BB" w14:textId="16F18DFF" w:rsidR="001C64FE" w:rsidRDefault="001C64FE" w:rsidP="006E3127">
      <w:pPr>
        <w:jc w:val="center"/>
        <w:rPr>
          <w:rFonts w:ascii="Times New Roman" w:hAnsi="Times New Roman" w:cs="Times New Roman"/>
          <w:sz w:val="28"/>
          <w:szCs w:val="28"/>
        </w:rPr>
      </w:pPr>
    </w:p>
    <w:p w14:paraId="4BE11DDE" w14:textId="1643AA43" w:rsidR="001C64FE" w:rsidRDefault="001C64FE" w:rsidP="006E3127">
      <w:pPr>
        <w:jc w:val="center"/>
        <w:rPr>
          <w:rFonts w:ascii="Times New Roman" w:hAnsi="Times New Roman" w:cs="Times New Roman"/>
          <w:sz w:val="28"/>
          <w:szCs w:val="28"/>
        </w:rPr>
      </w:pPr>
    </w:p>
    <w:p w14:paraId="3CE7934C" w14:textId="1B0AA4FA" w:rsidR="001C64FE" w:rsidRDefault="001C64FE" w:rsidP="006E3127">
      <w:pPr>
        <w:jc w:val="center"/>
        <w:rPr>
          <w:rFonts w:ascii="Times New Roman" w:hAnsi="Times New Roman" w:cs="Times New Roman"/>
          <w:sz w:val="28"/>
          <w:szCs w:val="28"/>
        </w:rPr>
      </w:pPr>
    </w:p>
    <w:p w14:paraId="0D22EA5F" w14:textId="77777777" w:rsidR="00B5415F" w:rsidRDefault="00B5415F" w:rsidP="006E3127">
      <w:pPr>
        <w:jc w:val="center"/>
        <w:rPr>
          <w:rFonts w:ascii="Times New Roman" w:hAnsi="Times New Roman" w:cs="Times New Roman"/>
          <w:sz w:val="28"/>
          <w:szCs w:val="28"/>
        </w:rPr>
      </w:pPr>
    </w:p>
    <w:p w14:paraId="0101108E" w14:textId="20E4C79E" w:rsidR="001C64FE" w:rsidRDefault="001C64FE" w:rsidP="006E3127">
      <w:pPr>
        <w:jc w:val="center"/>
        <w:rPr>
          <w:rFonts w:ascii="Times New Roman" w:hAnsi="Times New Roman" w:cs="Times New Roman"/>
          <w:sz w:val="28"/>
          <w:szCs w:val="28"/>
        </w:rPr>
      </w:pPr>
    </w:p>
    <w:p w14:paraId="722DB3BD" w14:textId="5D3D6E73" w:rsidR="00B5415F" w:rsidRDefault="001C64FE" w:rsidP="00B5415F">
      <w:pPr>
        <w:spacing w:line="240" w:lineRule="auto"/>
        <w:jc w:val="center"/>
        <w:rPr>
          <w:rFonts w:ascii="Times New Roman" w:hAnsi="Times New Roman" w:cs="Times New Roman"/>
          <w:sz w:val="28"/>
          <w:szCs w:val="28"/>
        </w:rPr>
      </w:pPr>
      <w:r>
        <w:rPr>
          <w:rFonts w:ascii="Times New Roman" w:hAnsi="Times New Roman" w:cs="Times New Roman"/>
          <w:sz w:val="28"/>
          <w:szCs w:val="28"/>
        </w:rPr>
        <w:t xml:space="preserve">© Copyright by </w:t>
      </w:r>
      <w:r w:rsidR="0083558F">
        <w:rPr>
          <w:rFonts w:ascii="Times New Roman" w:hAnsi="Times New Roman" w:cs="Times New Roman"/>
          <w:sz w:val="28"/>
          <w:szCs w:val="28"/>
        </w:rPr>
        <w:t>SAMUEL WALL BERG</w:t>
      </w:r>
      <w:r>
        <w:rPr>
          <w:rFonts w:ascii="Times New Roman" w:hAnsi="Times New Roman" w:cs="Times New Roman"/>
          <w:sz w:val="28"/>
          <w:szCs w:val="28"/>
        </w:rPr>
        <w:t xml:space="preserve"> 2019</w:t>
      </w:r>
    </w:p>
    <w:p w14:paraId="143D0A15" w14:textId="51E25041" w:rsidR="001C64FE" w:rsidRDefault="001C64FE" w:rsidP="00B5415F">
      <w:pPr>
        <w:spacing w:line="240" w:lineRule="auto"/>
        <w:jc w:val="center"/>
        <w:rPr>
          <w:rFonts w:ascii="Times New Roman" w:hAnsi="Times New Roman" w:cs="Times New Roman"/>
          <w:sz w:val="28"/>
          <w:szCs w:val="28"/>
        </w:rPr>
      </w:pPr>
      <w:r>
        <w:rPr>
          <w:rFonts w:ascii="Times New Roman" w:hAnsi="Times New Roman" w:cs="Times New Roman"/>
          <w:sz w:val="28"/>
          <w:szCs w:val="28"/>
        </w:rPr>
        <w:t>All Rights Reserved.</w:t>
      </w:r>
    </w:p>
    <w:p w14:paraId="22511539" w14:textId="1BA7E27C" w:rsidR="001A08C2" w:rsidRDefault="001A08C2" w:rsidP="001C64FE">
      <w:pPr>
        <w:spacing w:line="240" w:lineRule="auto"/>
        <w:jc w:val="center"/>
        <w:rPr>
          <w:rFonts w:ascii="Times New Roman" w:hAnsi="Times New Roman" w:cs="Times New Roman"/>
          <w:sz w:val="28"/>
          <w:szCs w:val="28"/>
        </w:rPr>
      </w:pPr>
    </w:p>
    <w:p w14:paraId="57ACE47F" w14:textId="77777777" w:rsidR="00F063EE" w:rsidRDefault="00F063EE" w:rsidP="001C64FE">
      <w:pPr>
        <w:spacing w:line="240" w:lineRule="auto"/>
        <w:jc w:val="center"/>
        <w:rPr>
          <w:rFonts w:ascii="Times New Roman" w:hAnsi="Times New Roman" w:cs="Times New Roman"/>
          <w:b/>
          <w:sz w:val="28"/>
          <w:szCs w:val="28"/>
        </w:rPr>
      </w:pPr>
    </w:p>
    <w:p w14:paraId="480C4BD2" w14:textId="77777777" w:rsidR="00F063EE" w:rsidRDefault="00F063EE" w:rsidP="001C64FE">
      <w:pPr>
        <w:spacing w:line="240" w:lineRule="auto"/>
        <w:jc w:val="center"/>
        <w:rPr>
          <w:rFonts w:ascii="Times New Roman" w:hAnsi="Times New Roman" w:cs="Times New Roman"/>
          <w:b/>
          <w:sz w:val="28"/>
          <w:szCs w:val="28"/>
        </w:rPr>
      </w:pPr>
    </w:p>
    <w:p w14:paraId="078CED55" w14:textId="77777777" w:rsidR="008F706D" w:rsidRDefault="008F706D" w:rsidP="001C64FE">
      <w:pPr>
        <w:spacing w:line="240" w:lineRule="auto"/>
        <w:jc w:val="center"/>
        <w:rPr>
          <w:rFonts w:ascii="Times New Roman" w:hAnsi="Times New Roman" w:cs="Times New Roman"/>
          <w:b/>
          <w:sz w:val="28"/>
          <w:szCs w:val="28"/>
        </w:rPr>
        <w:sectPr w:rsidR="008F706D" w:rsidSect="003D4CFF">
          <w:footerReference w:type="default" r:id="rId8"/>
          <w:pgSz w:w="12240" w:h="15840"/>
          <w:pgMar w:top="1440" w:right="1440" w:bottom="1440" w:left="1440" w:header="720" w:footer="720" w:gutter="0"/>
          <w:pgNumType w:fmt="lowerRoman"/>
          <w:cols w:space="720"/>
          <w:docGrid w:linePitch="360"/>
        </w:sectPr>
      </w:pPr>
    </w:p>
    <w:p w14:paraId="27EA75D6" w14:textId="0C467F43" w:rsidR="00F063EE" w:rsidRDefault="00F063EE" w:rsidP="001C64FE">
      <w:pPr>
        <w:spacing w:line="240" w:lineRule="auto"/>
        <w:jc w:val="center"/>
        <w:rPr>
          <w:rFonts w:ascii="Times New Roman" w:hAnsi="Times New Roman" w:cs="Times New Roman"/>
          <w:b/>
          <w:sz w:val="28"/>
          <w:szCs w:val="28"/>
        </w:rPr>
      </w:pPr>
    </w:p>
    <w:p w14:paraId="5BB15122" w14:textId="77777777" w:rsidR="00F063EE" w:rsidRDefault="00F063EE" w:rsidP="001C64FE">
      <w:pPr>
        <w:spacing w:line="240" w:lineRule="auto"/>
        <w:jc w:val="center"/>
        <w:rPr>
          <w:rFonts w:ascii="Times New Roman" w:hAnsi="Times New Roman" w:cs="Times New Roman"/>
          <w:b/>
          <w:sz w:val="28"/>
          <w:szCs w:val="28"/>
        </w:rPr>
      </w:pPr>
    </w:p>
    <w:p w14:paraId="724B184C" w14:textId="77777777" w:rsidR="00F063EE" w:rsidRDefault="00F063EE" w:rsidP="001C64FE">
      <w:pPr>
        <w:spacing w:line="240" w:lineRule="auto"/>
        <w:jc w:val="center"/>
        <w:rPr>
          <w:rFonts w:ascii="Times New Roman" w:hAnsi="Times New Roman" w:cs="Times New Roman"/>
          <w:b/>
          <w:sz w:val="28"/>
          <w:szCs w:val="28"/>
        </w:rPr>
      </w:pPr>
    </w:p>
    <w:p w14:paraId="22FB3F44" w14:textId="77777777" w:rsidR="00F063EE" w:rsidRDefault="00F063EE" w:rsidP="001C64FE">
      <w:pPr>
        <w:spacing w:line="240" w:lineRule="auto"/>
        <w:jc w:val="center"/>
        <w:rPr>
          <w:rFonts w:ascii="Times New Roman" w:hAnsi="Times New Roman" w:cs="Times New Roman"/>
          <w:b/>
          <w:sz w:val="28"/>
          <w:szCs w:val="28"/>
        </w:rPr>
      </w:pPr>
    </w:p>
    <w:p w14:paraId="50DB40AA" w14:textId="77777777" w:rsidR="00F063EE" w:rsidRDefault="00F063EE" w:rsidP="001C64FE">
      <w:pPr>
        <w:spacing w:line="240" w:lineRule="auto"/>
        <w:jc w:val="center"/>
        <w:rPr>
          <w:rFonts w:ascii="Times New Roman" w:hAnsi="Times New Roman" w:cs="Times New Roman"/>
          <w:b/>
          <w:sz w:val="28"/>
          <w:szCs w:val="28"/>
        </w:rPr>
      </w:pPr>
    </w:p>
    <w:p w14:paraId="41B052CC" w14:textId="77777777" w:rsidR="00F063EE" w:rsidRDefault="00F063EE" w:rsidP="001C64FE">
      <w:pPr>
        <w:spacing w:line="240" w:lineRule="auto"/>
        <w:jc w:val="center"/>
        <w:rPr>
          <w:rFonts w:ascii="Times New Roman" w:hAnsi="Times New Roman" w:cs="Times New Roman"/>
          <w:b/>
          <w:sz w:val="28"/>
          <w:szCs w:val="28"/>
        </w:rPr>
      </w:pPr>
    </w:p>
    <w:p w14:paraId="5C2C41EB" w14:textId="1CE7EB29" w:rsidR="00F063EE" w:rsidRDefault="00F063EE" w:rsidP="001C64FE">
      <w:pPr>
        <w:spacing w:line="240" w:lineRule="auto"/>
        <w:jc w:val="center"/>
        <w:rPr>
          <w:rFonts w:ascii="Times New Roman" w:hAnsi="Times New Roman" w:cs="Times New Roman"/>
          <w:b/>
          <w:sz w:val="28"/>
          <w:szCs w:val="28"/>
        </w:rPr>
      </w:pPr>
    </w:p>
    <w:p w14:paraId="08354A1B" w14:textId="77777777" w:rsidR="00F063EE" w:rsidRDefault="00F063EE" w:rsidP="001C64FE">
      <w:pPr>
        <w:spacing w:line="240" w:lineRule="auto"/>
        <w:jc w:val="center"/>
        <w:rPr>
          <w:rFonts w:ascii="Times New Roman" w:hAnsi="Times New Roman" w:cs="Times New Roman"/>
          <w:b/>
          <w:sz w:val="28"/>
          <w:szCs w:val="28"/>
        </w:rPr>
      </w:pPr>
    </w:p>
    <w:p w14:paraId="2AE39BBA" w14:textId="77777777" w:rsidR="00F063EE" w:rsidRDefault="00F063EE" w:rsidP="001C64FE">
      <w:pPr>
        <w:spacing w:line="240" w:lineRule="auto"/>
        <w:jc w:val="center"/>
        <w:rPr>
          <w:rFonts w:ascii="Times New Roman" w:hAnsi="Times New Roman" w:cs="Times New Roman"/>
          <w:b/>
          <w:sz w:val="28"/>
          <w:szCs w:val="28"/>
        </w:rPr>
      </w:pPr>
    </w:p>
    <w:p w14:paraId="5C53FA6A" w14:textId="77777777" w:rsidR="00F063EE" w:rsidRDefault="00F063EE" w:rsidP="001C64FE">
      <w:pPr>
        <w:spacing w:line="240" w:lineRule="auto"/>
        <w:jc w:val="center"/>
        <w:rPr>
          <w:rFonts w:ascii="Times New Roman" w:hAnsi="Times New Roman" w:cs="Times New Roman"/>
          <w:b/>
          <w:sz w:val="28"/>
          <w:szCs w:val="28"/>
        </w:rPr>
      </w:pPr>
    </w:p>
    <w:p w14:paraId="3E32A424" w14:textId="77777777" w:rsidR="00F063EE" w:rsidRDefault="00F063EE" w:rsidP="001C64FE">
      <w:pPr>
        <w:spacing w:line="240" w:lineRule="auto"/>
        <w:jc w:val="center"/>
        <w:rPr>
          <w:rFonts w:ascii="Times New Roman" w:hAnsi="Times New Roman" w:cs="Times New Roman"/>
          <w:b/>
          <w:sz w:val="28"/>
          <w:szCs w:val="28"/>
        </w:rPr>
      </w:pPr>
    </w:p>
    <w:p w14:paraId="380133E4" w14:textId="6BECC874" w:rsidR="00F063EE" w:rsidRDefault="005F6682" w:rsidP="001C64FE">
      <w:pPr>
        <w:spacing w:line="240" w:lineRule="auto"/>
        <w:jc w:val="center"/>
        <w:rPr>
          <w:rFonts w:ascii="Times New Roman" w:hAnsi="Times New Roman" w:cs="Times New Roman"/>
          <w:i/>
          <w:sz w:val="24"/>
          <w:szCs w:val="28"/>
        </w:rPr>
      </w:pPr>
      <w:r>
        <w:rPr>
          <w:rFonts w:ascii="Times New Roman" w:hAnsi="Times New Roman" w:cs="Times New Roman"/>
          <w:i/>
          <w:sz w:val="24"/>
          <w:szCs w:val="28"/>
        </w:rPr>
        <w:t>“All we have to decide is what to do with the time that is given us”</w:t>
      </w:r>
    </w:p>
    <w:p w14:paraId="75D2F835" w14:textId="365DA3F1" w:rsidR="005F6682" w:rsidRPr="00F063EE" w:rsidRDefault="005F6682" w:rsidP="001C64FE">
      <w:pPr>
        <w:spacing w:line="240" w:lineRule="auto"/>
        <w:jc w:val="center"/>
        <w:rPr>
          <w:rFonts w:ascii="Times New Roman" w:hAnsi="Times New Roman" w:cs="Times New Roman"/>
          <w:i/>
          <w:sz w:val="24"/>
          <w:szCs w:val="28"/>
        </w:rPr>
      </w:pPr>
      <w:r>
        <w:rPr>
          <w:rFonts w:ascii="Times New Roman" w:hAnsi="Times New Roman" w:cs="Times New Roman"/>
          <w:i/>
          <w:sz w:val="24"/>
          <w:szCs w:val="28"/>
        </w:rPr>
        <w:t>-Gandalf the Grey</w:t>
      </w:r>
    </w:p>
    <w:p w14:paraId="5FFD5EB0" w14:textId="77777777" w:rsidR="00F063EE" w:rsidRDefault="00F063EE" w:rsidP="001C64FE">
      <w:pPr>
        <w:spacing w:line="240" w:lineRule="auto"/>
        <w:jc w:val="center"/>
        <w:rPr>
          <w:rFonts w:ascii="Times New Roman" w:hAnsi="Times New Roman" w:cs="Times New Roman"/>
          <w:b/>
          <w:sz w:val="28"/>
          <w:szCs w:val="28"/>
        </w:rPr>
      </w:pPr>
    </w:p>
    <w:p w14:paraId="58EA6A53" w14:textId="77777777" w:rsidR="00F063EE" w:rsidRDefault="00F063EE" w:rsidP="001C64FE">
      <w:pPr>
        <w:spacing w:line="240" w:lineRule="auto"/>
        <w:jc w:val="center"/>
        <w:rPr>
          <w:rFonts w:ascii="Times New Roman" w:hAnsi="Times New Roman" w:cs="Times New Roman"/>
          <w:b/>
          <w:sz w:val="28"/>
          <w:szCs w:val="28"/>
        </w:rPr>
      </w:pPr>
    </w:p>
    <w:p w14:paraId="2F056D37" w14:textId="77777777" w:rsidR="00F063EE" w:rsidRDefault="00F063EE" w:rsidP="001C64FE">
      <w:pPr>
        <w:spacing w:line="240" w:lineRule="auto"/>
        <w:jc w:val="center"/>
        <w:rPr>
          <w:rFonts w:ascii="Times New Roman" w:hAnsi="Times New Roman" w:cs="Times New Roman"/>
          <w:b/>
          <w:sz w:val="28"/>
          <w:szCs w:val="28"/>
        </w:rPr>
      </w:pPr>
    </w:p>
    <w:p w14:paraId="5317F8AB" w14:textId="77777777" w:rsidR="00F063EE" w:rsidRDefault="00F063EE" w:rsidP="001C64FE">
      <w:pPr>
        <w:spacing w:line="240" w:lineRule="auto"/>
        <w:jc w:val="center"/>
        <w:rPr>
          <w:rFonts w:ascii="Times New Roman" w:hAnsi="Times New Roman" w:cs="Times New Roman"/>
          <w:b/>
          <w:sz w:val="28"/>
          <w:szCs w:val="28"/>
        </w:rPr>
      </w:pPr>
    </w:p>
    <w:p w14:paraId="258CE1BB" w14:textId="77777777" w:rsidR="00F063EE" w:rsidRDefault="00F063EE" w:rsidP="001C64FE">
      <w:pPr>
        <w:spacing w:line="240" w:lineRule="auto"/>
        <w:jc w:val="center"/>
        <w:rPr>
          <w:rFonts w:ascii="Times New Roman" w:hAnsi="Times New Roman" w:cs="Times New Roman"/>
          <w:b/>
          <w:sz w:val="28"/>
          <w:szCs w:val="28"/>
        </w:rPr>
      </w:pPr>
    </w:p>
    <w:p w14:paraId="65337C7B" w14:textId="77777777" w:rsidR="00F063EE" w:rsidRDefault="00F063EE" w:rsidP="001C64FE">
      <w:pPr>
        <w:spacing w:line="240" w:lineRule="auto"/>
        <w:jc w:val="center"/>
        <w:rPr>
          <w:rFonts w:ascii="Times New Roman" w:hAnsi="Times New Roman" w:cs="Times New Roman"/>
          <w:b/>
          <w:sz w:val="28"/>
          <w:szCs w:val="28"/>
        </w:rPr>
      </w:pPr>
    </w:p>
    <w:p w14:paraId="1A033DDE" w14:textId="77777777" w:rsidR="00F063EE" w:rsidRDefault="00F063EE" w:rsidP="001C64FE">
      <w:pPr>
        <w:spacing w:line="240" w:lineRule="auto"/>
        <w:jc w:val="center"/>
        <w:rPr>
          <w:rFonts w:ascii="Times New Roman" w:hAnsi="Times New Roman" w:cs="Times New Roman"/>
          <w:b/>
          <w:sz w:val="28"/>
          <w:szCs w:val="28"/>
        </w:rPr>
      </w:pPr>
    </w:p>
    <w:p w14:paraId="215C6EF9" w14:textId="77777777" w:rsidR="00F063EE" w:rsidRDefault="00F063EE" w:rsidP="001C64FE">
      <w:pPr>
        <w:spacing w:line="240" w:lineRule="auto"/>
        <w:jc w:val="center"/>
        <w:rPr>
          <w:rFonts w:ascii="Times New Roman" w:hAnsi="Times New Roman" w:cs="Times New Roman"/>
          <w:b/>
          <w:sz w:val="28"/>
          <w:szCs w:val="28"/>
        </w:rPr>
      </w:pPr>
    </w:p>
    <w:p w14:paraId="6E4A814E" w14:textId="77777777" w:rsidR="00F063EE" w:rsidRDefault="00F063EE" w:rsidP="001C64FE">
      <w:pPr>
        <w:spacing w:line="240" w:lineRule="auto"/>
        <w:jc w:val="center"/>
        <w:rPr>
          <w:rFonts w:ascii="Times New Roman" w:hAnsi="Times New Roman" w:cs="Times New Roman"/>
          <w:b/>
          <w:sz w:val="28"/>
          <w:szCs w:val="28"/>
        </w:rPr>
      </w:pPr>
    </w:p>
    <w:p w14:paraId="75D8FA2B" w14:textId="77777777" w:rsidR="00F063EE" w:rsidRDefault="00F063EE" w:rsidP="001C64FE">
      <w:pPr>
        <w:spacing w:line="240" w:lineRule="auto"/>
        <w:jc w:val="center"/>
        <w:rPr>
          <w:rFonts w:ascii="Times New Roman" w:hAnsi="Times New Roman" w:cs="Times New Roman"/>
          <w:b/>
          <w:sz w:val="28"/>
          <w:szCs w:val="28"/>
        </w:rPr>
      </w:pPr>
    </w:p>
    <w:p w14:paraId="13581729" w14:textId="77777777" w:rsidR="00F063EE" w:rsidRDefault="00F063EE" w:rsidP="001C64FE">
      <w:pPr>
        <w:spacing w:line="240" w:lineRule="auto"/>
        <w:jc w:val="center"/>
        <w:rPr>
          <w:rFonts w:ascii="Times New Roman" w:hAnsi="Times New Roman" w:cs="Times New Roman"/>
          <w:b/>
          <w:sz w:val="28"/>
          <w:szCs w:val="28"/>
        </w:rPr>
      </w:pPr>
    </w:p>
    <w:p w14:paraId="22619012" w14:textId="77777777" w:rsidR="00F063EE" w:rsidRDefault="00F063EE" w:rsidP="001C64FE">
      <w:pPr>
        <w:spacing w:line="240" w:lineRule="auto"/>
        <w:jc w:val="center"/>
        <w:rPr>
          <w:rFonts w:ascii="Times New Roman" w:hAnsi="Times New Roman" w:cs="Times New Roman"/>
          <w:b/>
          <w:sz w:val="28"/>
          <w:szCs w:val="28"/>
        </w:rPr>
      </w:pPr>
    </w:p>
    <w:p w14:paraId="2F9C5EA7" w14:textId="77777777" w:rsidR="00F063EE" w:rsidRDefault="00F063EE" w:rsidP="001C64FE">
      <w:pPr>
        <w:spacing w:line="240" w:lineRule="auto"/>
        <w:jc w:val="center"/>
        <w:rPr>
          <w:rFonts w:ascii="Times New Roman" w:hAnsi="Times New Roman" w:cs="Times New Roman"/>
          <w:b/>
          <w:sz w:val="28"/>
          <w:szCs w:val="28"/>
        </w:rPr>
      </w:pPr>
    </w:p>
    <w:p w14:paraId="77A57887" w14:textId="77777777" w:rsidR="0083558F" w:rsidRDefault="0083558F" w:rsidP="00CD0D8A">
      <w:pPr>
        <w:spacing w:line="240" w:lineRule="auto"/>
        <w:rPr>
          <w:rFonts w:ascii="Times New Roman" w:hAnsi="Times New Roman" w:cs="Times New Roman"/>
          <w:b/>
          <w:sz w:val="28"/>
          <w:szCs w:val="28"/>
        </w:rPr>
      </w:pPr>
    </w:p>
    <w:p w14:paraId="12A87110" w14:textId="37489C6B" w:rsidR="001A08C2" w:rsidRDefault="001A08C2" w:rsidP="001C64FE">
      <w:pPr>
        <w:spacing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ACKNOWLEDGEMENTS</w:t>
      </w:r>
    </w:p>
    <w:p w14:paraId="17D1C4BD" w14:textId="65755389" w:rsidR="009660A0" w:rsidRDefault="009660A0" w:rsidP="009660A0">
      <w:pPr>
        <w:spacing w:line="240" w:lineRule="auto"/>
        <w:rPr>
          <w:rFonts w:ascii="Times New Roman" w:hAnsi="Times New Roman" w:cs="Times New Roman"/>
          <w:sz w:val="24"/>
          <w:szCs w:val="24"/>
        </w:rPr>
      </w:pPr>
    </w:p>
    <w:p w14:paraId="6112968B" w14:textId="3F7DA645" w:rsidR="009660A0" w:rsidRDefault="009660A0" w:rsidP="001A08C2">
      <w:pPr>
        <w:spacing w:line="240" w:lineRule="auto"/>
        <w:ind w:firstLine="720"/>
        <w:rPr>
          <w:rFonts w:ascii="Times New Roman" w:hAnsi="Times New Roman" w:cs="Times New Roman"/>
          <w:sz w:val="24"/>
          <w:szCs w:val="24"/>
        </w:rPr>
      </w:pPr>
      <w:r>
        <w:rPr>
          <w:rFonts w:ascii="Times New Roman" w:hAnsi="Times New Roman" w:cs="Times New Roman"/>
          <w:sz w:val="24"/>
          <w:szCs w:val="24"/>
        </w:rPr>
        <w:t>First and foremost, I would like to thank my advisor, Dr. John Pigott, for his enthusiasm and support throughout this entire process. Without his suggestions and guidance, this thesis never would have been started, much less completed. I will always remember the kindness he has shown me and the lessons he taught me.</w:t>
      </w:r>
    </w:p>
    <w:p w14:paraId="3573AD50" w14:textId="31CC96CD" w:rsidR="0026366C" w:rsidRDefault="0026366C" w:rsidP="001A08C2">
      <w:pPr>
        <w:spacing w:line="240" w:lineRule="auto"/>
        <w:ind w:firstLine="720"/>
        <w:rPr>
          <w:rFonts w:ascii="Times New Roman" w:hAnsi="Times New Roman" w:cs="Times New Roman"/>
          <w:sz w:val="24"/>
          <w:szCs w:val="24"/>
        </w:rPr>
      </w:pPr>
    </w:p>
    <w:p w14:paraId="713F3C0E" w14:textId="235A6011" w:rsidR="005074F1" w:rsidRDefault="005074F1" w:rsidP="001A08C2">
      <w:pPr>
        <w:spacing w:line="240" w:lineRule="auto"/>
        <w:ind w:firstLine="720"/>
        <w:rPr>
          <w:rFonts w:ascii="Times New Roman" w:hAnsi="Times New Roman" w:cs="Times New Roman"/>
          <w:sz w:val="24"/>
          <w:szCs w:val="24"/>
        </w:rPr>
      </w:pPr>
      <w:r>
        <w:rPr>
          <w:rFonts w:ascii="Times New Roman" w:hAnsi="Times New Roman" w:cs="Times New Roman"/>
          <w:sz w:val="24"/>
          <w:szCs w:val="24"/>
        </w:rPr>
        <w:t>I would also like to thank my committee members, Dr. Roger Slatt, and Dr. Heather Bedle for their time, their suggestions, and their interest in my research. Their expertise was invaluable in the revision and completion of this thesis.</w:t>
      </w:r>
    </w:p>
    <w:p w14:paraId="0BC8F339" w14:textId="77777777" w:rsidR="005074F1" w:rsidRDefault="005074F1" w:rsidP="001A08C2">
      <w:pPr>
        <w:spacing w:line="240" w:lineRule="auto"/>
        <w:ind w:firstLine="720"/>
        <w:rPr>
          <w:rFonts w:ascii="Times New Roman" w:hAnsi="Times New Roman" w:cs="Times New Roman"/>
          <w:sz w:val="24"/>
          <w:szCs w:val="24"/>
        </w:rPr>
      </w:pPr>
    </w:p>
    <w:p w14:paraId="10C20DEB" w14:textId="21EFE8F6" w:rsidR="0026366C" w:rsidRDefault="009660A0" w:rsidP="001A08C2">
      <w:pPr>
        <w:spacing w:line="240" w:lineRule="auto"/>
        <w:ind w:firstLine="720"/>
        <w:rPr>
          <w:rFonts w:ascii="Times New Roman" w:hAnsi="Times New Roman" w:cs="Times New Roman"/>
          <w:sz w:val="24"/>
          <w:szCs w:val="24"/>
        </w:rPr>
      </w:pPr>
      <w:r>
        <w:rPr>
          <w:rFonts w:ascii="Times New Roman" w:hAnsi="Times New Roman" w:cs="Times New Roman"/>
          <w:sz w:val="24"/>
          <w:szCs w:val="24"/>
        </w:rPr>
        <w:t>This research would not have been possible if not for the tireless efforts of the USGS</w:t>
      </w:r>
      <w:r w:rsidR="005074F1">
        <w:rPr>
          <w:rFonts w:ascii="Times New Roman" w:hAnsi="Times New Roman" w:cs="Times New Roman"/>
          <w:sz w:val="24"/>
          <w:szCs w:val="24"/>
        </w:rPr>
        <w:t>, from which all the data used in this thesis was gathered.</w:t>
      </w:r>
    </w:p>
    <w:p w14:paraId="3A71B12F" w14:textId="36A732F7" w:rsidR="00B509AC" w:rsidRDefault="00B509AC" w:rsidP="001A08C2">
      <w:pPr>
        <w:spacing w:line="240" w:lineRule="auto"/>
        <w:ind w:firstLine="720"/>
        <w:rPr>
          <w:rFonts w:ascii="Times New Roman" w:hAnsi="Times New Roman" w:cs="Times New Roman"/>
          <w:sz w:val="24"/>
          <w:szCs w:val="24"/>
        </w:rPr>
      </w:pPr>
    </w:p>
    <w:p w14:paraId="475AEDDE" w14:textId="562E65F9" w:rsidR="00B509AC" w:rsidRDefault="00B509AC" w:rsidP="001A08C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 wish to thank the </w:t>
      </w:r>
      <w:r w:rsidR="00D52B09">
        <w:rPr>
          <w:rFonts w:ascii="Times New Roman" w:hAnsi="Times New Roman" w:cs="Times New Roman"/>
          <w:sz w:val="24"/>
          <w:szCs w:val="24"/>
        </w:rPr>
        <w:t>OU School of Geosciences</w:t>
      </w:r>
      <w:r>
        <w:rPr>
          <w:rFonts w:ascii="Times New Roman" w:hAnsi="Times New Roman" w:cs="Times New Roman"/>
          <w:sz w:val="24"/>
          <w:szCs w:val="24"/>
        </w:rPr>
        <w:t xml:space="preserve"> for the resources provided in order to conduct my resear</w:t>
      </w:r>
      <w:r w:rsidR="00AF0673">
        <w:rPr>
          <w:rFonts w:ascii="Times New Roman" w:hAnsi="Times New Roman" w:cs="Times New Roman"/>
          <w:sz w:val="24"/>
          <w:szCs w:val="24"/>
        </w:rPr>
        <w:t>ch</w:t>
      </w:r>
      <w:r>
        <w:rPr>
          <w:rFonts w:ascii="Times New Roman" w:hAnsi="Times New Roman" w:cs="Times New Roman"/>
          <w:sz w:val="24"/>
          <w:szCs w:val="24"/>
        </w:rPr>
        <w:t xml:space="preserve">. </w:t>
      </w:r>
      <w:r w:rsidR="007574EF">
        <w:rPr>
          <w:rFonts w:ascii="Times New Roman" w:hAnsi="Times New Roman" w:cs="Times New Roman"/>
          <w:sz w:val="24"/>
          <w:szCs w:val="24"/>
        </w:rPr>
        <w:t xml:space="preserve">This includes </w:t>
      </w:r>
      <w:r w:rsidR="00AF0673">
        <w:rPr>
          <w:rFonts w:ascii="Times New Roman" w:hAnsi="Times New Roman" w:cs="Times New Roman"/>
          <w:sz w:val="24"/>
          <w:szCs w:val="24"/>
        </w:rPr>
        <w:t xml:space="preserve">the </w:t>
      </w:r>
      <w:r w:rsidR="007574EF">
        <w:rPr>
          <w:rFonts w:ascii="Times New Roman" w:hAnsi="Times New Roman" w:cs="Times New Roman"/>
          <w:sz w:val="24"/>
          <w:szCs w:val="24"/>
        </w:rPr>
        <w:t>use</w:t>
      </w:r>
      <w:r w:rsidR="00AF0673">
        <w:rPr>
          <w:rFonts w:ascii="Times New Roman" w:hAnsi="Times New Roman" w:cs="Times New Roman"/>
          <w:sz w:val="24"/>
          <w:szCs w:val="24"/>
        </w:rPr>
        <w:t xml:space="preserve"> and licenses</w:t>
      </w:r>
      <w:r w:rsidR="007574EF">
        <w:rPr>
          <w:rFonts w:ascii="Times New Roman" w:hAnsi="Times New Roman" w:cs="Times New Roman"/>
          <w:sz w:val="24"/>
          <w:szCs w:val="24"/>
        </w:rPr>
        <w:t xml:space="preserve"> of </w:t>
      </w:r>
      <w:r w:rsidR="00AF0673">
        <w:rPr>
          <w:rFonts w:ascii="Times New Roman" w:hAnsi="Times New Roman" w:cs="Times New Roman"/>
          <w:sz w:val="24"/>
          <w:szCs w:val="24"/>
        </w:rPr>
        <w:t>Petrel 2016 and HampsonRussel, as well as the education I received at this institution.</w:t>
      </w:r>
    </w:p>
    <w:p w14:paraId="6CACC9C0" w14:textId="3BC4BF44" w:rsidR="007247DD" w:rsidRDefault="007247DD" w:rsidP="005074F1">
      <w:pPr>
        <w:spacing w:line="240" w:lineRule="auto"/>
        <w:rPr>
          <w:rFonts w:ascii="Times New Roman" w:hAnsi="Times New Roman" w:cs="Times New Roman"/>
          <w:sz w:val="24"/>
          <w:szCs w:val="24"/>
        </w:rPr>
      </w:pPr>
    </w:p>
    <w:p w14:paraId="05EA5891" w14:textId="3127E8F6" w:rsidR="007247DD" w:rsidRDefault="007247DD" w:rsidP="001A08C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Thank you to my colleagues and friends for </w:t>
      </w:r>
      <w:r w:rsidR="00AF0673">
        <w:rPr>
          <w:rFonts w:ascii="Times New Roman" w:hAnsi="Times New Roman" w:cs="Times New Roman"/>
          <w:sz w:val="24"/>
          <w:szCs w:val="24"/>
        </w:rPr>
        <w:t xml:space="preserve">acting as a sounding board for me when you didn’t have to, </w:t>
      </w:r>
      <w:r>
        <w:rPr>
          <w:rFonts w:ascii="Times New Roman" w:hAnsi="Times New Roman" w:cs="Times New Roman"/>
          <w:sz w:val="24"/>
          <w:szCs w:val="24"/>
        </w:rPr>
        <w:t xml:space="preserve">including </w:t>
      </w:r>
      <w:r w:rsidR="00AF0673">
        <w:rPr>
          <w:rFonts w:ascii="Times New Roman" w:hAnsi="Times New Roman" w:cs="Times New Roman"/>
          <w:sz w:val="24"/>
          <w:szCs w:val="24"/>
        </w:rPr>
        <w:t xml:space="preserve">Abidin Caf, </w:t>
      </w:r>
      <w:r>
        <w:rPr>
          <w:rFonts w:ascii="Times New Roman" w:hAnsi="Times New Roman" w:cs="Times New Roman"/>
          <w:sz w:val="24"/>
          <w:szCs w:val="24"/>
        </w:rPr>
        <w:t>Matt Lynch, Andrew Layden, Cyril Frazier</w:t>
      </w:r>
      <w:r w:rsidR="00AF0673">
        <w:rPr>
          <w:rFonts w:ascii="Times New Roman" w:hAnsi="Times New Roman" w:cs="Times New Roman"/>
          <w:sz w:val="24"/>
          <w:szCs w:val="24"/>
        </w:rPr>
        <w:t>, and</w:t>
      </w:r>
      <w:r w:rsidR="006617C5">
        <w:rPr>
          <w:rFonts w:ascii="Times New Roman" w:hAnsi="Times New Roman" w:cs="Times New Roman"/>
          <w:sz w:val="24"/>
          <w:szCs w:val="24"/>
        </w:rPr>
        <w:t xml:space="preserve"> Dr.</w:t>
      </w:r>
      <w:r w:rsidR="00AF0673">
        <w:rPr>
          <w:rFonts w:ascii="Times New Roman" w:hAnsi="Times New Roman" w:cs="Times New Roman"/>
          <w:sz w:val="24"/>
          <w:szCs w:val="24"/>
        </w:rPr>
        <w:t xml:space="preserve"> Jerry</w:t>
      </w:r>
      <w:r w:rsidR="006617C5">
        <w:rPr>
          <w:rFonts w:ascii="Times New Roman" w:hAnsi="Times New Roman" w:cs="Times New Roman"/>
          <w:sz w:val="24"/>
          <w:szCs w:val="24"/>
        </w:rPr>
        <w:t xml:space="preserve"> Zhai</w:t>
      </w:r>
      <w:r w:rsidR="00AF0673">
        <w:rPr>
          <w:rFonts w:ascii="Times New Roman" w:hAnsi="Times New Roman" w:cs="Times New Roman"/>
          <w:sz w:val="24"/>
          <w:szCs w:val="24"/>
        </w:rPr>
        <w:t xml:space="preserve">. My time with you all </w:t>
      </w:r>
      <w:r w:rsidR="006617C5">
        <w:rPr>
          <w:rFonts w:ascii="Times New Roman" w:hAnsi="Times New Roman" w:cs="Times New Roman"/>
          <w:sz w:val="24"/>
          <w:szCs w:val="24"/>
        </w:rPr>
        <w:t>is what kept me sane through the trials and tribulations of this thesis.</w:t>
      </w:r>
    </w:p>
    <w:p w14:paraId="16F85777" w14:textId="77777777" w:rsidR="007247DD" w:rsidRDefault="007247DD" w:rsidP="001A08C2">
      <w:pPr>
        <w:spacing w:line="240" w:lineRule="auto"/>
        <w:ind w:firstLine="720"/>
        <w:rPr>
          <w:rFonts w:ascii="Times New Roman" w:hAnsi="Times New Roman" w:cs="Times New Roman"/>
          <w:sz w:val="24"/>
          <w:szCs w:val="24"/>
        </w:rPr>
      </w:pPr>
    </w:p>
    <w:p w14:paraId="1F63EA72" w14:textId="64AB1324" w:rsidR="007247DD" w:rsidRDefault="007247DD" w:rsidP="001A08C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t>
      </w:r>
      <w:r w:rsidR="006617C5">
        <w:rPr>
          <w:rFonts w:ascii="Times New Roman" w:hAnsi="Times New Roman" w:cs="Times New Roman"/>
          <w:sz w:val="24"/>
          <w:szCs w:val="24"/>
        </w:rPr>
        <w:t>I would like to thank my father, John Berg, my family, and my lovely girlfriend, Darian Cook, for their unending support and patience in one of the most trying times of my life.</w:t>
      </w:r>
    </w:p>
    <w:p w14:paraId="120A47CA" w14:textId="2F70BF97" w:rsidR="006617C5" w:rsidRDefault="006617C5" w:rsidP="001A08C2">
      <w:pPr>
        <w:spacing w:line="240" w:lineRule="auto"/>
        <w:ind w:firstLine="720"/>
        <w:rPr>
          <w:rFonts w:ascii="Times New Roman" w:hAnsi="Times New Roman" w:cs="Times New Roman"/>
          <w:sz w:val="24"/>
          <w:szCs w:val="24"/>
        </w:rPr>
      </w:pPr>
    </w:p>
    <w:p w14:paraId="1372C7F8" w14:textId="356E2CD7" w:rsidR="006617C5" w:rsidRDefault="006617C5" w:rsidP="001A08C2">
      <w:pPr>
        <w:spacing w:line="240" w:lineRule="auto"/>
        <w:ind w:firstLine="720"/>
        <w:rPr>
          <w:rFonts w:ascii="Times New Roman" w:hAnsi="Times New Roman" w:cs="Times New Roman"/>
          <w:sz w:val="24"/>
          <w:szCs w:val="24"/>
        </w:rPr>
      </w:pPr>
    </w:p>
    <w:p w14:paraId="7559F202" w14:textId="16A61FEE" w:rsidR="006617C5" w:rsidRDefault="006617C5" w:rsidP="001A08C2">
      <w:pPr>
        <w:spacing w:line="240" w:lineRule="auto"/>
        <w:ind w:firstLine="720"/>
        <w:rPr>
          <w:rFonts w:ascii="Times New Roman" w:hAnsi="Times New Roman" w:cs="Times New Roman"/>
          <w:sz w:val="24"/>
          <w:szCs w:val="24"/>
        </w:rPr>
      </w:pPr>
    </w:p>
    <w:p w14:paraId="7E23A1D5" w14:textId="77777777" w:rsidR="006617C5" w:rsidRDefault="006617C5" w:rsidP="001A08C2">
      <w:pPr>
        <w:spacing w:line="240" w:lineRule="auto"/>
        <w:ind w:firstLine="720"/>
        <w:rPr>
          <w:rFonts w:ascii="Times New Roman" w:hAnsi="Times New Roman" w:cs="Times New Roman"/>
          <w:sz w:val="24"/>
          <w:szCs w:val="24"/>
        </w:rPr>
      </w:pPr>
    </w:p>
    <w:p w14:paraId="2B1DC33D" w14:textId="2FD7D779" w:rsidR="005C1B7B" w:rsidRDefault="005C1B7B" w:rsidP="00F063EE">
      <w:pPr>
        <w:spacing w:line="240" w:lineRule="auto"/>
        <w:rPr>
          <w:rFonts w:ascii="Times New Roman" w:hAnsi="Times New Roman" w:cs="Times New Roman"/>
          <w:sz w:val="24"/>
          <w:szCs w:val="24"/>
        </w:rPr>
      </w:pPr>
    </w:p>
    <w:p w14:paraId="49A7ABD9" w14:textId="77777777" w:rsidR="0083558F" w:rsidRDefault="0083558F" w:rsidP="00BC50CE">
      <w:pPr>
        <w:spacing w:line="480" w:lineRule="auto"/>
        <w:ind w:firstLine="720"/>
        <w:jc w:val="center"/>
        <w:rPr>
          <w:rFonts w:ascii="Times New Roman" w:hAnsi="Times New Roman" w:cs="Times New Roman"/>
          <w:b/>
          <w:sz w:val="28"/>
          <w:szCs w:val="24"/>
        </w:rPr>
      </w:pPr>
    </w:p>
    <w:p w14:paraId="7A170329" w14:textId="77777777" w:rsidR="00CD0D8A" w:rsidRDefault="00CD0D8A" w:rsidP="00BC50CE">
      <w:pPr>
        <w:spacing w:line="480" w:lineRule="auto"/>
        <w:ind w:firstLine="720"/>
        <w:jc w:val="center"/>
        <w:rPr>
          <w:rFonts w:ascii="Times New Roman" w:hAnsi="Times New Roman" w:cs="Times New Roman"/>
          <w:b/>
          <w:sz w:val="28"/>
          <w:szCs w:val="24"/>
        </w:rPr>
      </w:pPr>
    </w:p>
    <w:p w14:paraId="4737A144" w14:textId="77777777" w:rsidR="008F706D" w:rsidRDefault="008F706D" w:rsidP="00BC50CE">
      <w:pPr>
        <w:spacing w:line="480" w:lineRule="auto"/>
        <w:ind w:firstLine="720"/>
        <w:jc w:val="center"/>
        <w:rPr>
          <w:rFonts w:ascii="Times New Roman" w:hAnsi="Times New Roman" w:cs="Times New Roman"/>
          <w:b/>
          <w:sz w:val="28"/>
          <w:szCs w:val="24"/>
        </w:rPr>
      </w:pPr>
    </w:p>
    <w:p w14:paraId="06720E68" w14:textId="0D07AA25" w:rsidR="005C1B7B" w:rsidRDefault="00F46A72" w:rsidP="00BC50CE">
      <w:pPr>
        <w:spacing w:line="480" w:lineRule="auto"/>
        <w:ind w:firstLine="720"/>
        <w:jc w:val="center"/>
        <w:rPr>
          <w:rFonts w:ascii="Times New Roman" w:hAnsi="Times New Roman" w:cs="Times New Roman"/>
          <w:b/>
          <w:sz w:val="28"/>
          <w:szCs w:val="24"/>
        </w:rPr>
      </w:pPr>
      <w:r>
        <w:rPr>
          <w:rFonts w:ascii="Times New Roman" w:hAnsi="Times New Roman" w:cs="Times New Roman"/>
          <w:b/>
          <w:sz w:val="28"/>
          <w:szCs w:val="24"/>
        </w:rPr>
        <w:lastRenderedPageBreak/>
        <w:t>TABLE OF CONTENTS</w:t>
      </w:r>
    </w:p>
    <w:p w14:paraId="2C4844AF" w14:textId="5F0600FB" w:rsidR="00F46A72" w:rsidRPr="00F403B8" w:rsidRDefault="00F46A72" w:rsidP="00BC50CE">
      <w:pPr>
        <w:spacing w:line="480" w:lineRule="auto"/>
        <w:rPr>
          <w:rFonts w:ascii="Times New Roman" w:hAnsi="Times New Roman" w:cs="Times New Roman"/>
          <w:sz w:val="24"/>
          <w:szCs w:val="24"/>
        </w:rPr>
      </w:pPr>
      <w:r w:rsidRPr="00F403B8">
        <w:rPr>
          <w:rFonts w:ascii="Times New Roman" w:hAnsi="Times New Roman" w:cs="Times New Roman"/>
          <w:sz w:val="24"/>
          <w:szCs w:val="24"/>
        </w:rPr>
        <w:t>List of Figures</w:t>
      </w:r>
      <w:r w:rsidR="0016080E">
        <w:rPr>
          <w:rFonts w:ascii="Times New Roman" w:hAnsi="Times New Roman" w:cs="Times New Roman"/>
          <w:sz w:val="24"/>
          <w:szCs w:val="24"/>
        </w:rPr>
        <w:t>………………………………………………………………</w:t>
      </w:r>
      <w:r w:rsidR="003A3DA9">
        <w:rPr>
          <w:rFonts w:ascii="Times New Roman" w:hAnsi="Times New Roman" w:cs="Times New Roman"/>
          <w:sz w:val="24"/>
          <w:szCs w:val="24"/>
        </w:rPr>
        <w:t>…</w:t>
      </w:r>
      <w:r w:rsidR="0016080E">
        <w:rPr>
          <w:rFonts w:ascii="Times New Roman" w:hAnsi="Times New Roman" w:cs="Times New Roman"/>
          <w:sz w:val="24"/>
          <w:szCs w:val="24"/>
        </w:rPr>
        <w:t>……</w:t>
      </w:r>
      <w:r w:rsidR="00AB1B84">
        <w:rPr>
          <w:rFonts w:ascii="Times New Roman" w:hAnsi="Times New Roman" w:cs="Times New Roman"/>
          <w:sz w:val="24"/>
          <w:szCs w:val="24"/>
        </w:rPr>
        <w:t>…</w:t>
      </w:r>
      <w:r w:rsidR="008F7631">
        <w:rPr>
          <w:rFonts w:ascii="Times New Roman" w:hAnsi="Times New Roman" w:cs="Times New Roman"/>
          <w:sz w:val="24"/>
          <w:szCs w:val="24"/>
        </w:rPr>
        <w:t>v</w:t>
      </w:r>
      <w:r w:rsidR="00AB1B84">
        <w:rPr>
          <w:rFonts w:ascii="Times New Roman" w:hAnsi="Times New Roman" w:cs="Times New Roman"/>
          <w:sz w:val="24"/>
          <w:szCs w:val="24"/>
        </w:rPr>
        <w:t>iii</w:t>
      </w:r>
    </w:p>
    <w:p w14:paraId="3DF39EC8" w14:textId="055560C0" w:rsidR="00F46A72" w:rsidRPr="00F403B8" w:rsidRDefault="00F46A72" w:rsidP="00BC50CE">
      <w:pPr>
        <w:spacing w:line="480" w:lineRule="auto"/>
        <w:rPr>
          <w:rFonts w:ascii="Times New Roman" w:hAnsi="Times New Roman" w:cs="Times New Roman"/>
          <w:sz w:val="24"/>
          <w:szCs w:val="24"/>
        </w:rPr>
      </w:pPr>
      <w:r w:rsidRPr="00F403B8">
        <w:rPr>
          <w:rFonts w:ascii="Times New Roman" w:hAnsi="Times New Roman" w:cs="Times New Roman"/>
          <w:sz w:val="24"/>
          <w:szCs w:val="24"/>
        </w:rPr>
        <w:t>ABSTRACT</w:t>
      </w:r>
      <w:r w:rsidR="00F62FEC">
        <w:rPr>
          <w:rFonts w:ascii="Times New Roman" w:hAnsi="Times New Roman" w:cs="Times New Roman"/>
          <w:sz w:val="24"/>
          <w:szCs w:val="24"/>
        </w:rPr>
        <w:t>……………………………………………………………………</w:t>
      </w:r>
      <w:r w:rsidR="002308C1">
        <w:rPr>
          <w:rFonts w:ascii="Times New Roman" w:hAnsi="Times New Roman" w:cs="Times New Roman"/>
          <w:sz w:val="24"/>
          <w:szCs w:val="24"/>
        </w:rPr>
        <w:t>.</w:t>
      </w:r>
      <w:r w:rsidR="00F62FEC">
        <w:rPr>
          <w:rFonts w:ascii="Times New Roman" w:hAnsi="Times New Roman" w:cs="Times New Roman"/>
          <w:sz w:val="24"/>
          <w:szCs w:val="24"/>
        </w:rPr>
        <w:t>…</w:t>
      </w:r>
      <w:r w:rsidR="00F97032">
        <w:rPr>
          <w:rFonts w:ascii="Times New Roman" w:hAnsi="Times New Roman" w:cs="Times New Roman"/>
          <w:sz w:val="24"/>
          <w:szCs w:val="24"/>
        </w:rPr>
        <w:t>..</w:t>
      </w:r>
      <w:r w:rsidR="00F62FEC">
        <w:rPr>
          <w:rFonts w:ascii="Times New Roman" w:hAnsi="Times New Roman" w:cs="Times New Roman"/>
          <w:sz w:val="24"/>
          <w:szCs w:val="24"/>
        </w:rPr>
        <w:t>…</w:t>
      </w:r>
      <w:r w:rsidR="008F7631">
        <w:rPr>
          <w:rFonts w:ascii="Times New Roman" w:hAnsi="Times New Roman" w:cs="Times New Roman"/>
          <w:sz w:val="24"/>
          <w:szCs w:val="24"/>
        </w:rPr>
        <w:t>.</w:t>
      </w:r>
      <w:r w:rsidR="00AB1B84">
        <w:rPr>
          <w:rFonts w:ascii="Times New Roman" w:hAnsi="Times New Roman" w:cs="Times New Roman"/>
          <w:sz w:val="24"/>
          <w:szCs w:val="24"/>
        </w:rPr>
        <w:t>xv</w:t>
      </w:r>
      <w:bookmarkStart w:id="1" w:name="_GoBack"/>
      <w:bookmarkEnd w:id="1"/>
    </w:p>
    <w:p w14:paraId="7999CC5C" w14:textId="34453690" w:rsidR="00F46A72" w:rsidRPr="00F403B8" w:rsidRDefault="00F46A72" w:rsidP="00BC50CE">
      <w:pPr>
        <w:spacing w:line="480" w:lineRule="auto"/>
        <w:rPr>
          <w:rFonts w:ascii="Times New Roman" w:hAnsi="Times New Roman" w:cs="Times New Roman"/>
          <w:sz w:val="24"/>
          <w:szCs w:val="24"/>
        </w:rPr>
      </w:pPr>
      <w:r w:rsidRPr="00F403B8">
        <w:rPr>
          <w:rFonts w:ascii="Times New Roman" w:hAnsi="Times New Roman" w:cs="Times New Roman"/>
          <w:sz w:val="24"/>
          <w:szCs w:val="24"/>
        </w:rPr>
        <w:t>1.INTRODUCTION</w:t>
      </w:r>
      <w:r w:rsidR="00F97032">
        <w:rPr>
          <w:rFonts w:ascii="Times New Roman" w:hAnsi="Times New Roman" w:cs="Times New Roman"/>
          <w:sz w:val="24"/>
          <w:szCs w:val="24"/>
        </w:rPr>
        <w:t>……………………………………………………………………..1</w:t>
      </w:r>
    </w:p>
    <w:p w14:paraId="67802037" w14:textId="7EB995DF" w:rsidR="000E2315" w:rsidRPr="00F403B8" w:rsidRDefault="000E2315" w:rsidP="00BC50CE">
      <w:pPr>
        <w:spacing w:line="480" w:lineRule="auto"/>
        <w:rPr>
          <w:rFonts w:ascii="Times New Roman" w:hAnsi="Times New Roman" w:cs="Times New Roman"/>
          <w:sz w:val="24"/>
          <w:szCs w:val="24"/>
        </w:rPr>
      </w:pPr>
      <w:r w:rsidRPr="00F403B8">
        <w:rPr>
          <w:rFonts w:ascii="Times New Roman" w:hAnsi="Times New Roman" w:cs="Times New Roman"/>
          <w:sz w:val="24"/>
          <w:szCs w:val="24"/>
        </w:rPr>
        <w:tab/>
      </w:r>
      <w:r w:rsidR="00F37117" w:rsidRPr="00F403B8">
        <w:rPr>
          <w:rFonts w:ascii="Times New Roman" w:hAnsi="Times New Roman" w:cs="Times New Roman"/>
          <w:sz w:val="24"/>
          <w:szCs w:val="24"/>
        </w:rPr>
        <w:t xml:space="preserve">1.1 </w:t>
      </w:r>
      <w:r w:rsidR="00F97032">
        <w:rPr>
          <w:rFonts w:ascii="Times New Roman" w:hAnsi="Times New Roman" w:cs="Times New Roman"/>
          <w:sz w:val="24"/>
          <w:szCs w:val="24"/>
        </w:rPr>
        <w:t>Location of Study..</w:t>
      </w:r>
      <w:r w:rsidR="00836E52">
        <w:rPr>
          <w:rFonts w:ascii="Times New Roman" w:hAnsi="Times New Roman" w:cs="Times New Roman"/>
          <w:sz w:val="24"/>
          <w:szCs w:val="24"/>
        </w:rPr>
        <w:t>……………………</w:t>
      </w:r>
      <w:r w:rsidR="001A7FB8">
        <w:rPr>
          <w:rFonts w:ascii="Times New Roman" w:hAnsi="Times New Roman" w:cs="Times New Roman"/>
          <w:sz w:val="24"/>
          <w:szCs w:val="24"/>
        </w:rPr>
        <w:t>…….</w:t>
      </w:r>
      <w:r w:rsidR="00B371F8">
        <w:rPr>
          <w:rFonts w:ascii="Times New Roman" w:hAnsi="Times New Roman" w:cs="Times New Roman"/>
          <w:sz w:val="24"/>
          <w:szCs w:val="24"/>
        </w:rPr>
        <w:t>…………………</w:t>
      </w:r>
      <w:r w:rsidR="003A3DA9">
        <w:rPr>
          <w:rFonts w:ascii="Times New Roman" w:hAnsi="Times New Roman" w:cs="Times New Roman"/>
          <w:sz w:val="24"/>
          <w:szCs w:val="24"/>
        </w:rPr>
        <w:t>.</w:t>
      </w:r>
      <w:r w:rsidR="00836E52">
        <w:rPr>
          <w:rFonts w:ascii="Times New Roman" w:hAnsi="Times New Roman" w:cs="Times New Roman"/>
          <w:sz w:val="24"/>
          <w:szCs w:val="24"/>
        </w:rPr>
        <w:t>……</w:t>
      </w:r>
      <w:r w:rsidR="00000127">
        <w:rPr>
          <w:rFonts w:ascii="Times New Roman" w:hAnsi="Times New Roman" w:cs="Times New Roman"/>
          <w:sz w:val="24"/>
          <w:szCs w:val="24"/>
        </w:rPr>
        <w:t>.</w:t>
      </w:r>
      <w:r w:rsidR="00836E52">
        <w:rPr>
          <w:rFonts w:ascii="Times New Roman" w:hAnsi="Times New Roman" w:cs="Times New Roman"/>
          <w:sz w:val="24"/>
          <w:szCs w:val="24"/>
        </w:rPr>
        <w:t>……...</w:t>
      </w:r>
      <w:r w:rsidR="00F97032">
        <w:rPr>
          <w:rFonts w:ascii="Times New Roman" w:hAnsi="Times New Roman" w:cs="Times New Roman"/>
          <w:sz w:val="24"/>
          <w:szCs w:val="24"/>
        </w:rPr>
        <w:t>1</w:t>
      </w:r>
    </w:p>
    <w:p w14:paraId="66622167" w14:textId="0E51174C" w:rsidR="00F37117" w:rsidRPr="00F403B8" w:rsidRDefault="00F37117" w:rsidP="00BC50CE">
      <w:pPr>
        <w:spacing w:line="480" w:lineRule="auto"/>
        <w:rPr>
          <w:rFonts w:ascii="Times New Roman" w:hAnsi="Times New Roman" w:cs="Times New Roman"/>
          <w:sz w:val="24"/>
          <w:szCs w:val="24"/>
        </w:rPr>
      </w:pPr>
      <w:r w:rsidRPr="00F403B8">
        <w:rPr>
          <w:rFonts w:ascii="Times New Roman" w:hAnsi="Times New Roman" w:cs="Times New Roman"/>
          <w:sz w:val="24"/>
          <w:szCs w:val="24"/>
        </w:rPr>
        <w:tab/>
        <w:t xml:space="preserve">1.2 </w:t>
      </w:r>
      <w:r w:rsidR="00F97032">
        <w:rPr>
          <w:rFonts w:ascii="Times New Roman" w:hAnsi="Times New Roman" w:cs="Times New Roman"/>
          <w:sz w:val="24"/>
          <w:szCs w:val="24"/>
        </w:rPr>
        <w:t>Sequence Stratigraphy Background..</w:t>
      </w:r>
      <w:r w:rsidR="00111103">
        <w:rPr>
          <w:rFonts w:ascii="Times New Roman" w:hAnsi="Times New Roman" w:cs="Times New Roman"/>
          <w:sz w:val="24"/>
          <w:szCs w:val="24"/>
        </w:rPr>
        <w:t>……………………………………</w:t>
      </w:r>
      <w:r w:rsidR="003A3DA9">
        <w:rPr>
          <w:rFonts w:ascii="Times New Roman" w:hAnsi="Times New Roman" w:cs="Times New Roman"/>
          <w:sz w:val="24"/>
          <w:szCs w:val="24"/>
        </w:rPr>
        <w:t>.</w:t>
      </w:r>
      <w:r w:rsidR="00111103">
        <w:rPr>
          <w:rFonts w:ascii="Times New Roman" w:hAnsi="Times New Roman" w:cs="Times New Roman"/>
          <w:sz w:val="24"/>
          <w:szCs w:val="24"/>
        </w:rPr>
        <w:t>…</w:t>
      </w:r>
      <w:r w:rsidR="00000127">
        <w:rPr>
          <w:rFonts w:ascii="Times New Roman" w:hAnsi="Times New Roman" w:cs="Times New Roman"/>
          <w:sz w:val="24"/>
          <w:szCs w:val="24"/>
        </w:rPr>
        <w:t>.</w:t>
      </w:r>
      <w:r w:rsidR="00F97032">
        <w:rPr>
          <w:rFonts w:ascii="Times New Roman" w:hAnsi="Times New Roman" w:cs="Times New Roman"/>
          <w:sz w:val="24"/>
          <w:szCs w:val="24"/>
        </w:rPr>
        <w:t>2</w:t>
      </w:r>
    </w:p>
    <w:p w14:paraId="39F23728" w14:textId="3C614A83" w:rsidR="00F37117" w:rsidRPr="00F403B8" w:rsidRDefault="00F37117" w:rsidP="00BC50CE">
      <w:pPr>
        <w:spacing w:line="480" w:lineRule="auto"/>
        <w:rPr>
          <w:rFonts w:ascii="Times New Roman" w:hAnsi="Times New Roman" w:cs="Times New Roman"/>
          <w:sz w:val="24"/>
          <w:szCs w:val="24"/>
        </w:rPr>
      </w:pPr>
      <w:r w:rsidRPr="00F403B8">
        <w:rPr>
          <w:rFonts w:ascii="Times New Roman" w:hAnsi="Times New Roman" w:cs="Times New Roman"/>
          <w:sz w:val="24"/>
          <w:szCs w:val="24"/>
        </w:rPr>
        <w:tab/>
        <w:t xml:space="preserve">1.3 </w:t>
      </w:r>
      <w:r w:rsidR="00F97032">
        <w:rPr>
          <w:rFonts w:ascii="Times New Roman" w:hAnsi="Times New Roman" w:cs="Times New Roman"/>
          <w:sz w:val="24"/>
          <w:szCs w:val="24"/>
        </w:rPr>
        <w:t>Problem Statement</w:t>
      </w:r>
      <w:r w:rsidR="00000127">
        <w:rPr>
          <w:rFonts w:ascii="Times New Roman" w:hAnsi="Times New Roman" w:cs="Times New Roman"/>
          <w:sz w:val="24"/>
          <w:szCs w:val="24"/>
        </w:rPr>
        <w:t>……………………………………………………</w:t>
      </w:r>
      <w:r w:rsidR="003A3DA9">
        <w:rPr>
          <w:rFonts w:ascii="Times New Roman" w:hAnsi="Times New Roman" w:cs="Times New Roman"/>
          <w:sz w:val="24"/>
          <w:szCs w:val="24"/>
        </w:rPr>
        <w:t>.</w:t>
      </w:r>
      <w:r w:rsidR="00E716F4">
        <w:rPr>
          <w:rFonts w:ascii="Times New Roman" w:hAnsi="Times New Roman" w:cs="Times New Roman"/>
          <w:sz w:val="24"/>
          <w:szCs w:val="24"/>
        </w:rPr>
        <w:t>..</w:t>
      </w:r>
      <w:r w:rsidR="00000127">
        <w:rPr>
          <w:rFonts w:ascii="Times New Roman" w:hAnsi="Times New Roman" w:cs="Times New Roman"/>
          <w:sz w:val="24"/>
          <w:szCs w:val="24"/>
        </w:rPr>
        <w:t>….</w:t>
      </w:r>
      <w:r w:rsidR="00E347B5">
        <w:rPr>
          <w:rFonts w:ascii="Times New Roman" w:hAnsi="Times New Roman" w:cs="Times New Roman"/>
          <w:sz w:val="24"/>
          <w:szCs w:val="24"/>
        </w:rPr>
        <w:t>.</w:t>
      </w:r>
      <w:r w:rsidR="00F97032">
        <w:rPr>
          <w:rFonts w:ascii="Times New Roman" w:hAnsi="Times New Roman" w:cs="Times New Roman"/>
          <w:sz w:val="24"/>
          <w:szCs w:val="24"/>
        </w:rPr>
        <w:t>.5</w:t>
      </w:r>
    </w:p>
    <w:p w14:paraId="205DB77F" w14:textId="1934E287" w:rsidR="00B371F8" w:rsidRDefault="00F46A72" w:rsidP="00BC50CE">
      <w:pPr>
        <w:spacing w:line="480" w:lineRule="auto"/>
        <w:rPr>
          <w:rFonts w:ascii="Times New Roman" w:hAnsi="Times New Roman" w:cs="Times New Roman"/>
          <w:sz w:val="24"/>
          <w:szCs w:val="24"/>
        </w:rPr>
      </w:pPr>
      <w:r w:rsidRPr="00F403B8">
        <w:rPr>
          <w:rFonts w:ascii="Times New Roman" w:hAnsi="Times New Roman" w:cs="Times New Roman"/>
          <w:sz w:val="24"/>
          <w:szCs w:val="24"/>
        </w:rPr>
        <w:t>2.</w:t>
      </w:r>
      <w:r w:rsidR="00B371F8">
        <w:rPr>
          <w:rFonts w:ascii="Times New Roman" w:hAnsi="Times New Roman" w:cs="Times New Roman"/>
          <w:sz w:val="24"/>
          <w:szCs w:val="24"/>
        </w:rPr>
        <w:t xml:space="preserve"> GEOLOGIC </w:t>
      </w:r>
      <w:r w:rsidR="00896AB9">
        <w:rPr>
          <w:rFonts w:ascii="Times New Roman" w:hAnsi="Times New Roman" w:cs="Times New Roman"/>
          <w:sz w:val="24"/>
          <w:szCs w:val="24"/>
        </w:rPr>
        <w:t>HISTORY</w:t>
      </w:r>
      <w:r w:rsidR="00F97032">
        <w:rPr>
          <w:rFonts w:ascii="Times New Roman" w:hAnsi="Times New Roman" w:cs="Times New Roman"/>
          <w:sz w:val="24"/>
          <w:szCs w:val="24"/>
        </w:rPr>
        <w:t>………………………………………………………………6</w:t>
      </w:r>
    </w:p>
    <w:p w14:paraId="5511FF94" w14:textId="13F1E547" w:rsidR="00B371F8" w:rsidRDefault="00B371F8" w:rsidP="00BC50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2.1 </w:t>
      </w:r>
      <w:r w:rsidR="00F97032">
        <w:rPr>
          <w:rFonts w:ascii="Times New Roman" w:hAnsi="Times New Roman" w:cs="Times New Roman"/>
          <w:sz w:val="24"/>
          <w:szCs w:val="24"/>
        </w:rPr>
        <w:t>Tectonic and Structural Framework...</w:t>
      </w:r>
      <w:r w:rsidR="00E347B5">
        <w:rPr>
          <w:rFonts w:ascii="Times New Roman" w:hAnsi="Times New Roman" w:cs="Times New Roman"/>
          <w:sz w:val="24"/>
          <w:szCs w:val="24"/>
        </w:rPr>
        <w:t>…………………………………</w:t>
      </w:r>
      <w:r w:rsidR="003A3DA9">
        <w:rPr>
          <w:rFonts w:ascii="Times New Roman" w:hAnsi="Times New Roman" w:cs="Times New Roman"/>
          <w:sz w:val="24"/>
          <w:szCs w:val="24"/>
        </w:rPr>
        <w:t>.</w:t>
      </w:r>
      <w:r w:rsidR="00E347B5">
        <w:rPr>
          <w:rFonts w:ascii="Times New Roman" w:hAnsi="Times New Roman" w:cs="Times New Roman"/>
          <w:sz w:val="24"/>
          <w:szCs w:val="24"/>
        </w:rPr>
        <w:t>…</w:t>
      </w:r>
      <w:r w:rsidR="00490E4F">
        <w:rPr>
          <w:rFonts w:ascii="Times New Roman" w:hAnsi="Times New Roman" w:cs="Times New Roman"/>
          <w:sz w:val="24"/>
          <w:szCs w:val="24"/>
        </w:rPr>
        <w:t>.</w:t>
      </w:r>
      <w:r w:rsidR="00C3660B">
        <w:rPr>
          <w:rFonts w:ascii="Times New Roman" w:hAnsi="Times New Roman" w:cs="Times New Roman"/>
          <w:sz w:val="24"/>
          <w:szCs w:val="24"/>
        </w:rPr>
        <w:t>.</w:t>
      </w:r>
      <w:r w:rsidR="00F97032">
        <w:rPr>
          <w:rFonts w:ascii="Times New Roman" w:hAnsi="Times New Roman" w:cs="Times New Roman"/>
          <w:sz w:val="24"/>
          <w:szCs w:val="24"/>
        </w:rPr>
        <w:t>..6</w:t>
      </w:r>
    </w:p>
    <w:p w14:paraId="69A7B13B" w14:textId="5889C84F" w:rsidR="00B371F8" w:rsidRDefault="00B371F8" w:rsidP="00B371F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2.2 </w:t>
      </w:r>
      <w:r w:rsidR="00F97032">
        <w:rPr>
          <w:rFonts w:ascii="Times New Roman" w:hAnsi="Times New Roman" w:cs="Times New Roman"/>
          <w:sz w:val="24"/>
          <w:szCs w:val="24"/>
        </w:rPr>
        <w:t>Megasequence Description</w:t>
      </w:r>
      <w:r w:rsidR="00C015F9">
        <w:rPr>
          <w:rFonts w:ascii="Times New Roman" w:hAnsi="Times New Roman" w:cs="Times New Roman"/>
          <w:sz w:val="24"/>
          <w:szCs w:val="24"/>
        </w:rPr>
        <w:t>……………………</w:t>
      </w:r>
      <w:r w:rsidR="00237429">
        <w:rPr>
          <w:rFonts w:ascii="Times New Roman" w:hAnsi="Times New Roman" w:cs="Times New Roman"/>
          <w:sz w:val="24"/>
          <w:szCs w:val="24"/>
        </w:rPr>
        <w:t>.</w:t>
      </w:r>
      <w:r w:rsidR="00C015F9">
        <w:rPr>
          <w:rFonts w:ascii="Times New Roman" w:hAnsi="Times New Roman" w:cs="Times New Roman"/>
          <w:sz w:val="24"/>
          <w:szCs w:val="24"/>
        </w:rPr>
        <w:t>……………………</w:t>
      </w:r>
      <w:r w:rsidR="003A3DA9">
        <w:rPr>
          <w:rFonts w:ascii="Times New Roman" w:hAnsi="Times New Roman" w:cs="Times New Roman"/>
          <w:sz w:val="24"/>
          <w:szCs w:val="24"/>
        </w:rPr>
        <w:t>.</w:t>
      </w:r>
      <w:r w:rsidR="00C015F9">
        <w:rPr>
          <w:rFonts w:ascii="Times New Roman" w:hAnsi="Times New Roman" w:cs="Times New Roman"/>
          <w:sz w:val="24"/>
          <w:szCs w:val="24"/>
        </w:rPr>
        <w:t>……</w:t>
      </w:r>
      <w:r w:rsidR="00C3660B">
        <w:rPr>
          <w:rFonts w:ascii="Times New Roman" w:hAnsi="Times New Roman" w:cs="Times New Roman"/>
          <w:sz w:val="24"/>
          <w:szCs w:val="24"/>
        </w:rPr>
        <w:t>.</w:t>
      </w:r>
      <w:r w:rsidR="00F97032">
        <w:rPr>
          <w:rFonts w:ascii="Times New Roman" w:hAnsi="Times New Roman" w:cs="Times New Roman"/>
          <w:sz w:val="24"/>
          <w:szCs w:val="24"/>
        </w:rPr>
        <w:t>.</w:t>
      </w:r>
      <w:r w:rsidR="00C015F9">
        <w:rPr>
          <w:rFonts w:ascii="Times New Roman" w:hAnsi="Times New Roman" w:cs="Times New Roman"/>
          <w:sz w:val="24"/>
          <w:szCs w:val="24"/>
        </w:rPr>
        <w:t>.</w:t>
      </w:r>
      <w:r w:rsidR="008F7631">
        <w:rPr>
          <w:rFonts w:ascii="Times New Roman" w:hAnsi="Times New Roman" w:cs="Times New Roman"/>
          <w:sz w:val="24"/>
          <w:szCs w:val="24"/>
        </w:rPr>
        <w:t>8</w:t>
      </w:r>
    </w:p>
    <w:p w14:paraId="62350A3E" w14:textId="111E02AC" w:rsidR="00B371F8" w:rsidRDefault="00B371F8" w:rsidP="00BC50CE">
      <w:pPr>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00896AB9">
        <w:rPr>
          <w:rFonts w:ascii="Times New Roman" w:hAnsi="Times New Roman" w:cs="Times New Roman"/>
          <w:sz w:val="24"/>
          <w:szCs w:val="24"/>
        </w:rPr>
        <w:t>STRATIGRAPHY</w:t>
      </w:r>
      <w:r w:rsidR="008F7631">
        <w:rPr>
          <w:rFonts w:ascii="Times New Roman" w:hAnsi="Times New Roman" w:cs="Times New Roman"/>
          <w:sz w:val="24"/>
          <w:szCs w:val="24"/>
        </w:rPr>
        <w:t>………………………………………………...…………………11</w:t>
      </w:r>
    </w:p>
    <w:p w14:paraId="5D778A51" w14:textId="5E6B725D" w:rsidR="00454A25" w:rsidRDefault="00454A25" w:rsidP="00BC50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3.1 </w:t>
      </w:r>
      <w:r w:rsidR="00181142">
        <w:rPr>
          <w:rFonts w:ascii="Times New Roman" w:hAnsi="Times New Roman" w:cs="Times New Roman"/>
          <w:sz w:val="24"/>
          <w:szCs w:val="24"/>
        </w:rPr>
        <w:t>Endicott Group..</w:t>
      </w:r>
      <w:r w:rsidR="00C015F9">
        <w:rPr>
          <w:rFonts w:ascii="Times New Roman" w:hAnsi="Times New Roman" w:cs="Times New Roman"/>
          <w:sz w:val="24"/>
          <w:szCs w:val="24"/>
        </w:rPr>
        <w:t>…………………………………………………………</w:t>
      </w:r>
      <w:r w:rsidR="00C3660B">
        <w:rPr>
          <w:rFonts w:ascii="Times New Roman" w:hAnsi="Times New Roman" w:cs="Times New Roman"/>
          <w:sz w:val="24"/>
          <w:szCs w:val="24"/>
        </w:rPr>
        <w:t>…</w:t>
      </w:r>
      <w:r w:rsidR="008F7631">
        <w:rPr>
          <w:rFonts w:ascii="Times New Roman" w:hAnsi="Times New Roman" w:cs="Times New Roman"/>
          <w:sz w:val="24"/>
          <w:szCs w:val="24"/>
        </w:rPr>
        <w:t>.11</w:t>
      </w:r>
    </w:p>
    <w:p w14:paraId="477FB9C1" w14:textId="7594C0BF" w:rsidR="00B77F75" w:rsidRDefault="00B77F75" w:rsidP="00BC50CE">
      <w:pPr>
        <w:spacing w:line="480" w:lineRule="auto"/>
        <w:rPr>
          <w:rFonts w:ascii="Times New Roman" w:hAnsi="Times New Roman" w:cs="Times New Roman"/>
          <w:sz w:val="24"/>
          <w:szCs w:val="24"/>
        </w:rPr>
      </w:pPr>
      <w:r>
        <w:rPr>
          <w:rFonts w:ascii="Times New Roman" w:hAnsi="Times New Roman" w:cs="Times New Roman"/>
          <w:sz w:val="24"/>
          <w:szCs w:val="24"/>
        </w:rPr>
        <w:tab/>
        <w:t>3.</w:t>
      </w:r>
      <w:r w:rsidR="00454A25">
        <w:rPr>
          <w:rFonts w:ascii="Times New Roman" w:hAnsi="Times New Roman" w:cs="Times New Roman"/>
          <w:sz w:val="24"/>
          <w:szCs w:val="24"/>
        </w:rPr>
        <w:t>2</w:t>
      </w:r>
      <w:r>
        <w:rPr>
          <w:rFonts w:ascii="Times New Roman" w:hAnsi="Times New Roman" w:cs="Times New Roman"/>
          <w:sz w:val="24"/>
          <w:szCs w:val="24"/>
        </w:rPr>
        <w:t xml:space="preserve"> </w:t>
      </w:r>
      <w:r w:rsidR="00181142">
        <w:rPr>
          <w:rFonts w:ascii="Times New Roman" w:hAnsi="Times New Roman" w:cs="Times New Roman"/>
          <w:sz w:val="24"/>
          <w:szCs w:val="24"/>
        </w:rPr>
        <w:t>Lisburne Group…………………………………………..</w:t>
      </w:r>
      <w:r w:rsidR="00C015F9">
        <w:rPr>
          <w:rFonts w:ascii="Times New Roman" w:hAnsi="Times New Roman" w:cs="Times New Roman"/>
          <w:sz w:val="24"/>
          <w:szCs w:val="24"/>
        </w:rPr>
        <w:t>………………</w:t>
      </w:r>
      <w:r w:rsidR="00C3660B">
        <w:rPr>
          <w:rFonts w:ascii="Times New Roman" w:hAnsi="Times New Roman" w:cs="Times New Roman"/>
          <w:sz w:val="24"/>
          <w:szCs w:val="24"/>
        </w:rPr>
        <w:t>…</w:t>
      </w:r>
      <w:r w:rsidR="008F7631">
        <w:rPr>
          <w:rFonts w:ascii="Times New Roman" w:hAnsi="Times New Roman" w:cs="Times New Roman"/>
          <w:sz w:val="24"/>
          <w:szCs w:val="24"/>
        </w:rPr>
        <w:t>13</w:t>
      </w:r>
    </w:p>
    <w:p w14:paraId="5FA23562" w14:textId="070B7C33" w:rsidR="00B77F75" w:rsidRDefault="00B77F75" w:rsidP="00BC50CE">
      <w:pPr>
        <w:spacing w:line="480" w:lineRule="auto"/>
        <w:rPr>
          <w:rFonts w:ascii="Times New Roman" w:hAnsi="Times New Roman" w:cs="Times New Roman"/>
          <w:sz w:val="24"/>
          <w:szCs w:val="24"/>
        </w:rPr>
      </w:pPr>
      <w:r>
        <w:rPr>
          <w:rFonts w:ascii="Times New Roman" w:hAnsi="Times New Roman" w:cs="Times New Roman"/>
          <w:sz w:val="24"/>
          <w:szCs w:val="24"/>
        </w:rPr>
        <w:tab/>
        <w:t>3.</w:t>
      </w:r>
      <w:r w:rsidR="00454A25">
        <w:rPr>
          <w:rFonts w:ascii="Times New Roman" w:hAnsi="Times New Roman" w:cs="Times New Roman"/>
          <w:sz w:val="24"/>
          <w:szCs w:val="24"/>
        </w:rPr>
        <w:t>3</w:t>
      </w:r>
      <w:r>
        <w:rPr>
          <w:rFonts w:ascii="Times New Roman" w:hAnsi="Times New Roman" w:cs="Times New Roman"/>
          <w:sz w:val="24"/>
          <w:szCs w:val="24"/>
        </w:rPr>
        <w:t xml:space="preserve"> </w:t>
      </w:r>
      <w:r w:rsidR="00181142">
        <w:rPr>
          <w:rFonts w:ascii="Times New Roman" w:hAnsi="Times New Roman" w:cs="Times New Roman"/>
          <w:sz w:val="24"/>
          <w:szCs w:val="24"/>
        </w:rPr>
        <w:t>Sadlerochit Group.</w:t>
      </w:r>
      <w:r w:rsidR="00C3660B">
        <w:rPr>
          <w:rFonts w:ascii="Times New Roman" w:hAnsi="Times New Roman" w:cs="Times New Roman"/>
          <w:sz w:val="24"/>
          <w:szCs w:val="24"/>
        </w:rPr>
        <w:t>………………………………………………………….</w:t>
      </w:r>
      <w:r w:rsidR="008F7631">
        <w:rPr>
          <w:rFonts w:ascii="Times New Roman" w:hAnsi="Times New Roman" w:cs="Times New Roman"/>
          <w:sz w:val="24"/>
          <w:szCs w:val="24"/>
        </w:rPr>
        <w:t>14</w:t>
      </w:r>
    </w:p>
    <w:p w14:paraId="62F33D90" w14:textId="7DAF64EB" w:rsidR="00E4775C" w:rsidRDefault="00E4775C" w:rsidP="00BC50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3.4 </w:t>
      </w:r>
      <w:r w:rsidR="00181142">
        <w:rPr>
          <w:rFonts w:ascii="Times New Roman" w:hAnsi="Times New Roman" w:cs="Times New Roman"/>
          <w:sz w:val="24"/>
          <w:szCs w:val="24"/>
        </w:rPr>
        <w:t>Shublik Formation…………………………………</w:t>
      </w:r>
      <w:r>
        <w:rPr>
          <w:rFonts w:ascii="Times New Roman" w:hAnsi="Times New Roman" w:cs="Times New Roman"/>
          <w:sz w:val="24"/>
          <w:szCs w:val="24"/>
        </w:rPr>
        <w:t>……………………….</w:t>
      </w:r>
      <w:r w:rsidR="008F7631">
        <w:rPr>
          <w:rFonts w:ascii="Times New Roman" w:hAnsi="Times New Roman" w:cs="Times New Roman"/>
          <w:sz w:val="24"/>
          <w:szCs w:val="24"/>
        </w:rPr>
        <w:t>15</w:t>
      </w:r>
    </w:p>
    <w:p w14:paraId="655517DF" w14:textId="6BD032C5" w:rsidR="00504B88" w:rsidRDefault="00504B88" w:rsidP="00504B88">
      <w:pPr>
        <w:spacing w:line="480" w:lineRule="auto"/>
        <w:ind w:firstLine="720"/>
        <w:rPr>
          <w:rFonts w:ascii="Times New Roman" w:hAnsi="Times New Roman" w:cs="Times New Roman"/>
          <w:sz w:val="24"/>
          <w:szCs w:val="24"/>
        </w:rPr>
      </w:pPr>
      <w:r>
        <w:rPr>
          <w:rFonts w:ascii="Times New Roman" w:hAnsi="Times New Roman" w:cs="Times New Roman"/>
          <w:sz w:val="24"/>
          <w:szCs w:val="24"/>
        </w:rPr>
        <w:t>3.5 Sag River Formatio</w:t>
      </w:r>
      <w:r w:rsidR="008F7631">
        <w:rPr>
          <w:rFonts w:ascii="Times New Roman" w:hAnsi="Times New Roman" w:cs="Times New Roman"/>
          <w:sz w:val="24"/>
          <w:szCs w:val="24"/>
        </w:rPr>
        <w:t>n…………………………..………..…………...…..….16</w:t>
      </w:r>
    </w:p>
    <w:p w14:paraId="3A96BF70" w14:textId="7057A5EF" w:rsidR="00B77F75" w:rsidRDefault="00B77F75" w:rsidP="00BC50CE">
      <w:pPr>
        <w:spacing w:line="480" w:lineRule="auto"/>
        <w:rPr>
          <w:rFonts w:ascii="Times New Roman" w:hAnsi="Times New Roman" w:cs="Times New Roman"/>
          <w:sz w:val="24"/>
          <w:szCs w:val="24"/>
        </w:rPr>
      </w:pPr>
      <w:r>
        <w:rPr>
          <w:rFonts w:ascii="Times New Roman" w:hAnsi="Times New Roman" w:cs="Times New Roman"/>
          <w:sz w:val="24"/>
          <w:szCs w:val="24"/>
        </w:rPr>
        <w:tab/>
        <w:t>3.</w:t>
      </w:r>
      <w:r w:rsidR="00E4775C">
        <w:rPr>
          <w:rFonts w:ascii="Times New Roman" w:hAnsi="Times New Roman" w:cs="Times New Roman"/>
          <w:sz w:val="24"/>
          <w:szCs w:val="24"/>
        </w:rPr>
        <w:t>5</w:t>
      </w:r>
      <w:r>
        <w:rPr>
          <w:rFonts w:ascii="Times New Roman" w:hAnsi="Times New Roman" w:cs="Times New Roman"/>
          <w:sz w:val="24"/>
          <w:szCs w:val="24"/>
        </w:rPr>
        <w:t xml:space="preserve"> </w:t>
      </w:r>
      <w:r w:rsidR="00181142">
        <w:rPr>
          <w:rFonts w:ascii="Times New Roman" w:hAnsi="Times New Roman" w:cs="Times New Roman"/>
          <w:sz w:val="24"/>
          <w:szCs w:val="24"/>
        </w:rPr>
        <w:t>Kingak Formation…………………………..</w:t>
      </w:r>
      <w:r w:rsidR="00C3660B">
        <w:rPr>
          <w:rFonts w:ascii="Times New Roman" w:hAnsi="Times New Roman" w:cs="Times New Roman"/>
          <w:sz w:val="24"/>
          <w:szCs w:val="24"/>
        </w:rPr>
        <w:t>…………</w:t>
      </w:r>
      <w:r w:rsidR="00E82D12">
        <w:rPr>
          <w:rFonts w:ascii="Times New Roman" w:hAnsi="Times New Roman" w:cs="Times New Roman"/>
          <w:sz w:val="24"/>
          <w:szCs w:val="24"/>
        </w:rPr>
        <w:t>..</w:t>
      </w:r>
      <w:r w:rsidR="00C3660B">
        <w:rPr>
          <w:rFonts w:ascii="Times New Roman" w:hAnsi="Times New Roman" w:cs="Times New Roman"/>
          <w:sz w:val="24"/>
          <w:szCs w:val="24"/>
        </w:rPr>
        <w:t>……</w:t>
      </w:r>
      <w:r w:rsidR="001B5237">
        <w:rPr>
          <w:rFonts w:ascii="Times New Roman" w:hAnsi="Times New Roman" w:cs="Times New Roman"/>
          <w:sz w:val="24"/>
          <w:szCs w:val="24"/>
        </w:rPr>
        <w:t>……..</w:t>
      </w:r>
      <w:r w:rsidR="00E4775C">
        <w:rPr>
          <w:rFonts w:ascii="Times New Roman" w:hAnsi="Times New Roman" w:cs="Times New Roman"/>
          <w:sz w:val="24"/>
          <w:szCs w:val="24"/>
        </w:rPr>
        <w:t>.</w:t>
      </w:r>
      <w:r w:rsidR="00C3660B">
        <w:rPr>
          <w:rFonts w:ascii="Times New Roman" w:hAnsi="Times New Roman" w:cs="Times New Roman"/>
          <w:sz w:val="24"/>
          <w:szCs w:val="24"/>
        </w:rPr>
        <w:t>….</w:t>
      </w:r>
      <w:r w:rsidR="00F97032">
        <w:rPr>
          <w:rFonts w:ascii="Times New Roman" w:hAnsi="Times New Roman" w:cs="Times New Roman"/>
          <w:sz w:val="24"/>
          <w:szCs w:val="24"/>
        </w:rPr>
        <w:t>.</w:t>
      </w:r>
      <w:r w:rsidR="00C3660B">
        <w:rPr>
          <w:rFonts w:ascii="Times New Roman" w:hAnsi="Times New Roman" w:cs="Times New Roman"/>
          <w:sz w:val="24"/>
          <w:szCs w:val="24"/>
        </w:rPr>
        <w:t>….</w:t>
      </w:r>
      <w:r w:rsidR="008F7631">
        <w:rPr>
          <w:rFonts w:ascii="Times New Roman" w:hAnsi="Times New Roman" w:cs="Times New Roman"/>
          <w:sz w:val="24"/>
          <w:szCs w:val="24"/>
        </w:rPr>
        <w:t>16</w:t>
      </w:r>
    </w:p>
    <w:p w14:paraId="5AA98DAF" w14:textId="303F4028" w:rsidR="00181142" w:rsidRDefault="00181142" w:rsidP="00181142">
      <w:pPr>
        <w:spacing w:line="480" w:lineRule="auto"/>
        <w:ind w:firstLine="720"/>
        <w:rPr>
          <w:rFonts w:ascii="Times New Roman" w:hAnsi="Times New Roman" w:cs="Times New Roman"/>
          <w:sz w:val="24"/>
          <w:szCs w:val="24"/>
        </w:rPr>
      </w:pPr>
      <w:r>
        <w:rPr>
          <w:rFonts w:ascii="Times New Roman" w:hAnsi="Times New Roman" w:cs="Times New Roman"/>
          <w:sz w:val="24"/>
          <w:szCs w:val="24"/>
        </w:rPr>
        <w:t>3.5 Pebble Shale………………………………...…………..…………...….…</w:t>
      </w:r>
      <w:r w:rsidR="008F7631">
        <w:rPr>
          <w:rFonts w:ascii="Times New Roman" w:hAnsi="Times New Roman" w:cs="Times New Roman"/>
          <w:sz w:val="24"/>
          <w:szCs w:val="24"/>
        </w:rPr>
        <w:t>.</w:t>
      </w:r>
      <w:r>
        <w:rPr>
          <w:rFonts w:ascii="Times New Roman" w:hAnsi="Times New Roman" w:cs="Times New Roman"/>
          <w:sz w:val="24"/>
          <w:szCs w:val="24"/>
        </w:rPr>
        <w:t>.</w:t>
      </w:r>
      <w:r w:rsidR="008F7631">
        <w:rPr>
          <w:rFonts w:ascii="Times New Roman" w:hAnsi="Times New Roman" w:cs="Times New Roman"/>
          <w:sz w:val="24"/>
          <w:szCs w:val="24"/>
        </w:rPr>
        <w:t>17</w:t>
      </w:r>
    </w:p>
    <w:p w14:paraId="505AF665" w14:textId="0FECF1B2" w:rsidR="00181142" w:rsidRDefault="00181142" w:rsidP="0018114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3.5 Torok Formation………………………………………..…………...….…</w:t>
      </w:r>
      <w:r w:rsidR="00F97032">
        <w:rPr>
          <w:rFonts w:ascii="Times New Roman" w:hAnsi="Times New Roman" w:cs="Times New Roman"/>
          <w:sz w:val="24"/>
          <w:szCs w:val="24"/>
        </w:rPr>
        <w:t>.</w:t>
      </w:r>
      <w:r>
        <w:rPr>
          <w:rFonts w:ascii="Times New Roman" w:hAnsi="Times New Roman" w:cs="Times New Roman"/>
          <w:sz w:val="24"/>
          <w:szCs w:val="24"/>
        </w:rPr>
        <w:t>.</w:t>
      </w:r>
      <w:r w:rsidR="008F7631">
        <w:rPr>
          <w:rFonts w:ascii="Times New Roman" w:hAnsi="Times New Roman" w:cs="Times New Roman"/>
          <w:sz w:val="24"/>
          <w:szCs w:val="24"/>
        </w:rPr>
        <w:t>17</w:t>
      </w:r>
    </w:p>
    <w:p w14:paraId="75E2B88D" w14:textId="11BE0B6A" w:rsidR="00F46A72" w:rsidRDefault="00DE18BB" w:rsidP="00BC50CE">
      <w:pPr>
        <w:spacing w:line="480" w:lineRule="auto"/>
        <w:rPr>
          <w:rFonts w:ascii="Times New Roman" w:hAnsi="Times New Roman" w:cs="Times New Roman"/>
          <w:sz w:val="24"/>
          <w:szCs w:val="24"/>
        </w:rPr>
      </w:pPr>
      <w:r>
        <w:rPr>
          <w:rFonts w:ascii="Times New Roman" w:hAnsi="Times New Roman" w:cs="Times New Roman"/>
          <w:sz w:val="24"/>
          <w:szCs w:val="24"/>
        </w:rPr>
        <w:t>4</w:t>
      </w:r>
      <w:r w:rsidR="00F46A72" w:rsidRPr="00F403B8">
        <w:rPr>
          <w:rFonts w:ascii="Times New Roman" w:hAnsi="Times New Roman" w:cs="Times New Roman"/>
          <w:sz w:val="24"/>
          <w:szCs w:val="24"/>
        </w:rPr>
        <w:t>.</w:t>
      </w:r>
      <w:r w:rsidR="0016641A">
        <w:rPr>
          <w:rFonts w:ascii="Times New Roman" w:hAnsi="Times New Roman" w:cs="Times New Roman"/>
          <w:sz w:val="24"/>
          <w:szCs w:val="24"/>
        </w:rPr>
        <w:t xml:space="preserve"> DATA</w:t>
      </w:r>
      <w:r w:rsidR="0048606B">
        <w:rPr>
          <w:rFonts w:ascii="Times New Roman" w:hAnsi="Times New Roman" w:cs="Times New Roman"/>
          <w:sz w:val="24"/>
          <w:szCs w:val="24"/>
        </w:rPr>
        <w:t xml:space="preserve"> AND </w:t>
      </w:r>
      <w:r w:rsidR="00896AB9">
        <w:rPr>
          <w:rFonts w:ascii="Times New Roman" w:hAnsi="Times New Roman" w:cs="Times New Roman"/>
          <w:sz w:val="24"/>
          <w:szCs w:val="24"/>
        </w:rPr>
        <w:t>INTERPRETATIONS</w:t>
      </w:r>
      <w:r w:rsidR="008F7631">
        <w:rPr>
          <w:rFonts w:ascii="Times New Roman" w:hAnsi="Times New Roman" w:cs="Times New Roman"/>
          <w:sz w:val="24"/>
          <w:szCs w:val="24"/>
        </w:rPr>
        <w:t>………………………………………………...18</w:t>
      </w:r>
    </w:p>
    <w:p w14:paraId="37B0DFE9" w14:textId="22E60648" w:rsidR="00762D4A" w:rsidRDefault="00571BAC" w:rsidP="00BC50CE">
      <w:pPr>
        <w:spacing w:line="480" w:lineRule="auto"/>
        <w:rPr>
          <w:rFonts w:ascii="Times New Roman" w:hAnsi="Times New Roman" w:cs="Times New Roman"/>
          <w:sz w:val="24"/>
          <w:szCs w:val="24"/>
        </w:rPr>
      </w:pPr>
      <w:r>
        <w:rPr>
          <w:rFonts w:ascii="Times New Roman" w:hAnsi="Times New Roman" w:cs="Times New Roman"/>
          <w:sz w:val="24"/>
          <w:szCs w:val="24"/>
        </w:rPr>
        <w:tab/>
        <w:t>4.</w:t>
      </w:r>
      <w:r w:rsidR="00671DD8">
        <w:rPr>
          <w:rFonts w:ascii="Times New Roman" w:hAnsi="Times New Roman" w:cs="Times New Roman"/>
          <w:sz w:val="24"/>
          <w:szCs w:val="24"/>
        </w:rPr>
        <w:t>1</w:t>
      </w:r>
      <w:r w:rsidR="00762D4A">
        <w:rPr>
          <w:rFonts w:ascii="Times New Roman" w:hAnsi="Times New Roman" w:cs="Times New Roman"/>
          <w:sz w:val="24"/>
          <w:szCs w:val="24"/>
        </w:rPr>
        <w:t>.</w:t>
      </w:r>
      <w:r>
        <w:rPr>
          <w:rFonts w:ascii="Times New Roman" w:hAnsi="Times New Roman" w:cs="Times New Roman"/>
          <w:sz w:val="24"/>
          <w:szCs w:val="24"/>
        </w:rPr>
        <w:t xml:space="preserve"> </w:t>
      </w:r>
      <w:r w:rsidR="00181142">
        <w:rPr>
          <w:rFonts w:ascii="Times New Roman" w:hAnsi="Times New Roman" w:cs="Times New Roman"/>
          <w:sz w:val="24"/>
          <w:szCs w:val="24"/>
        </w:rPr>
        <w:t>Data</w:t>
      </w:r>
      <w:r w:rsidR="00CD0D8A">
        <w:rPr>
          <w:rFonts w:ascii="Times New Roman" w:hAnsi="Times New Roman" w:cs="Times New Roman"/>
          <w:sz w:val="24"/>
          <w:szCs w:val="24"/>
        </w:rPr>
        <w:t xml:space="preserve"> and Study Area....……………….</w:t>
      </w:r>
      <w:r>
        <w:rPr>
          <w:rFonts w:ascii="Times New Roman" w:hAnsi="Times New Roman" w:cs="Times New Roman"/>
          <w:sz w:val="24"/>
          <w:szCs w:val="24"/>
        </w:rPr>
        <w:t>…………</w:t>
      </w:r>
      <w:r w:rsidR="00762D4A">
        <w:rPr>
          <w:rFonts w:ascii="Times New Roman" w:hAnsi="Times New Roman" w:cs="Times New Roman"/>
          <w:sz w:val="24"/>
          <w:szCs w:val="24"/>
        </w:rPr>
        <w:t>...</w:t>
      </w:r>
      <w:r>
        <w:rPr>
          <w:rFonts w:ascii="Times New Roman" w:hAnsi="Times New Roman" w:cs="Times New Roman"/>
          <w:sz w:val="24"/>
          <w:szCs w:val="24"/>
        </w:rPr>
        <w:t>…………</w:t>
      </w:r>
      <w:r w:rsidR="0025301C">
        <w:rPr>
          <w:rFonts w:ascii="Times New Roman" w:hAnsi="Times New Roman" w:cs="Times New Roman"/>
          <w:sz w:val="24"/>
          <w:szCs w:val="24"/>
        </w:rPr>
        <w:t>.</w:t>
      </w:r>
      <w:r>
        <w:rPr>
          <w:rFonts w:ascii="Times New Roman" w:hAnsi="Times New Roman" w:cs="Times New Roman"/>
          <w:sz w:val="24"/>
          <w:szCs w:val="24"/>
        </w:rPr>
        <w:t>………</w:t>
      </w:r>
      <w:r w:rsidR="00CD0D8A">
        <w:rPr>
          <w:rFonts w:ascii="Times New Roman" w:hAnsi="Times New Roman" w:cs="Times New Roman"/>
          <w:sz w:val="24"/>
          <w:szCs w:val="24"/>
        </w:rPr>
        <w:t>..</w:t>
      </w:r>
      <w:r>
        <w:rPr>
          <w:rFonts w:ascii="Times New Roman" w:hAnsi="Times New Roman" w:cs="Times New Roman"/>
          <w:sz w:val="24"/>
          <w:szCs w:val="24"/>
        </w:rPr>
        <w:t>…</w:t>
      </w:r>
      <w:r w:rsidR="00CD0D8A">
        <w:rPr>
          <w:rFonts w:ascii="Times New Roman" w:hAnsi="Times New Roman" w:cs="Times New Roman"/>
          <w:sz w:val="24"/>
          <w:szCs w:val="24"/>
        </w:rPr>
        <w:t>.</w:t>
      </w:r>
      <w:r w:rsidR="008F7631">
        <w:rPr>
          <w:rFonts w:ascii="Times New Roman" w:hAnsi="Times New Roman" w:cs="Times New Roman"/>
          <w:sz w:val="24"/>
          <w:szCs w:val="24"/>
        </w:rPr>
        <w:t>18</w:t>
      </w:r>
    </w:p>
    <w:p w14:paraId="6EDFCAE2" w14:textId="2715600B" w:rsidR="0016641A" w:rsidRDefault="00762D4A" w:rsidP="00BC50CE">
      <w:pPr>
        <w:spacing w:line="480" w:lineRule="auto"/>
        <w:rPr>
          <w:rFonts w:ascii="Times New Roman" w:hAnsi="Times New Roman" w:cs="Times New Roman"/>
          <w:sz w:val="24"/>
          <w:szCs w:val="24"/>
        </w:rPr>
      </w:pPr>
      <w:r>
        <w:rPr>
          <w:rFonts w:ascii="Times New Roman" w:hAnsi="Times New Roman" w:cs="Times New Roman"/>
          <w:sz w:val="24"/>
          <w:szCs w:val="24"/>
        </w:rPr>
        <w:tab/>
        <w:t>4.</w:t>
      </w:r>
      <w:r w:rsidR="001252E7">
        <w:rPr>
          <w:rFonts w:ascii="Times New Roman" w:hAnsi="Times New Roman" w:cs="Times New Roman"/>
          <w:sz w:val="24"/>
          <w:szCs w:val="24"/>
        </w:rPr>
        <w:t>2</w:t>
      </w:r>
      <w:r>
        <w:rPr>
          <w:rFonts w:ascii="Times New Roman" w:hAnsi="Times New Roman" w:cs="Times New Roman"/>
          <w:sz w:val="24"/>
          <w:szCs w:val="24"/>
        </w:rPr>
        <w:t xml:space="preserve">. </w:t>
      </w:r>
      <w:r w:rsidR="00CD0D8A">
        <w:rPr>
          <w:rFonts w:ascii="Times New Roman" w:hAnsi="Times New Roman" w:cs="Times New Roman"/>
          <w:sz w:val="24"/>
          <w:szCs w:val="24"/>
        </w:rPr>
        <w:t>Lithologic Formations</w:t>
      </w:r>
      <w:r w:rsidR="00F7090B">
        <w:rPr>
          <w:rFonts w:ascii="Times New Roman" w:hAnsi="Times New Roman" w:cs="Times New Roman"/>
          <w:sz w:val="24"/>
          <w:szCs w:val="24"/>
        </w:rPr>
        <w:t>………………………………………………</w:t>
      </w:r>
      <w:r w:rsidR="00682642">
        <w:rPr>
          <w:rFonts w:ascii="Times New Roman" w:hAnsi="Times New Roman" w:cs="Times New Roman"/>
          <w:sz w:val="24"/>
          <w:szCs w:val="24"/>
        </w:rPr>
        <w:t>.</w:t>
      </w:r>
      <w:r w:rsidR="00F7090B">
        <w:rPr>
          <w:rFonts w:ascii="Times New Roman" w:hAnsi="Times New Roman" w:cs="Times New Roman"/>
          <w:sz w:val="24"/>
          <w:szCs w:val="24"/>
        </w:rPr>
        <w:t>……</w:t>
      </w:r>
      <w:r w:rsidR="00CD0D8A">
        <w:rPr>
          <w:rFonts w:ascii="Times New Roman" w:hAnsi="Times New Roman" w:cs="Times New Roman"/>
          <w:sz w:val="24"/>
          <w:szCs w:val="24"/>
        </w:rPr>
        <w:t>.</w:t>
      </w:r>
      <w:r w:rsidR="008F7631">
        <w:rPr>
          <w:rFonts w:ascii="Times New Roman" w:hAnsi="Times New Roman" w:cs="Times New Roman"/>
          <w:sz w:val="24"/>
          <w:szCs w:val="24"/>
        </w:rPr>
        <w:t>21</w:t>
      </w:r>
    </w:p>
    <w:p w14:paraId="54BDD9A7" w14:textId="2D696CA0" w:rsidR="00762D4A" w:rsidRDefault="00762D4A" w:rsidP="00BC50CE">
      <w:pPr>
        <w:spacing w:line="480" w:lineRule="auto"/>
        <w:rPr>
          <w:rFonts w:ascii="Times New Roman" w:hAnsi="Times New Roman" w:cs="Times New Roman"/>
          <w:sz w:val="24"/>
          <w:szCs w:val="24"/>
        </w:rPr>
      </w:pPr>
      <w:r>
        <w:rPr>
          <w:rFonts w:ascii="Times New Roman" w:hAnsi="Times New Roman" w:cs="Times New Roman"/>
          <w:sz w:val="24"/>
          <w:szCs w:val="24"/>
        </w:rPr>
        <w:tab/>
      </w:r>
      <w:r w:rsidR="00CD0D8A">
        <w:rPr>
          <w:rFonts w:ascii="Times New Roman" w:hAnsi="Times New Roman" w:cs="Times New Roman"/>
          <w:sz w:val="24"/>
          <w:szCs w:val="24"/>
        </w:rPr>
        <w:t>4.3 Sequence Stratigraphy Method</w:t>
      </w:r>
      <w:r w:rsidR="00194540" w:rsidRPr="004547C8">
        <w:rPr>
          <w:rFonts w:ascii="Times New Roman" w:hAnsi="Times New Roman" w:cs="Times New Roman"/>
          <w:sz w:val="24"/>
          <w:szCs w:val="24"/>
        </w:rPr>
        <w:t>…….</w:t>
      </w:r>
      <w:r w:rsidR="00CD0D8A">
        <w:rPr>
          <w:rFonts w:ascii="Times New Roman" w:hAnsi="Times New Roman" w:cs="Times New Roman"/>
          <w:sz w:val="24"/>
          <w:szCs w:val="24"/>
        </w:rPr>
        <w:t>………………………………………</w:t>
      </w:r>
      <w:r w:rsidR="008F7631">
        <w:rPr>
          <w:rFonts w:ascii="Times New Roman" w:hAnsi="Times New Roman" w:cs="Times New Roman"/>
          <w:sz w:val="24"/>
          <w:szCs w:val="24"/>
        </w:rPr>
        <w:t>25</w:t>
      </w:r>
    </w:p>
    <w:p w14:paraId="554C5530" w14:textId="7A8100C9" w:rsidR="00CD0D8A" w:rsidRDefault="006400B6" w:rsidP="00CD0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4.4</w:t>
      </w:r>
      <w:r w:rsidR="00CD0D8A">
        <w:rPr>
          <w:rFonts w:ascii="Times New Roman" w:hAnsi="Times New Roman" w:cs="Times New Roman"/>
          <w:sz w:val="24"/>
          <w:szCs w:val="24"/>
        </w:rPr>
        <w:t xml:space="preserve"> Sequence Stratigraphic Interpretations.……………………………………</w:t>
      </w:r>
      <w:r w:rsidR="008F7631">
        <w:rPr>
          <w:rFonts w:ascii="Times New Roman" w:hAnsi="Times New Roman" w:cs="Times New Roman"/>
          <w:sz w:val="24"/>
          <w:szCs w:val="24"/>
        </w:rPr>
        <w:t>28</w:t>
      </w:r>
    </w:p>
    <w:p w14:paraId="78921FBC" w14:textId="3A3A0A90" w:rsidR="006400B6" w:rsidRDefault="006400B6" w:rsidP="00CD0D8A">
      <w:pPr>
        <w:spacing w:line="480" w:lineRule="auto"/>
        <w:ind w:firstLine="720"/>
        <w:rPr>
          <w:rFonts w:ascii="Times New Roman" w:hAnsi="Times New Roman" w:cs="Times New Roman"/>
          <w:sz w:val="24"/>
          <w:szCs w:val="24"/>
        </w:rPr>
      </w:pPr>
      <w:r>
        <w:rPr>
          <w:rFonts w:ascii="Times New Roman" w:hAnsi="Times New Roman" w:cs="Times New Roman"/>
          <w:sz w:val="24"/>
          <w:szCs w:val="24"/>
        </w:rPr>
        <w:t>4.5 Seismic Facies Interpretation and P</w:t>
      </w:r>
      <w:r w:rsidR="008F7631">
        <w:rPr>
          <w:rFonts w:ascii="Times New Roman" w:hAnsi="Times New Roman" w:cs="Times New Roman"/>
          <w:sz w:val="24"/>
          <w:szCs w:val="24"/>
        </w:rPr>
        <w:t>etroleum Implications………………...51</w:t>
      </w:r>
    </w:p>
    <w:p w14:paraId="273B3E92" w14:textId="2627975B" w:rsidR="00F46A72" w:rsidRDefault="00DE18BB" w:rsidP="00BC50CE">
      <w:pPr>
        <w:spacing w:line="480" w:lineRule="auto"/>
        <w:rPr>
          <w:rFonts w:ascii="Times New Roman" w:hAnsi="Times New Roman" w:cs="Times New Roman"/>
          <w:sz w:val="24"/>
          <w:szCs w:val="24"/>
        </w:rPr>
      </w:pPr>
      <w:bookmarkStart w:id="2" w:name="_Hlk3189514"/>
      <w:r>
        <w:rPr>
          <w:rFonts w:ascii="Times New Roman" w:hAnsi="Times New Roman" w:cs="Times New Roman"/>
          <w:sz w:val="24"/>
          <w:szCs w:val="24"/>
        </w:rPr>
        <w:t>5</w:t>
      </w:r>
      <w:r w:rsidR="00F46A72" w:rsidRPr="00F403B8">
        <w:rPr>
          <w:rFonts w:ascii="Times New Roman" w:hAnsi="Times New Roman" w:cs="Times New Roman"/>
          <w:sz w:val="24"/>
          <w:szCs w:val="24"/>
        </w:rPr>
        <w:t xml:space="preserve">. </w:t>
      </w:r>
      <w:r w:rsidR="00896AB9">
        <w:rPr>
          <w:rFonts w:ascii="Times New Roman" w:hAnsi="Times New Roman" w:cs="Times New Roman"/>
          <w:sz w:val="24"/>
          <w:szCs w:val="24"/>
        </w:rPr>
        <w:t>DISCUSSION</w:t>
      </w:r>
      <w:r w:rsidR="00CD0D8A">
        <w:rPr>
          <w:rFonts w:ascii="Times New Roman" w:hAnsi="Times New Roman" w:cs="Times New Roman"/>
          <w:sz w:val="24"/>
          <w:szCs w:val="24"/>
        </w:rPr>
        <w:t>……………………………………………………………………….</w:t>
      </w:r>
      <w:r w:rsidR="008F7631">
        <w:rPr>
          <w:rFonts w:ascii="Times New Roman" w:hAnsi="Times New Roman" w:cs="Times New Roman"/>
          <w:sz w:val="24"/>
          <w:szCs w:val="24"/>
        </w:rPr>
        <w:t>55</w:t>
      </w:r>
    </w:p>
    <w:bookmarkEnd w:id="2"/>
    <w:p w14:paraId="506AFCDF" w14:textId="1B4F4929" w:rsidR="007354B4" w:rsidRPr="00F403B8" w:rsidRDefault="00CD0D8A" w:rsidP="00BC50CE">
      <w:pPr>
        <w:spacing w:line="480" w:lineRule="auto"/>
        <w:rPr>
          <w:rFonts w:ascii="Times New Roman" w:hAnsi="Times New Roman" w:cs="Times New Roman"/>
          <w:sz w:val="24"/>
          <w:szCs w:val="24"/>
        </w:rPr>
      </w:pPr>
      <w:r>
        <w:rPr>
          <w:rFonts w:ascii="Times New Roman" w:hAnsi="Times New Roman" w:cs="Times New Roman"/>
          <w:sz w:val="24"/>
          <w:szCs w:val="24"/>
        </w:rPr>
        <w:t>6</w:t>
      </w:r>
      <w:r w:rsidR="007354B4" w:rsidRPr="00F403B8">
        <w:rPr>
          <w:rFonts w:ascii="Times New Roman" w:hAnsi="Times New Roman" w:cs="Times New Roman"/>
          <w:sz w:val="24"/>
          <w:szCs w:val="24"/>
        </w:rPr>
        <w:t>. CONCLUSIONS</w:t>
      </w:r>
      <w:r w:rsidR="008C7C9E">
        <w:rPr>
          <w:rFonts w:ascii="Times New Roman" w:hAnsi="Times New Roman" w:cs="Times New Roman"/>
          <w:sz w:val="24"/>
          <w:szCs w:val="24"/>
        </w:rPr>
        <w:t>………………</w:t>
      </w:r>
      <w:r w:rsidR="001B5FD1">
        <w:rPr>
          <w:rFonts w:ascii="Times New Roman" w:hAnsi="Times New Roman" w:cs="Times New Roman"/>
          <w:sz w:val="24"/>
          <w:szCs w:val="24"/>
        </w:rPr>
        <w:t>...</w:t>
      </w:r>
      <w:r w:rsidR="008C7C9E">
        <w:rPr>
          <w:rFonts w:ascii="Times New Roman" w:hAnsi="Times New Roman" w:cs="Times New Roman"/>
          <w:sz w:val="24"/>
          <w:szCs w:val="24"/>
        </w:rPr>
        <w:t>………………………..……………………</w:t>
      </w:r>
      <w:r w:rsidR="002B5238">
        <w:rPr>
          <w:rFonts w:ascii="Times New Roman" w:hAnsi="Times New Roman" w:cs="Times New Roman"/>
          <w:sz w:val="24"/>
          <w:szCs w:val="24"/>
        </w:rPr>
        <w:t>..</w:t>
      </w:r>
      <w:r w:rsidR="008C7C9E">
        <w:rPr>
          <w:rFonts w:ascii="Times New Roman" w:hAnsi="Times New Roman" w:cs="Times New Roman"/>
          <w:sz w:val="24"/>
          <w:szCs w:val="24"/>
        </w:rPr>
        <w:t>…..</w:t>
      </w:r>
      <w:r w:rsidR="008F7631">
        <w:rPr>
          <w:rFonts w:ascii="Times New Roman" w:hAnsi="Times New Roman" w:cs="Times New Roman"/>
          <w:sz w:val="24"/>
          <w:szCs w:val="24"/>
        </w:rPr>
        <w:t>63</w:t>
      </w:r>
    </w:p>
    <w:p w14:paraId="5C933019" w14:textId="2EE96E85" w:rsidR="00331E07" w:rsidRDefault="007354B4" w:rsidP="0048606B">
      <w:pPr>
        <w:spacing w:line="480" w:lineRule="auto"/>
        <w:rPr>
          <w:rFonts w:ascii="Times New Roman" w:hAnsi="Times New Roman" w:cs="Times New Roman"/>
          <w:sz w:val="24"/>
          <w:szCs w:val="24"/>
        </w:rPr>
      </w:pPr>
      <w:r w:rsidRPr="00F403B8">
        <w:rPr>
          <w:rFonts w:ascii="Times New Roman" w:hAnsi="Times New Roman" w:cs="Times New Roman"/>
          <w:sz w:val="24"/>
          <w:szCs w:val="24"/>
        </w:rPr>
        <w:t>REFERENCES</w:t>
      </w:r>
      <w:r w:rsidR="008C7C9E">
        <w:rPr>
          <w:rFonts w:ascii="Times New Roman" w:hAnsi="Times New Roman" w:cs="Times New Roman"/>
          <w:sz w:val="24"/>
          <w:szCs w:val="24"/>
        </w:rPr>
        <w:t>……………………………………………………………………</w:t>
      </w:r>
      <w:r w:rsidR="002B5238">
        <w:rPr>
          <w:rFonts w:ascii="Times New Roman" w:hAnsi="Times New Roman" w:cs="Times New Roman"/>
          <w:sz w:val="24"/>
          <w:szCs w:val="24"/>
        </w:rPr>
        <w:t>...</w:t>
      </w:r>
      <w:r w:rsidR="008C7C9E">
        <w:rPr>
          <w:rFonts w:ascii="Times New Roman" w:hAnsi="Times New Roman" w:cs="Times New Roman"/>
          <w:sz w:val="24"/>
          <w:szCs w:val="24"/>
        </w:rPr>
        <w:t>….</w:t>
      </w:r>
      <w:r w:rsidR="008F7631">
        <w:rPr>
          <w:rFonts w:ascii="Times New Roman" w:hAnsi="Times New Roman" w:cs="Times New Roman"/>
          <w:sz w:val="24"/>
          <w:szCs w:val="24"/>
        </w:rPr>
        <w:t>65</w:t>
      </w:r>
    </w:p>
    <w:p w14:paraId="78FF9982" w14:textId="0FF5440B" w:rsidR="004547C8" w:rsidRDefault="004547C8" w:rsidP="004547C8">
      <w:pPr>
        <w:spacing w:line="480" w:lineRule="auto"/>
        <w:rPr>
          <w:rFonts w:ascii="Times New Roman" w:hAnsi="Times New Roman" w:cs="Times New Roman"/>
          <w:sz w:val="24"/>
          <w:szCs w:val="24"/>
        </w:rPr>
      </w:pPr>
      <w:r>
        <w:rPr>
          <w:rFonts w:ascii="Times New Roman" w:hAnsi="Times New Roman" w:cs="Times New Roman"/>
          <w:sz w:val="24"/>
          <w:szCs w:val="24"/>
        </w:rPr>
        <w:t>APPENDIX….…</w:t>
      </w:r>
      <w:r w:rsidR="008F7631">
        <w:rPr>
          <w:rFonts w:ascii="Times New Roman" w:hAnsi="Times New Roman" w:cs="Times New Roman"/>
          <w:sz w:val="24"/>
          <w:szCs w:val="24"/>
        </w:rPr>
        <w:t>…………………………………………………………………...….69</w:t>
      </w:r>
    </w:p>
    <w:p w14:paraId="4DDA1B74" w14:textId="77777777" w:rsidR="00F97032" w:rsidRDefault="00F97032" w:rsidP="004547C8">
      <w:pPr>
        <w:spacing w:line="240" w:lineRule="auto"/>
        <w:rPr>
          <w:rFonts w:ascii="Times New Roman" w:hAnsi="Times New Roman" w:cs="Times New Roman"/>
          <w:sz w:val="24"/>
          <w:szCs w:val="24"/>
        </w:rPr>
      </w:pPr>
    </w:p>
    <w:p w14:paraId="00B0FFB9" w14:textId="77777777" w:rsidR="004547C8" w:rsidRDefault="004547C8" w:rsidP="004547C8">
      <w:pPr>
        <w:spacing w:line="240" w:lineRule="auto"/>
        <w:rPr>
          <w:rFonts w:ascii="Times New Roman" w:hAnsi="Times New Roman" w:cs="Times New Roman"/>
          <w:b/>
          <w:sz w:val="28"/>
          <w:szCs w:val="24"/>
        </w:rPr>
      </w:pPr>
    </w:p>
    <w:p w14:paraId="3D18511D" w14:textId="77777777" w:rsidR="00F97032" w:rsidRDefault="00F97032" w:rsidP="006C0A96">
      <w:pPr>
        <w:spacing w:line="240" w:lineRule="auto"/>
        <w:jc w:val="center"/>
        <w:rPr>
          <w:rFonts w:ascii="Times New Roman" w:hAnsi="Times New Roman" w:cs="Times New Roman"/>
          <w:b/>
          <w:sz w:val="28"/>
          <w:szCs w:val="24"/>
        </w:rPr>
      </w:pPr>
    </w:p>
    <w:p w14:paraId="59D5EA18" w14:textId="77777777" w:rsidR="00F97032" w:rsidRDefault="00F97032" w:rsidP="006C0A96">
      <w:pPr>
        <w:spacing w:line="240" w:lineRule="auto"/>
        <w:jc w:val="center"/>
        <w:rPr>
          <w:rFonts w:ascii="Times New Roman" w:hAnsi="Times New Roman" w:cs="Times New Roman"/>
          <w:b/>
          <w:sz w:val="28"/>
          <w:szCs w:val="24"/>
        </w:rPr>
      </w:pPr>
    </w:p>
    <w:p w14:paraId="726FED8F" w14:textId="77777777" w:rsidR="00F97032" w:rsidRDefault="00F97032" w:rsidP="006C0A96">
      <w:pPr>
        <w:spacing w:line="240" w:lineRule="auto"/>
        <w:jc w:val="center"/>
        <w:rPr>
          <w:rFonts w:ascii="Times New Roman" w:hAnsi="Times New Roman" w:cs="Times New Roman"/>
          <w:b/>
          <w:sz w:val="28"/>
          <w:szCs w:val="24"/>
        </w:rPr>
      </w:pPr>
    </w:p>
    <w:p w14:paraId="62412F39" w14:textId="77777777" w:rsidR="00F97032" w:rsidRDefault="00F97032" w:rsidP="006C0A96">
      <w:pPr>
        <w:spacing w:line="240" w:lineRule="auto"/>
        <w:jc w:val="center"/>
        <w:rPr>
          <w:rFonts w:ascii="Times New Roman" w:hAnsi="Times New Roman" w:cs="Times New Roman"/>
          <w:b/>
          <w:sz w:val="28"/>
          <w:szCs w:val="24"/>
        </w:rPr>
      </w:pPr>
    </w:p>
    <w:p w14:paraId="772C8A2C" w14:textId="77777777" w:rsidR="00F97032" w:rsidRDefault="00F97032" w:rsidP="006C0A96">
      <w:pPr>
        <w:spacing w:line="240" w:lineRule="auto"/>
        <w:jc w:val="center"/>
        <w:rPr>
          <w:rFonts w:ascii="Times New Roman" w:hAnsi="Times New Roman" w:cs="Times New Roman"/>
          <w:b/>
          <w:sz w:val="28"/>
          <w:szCs w:val="24"/>
        </w:rPr>
      </w:pPr>
    </w:p>
    <w:p w14:paraId="4157EF4F" w14:textId="77777777" w:rsidR="00F97032" w:rsidRDefault="00F97032" w:rsidP="006C0A96">
      <w:pPr>
        <w:spacing w:line="240" w:lineRule="auto"/>
        <w:jc w:val="center"/>
        <w:rPr>
          <w:rFonts w:ascii="Times New Roman" w:hAnsi="Times New Roman" w:cs="Times New Roman"/>
          <w:b/>
          <w:sz w:val="28"/>
          <w:szCs w:val="24"/>
        </w:rPr>
      </w:pPr>
    </w:p>
    <w:p w14:paraId="26F69679" w14:textId="77777777" w:rsidR="00F97032" w:rsidRDefault="00F97032" w:rsidP="006C0A96">
      <w:pPr>
        <w:spacing w:line="240" w:lineRule="auto"/>
        <w:jc w:val="center"/>
        <w:rPr>
          <w:rFonts w:ascii="Times New Roman" w:hAnsi="Times New Roman" w:cs="Times New Roman"/>
          <w:b/>
          <w:sz w:val="28"/>
          <w:szCs w:val="24"/>
        </w:rPr>
      </w:pPr>
    </w:p>
    <w:p w14:paraId="1CBD9C25" w14:textId="77777777" w:rsidR="00F97032" w:rsidRDefault="00F97032" w:rsidP="006C0A96">
      <w:pPr>
        <w:spacing w:line="240" w:lineRule="auto"/>
        <w:jc w:val="center"/>
        <w:rPr>
          <w:rFonts w:ascii="Times New Roman" w:hAnsi="Times New Roman" w:cs="Times New Roman"/>
          <w:b/>
          <w:sz w:val="28"/>
          <w:szCs w:val="24"/>
        </w:rPr>
      </w:pPr>
    </w:p>
    <w:p w14:paraId="662EBB4B" w14:textId="77777777" w:rsidR="00F97032" w:rsidRDefault="00F97032" w:rsidP="006400B6">
      <w:pPr>
        <w:spacing w:line="240" w:lineRule="auto"/>
        <w:rPr>
          <w:rFonts w:ascii="Times New Roman" w:hAnsi="Times New Roman" w:cs="Times New Roman"/>
          <w:b/>
          <w:sz w:val="28"/>
          <w:szCs w:val="24"/>
        </w:rPr>
      </w:pPr>
    </w:p>
    <w:p w14:paraId="22E35094" w14:textId="2B89F2A7" w:rsidR="006C0A96" w:rsidRPr="006C0A96" w:rsidRDefault="006C0A96" w:rsidP="006C0A96">
      <w:pPr>
        <w:spacing w:line="240" w:lineRule="auto"/>
        <w:jc w:val="center"/>
        <w:rPr>
          <w:rFonts w:ascii="Times New Roman" w:hAnsi="Times New Roman" w:cs="Times New Roman"/>
          <w:b/>
          <w:sz w:val="28"/>
          <w:szCs w:val="24"/>
        </w:rPr>
      </w:pPr>
      <w:r>
        <w:rPr>
          <w:rFonts w:ascii="Times New Roman" w:hAnsi="Times New Roman" w:cs="Times New Roman"/>
          <w:b/>
          <w:sz w:val="28"/>
          <w:szCs w:val="24"/>
        </w:rPr>
        <w:lastRenderedPageBreak/>
        <w:t>LIST OF FIGURES</w:t>
      </w:r>
    </w:p>
    <w:p w14:paraId="5148E2F3" w14:textId="3470D845" w:rsidR="003B2FA0" w:rsidRPr="0083236F" w:rsidRDefault="00603F77"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 xml:space="preserve">Figure 1: </w:t>
      </w:r>
      <w:r w:rsidR="009D20F7" w:rsidRPr="0083236F">
        <w:rPr>
          <w:rFonts w:ascii="Times New Roman" w:hAnsi="Times New Roman" w:cs="Times New Roman"/>
          <w:b/>
          <w:sz w:val="24"/>
          <w:szCs w:val="24"/>
        </w:rPr>
        <w:t>Map of NPRA boundaries in Northern Alaska showing the locations of the Meade and Ikpikpuk-Umiat basins as well as the locations of the Ikpikpuk 1 well, the Inigok 1 well, and the North Inigok 1 well. (Modified from Fulk, 2010)</w:t>
      </w:r>
    </w:p>
    <w:p w14:paraId="32C561AF" w14:textId="2EFFA576" w:rsidR="00BA182A" w:rsidRPr="0083236F" w:rsidRDefault="00BA182A"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 xml:space="preserve">Figure 2: </w:t>
      </w:r>
      <w:r w:rsidR="00127482" w:rsidRPr="006D678E">
        <w:rPr>
          <w:rFonts w:ascii="Times New Roman" w:hAnsi="Times New Roman" w:cs="Times New Roman"/>
          <w:b/>
          <w:sz w:val="24"/>
          <w:szCs w:val="24"/>
        </w:rPr>
        <w:t xml:space="preserve">Model of an idealized deltaic sequence. Galloway sequence boundaries </w:t>
      </w:r>
      <w:r w:rsidR="00127482">
        <w:rPr>
          <w:rFonts w:ascii="Times New Roman" w:hAnsi="Times New Roman" w:cs="Times New Roman"/>
          <w:b/>
          <w:sz w:val="24"/>
          <w:szCs w:val="24"/>
        </w:rPr>
        <w:t xml:space="preserve">are </w:t>
      </w:r>
      <w:r w:rsidR="00127482" w:rsidRPr="006D678E">
        <w:rPr>
          <w:rFonts w:ascii="Times New Roman" w:hAnsi="Times New Roman" w:cs="Times New Roman"/>
          <w:b/>
          <w:sz w:val="24"/>
          <w:szCs w:val="24"/>
        </w:rPr>
        <w:t>indicated by G</w:t>
      </w:r>
      <w:r w:rsidR="002B4496">
        <w:rPr>
          <w:rFonts w:ascii="Times New Roman" w:hAnsi="Times New Roman" w:cs="Times New Roman"/>
          <w:b/>
          <w:sz w:val="24"/>
          <w:szCs w:val="24"/>
        </w:rPr>
        <w:t>,</w:t>
      </w:r>
      <w:r w:rsidR="00127482" w:rsidRPr="006D678E">
        <w:rPr>
          <w:rFonts w:ascii="Times New Roman" w:hAnsi="Times New Roman" w:cs="Times New Roman"/>
          <w:b/>
          <w:sz w:val="24"/>
          <w:szCs w:val="24"/>
        </w:rPr>
        <w:t xml:space="preserve"> and Vail sequence boundaries</w:t>
      </w:r>
      <w:r w:rsidR="00127482">
        <w:rPr>
          <w:rFonts w:ascii="Times New Roman" w:hAnsi="Times New Roman" w:cs="Times New Roman"/>
          <w:b/>
          <w:sz w:val="24"/>
          <w:szCs w:val="24"/>
        </w:rPr>
        <w:t xml:space="preserve"> are</w:t>
      </w:r>
      <w:r w:rsidR="00127482" w:rsidRPr="006D678E">
        <w:rPr>
          <w:rFonts w:ascii="Times New Roman" w:hAnsi="Times New Roman" w:cs="Times New Roman"/>
          <w:b/>
          <w:sz w:val="24"/>
          <w:szCs w:val="24"/>
        </w:rPr>
        <w:t xml:space="preserve"> indicated by V</w:t>
      </w:r>
      <w:r w:rsidR="00127482">
        <w:rPr>
          <w:rFonts w:ascii="Times New Roman" w:hAnsi="Times New Roman" w:cs="Times New Roman"/>
          <w:b/>
          <w:sz w:val="24"/>
          <w:szCs w:val="24"/>
        </w:rPr>
        <w:t>.</w:t>
      </w:r>
      <w:r w:rsidR="00127482" w:rsidRPr="006D678E">
        <w:rPr>
          <w:rFonts w:ascii="Times New Roman" w:hAnsi="Times New Roman" w:cs="Times New Roman"/>
          <w:b/>
          <w:sz w:val="24"/>
          <w:szCs w:val="24"/>
        </w:rPr>
        <w:t xml:space="preserve"> Relative location of parasequence sets are also shown</w:t>
      </w:r>
      <w:r w:rsidR="00127482">
        <w:rPr>
          <w:rFonts w:ascii="Times New Roman" w:hAnsi="Times New Roman" w:cs="Times New Roman"/>
          <w:b/>
          <w:sz w:val="24"/>
          <w:szCs w:val="24"/>
        </w:rPr>
        <w:t>. Important surfaces are shown with the black arrows.</w:t>
      </w:r>
      <w:r w:rsidR="00127482">
        <w:rPr>
          <w:rFonts w:ascii="Times New Roman" w:hAnsi="Times New Roman" w:cs="Times New Roman"/>
          <w:sz w:val="24"/>
          <w:szCs w:val="24"/>
        </w:rPr>
        <w:t xml:space="preserve"> </w:t>
      </w:r>
      <w:r w:rsidR="00127482">
        <w:rPr>
          <w:rFonts w:ascii="Times New Roman" w:hAnsi="Times New Roman" w:cs="Times New Roman"/>
          <w:b/>
          <w:sz w:val="24"/>
          <w:szCs w:val="24"/>
        </w:rPr>
        <w:t xml:space="preserve">See text for explanation. (Modified from </w:t>
      </w:r>
      <w:r w:rsidR="00127482">
        <w:rPr>
          <w:rStyle w:val="Hyperlink"/>
          <w:rFonts w:ascii="Times New Roman" w:hAnsi="Times New Roman" w:cs="Times New Roman"/>
          <w:b/>
          <w:color w:val="auto"/>
          <w:sz w:val="24"/>
          <w:szCs w:val="24"/>
          <w:u w:val="none"/>
        </w:rPr>
        <w:t>Van Wagoner, 1988</w:t>
      </w:r>
      <w:r w:rsidR="00127482">
        <w:rPr>
          <w:rFonts w:ascii="Times New Roman" w:hAnsi="Times New Roman" w:cs="Times New Roman"/>
          <w:b/>
          <w:sz w:val="24"/>
          <w:szCs w:val="24"/>
        </w:rPr>
        <w:t>).</w:t>
      </w:r>
    </w:p>
    <w:p w14:paraId="46DABC74" w14:textId="5EBE55D4" w:rsidR="00BA182A" w:rsidRPr="005B5EAB" w:rsidRDefault="00BA182A" w:rsidP="0083236F">
      <w:pPr>
        <w:spacing w:before="240" w:line="360" w:lineRule="auto"/>
        <w:ind w:firstLine="360"/>
        <w:rPr>
          <w:rFonts w:ascii="Times New Roman" w:hAnsi="Times New Roman" w:cs="Times New Roman"/>
          <w:b/>
          <w:color w:val="FF0000"/>
          <w:sz w:val="24"/>
          <w:szCs w:val="24"/>
        </w:rPr>
      </w:pPr>
      <w:r w:rsidRPr="0083236F">
        <w:rPr>
          <w:rFonts w:ascii="Times New Roman" w:hAnsi="Times New Roman" w:cs="Times New Roman"/>
          <w:b/>
          <w:sz w:val="24"/>
          <w:szCs w:val="24"/>
        </w:rPr>
        <w:t xml:space="preserve">Figure 3: </w:t>
      </w:r>
      <w:r w:rsidR="002B4496" w:rsidRPr="002B4496">
        <w:rPr>
          <w:rFonts w:ascii="Times New Roman" w:hAnsi="Times New Roman" w:cs="Times New Roman"/>
          <w:b/>
          <w:sz w:val="24"/>
          <w:szCs w:val="24"/>
        </w:rPr>
        <w:t>Figure 3: Idealized sea level curve showing maximum flooding surface (MFS), Highstand Systems Tracts (HST), Sequence Boundary (SB), Lowstand Systems Tracts (LST), Transgressive Surface (TS), and Transgressive Systems Tracts (TST) as they relate to changes in sea-level (SL) and base-level (from Pigott and Bradley, 2014).</w:t>
      </w:r>
    </w:p>
    <w:p w14:paraId="40BE6E90" w14:textId="5651A597" w:rsidR="00BA182A" w:rsidRPr="0083236F" w:rsidRDefault="00BA182A"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 xml:space="preserve">Figure 4: </w:t>
      </w:r>
      <w:r w:rsidR="0073614B" w:rsidRPr="0073614B">
        <w:rPr>
          <w:rFonts w:ascii="Times New Roman" w:hAnsi="Times New Roman" w:cs="Times New Roman"/>
          <w:b/>
          <w:sz w:val="24"/>
          <w:szCs w:val="24"/>
        </w:rPr>
        <w:t>Figure 4: Diagram showing the different types of reflector terminations. Truncation is associated with base level drop and erosion, toplap is associated with static base level, and onlap is associated with rising base level and transgression. (Pigott, unpublished seismic stratigraphy lecture notes)</w:t>
      </w:r>
    </w:p>
    <w:p w14:paraId="2AEB24D8" w14:textId="2937748D" w:rsidR="00603F77" w:rsidRPr="0083236F" w:rsidRDefault="00BA182A"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Figure 5: Map showing the rotation of the Arctic Alaska microplate rotating away from the Canadian Arctic islands. Heavy dashed line is inferred to be the extinct seafloor spreading center that forced the Arctic Alaska microplate to move. (Laxon,1994: McAdoo, 1998)</w:t>
      </w:r>
    </w:p>
    <w:p w14:paraId="5F42E49F" w14:textId="77777777" w:rsidR="00BA182A" w:rsidRPr="0083236F" w:rsidRDefault="00BA182A"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Figure 6: Generalized stratigraphic column of the North Slope. (Modified from Houseknecht, 2002)</w:t>
      </w:r>
    </w:p>
    <w:p w14:paraId="6D9589E9" w14:textId="77777777" w:rsidR="00BA182A" w:rsidRPr="0083236F" w:rsidRDefault="00BA182A"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Figure 7: Map showing a thickness isopach of the Endicott Group and location of wells that pierced it. (Modified from Wilson, 2001)</w:t>
      </w:r>
    </w:p>
    <w:p w14:paraId="6C1B8352" w14:textId="77777777" w:rsidR="00421C3D" w:rsidRPr="0083236F" w:rsidRDefault="00421C3D"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Figure 8: Map showing a thickness isopach of the Lisburne Group on the North Slope. Ikpikpuk-Umiat basin is labeled “A” and Meade basin is labeled “B”. (Modified from Dumoulin and others, 2008)</w:t>
      </w:r>
    </w:p>
    <w:p w14:paraId="4A0A3AEF" w14:textId="77777777" w:rsidR="00421C3D" w:rsidRPr="0083236F" w:rsidRDefault="00421C3D"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lastRenderedPageBreak/>
        <w:t>Figure 9: Map showing study area in the eastern NPRA as well as interpreted 1981 seismic lines and key wells. All lines were interpreted, but this study will focus on the key lines and wells mentioned previously.</w:t>
      </w:r>
    </w:p>
    <w:p w14:paraId="73C85035" w14:textId="77777777" w:rsidR="00421C3D" w:rsidRPr="00421C3D" w:rsidRDefault="00421C3D" w:rsidP="0083236F">
      <w:pPr>
        <w:spacing w:before="240" w:line="360" w:lineRule="auto"/>
        <w:ind w:firstLine="360"/>
        <w:rPr>
          <w:rFonts w:ascii="Times New Roman" w:hAnsi="Times New Roman" w:cs="Times New Roman"/>
          <w:b/>
          <w:sz w:val="24"/>
          <w:szCs w:val="24"/>
        </w:rPr>
      </w:pPr>
      <w:r w:rsidRPr="00421C3D">
        <w:rPr>
          <w:rFonts w:ascii="Times New Roman" w:hAnsi="Times New Roman" w:cs="Times New Roman"/>
          <w:b/>
          <w:bCs/>
          <w:sz w:val="24"/>
          <w:szCs w:val="24"/>
        </w:rPr>
        <w:t>Figure 10: Seismic Line 27-81 annotated to show major lithologic formation tops crossing through two wells: Inigok 1(left) and North Inigok 1 (right).  The formation tops shown include: Lisburne (Pink), Sadlerochit-Shublik (Orange), Kingak (Light green), Pebble Shale (Cyan), and Torok (Blue).</w:t>
      </w:r>
    </w:p>
    <w:p w14:paraId="263C7623" w14:textId="704728D2" w:rsidR="00421C3D" w:rsidRPr="0083236F" w:rsidRDefault="00421C3D" w:rsidP="0083236F">
      <w:pPr>
        <w:pStyle w:val="Default"/>
        <w:spacing w:before="240" w:after="240" w:line="360" w:lineRule="auto"/>
        <w:ind w:firstLine="360"/>
        <w:rPr>
          <w:b/>
          <w:bCs/>
        </w:rPr>
      </w:pPr>
      <w:r w:rsidRPr="00421C3D">
        <w:rPr>
          <w:b/>
          <w:bCs/>
        </w:rPr>
        <w:t>Figure 11: Seismic Line 18-81 annotated to show major lithologic formation tops crossing through two wells: Ikpikpuk 1(left) and North Inigok 1 (right).  The formation tops shown include: Lisburne (Pink), Sadlerochit-Shublik (Orange), Kingak (Light green), Pebble Shale (Cyan), and Torok (Blue).</w:t>
      </w:r>
    </w:p>
    <w:p w14:paraId="20FF8DF8" w14:textId="77777777" w:rsidR="00E42C3F" w:rsidRPr="00E42C3F" w:rsidRDefault="00E42C3F" w:rsidP="0083236F">
      <w:pPr>
        <w:pStyle w:val="Default"/>
        <w:spacing w:before="240" w:after="240" w:line="360" w:lineRule="auto"/>
        <w:ind w:firstLine="360"/>
        <w:rPr>
          <w:b/>
        </w:rPr>
      </w:pPr>
      <w:r w:rsidRPr="00E42C3F">
        <w:rPr>
          <w:b/>
          <w:bCs/>
        </w:rPr>
        <w:t>Figure 12: Seismic Line B-81 annotated to show major lithologic formation tops crossing through the North Inigok 1 well. The formation tops shown include: Lisburne (Pink), Sadlerochit-Shublik (Orange), Kingak (Light green), Pebble Shale (Cyan), and Torok (Blue).</w:t>
      </w:r>
    </w:p>
    <w:p w14:paraId="29A3704C" w14:textId="77777777" w:rsidR="00E42C3F" w:rsidRPr="00E42C3F" w:rsidRDefault="00E42C3F" w:rsidP="0083236F">
      <w:pPr>
        <w:spacing w:before="240" w:line="360" w:lineRule="auto"/>
        <w:ind w:firstLine="360"/>
        <w:rPr>
          <w:rFonts w:ascii="Times New Roman" w:hAnsi="Times New Roman" w:cs="Times New Roman"/>
          <w:b/>
          <w:color w:val="000000"/>
          <w:sz w:val="24"/>
          <w:szCs w:val="24"/>
        </w:rPr>
      </w:pPr>
      <w:r w:rsidRPr="00E42C3F">
        <w:rPr>
          <w:rFonts w:ascii="Times New Roman" w:hAnsi="Times New Roman" w:cs="Times New Roman"/>
          <w:b/>
          <w:bCs/>
          <w:color w:val="000000"/>
          <w:sz w:val="24"/>
          <w:szCs w:val="24"/>
        </w:rPr>
        <w:t>Figure 13: Well-to-Seismic tie at Inigok 1 well. 66% correlation coefficient was achieved in analysis window (between yellow lines).</w:t>
      </w:r>
    </w:p>
    <w:p w14:paraId="3D998524" w14:textId="77777777" w:rsidR="00E42C3F" w:rsidRPr="0083236F" w:rsidRDefault="00E42C3F" w:rsidP="0083236F">
      <w:pPr>
        <w:spacing w:before="240" w:line="360" w:lineRule="auto"/>
        <w:ind w:firstLine="360"/>
        <w:rPr>
          <w:rFonts w:ascii="Times New Roman" w:hAnsi="Times New Roman" w:cs="Times New Roman"/>
          <w:b/>
          <w:sz w:val="24"/>
          <w:szCs w:val="24"/>
        </w:rPr>
      </w:pPr>
      <w:r w:rsidRPr="0083236F">
        <w:rPr>
          <w:rFonts w:ascii="Times New Roman" w:hAnsi="Times New Roman" w:cs="Times New Roman"/>
          <w:b/>
          <w:sz w:val="24"/>
          <w:szCs w:val="24"/>
        </w:rPr>
        <w:t>Figure 14: Accommodation Succession stacking patterns. progradation-aggradation is understood to represent Lowstand Systems Tracts, retrogradation represents Transgressive Systems Tracts, and aggradation-progradation-degradation represents Highstand Systems Tracts. (Modified from Neal and Abreu, 2009)</w:t>
      </w:r>
    </w:p>
    <w:p w14:paraId="1D8FF84D" w14:textId="7C906A43" w:rsidR="00E42C3F" w:rsidRPr="00E42C3F" w:rsidRDefault="00E42C3F" w:rsidP="0083236F">
      <w:pPr>
        <w:spacing w:before="240" w:line="360" w:lineRule="auto"/>
        <w:ind w:firstLine="360"/>
        <w:rPr>
          <w:rFonts w:ascii="Times New Roman" w:hAnsi="Times New Roman" w:cs="Times New Roman"/>
          <w:b/>
          <w:sz w:val="24"/>
          <w:szCs w:val="24"/>
        </w:rPr>
      </w:pPr>
      <w:r w:rsidRPr="00E42C3F">
        <w:rPr>
          <w:rFonts w:ascii="Times New Roman" w:hAnsi="Times New Roman" w:cs="Times New Roman"/>
          <w:b/>
          <w:bCs/>
          <w:sz w:val="24"/>
          <w:szCs w:val="24"/>
        </w:rPr>
        <w:t>Figure 15: Seismic Line 27-81 showing reflector terminations and corresponding unconformity surfaces. Red arrows indicate downlap and onlap while the yellow arrows indicate toplap and truncation. Operational sequence boundaries are colored by tectonic phase. The black line is the acoustic basement, the red lines are Ellesmerian aged, the blue lines are Beaufortian aged, and the green lines are Brookian aged. Black vertical lines show positions of Inigok 1 well (left) and North Inigok 1 (right).</w:t>
      </w:r>
      <w:r w:rsidR="00A6325F" w:rsidRPr="00A6325F">
        <w:rPr>
          <w:rFonts w:ascii="Times New Roman" w:hAnsi="Times New Roman" w:cs="Times New Roman"/>
          <w:b/>
          <w:bCs/>
          <w:sz w:val="24"/>
          <w:szCs w:val="24"/>
        </w:rPr>
        <w:t xml:space="preserve"> </w:t>
      </w:r>
      <w:r w:rsidR="00A6325F">
        <w:rPr>
          <w:rFonts w:ascii="Times New Roman" w:hAnsi="Times New Roman" w:cs="Times New Roman"/>
          <w:b/>
          <w:bCs/>
          <w:sz w:val="24"/>
          <w:szCs w:val="24"/>
        </w:rPr>
        <w:t>Faults are shown as curved black lines.</w:t>
      </w:r>
    </w:p>
    <w:p w14:paraId="5714F68E" w14:textId="368C042B" w:rsidR="006668B6" w:rsidRPr="006668B6" w:rsidRDefault="006668B6" w:rsidP="0083236F">
      <w:pPr>
        <w:spacing w:before="240" w:line="360" w:lineRule="auto"/>
        <w:ind w:firstLine="360"/>
        <w:rPr>
          <w:rFonts w:ascii="Times New Roman" w:hAnsi="Times New Roman" w:cs="Times New Roman"/>
          <w:b/>
          <w:sz w:val="24"/>
          <w:szCs w:val="24"/>
        </w:rPr>
      </w:pPr>
      <w:r w:rsidRPr="006668B6">
        <w:rPr>
          <w:rFonts w:ascii="Times New Roman" w:hAnsi="Times New Roman" w:cs="Times New Roman"/>
          <w:b/>
          <w:bCs/>
          <w:sz w:val="24"/>
          <w:szCs w:val="24"/>
        </w:rPr>
        <w:lastRenderedPageBreak/>
        <w:t>Figure 16: Seismic line 27-81 showing operational sequence boundaries and corresponding systems tracts. Green polygons indicate transgressive systems tracts, blue polygons indicate highstand systems tracts, and red polygons indicate lowstand systems tracts. Black vertical lines show positions of Inigok 1 well (left) and North Inigok 1 (right).</w:t>
      </w:r>
      <w:r w:rsidR="00A6325F" w:rsidRPr="00A6325F">
        <w:rPr>
          <w:rFonts w:ascii="Times New Roman" w:hAnsi="Times New Roman" w:cs="Times New Roman"/>
          <w:b/>
          <w:bCs/>
          <w:sz w:val="24"/>
          <w:szCs w:val="24"/>
        </w:rPr>
        <w:t xml:space="preserve"> </w:t>
      </w:r>
      <w:r w:rsidR="00A6325F">
        <w:rPr>
          <w:rFonts w:ascii="Times New Roman" w:hAnsi="Times New Roman" w:cs="Times New Roman"/>
          <w:b/>
          <w:bCs/>
          <w:sz w:val="24"/>
          <w:szCs w:val="24"/>
        </w:rPr>
        <w:t>Faults are shown as curved black lines.</w:t>
      </w:r>
    </w:p>
    <w:p w14:paraId="36F7B115" w14:textId="135C7106" w:rsidR="006668B6" w:rsidRPr="006668B6" w:rsidRDefault="006668B6" w:rsidP="0083236F">
      <w:pPr>
        <w:spacing w:before="240" w:line="360" w:lineRule="auto"/>
        <w:ind w:firstLine="360"/>
        <w:rPr>
          <w:rFonts w:ascii="Times New Roman" w:hAnsi="Times New Roman" w:cs="Times New Roman"/>
          <w:b/>
          <w:sz w:val="24"/>
          <w:szCs w:val="24"/>
        </w:rPr>
      </w:pPr>
      <w:r w:rsidRPr="006668B6">
        <w:rPr>
          <w:rFonts w:ascii="Times New Roman" w:hAnsi="Times New Roman" w:cs="Times New Roman"/>
          <w:b/>
          <w:bCs/>
          <w:sz w:val="24"/>
          <w:szCs w:val="24"/>
        </w:rPr>
        <w:t>Figure 17: Seismic Line 18-81 showing reflector terminations and corresponding unconformity surfaces. Red arrows indicate downlap and onlap while the yellow arrows indicate toplap and truncation. Operational sequence boundaries are colored by tectonic phase. The black line is the acoustic basement, the red lines are Ellesmerian aged, the blue lines are Beaufortian aged, and the green lines are Brookian aged. Black vertical lines show positions of Ikpikpuk well (left) and North Inigok (right).</w:t>
      </w:r>
      <w:r w:rsidR="00A6325F">
        <w:rPr>
          <w:rFonts w:ascii="Times New Roman" w:hAnsi="Times New Roman" w:cs="Times New Roman"/>
          <w:b/>
          <w:bCs/>
          <w:sz w:val="24"/>
          <w:szCs w:val="24"/>
        </w:rPr>
        <w:t xml:space="preserve"> Faults are shown as curved black lines.</w:t>
      </w:r>
    </w:p>
    <w:p w14:paraId="06420D56" w14:textId="5840108F" w:rsidR="006668B6" w:rsidRPr="006668B6" w:rsidRDefault="006668B6" w:rsidP="0083236F">
      <w:pPr>
        <w:spacing w:before="240" w:line="360" w:lineRule="auto"/>
        <w:ind w:firstLine="360"/>
        <w:rPr>
          <w:rFonts w:ascii="Times New Roman" w:hAnsi="Times New Roman" w:cs="Times New Roman"/>
          <w:b/>
          <w:sz w:val="24"/>
          <w:szCs w:val="24"/>
        </w:rPr>
      </w:pPr>
      <w:r w:rsidRPr="006668B6">
        <w:rPr>
          <w:rFonts w:ascii="Times New Roman" w:hAnsi="Times New Roman" w:cs="Times New Roman"/>
          <w:b/>
          <w:bCs/>
          <w:sz w:val="24"/>
          <w:szCs w:val="24"/>
        </w:rPr>
        <w:t>Figure 18: Seismic line 18-81 showing operational sequence boundaries and corresponding systems tracts. Green polygons indicate transgressive systems tracts, blue polygons indicate highstand systems tracts, and red polygons indicate lowstand systems tracts. Black vertical lines show positions of Ikpikpuk well (left) and North Inigok (right).</w:t>
      </w:r>
      <w:r w:rsidR="00A6325F" w:rsidRPr="00A6325F">
        <w:rPr>
          <w:rFonts w:ascii="Times New Roman" w:hAnsi="Times New Roman" w:cs="Times New Roman"/>
          <w:b/>
          <w:bCs/>
          <w:sz w:val="24"/>
          <w:szCs w:val="24"/>
        </w:rPr>
        <w:t xml:space="preserve"> </w:t>
      </w:r>
      <w:r w:rsidR="00A6325F">
        <w:rPr>
          <w:rFonts w:ascii="Times New Roman" w:hAnsi="Times New Roman" w:cs="Times New Roman"/>
          <w:b/>
          <w:bCs/>
          <w:sz w:val="24"/>
          <w:szCs w:val="24"/>
        </w:rPr>
        <w:t>Faults are shown as curved black lines.</w:t>
      </w:r>
    </w:p>
    <w:p w14:paraId="2A3B4377" w14:textId="00834DD1" w:rsidR="006668B6" w:rsidRPr="006668B6" w:rsidRDefault="006668B6" w:rsidP="0083236F">
      <w:pPr>
        <w:spacing w:before="240" w:line="360" w:lineRule="auto"/>
        <w:ind w:firstLine="360"/>
        <w:rPr>
          <w:rFonts w:ascii="Times New Roman" w:hAnsi="Times New Roman" w:cs="Times New Roman"/>
          <w:b/>
          <w:sz w:val="24"/>
          <w:szCs w:val="24"/>
        </w:rPr>
      </w:pPr>
      <w:r w:rsidRPr="006668B6">
        <w:rPr>
          <w:rFonts w:ascii="Times New Roman" w:hAnsi="Times New Roman" w:cs="Times New Roman"/>
          <w:b/>
          <w:bCs/>
          <w:sz w:val="24"/>
          <w:szCs w:val="24"/>
        </w:rPr>
        <w:t>Figure 19: Seismic Line B-81 showing unconformity surfaces traced from ties on line 27-81. Operational sequence boundaries are colored by tectonic phase. The black line is the acoustic basement, the red lines are Ellesmerian aged, the blue lines are Beaufortian aged, and the green lines are Brookian aged. Black vertical line shows position of North Inigok 1 well.</w:t>
      </w:r>
      <w:r w:rsidR="003647DF">
        <w:rPr>
          <w:rFonts w:ascii="Times New Roman" w:hAnsi="Times New Roman" w:cs="Times New Roman"/>
          <w:b/>
          <w:bCs/>
          <w:sz w:val="24"/>
          <w:szCs w:val="24"/>
        </w:rPr>
        <w:t xml:space="preserve"> Faults are shown as curved black lines.</w:t>
      </w:r>
    </w:p>
    <w:p w14:paraId="40AC014C" w14:textId="42C5F1B4" w:rsidR="006668B6" w:rsidRDefault="006668B6" w:rsidP="0083236F">
      <w:pPr>
        <w:spacing w:before="240" w:line="360" w:lineRule="auto"/>
        <w:ind w:firstLine="360"/>
        <w:rPr>
          <w:rFonts w:ascii="Times New Roman" w:hAnsi="Times New Roman" w:cs="Times New Roman"/>
          <w:b/>
          <w:bCs/>
          <w:sz w:val="24"/>
          <w:szCs w:val="24"/>
        </w:rPr>
      </w:pPr>
      <w:r w:rsidRPr="006668B6">
        <w:rPr>
          <w:rFonts w:ascii="Times New Roman" w:hAnsi="Times New Roman" w:cs="Times New Roman"/>
          <w:b/>
          <w:bCs/>
          <w:sz w:val="24"/>
          <w:szCs w:val="24"/>
        </w:rPr>
        <w:t>Figure 20: Gamma ray log motif analysis conducted on Ikpikpuk 1, North I</w:t>
      </w:r>
      <w:r w:rsidR="009F4968">
        <w:rPr>
          <w:rFonts w:ascii="Times New Roman" w:hAnsi="Times New Roman" w:cs="Times New Roman"/>
          <w:b/>
          <w:bCs/>
          <w:sz w:val="24"/>
          <w:szCs w:val="24"/>
        </w:rPr>
        <w:t>nigok 1</w:t>
      </w:r>
      <w:r w:rsidRPr="006668B6">
        <w:rPr>
          <w:rFonts w:ascii="Times New Roman" w:hAnsi="Times New Roman" w:cs="Times New Roman"/>
          <w:b/>
          <w:bCs/>
          <w:sz w:val="24"/>
          <w:szCs w:val="24"/>
        </w:rPr>
        <w:t>, and Inigok 1 wells showing cycles of shoreline regression, transgression, and stasis. Third order cycle boundaries from seismic are shown as tops on the logs, and seismically unresolvable fourth order cycles are shown with arrows and block columns.</w:t>
      </w:r>
    </w:p>
    <w:p w14:paraId="19CEE1F9" w14:textId="46B35971" w:rsidR="009F4968" w:rsidRDefault="009F4968" w:rsidP="0083236F">
      <w:pPr>
        <w:spacing w:before="240" w:line="360" w:lineRule="auto"/>
        <w:ind w:firstLine="360"/>
        <w:rPr>
          <w:rFonts w:ascii="Times New Roman" w:hAnsi="Times New Roman" w:cs="Times New Roman"/>
          <w:b/>
          <w:sz w:val="24"/>
          <w:szCs w:val="24"/>
        </w:rPr>
      </w:pPr>
      <w:r w:rsidRPr="009F4968">
        <w:rPr>
          <w:rFonts w:ascii="Times New Roman" w:hAnsi="Times New Roman" w:cs="Times New Roman"/>
          <w:b/>
          <w:sz w:val="24"/>
          <w:szCs w:val="24"/>
        </w:rPr>
        <w:t xml:space="preserve">Figure 21: Seismic line 27-81 showing operational sequence boundaries and corresponding systems tracts along with seismically unresolvable fourth order cycles shown </w:t>
      </w:r>
      <w:r w:rsidRPr="009F4968">
        <w:rPr>
          <w:rFonts w:ascii="Times New Roman" w:hAnsi="Times New Roman" w:cs="Times New Roman"/>
          <w:b/>
          <w:sz w:val="24"/>
          <w:szCs w:val="24"/>
        </w:rPr>
        <w:lastRenderedPageBreak/>
        <w:t>by the block columns. Green polygons indicate transgressive systems tracts, blue polygons indicate highstand systems tracts, and red polygons indicate lowstand systems tracts. Black vertical lines show positions of Inigok 1 well (left) and North Inigok 1 (right).</w:t>
      </w:r>
    </w:p>
    <w:p w14:paraId="3251315B" w14:textId="2D2F260C" w:rsidR="009F4968" w:rsidRDefault="009F4968" w:rsidP="0083236F">
      <w:pPr>
        <w:spacing w:before="240" w:line="360" w:lineRule="auto"/>
        <w:ind w:firstLine="360"/>
        <w:rPr>
          <w:rFonts w:ascii="Times New Roman" w:hAnsi="Times New Roman" w:cs="Times New Roman"/>
          <w:b/>
          <w:sz w:val="24"/>
          <w:szCs w:val="24"/>
        </w:rPr>
      </w:pPr>
      <w:r w:rsidRPr="009F4968">
        <w:rPr>
          <w:rFonts w:ascii="Times New Roman" w:hAnsi="Times New Roman" w:cs="Times New Roman"/>
          <w:b/>
          <w:sz w:val="24"/>
          <w:szCs w:val="24"/>
        </w:rPr>
        <w:t>Figure 22: Seismic line 18-81 showing operational sequence boundaries and corresponding systems tracts along with seismically unresolvable fourth order cycles shown by the block columns. Green polygons indicate transgressive systems tracts, blue polygons indicate highstand systems tracts, and red polygons indicate lowstand systems tracts. Black vertical lines show positions of Ikpikpuk well (left) and North Inigok (right).</w:t>
      </w:r>
    </w:p>
    <w:p w14:paraId="0085CF7A" w14:textId="6778C5FA" w:rsidR="00284670" w:rsidRDefault="00284670" w:rsidP="0083236F">
      <w:pPr>
        <w:spacing w:before="240" w:line="360" w:lineRule="auto"/>
        <w:ind w:firstLine="360"/>
        <w:rPr>
          <w:rFonts w:ascii="Times New Roman" w:hAnsi="Times New Roman" w:cs="Times New Roman"/>
          <w:b/>
          <w:sz w:val="24"/>
          <w:szCs w:val="24"/>
        </w:rPr>
      </w:pPr>
      <w:r w:rsidRPr="00284670">
        <w:rPr>
          <w:rFonts w:ascii="Times New Roman" w:hAnsi="Times New Roman" w:cs="Times New Roman"/>
          <w:b/>
          <w:sz w:val="24"/>
          <w:szCs w:val="24"/>
        </w:rPr>
        <w:t>Figure 23: Chronostratigraphic Wheeler Diagram and local Sea Level Curve on seismic line 27-81. Operational sequence boundaries are colored by tectonic phase. The black line is the acoustic basement, the red lines are Ellesmerian aged, the blue lines are Beaufortian aged, and the green lines are Brookian aged. Lowstand, Highstand, and Transgressive systems tracts are represented by red, blue, and green polygons, respectively. Diagonal lines indicate the limit of control.</w:t>
      </w:r>
    </w:p>
    <w:p w14:paraId="3C715A51" w14:textId="1B1CB4EF" w:rsidR="00284670" w:rsidRPr="006668B6" w:rsidRDefault="00284670" w:rsidP="0083236F">
      <w:pPr>
        <w:spacing w:before="240" w:line="360" w:lineRule="auto"/>
        <w:ind w:firstLine="360"/>
        <w:rPr>
          <w:rFonts w:ascii="Times New Roman" w:hAnsi="Times New Roman" w:cs="Times New Roman"/>
          <w:b/>
          <w:sz w:val="24"/>
          <w:szCs w:val="24"/>
        </w:rPr>
      </w:pPr>
      <w:r w:rsidRPr="00284670">
        <w:rPr>
          <w:rFonts w:ascii="Times New Roman" w:hAnsi="Times New Roman" w:cs="Times New Roman"/>
          <w:b/>
          <w:sz w:val="24"/>
          <w:szCs w:val="24"/>
        </w:rPr>
        <w:t>Figure 24: Chronostratigraphic Wheeler Diagram on seismic line 18-81. Operational sequence boundaries are colored by tectonic phase. The black line is the acoustic basement, the red lines are Ellesmerian aged, the blue lines are Beaufortian aged, and the green lines are Brookian aged. Lowstand, Highstand, and Transgressive systems tracts are represented by red, blue, and green polygons, respectively. Diagonal lines indicate zone of control.</w:t>
      </w:r>
    </w:p>
    <w:p w14:paraId="176C3C98" w14:textId="77777777" w:rsidR="00D525D6" w:rsidRDefault="00D525D6" w:rsidP="0083236F">
      <w:pPr>
        <w:spacing w:before="240" w:line="360" w:lineRule="auto"/>
        <w:ind w:firstLine="360"/>
        <w:rPr>
          <w:rFonts w:ascii="Times New Roman" w:hAnsi="Times New Roman" w:cs="Times New Roman"/>
          <w:b/>
          <w:bCs/>
          <w:sz w:val="24"/>
          <w:szCs w:val="24"/>
        </w:rPr>
      </w:pPr>
      <w:r w:rsidRPr="00D525D6">
        <w:rPr>
          <w:rFonts w:ascii="Times New Roman" w:hAnsi="Times New Roman" w:cs="Times New Roman"/>
          <w:b/>
          <w:bCs/>
          <w:sz w:val="24"/>
          <w:szCs w:val="24"/>
        </w:rPr>
        <w:t>Figure 25: Isopach map of the Ellesmerian Megasequence with locations of seismic lines and wells</w:t>
      </w:r>
      <w:r>
        <w:rPr>
          <w:rFonts w:ascii="Times New Roman" w:hAnsi="Times New Roman" w:cs="Times New Roman"/>
          <w:b/>
          <w:bCs/>
          <w:sz w:val="24"/>
          <w:szCs w:val="24"/>
        </w:rPr>
        <w:t>.</w:t>
      </w:r>
    </w:p>
    <w:p w14:paraId="69695FB3" w14:textId="77777777" w:rsidR="00D525D6" w:rsidRDefault="00D525D6" w:rsidP="0083236F">
      <w:pPr>
        <w:spacing w:before="240" w:line="360" w:lineRule="auto"/>
        <w:ind w:firstLine="360"/>
        <w:rPr>
          <w:rFonts w:ascii="Times New Roman" w:hAnsi="Times New Roman" w:cs="Times New Roman"/>
          <w:b/>
          <w:bCs/>
          <w:sz w:val="24"/>
          <w:szCs w:val="24"/>
        </w:rPr>
      </w:pPr>
      <w:r w:rsidRPr="00D525D6">
        <w:rPr>
          <w:rFonts w:ascii="Times New Roman" w:hAnsi="Times New Roman" w:cs="Times New Roman"/>
          <w:b/>
          <w:bCs/>
          <w:sz w:val="24"/>
          <w:szCs w:val="24"/>
        </w:rPr>
        <w:t>Figure 26: Time-structure map of the Basement through seismic. Considered to be the top of the Franklinian Megasequence. Sediment transport toward the south from a northern source.</w:t>
      </w:r>
    </w:p>
    <w:p w14:paraId="69D50FA9" w14:textId="70D5A6BD" w:rsidR="006668B6" w:rsidRPr="006668B6" w:rsidRDefault="009F4968" w:rsidP="0083236F">
      <w:pPr>
        <w:spacing w:before="240" w:line="360" w:lineRule="auto"/>
        <w:ind w:firstLine="360"/>
        <w:rPr>
          <w:rFonts w:ascii="Times New Roman" w:hAnsi="Times New Roman" w:cs="Times New Roman"/>
          <w:b/>
          <w:sz w:val="24"/>
          <w:szCs w:val="24"/>
        </w:rPr>
      </w:pPr>
      <w:r>
        <w:rPr>
          <w:rFonts w:ascii="Times New Roman" w:hAnsi="Times New Roman" w:cs="Times New Roman"/>
          <w:b/>
          <w:bCs/>
          <w:sz w:val="24"/>
          <w:szCs w:val="24"/>
        </w:rPr>
        <w:t>Figure 27</w:t>
      </w:r>
      <w:r w:rsidR="006668B6" w:rsidRPr="006668B6">
        <w:rPr>
          <w:rFonts w:ascii="Times New Roman" w:hAnsi="Times New Roman" w:cs="Times New Roman"/>
          <w:b/>
          <w:bCs/>
          <w:sz w:val="24"/>
          <w:szCs w:val="24"/>
        </w:rPr>
        <w:t xml:space="preserve">: </w:t>
      </w:r>
      <w:r w:rsidR="00D525D6" w:rsidRPr="00D525D6">
        <w:rPr>
          <w:rFonts w:ascii="Times New Roman" w:hAnsi="Times New Roman" w:cs="Times New Roman"/>
          <w:b/>
          <w:bCs/>
          <w:sz w:val="24"/>
          <w:szCs w:val="24"/>
        </w:rPr>
        <w:t>Time-structure map of the EL2 parasequence set boundary through seismic. This surface correlates to the top of the Lisburne Group. Sediment transport towards the south from a northern source.</w:t>
      </w:r>
    </w:p>
    <w:p w14:paraId="2E898BEA" w14:textId="77777777" w:rsidR="00D525D6" w:rsidRDefault="00D525D6" w:rsidP="0083236F">
      <w:pPr>
        <w:spacing w:before="240" w:line="360" w:lineRule="auto"/>
        <w:ind w:firstLine="360"/>
        <w:rPr>
          <w:rFonts w:ascii="Times New Roman" w:hAnsi="Times New Roman" w:cs="Times New Roman"/>
          <w:b/>
          <w:bCs/>
          <w:sz w:val="24"/>
          <w:szCs w:val="24"/>
        </w:rPr>
      </w:pPr>
      <w:r w:rsidRPr="00D525D6">
        <w:rPr>
          <w:rFonts w:ascii="Times New Roman" w:hAnsi="Times New Roman" w:cs="Times New Roman"/>
          <w:b/>
          <w:bCs/>
          <w:sz w:val="24"/>
          <w:szCs w:val="24"/>
        </w:rPr>
        <w:lastRenderedPageBreak/>
        <w:t>Figure 28: Time-structure map of the BE1 parasequence set boundary through seismic. This surface correlates to the top of the Sadlerochit-Shublik formations. VE=50. Sediment transport towards the south from a northern source.</w:t>
      </w:r>
    </w:p>
    <w:p w14:paraId="61AF4B6F" w14:textId="77777777" w:rsidR="00D525D6" w:rsidRPr="00D525D6" w:rsidRDefault="00D525D6" w:rsidP="00D525D6">
      <w:pPr>
        <w:spacing w:before="240" w:line="360" w:lineRule="auto"/>
        <w:ind w:firstLine="360"/>
        <w:rPr>
          <w:rFonts w:ascii="Times New Roman" w:hAnsi="Times New Roman" w:cs="Times New Roman"/>
          <w:b/>
          <w:bCs/>
          <w:sz w:val="24"/>
          <w:szCs w:val="24"/>
        </w:rPr>
      </w:pPr>
      <w:r w:rsidRPr="00D525D6">
        <w:rPr>
          <w:rFonts w:ascii="Times New Roman" w:hAnsi="Times New Roman" w:cs="Times New Roman"/>
          <w:b/>
          <w:bCs/>
          <w:sz w:val="24"/>
          <w:szCs w:val="24"/>
        </w:rPr>
        <w:t>Figure 29: Isopach map of the Beaufortian Megasequence through seismic lines and wells.</w:t>
      </w:r>
    </w:p>
    <w:p w14:paraId="10690A9B" w14:textId="77777777" w:rsidR="00D525D6" w:rsidRPr="00D525D6" w:rsidRDefault="00D525D6" w:rsidP="00D525D6">
      <w:pPr>
        <w:spacing w:before="240" w:line="360" w:lineRule="auto"/>
        <w:ind w:firstLine="360"/>
        <w:rPr>
          <w:rFonts w:ascii="Times New Roman" w:hAnsi="Times New Roman" w:cs="Times New Roman"/>
          <w:b/>
          <w:bCs/>
          <w:sz w:val="24"/>
          <w:szCs w:val="24"/>
        </w:rPr>
      </w:pPr>
      <w:r w:rsidRPr="00D525D6">
        <w:rPr>
          <w:rFonts w:ascii="Times New Roman" w:hAnsi="Times New Roman" w:cs="Times New Roman"/>
          <w:b/>
          <w:bCs/>
          <w:sz w:val="24"/>
          <w:szCs w:val="24"/>
        </w:rPr>
        <w:t>Figure 30: Time-structure map of the BE4 parasequence set boundary through seismic. This surface correlates to the top of the Kingak formation. VE=50. Sediment transport towards the south from a northern source.</w:t>
      </w:r>
    </w:p>
    <w:p w14:paraId="6791334C" w14:textId="77777777" w:rsidR="00D525D6" w:rsidRPr="00D525D6" w:rsidRDefault="00D525D6" w:rsidP="00D525D6">
      <w:pPr>
        <w:spacing w:before="240" w:line="360" w:lineRule="auto"/>
        <w:ind w:firstLine="360"/>
        <w:rPr>
          <w:rFonts w:ascii="Times New Roman" w:hAnsi="Times New Roman" w:cs="Times New Roman"/>
          <w:b/>
          <w:bCs/>
          <w:sz w:val="24"/>
          <w:szCs w:val="24"/>
        </w:rPr>
      </w:pPr>
      <w:r w:rsidRPr="00D525D6">
        <w:rPr>
          <w:rFonts w:ascii="Times New Roman" w:hAnsi="Times New Roman" w:cs="Times New Roman"/>
          <w:b/>
          <w:bCs/>
          <w:sz w:val="24"/>
          <w:szCs w:val="24"/>
        </w:rPr>
        <w:t>Figure 31: Time-structure map of the BE5 parasequence set boundary through seismic. This surface correlates to the top of the Pebble Shale. VE=50. Sediment transport predominantly towards the north.</w:t>
      </w:r>
    </w:p>
    <w:p w14:paraId="4C7FA076" w14:textId="77777777" w:rsidR="00D525D6" w:rsidRDefault="00D525D6" w:rsidP="00284670">
      <w:pPr>
        <w:spacing w:before="240" w:line="360" w:lineRule="auto"/>
        <w:ind w:firstLine="360"/>
        <w:rPr>
          <w:rFonts w:ascii="Times New Roman" w:hAnsi="Times New Roman" w:cs="Times New Roman"/>
          <w:b/>
          <w:bCs/>
          <w:sz w:val="24"/>
          <w:szCs w:val="24"/>
        </w:rPr>
      </w:pPr>
      <w:r w:rsidRPr="00D525D6">
        <w:rPr>
          <w:rFonts w:ascii="Times New Roman" w:hAnsi="Times New Roman" w:cs="Times New Roman"/>
          <w:b/>
          <w:bCs/>
          <w:sz w:val="24"/>
          <w:szCs w:val="24"/>
        </w:rPr>
        <w:t>Figure 32: Isopach map of the Brookian Megasequence through seismic lines and wells</w:t>
      </w:r>
      <w:r>
        <w:rPr>
          <w:rFonts w:ascii="Times New Roman" w:hAnsi="Times New Roman" w:cs="Times New Roman"/>
          <w:b/>
          <w:bCs/>
          <w:sz w:val="24"/>
          <w:szCs w:val="24"/>
        </w:rPr>
        <w:t>.</w:t>
      </w:r>
    </w:p>
    <w:p w14:paraId="27CABC97" w14:textId="573BA94E" w:rsidR="0083236F" w:rsidRDefault="00284670" w:rsidP="00284670">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33</w:t>
      </w:r>
      <w:r w:rsidR="0083236F" w:rsidRPr="0083236F">
        <w:rPr>
          <w:rFonts w:ascii="Times New Roman" w:hAnsi="Times New Roman" w:cs="Times New Roman"/>
          <w:b/>
          <w:bCs/>
          <w:sz w:val="24"/>
          <w:szCs w:val="24"/>
        </w:rPr>
        <w:t>: Time-structure map of the BR10 parasequence set boundary through seismic lines 27-81, 18-81, and B-81. This surface is representative of the clinoforms seen in the Torok Formation. VE=50.</w:t>
      </w:r>
      <w:r w:rsidRPr="00284670">
        <w:t xml:space="preserve"> </w:t>
      </w:r>
      <w:r w:rsidRPr="00284670">
        <w:rPr>
          <w:rFonts w:ascii="Times New Roman" w:hAnsi="Times New Roman" w:cs="Times New Roman"/>
          <w:b/>
          <w:bCs/>
          <w:sz w:val="24"/>
          <w:szCs w:val="24"/>
        </w:rPr>
        <w:t xml:space="preserve">Sediment transport to the northeast from the Brooks </w:t>
      </w:r>
      <w:r>
        <w:rPr>
          <w:rFonts w:ascii="Times New Roman" w:hAnsi="Times New Roman" w:cs="Times New Roman"/>
          <w:b/>
          <w:bCs/>
          <w:sz w:val="24"/>
          <w:szCs w:val="24"/>
        </w:rPr>
        <w:t>mountain range in the southwest.</w:t>
      </w:r>
    </w:p>
    <w:p w14:paraId="38BCF5B4" w14:textId="0A612B68" w:rsidR="001B04D9" w:rsidRDefault="001B04D9" w:rsidP="001B04D9">
      <w:pPr>
        <w:spacing w:before="240" w:line="360" w:lineRule="auto"/>
        <w:ind w:firstLine="360"/>
        <w:rPr>
          <w:rFonts w:ascii="Times New Roman" w:hAnsi="Times New Roman" w:cs="Times New Roman"/>
          <w:b/>
          <w:bCs/>
          <w:sz w:val="24"/>
          <w:szCs w:val="24"/>
        </w:rPr>
      </w:pPr>
      <w:r w:rsidRPr="001B04D9">
        <w:rPr>
          <w:rFonts w:ascii="Times New Roman" w:hAnsi="Times New Roman" w:cs="Times New Roman"/>
          <w:b/>
          <w:bCs/>
          <w:sz w:val="24"/>
          <w:szCs w:val="24"/>
        </w:rPr>
        <w:t>Figure 34: Figure showing various types of seismic facies. (A) Parallel to divergent facies. (B) Draping parallel facies. (C) Transparent sigmoid clinoform facies. (D) Hummocky facies. (E) Chaotic facies. (Modified from Lofi et al., 2003)</w:t>
      </w:r>
    </w:p>
    <w:p w14:paraId="53F51BA7" w14:textId="4CCAFDC3" w:rsidR="001B04D9" w:rsidRDefault="001B04D9" w:rsidP="00284670">
      <w:pPr>
        <w:spacing w:before="240" w:line="360" w:lineRule="auto"/>
        <w:ind w:firstLine="360"/>
        <w:rPr>
          <w:rFonts w:ascii="Times New Roman" w:hAnsi="Times New Roman" w:cs="Times New Roman"/>
          <w:b/>
          <w:bCs/>
          <w:sz w:val="24"/>
          <w:szCs w:val="24"/>
        </w:rPr>
      </w:pPr>
      <w:r w:rsidRPr="001B04D9">
        <w:rPr>
          <w:rFonts w:ascii="Times New Roman" w:hAnsi="Times New Roman" w:cs="Times New Roman"/>
          <w:b/>
          <w:bCs/>
          <w:sz w:val="24"/>
          <w:szCs w:val="24"/>
        </w:rPr>
        <w:t>Figure 35: Figure showing a zoomed in image of the Brookian clinoforms near the North Inigok 1 well. Seismic Facies have been grouped by color. The blue polygon corresponds to parallel to divergent facies. The green polygon corresponds to draping parallel facies. The yellow polygons correspond to transparent sigmoid clinoform facies. Important geological components of a delta are shown with black arrows.</w:t>
      </w:r>
    </w:p>
    <w:p w14:paraId="40391ED0" w14:textId="2275F889" w:rsidR="001B04D9" w:rsidRDefault="001B04D9" w:rsidP="001B04D9">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 xml:space="preserve">Figure 36: </w:t>
      </w:r>
      <w:r w:rsidRPr="00DD0D9A">
        <w:rPr>
          <w:rFonts w:ascii="Times New Roman" w:hAnsi="Times New Roman" w:cs="Times New Roman"/>
          <w:b/>
          <w:bCs/>
          <w:sz w:val="24"/>
          <w:szCs w:val="24"/>
        </w:rPr>
        <w:t>Comparison of line 27-81 local sea level curve on the left to Global Sea level curve (Haq et al., 1987) on the right.</w:t>
      </w:r>
    </w:p>
    <w:p w14:paraId="11E39857" w14:textId="22CC5951" w:rsidR="00DD0D9A" w:rsidRDefault="001B04D9" w:rsidP="00284670">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lastRenderedPageBreak/>
        <w:t>Figure 37</w:t>
      </w:r>
      <w:r w:rsidR="00DD0D9A">
        <w:rPr>
          <w:rFonts w:ascii="Times New Roman" w:hAnsi="Times New Roman" w:cs="Times New Roman"/>
          <w:b/>
          <w:bCs/>
          <w:sz w:val="24"/>
          <w:szCs w:val="24"/>
        </w:rPr>
        <w:t xml:space="preserve">: </w:t>
      </w:r>
      <w:r w:rsidR="00DD0D9A" w:rsidRPr="00DD0D9A">
        <w:rPr>
          <w:rFonts w:ascii="Times New Roman" w:hAnsi="Times New Roman" w:cs="Times New Roman"/>
          <w:b/>
          <w:bCs/>
          <w:sz w:val="24"/>
          <w:szCs w:val="24"/>
        </w:rPr>
        <w:t>Comparison of line 18-81 local sea level curve on the left to Global Sea level curve (Haq et al., 1987) on the right.</w:t>
      </w:r>
    </w:p>
    <w:p w14:paraId="287A09EA" w14:textId="148B3F16" w:rsidR="00DD0D9A" w:rsidRDefault="001B04D9" w:rsidP="00284670">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38</w:t>
      </w:r>
      <w:r w:rsidR="00DD0D9A">
        <w:rPr>
          <w:rFonts w:ascii="Times New Roman" w:hAnsi="Times New Roman" w:cs="Times New Roman"/>
          <w:b/>
          <w:bCs/>
          <w:sz w:val="24"/>
          <w:szCs w:val="24"/>
        </w:rPr>
        <w:t>:</w:t>
      </w:r>
      <w:r w:rsidR="00DD0D9A" w:rsidRPr="00DD0D9A">
        <w:t xml:space="preserve"> </w:t>
      </w:r>
      <w:r w:rsidR="00DD0D9A" w:rsidRPr="00DD0D9A">
        <w:rPr>
          <w:rFonts w:ascii="Times New Roman" w:hAnsi="Times New Roman" w:cs="Times New Roman"/>
          <w:b/>
          <w:bCs/>
          <w:sz w:val="24"/>
          <w:szCs w:val="24"/>
        </w:rPr>
        <w:t>Lithologic boundaries picked on the East Teshekpuk 1 well.</w:t>
      </w:r>
    </w:p>
    <w:p w14:paraId="1AE30956" w14:textId="3CFFED7C" w:rsidR="00DD0D9A" w:rsidRDefault="001B04D9" w:rsidP="00284670">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39</w:t>
      </w:r>
      <w:r w:rsidR="00DD0D9A">
        <w:rPr>
          <w:rFonts w:ascii="Times New Roman" w:hAnsi="Times New Roman" w:cs="Times New Roman"/>
          <w:b/>
          <w:bCs/>
          <w:sz w:val="24"/>
          <w:szCs w:val="24"/>
        </w:rPr>
        <w:t xml:space="preserve">: </w:t>
      </w:r>
      <w:r w:rsidR="00DD0D9A" w:rsidRPr="00DD0D9A">
        <w:rPr>
          <w:rFonts w:ascii="Times New Roman" w:hAnsi="Times New Roman" w:cs="Times New Roman"/>
          <w:b/>
          <w:bCs/>
          <w:sz w:val="24"/>
          <w:szCs w:val="24"/>
        </w:rPr>
        <w:t>Lithologic boundaries picked on the North Kalikpik 1 well.</w:t>
      </w:r>
    </w:p>
    <w:p w14:paraId="42AD71D5" w14:textId="41467441" w:rsidR="00DD0D9A" w:rsidRDefault="001B04D9" w:rsidP="00284670">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40</w:t>
      </w:r>
      <w:r w:rsidR="00DD0D9A">
        <w:rPr>
          <w:rFonts w:ascii="Times New Roman" w:hAnsi="Times New Roman" w:cs="Times New Roman"/>
          <w:b/>
          <w:bCs/>
          <w:sz w:val="24"/>
          <w:szCs w:val="24"/>
        </w:rPr>
        <w:t>:</w:t>
      </w:r>
      <w:r w:rsidR="00DD0D9A" w:rsidRPr="00DD0D9A">
        <w:t xml:space="preserve"> </w:t>
      </w:r>
      <w:r w:rsidR="00DD0D9A" w:rsidRPr="00DD0D9A">
        <w:rPr>
          <w:rFonts w:ascii="Times New Roman" w:hAnsi="Times New Roman" w:cs="Times New Roman"/>
          <w:b/>
          <w:bCs/>
          <w:sz w:val="24"/>
          <w:szCs w:val="24"/>
        </w:rPr>
        <w:t>Lithologic boundaries picked on the West Fish Creek 1 well.</w:t>
      </w:r>
    </w:p>
    <w:p w14:paraId="33E56C31" w14:textId="46E6C305" w:rsidR="00DD0D9A" w:rsidRDefault="00DD0D9A" w:rsidP="00284670">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 xml:space="preserve">Figure </w:t>
      </w:r>
      <w:r w:rsidR="001B04D9">
        <w:rPr>
          <w:rFonts w:ascii="Times New Roman" w:hAnsi="Times New Roman" w:cs="Times New Roman"/>
          <w:b/>
          <w:bCs/>
          <w:sz w:val="24"/>
          <w:szCs w:val="24"/>
        </w:rPr>
        <w:t>41</w:t>
      </w:r>
      <w:r>
        <w:rPr>
          <w:rFonts w:ascii="Times New Roman" w:hAnsi="Times New Roman" w:cs="Times New Roman"/>
          <w:b/>
          <w:bCs/>
          <w:sz w:val="24"/>
          <w:szCs w:val="24"/>
        </w:rPr>
        <w:t>:</w:t>
      </w:r>
      <w:r w:rsidRPr="00DD0D9A">
        <w:t xml:space="preserve"> </w:t>
      </w:r>
      <w:r w:rsidRPr="00DD0D9A">
        <w:rPr>
          <w:rFonts w:ascii="Times New Roman" w:hAnsi="Times New Roman" w:cs="Times New Roman"/>
          <w:b/>
          <w:bCs/>
          <w:sz w:val="24"/>
          <w:szCs w:val="24"/>
        </w:rPr>
        <w:t>Seismic Line 12-81 annotated to show major lithologic formation tops crossing through two wells: East Teshekpuk 1(left) and West Fish Creek (right).  The formation tops shown include: Lisburne (Pink), Sadlerochit-Shublik (Orange), Kingak (Light green), Pebble Shale (Cyan), and Torok (Blue).</w:t>
      </w:r>
    </w:p>
    <w:p w14:paraId="6C1E2B49" w14:textId="1DD475C1" w:rsidR="003647DF" w:rsidRDefault="001B04D9" w:rsidP="00284670">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42</w:t>
      </w:r>
      <w:r w:rsidR="003647DF">
        <w:rPr>
          <w:rFonts w:ascii="Times New Roman" w:hAnsi="Times New Roman" w:cs="Times New Roman"/>
          <w:b/>
          <w:bCs/>
          <w:sz w:val="24"/>
          <w:szCs w:val="24"/>
        </w:rPr>
        <w:t xml:space="preserve">: </w:t>
      </w:r>
      <w:r w:rsidR="003647DF" w:rsidRPr="003647DF">
        <w:rPr>
          <w:rFonts w:ascii="Times New Roman" w:hAnsi="Times New Roman" w:cs="Times New Roman"/>
          <w:b/>
          <w:bCs/>
          <w:sz w:val="24"/>
          <w:szCs w:val="24"/>
        </w:rPr>
        <w:t>Seismic Line 16-81 annotated to show major lithologic formation tops crossing through two wells: Ikpikpuk 1(left) and North Inigok 1 (right).  The formation tops shown include: Lisburne (Pink), Sadlerochit-Shublik (Orange), Kingak (Light green), Pebble Shale (Cyan), and Torok (Blue).</w:t>
      </w:r>
    </w:p>
    <w:p w14:paraId="39806EA0" w14:textId="7AB625E8" w:rsidR="003647DF" w:rsidRDefault="001B04D9" w:rsidP="001B04D9">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43</w:t>
      </w:r>
      <w:r w:rsidR="003647DF">
        <w:rPr>
          <w:rFonts w:ascii="Times New Roman" w:hAnsi="Times New Roman" w:cs="Times New Roman"/>
          <w:b/>
          <w:bCs/>
          <w:sz w:val="24"/>
          <w:szCs w:val="24"/>
        </w:rPr>
        <w:t>:</w:t>
      </w:r>
      <w:r w:rsidR="003647DF" w:rsidRPr="003647DF">
        <w:t xml:space="preserve"> </w:t>
      </w:r>
      <w:r w:rsidR="003647DF" w:rsidRPr="003647DF">
        <w:rPr>
          <w:rFonts w:ascii="Times New Roman" w:hAnsi="Times New Roman" w:cs="Times New Roman"/>
          <w:b/>
          <w:bCs/>
          <w:sz w:val="24"/>
          <w:szCs w:val="24"/>
        </w:rPr>
        <w:t>Seismic Line 22-81 annotated to show major lithologic formation tops crossing through the Ikpikpuk 1 well.  The formation tops shown include: Lisburne (Pink), Sadlerochit-Shublik (Orange), Kingak (Light green), Pebble Shale (Cyan), and Torok (Blue).</w:t>
      </w:r>
    </w:p>
    <w:p w14:paraId="71157B05" w14:textId="12D1F369" w:rsidR="003647DF" w:rsidRDefault="001B04D9" w:rsidP="001B04D9">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44</w:t>
      </w:r>
      <w:r w:rsidR="003647DF">
        <w:rPr>
          <w:rFonts w:ascii="Times New Roman" w:hAnsi="Times New Roman" w:cs="Times New Roman"/>
          <w:b/>
          <w:bCs/>
          <w:sz w:val="24"/>
          <w:szCs w:val="24"/>
        </w:rPr>
        <w:t>:</w:t>
      </w:r>
      <w:r w:rsidR="003647DF" w:rsidRPr="003647DF">
        <w:t xml:space="preserve"> </w:t>
      </w:r>
      <w:r w:rsidR="003647DF" w:rsidRPr="003647DF">
        <w:rPr>
          <w:rFonts w:ascii="Times New Roman" w:hAnsi="Times New Roman" w:cs="Times New Roman"/>
          <w:b/>
          <w:bCs/>
          <w:sz w:val="24"/>
          <w:szCs w:val="24"/>
        </w:rPr>
        <w:t xml:space="preserve">Seismic Line 28-81 annotated to show </w:t>
      </w:r>
      <w:r w:rsidR="003647DF">
        <w:rPr>
          <w:rFonts w:ascii="Times New Roman" w:hAnsi="Times New Roman" w:cs="Times New Roman"/>
          <w:b/>
          <w:bCs/>
          <w:sz w:val="24"/>
          <w:szCs w:val="24"/>
        </w:rPr>
        <w:t>major lithologic formation tops.</w:t>
      </w:r>
      <w:r w:rsidR="003647DF" w:rsidRPr="003647DF">
        <w:rPr>
          <w:rFonts w:ascii="Times New Roman" w:hAnsi="Times New Roman" w:cs="Times New Roman"/>
          <w:b/>
          <w:bCs/>
          <w:sz w:val="24"/>
          <w:szCs w:val="24"/>
        </w:rPr>
        <w:t xml:space="preserve"> The formation tops shown include: Lisburne (Pink), Sadlerochit-Shublik (Orange), Kingak (Light green), Pebble Shale (Cyan), and Torok (Blue).</w:t>
      </w:r>
    </w:p>
    <w:p w14:paraId="32B95998" w14:textId="421A98F5" w:rsidR="003647DF" w:rsidRDefault="001B04D9" w:rsidP="001B04D9">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45</w:t>
      </w:r>
      <w:r w:rsidR="003647DF">
        <w:rPr>
          <w:rFonts w:ascii="Times New Roman" w:hAnsi="Times New Roman" w:cs="Times New Roman"/>
          <w:b/>
          <w:bCs/>
          <w:sz w:val="24"/>
          <w:szCs w:val="24"/>
        </w:rPr>
        <w:t>:</w:t>
      </w:r>
      <w:r w:rsidR="003647DF" w:rsidRPr="003647DF">
        <w:t xml:space="preserve"> </w:t>
      </w:r>
      <w:r w:rsidR="003647DF" w:rsidRPr="003647DF">
        <w:rPr>
          <w:rFonts w:ascii="Times New Roman" w:hAnsi="Times New Roman" w:cs="Times New Roman"/>
          <w:b/>
          <w:bCs/>
          <w:sz w:val="24"/>
          <w:szCs w:val="24"/>
        </w:rPr>
        <w:t>Seismic Line 31-81 annotated to show major lithologic formation tops. The formation tops shown include: Lisburne (Pink), Sadlerochit-Shublik (Orange), Kingak (Light green), Pebble Shale (Cyan), and Torok (Blue).</w:t>
      </w:r>
    </w:p>
    <w:p w14:paraId="2B8E1C74" w14:textId="4A4E6521" w:rsidR="003647DF" w:rsidRDefault="001B04D9" w:rsidP="001B04D9">
      <w:pPr>
        <w:spacing w:before="240" w:line="360" w:lineRule="auto"/>
        <w:ind w:firstLine="360"/>
        <w:rPr>
          <w:rFonts w:ascii="Times New Roman" w:hAnsi="Times New Roman" w:cs="Times New Roman"/>
          <w:b/>
          <w:bCs/>
          <w:sz w:val="24"/>
          <w:szCs w:val="24"/>
        </w:rPr>
      </w:pPr>
      <w:r>
        <w:rPr>
          <w:rFonts w:ascii="Times New Roman" w:hAnsi="Times New Roman" w:cs="Times New Roman"/>
          <w:b/>
          <w:bCs/>
          <w:sz w:val="24"/>
          <w:szCs w:val="24"/>
        </w:rPr>
        <w:t>Figure 46</w:t>
      </w:r>
      <w:r w:rsidR="003647DF">
        <w:rPr>
          <w:rFonts w:ascii="Times New Roman" w:hAnsi="Times New Roman" w:cs="Times New Roman"/>
          <w:b/>
          <w:bCs/>
          <w:sz w:val="24"/>
          <w:szCs w:val="24"/>
        </w:rPr>
        <w:t xml:space="preserve">: </w:t>
      </w:r>
      <w:r w:rsidR="003647DF" w:rsidRPr="003647DF">
        <w:rPr>
          <w:rFonts w:ascii="Times New Roman" w:hAnsi="Times New Roman" w:cs="Times New Roman"/>
          <w:b/>
          <w:bCs/>
          <w:sz w:val="24"/>
          <w:szCs w:val="24"/>
        </w:rPr>
        <w:t xml:space="preserve">Seismic Line 33-81 annotated to show major lithologic formation tops crossing through the Inigok 1 well.  The formation tops shown include: Lisburne (Pink), </w:t>
      </w:r>
      <w:r w:rsidR="003647DF" w:rsidRPr="003647DF">
        <w:rPr>
          <w:rFonts w:ascii="Times New Roman" w:hAnsi="Times New Roman" w:cs="Times New Roman"/>
          <w:b/>
          <w:bCs/>
          <w:sz w:val="24"/>
          <w:szCs w:val="24"/>
        </w:rPr>
        <w:lastRenderedPageBreak/>
        <w:t>Sadlerochit-Shublik (Orange), Kingak (Light green), Pebble Shale (Cyan), and Torok (Blue).</w:t>
      </w:r>
    </w:p>
    <w:p w14:paraId="7A3D2834" w14:textId="2905F5A1" w:rsidR="003647DF" w:rsidRDefault="001B04D9" w:rsidP="001B04D9">
      <w:pPr>
        <w:spacing w:before="240" w:line="360" w:lineRule="auto"/>
        <w:ind w:firstLine="360"/>
        <w:rPr>
          <w:rFonts w:ascii="Times New Roman" w:hAnsi="Times New Roman" w:cs="Times New Roman"/>
          <w:b/>
          <w:sz w:val="24"/>
          <w:szCs w:val="24"/>
        </w:rPr>
      </w:pPr>
      <w:r>
        <w:rPr>
          <w:rFonts w:ascii="Times New Roman" w:hAnsi="Times New Roman" w:cs="Times New Roman"/>
          <w:b/>
          <w:sz w:val="24"/>
          <w:szCs w:val="24"/>
        </w:rPr>
        <w:t>Figure 47</w:t>
      </w:r>
      <w:r w:rsidR="003647DF" w:rsidRPr="003647DF">
        <w:rPr>
          <w:rFonts w:ascii="Times New Roman" w:hAnsi="Times New Roman" w:cs="Times New Roman"/>
          <w:b/>
          <w:sz w:val="24"/>
          <w:szCs w:val="24"/>
        </w:rPr>
        <w:t>: Seismic Line 37-81 annotated to show major lithologic formation tops. The formation tops shown include: Lisburne (Pink), Sadlerochit-Shublik (Orange), Kingak (Light green), Pebble Shale (Cyan), and Torok (Blue).</w:t>
      </w:r>
    </w:p>
    <w:p w14:paraId="369E247A" w14:textId="563EF038" w:rsidR="003647DF" w:rsidRDefault="001B04D9" w:rsidP="001B04D9">
      <w:pPr>
        <w:spacing w:before="240" w:line="360" w:lineRule="auto"/>
        <w:ind w:firstLine="360"/>
        <w:rPr>
          <w:rFonts w:ascii="Times New Roman" w:hAnsi="Times New Roman" w:cs="Times New Roman"/>
          <w:b/>
          <w:sz w:val="24"/>
          <w:szCs w:val="24"/>
        </w:rPr>
      </w:pPr>
      <w:r>
        <w:rPr>
          <w:rFonts w:ascii="Times New Roman" w:hAnsi="Times New Roman" w:cs="Times New Roman"/>
          <w:b/>
          <w:sz w:val="24"/>
          <w:szCs w:val="24"/>
        </w:rPr>
        <w:t>Figure 48</w:t>
      </w:r>
      <w:r w:rsidR="003647DF" w:rsidRPr="003647DF">
        <w:rPr>
          <w:rFonts w:ascii="Times New Roman" w:hAnsi="Times New Roman" w:cs="Times New Roman"/>
          <w:b/>
          <w:sz w:val="24"/>
          <w:szCs w:val="24"/>
        </w:rPr>
        <w:t>: Seismic Line A-81 annotated to show major lithologic formation tops crossing through the East Teshekpuk 1 well. The formation tops shown include: Lisburne (Pink), Sadlerochit-Shublik (Orange), Kingak (Light green), Pebble Shale (Cyan), and Torok (Blue).</w:t>
      </w:r>
    </w:p>
    <w:p w14:paraId="246C9EE6" w14:textId="59AD9AD2" w:rsidR="003647DF" w:rsidRDefault="001B04D9" w:rsidP="001B04D9">
      <w:pPr>
        <w:spacing w:before="240" w:line="360" w:lineRule="auto"/>
        <w:ind w:firstLine="360"/>
        <w:rPr>
          <w:rFonts w:ascii="Times New Roman" w:hAnsi="Times New Roman" w:cs="Times New Roman"/>
          <w:b/>
          <w:sz w:val="24"/>
          <w:szCs w:val="24"/>
        </w:rPr>
      </w:pPr>
      <w:r>
        <w:rPr>
          <w:rFonts w:ascii="Times New Roman" w:hAnsi="Times New Roman" w:cs="Times New Roman"/>
          <w:b/>
          <w:sz w:val="24"/>
          <w:szCs w:val="24"/>
        </w:rPr>
        <w:t>Figure 49</w:t>
      </w:r>
      <w:r w:rsidR="003647DF" w:rsidRPr="003647DF">
        <w:rPr>
          <w:rFonts w:ascii="Times New Roman" w:hAnsi="Times New Roman" w:cs="Times New Roman"/>
          <w:b/>
          <w:sz w:val="24"/>
          <w:szCs w:val="24"/>
        </w:rPr>
        <w:t>: Seismic Line C-81 annotated to show major lithologic formation tops. The formation tops shown include: Lisburne (Pink), Sadlerochit-Shublik (Orange), Kingak (Light green), Pebble Shale (Cyan), and Torok (Blue).</w:t>
      </w:r>
    </w:p>
    <w:p w14:paraId="58E48DC0" w14:textId="09011009" w:rsidR="003647DF" w:rsidRDefault="001B04D9" w:rsidP="001B04D9">
      <w:pPr>
        <w:spacing w:before="240" w:line="360" w:lineRule="auto"/>
        <w:ind w:firstLine="360"/>
        <w:rPr>
          <w:rFonts w:ascii="Times New Roman" w:hAnsi="Times New Roman" w:cs="Times New Roman"/>
          <w:b/>
          <w:sz w:val="24"/>
          <w:szCs w:val="24"/>
        </w:rPr>
      </w:pPr>
      <w:r>
        <w:rPr>
          <w:rFonts w:ascii="Times New Roman" w:hAnsi="Times New Roman" w:cs="Times New Roman"/>
          <w:b/>
          <w:sz w:val="24"/>
          <w:szCs w:val="24"/>
        </w:rPr>
        <w:t>Figure 50</w:t>
      </w:r>
      <w:r w:rsidR="003647DF" w:rsidRPr="003647DF">
        <w:rPr>
          <w:rFonts w:ascii="Times New Roman" w:hAnsi="Times New Roman" w:cs="Times New Roman"/>
          <w:b/>
          <w:sz w:val="24"/>
          <w:szCs w:val="24"/>
        </w:rPr>
        <w:t>: Seismic Line D-81 annotated to show major lithologic formation tops. The formation tops shown include: Lisburne (Pink), Sadlerochit-Shublik (Orange), Kingak (Light green), Pebble Shale (Cyan), and Torok (Blue).</w:t>
      </w:r>
    </w:p>
    <w:p w14:paraId="3A338D69" w14:textId="4DB1B414" w:rsidR="003647DF" w:rsidRDefault="001B04D9" w:rsidP="001B04D9">
      <w:pPr>
        <w:spacing w:before="240" w:line="360" w:lineRule="auto"/>
        <w:ind w:firstLine="360"/>
        <w:rPr>
          <w:rFonts w:ascii="Times New Roman" w:hAnsi="Times New Roman" w:cs="Times New Roman"/>
          <w:b/>
          <w:sz w:val="24"/>
          <w:szCs w:val="24"/>
        </w:rPr>
      </w:pPr>
      <w:r>
        <w:rPr>
          <w:rFonts w:ascii="Times New Roman" w:hAnsi="Times New Roman" w:cs="Times New Roman"/>
          <w:b/>
          <w:sz w:val="24"/>
          <w:szCs w:val="24"/>
        </w:rPr>
        <w:t>Figure 51</w:t>
      </w:r>
      <w:r w:rsidR="003647DF" w:rsidRPr="003647DF">
        <w:rPr>
          <w:rFonts w:ascii="Times New Roman" w:hAnsi="Times New Roman" w:cs="Times New Roman"/>
          <w:b/>
          <w:sz w:val="24"/>
          <w:szCs w:val="24"/>
        </w:rPr>
        <w:t>: Seismic Line 28-81 showing unconformity surfaces. Operational sequence boundaries are colored by tectonic phase. The black line is the acoustic basement, the red lines are Ellesmerian aged, the blue lines are Beaufortian aged, and the green lines are Brookian aged.</w:t>
      </w:r>
    </w:p>
    <w:p w14:paraId="5C79E7FC" w14:textId="4913FF3D" w:rsidR="003647DF" w:rsidRDefault="001B04D9" w:rsidP="001B04D9">
      <w:pPr>
        <w:spacing w:before="240" w:line="360" w:lineRule="auto"/>
        <w:ind w:firstLine="360"/>
        <w:rPr>
          <w:rFonts w:ascii="Times New Roman" w:hAnsi="Times New Roman" w:cs="Times New Roman"/>
          <w:b/>
          <w:sz w:val="24"/>
          <w:szCs w:val="24"/>
        </w:rPr>
      </w:pPr>
      <w:r>
        <w:rPr>
          <w:rFonts w:ascii="Times New Roman" w:hAnsi="Times New Roman" w:cs="Times New Roman"/>
          <w:b/>
          <w:sz w:val="24"/>
          <w:szCs w:val="24"/>
        </w:rPr>
        <w:t>Figure 52</w:t>
      </w:r>
      <w:r w:rsidR="003647DF" w:rsidRPr="003647DF">
        <w:rPr>
          <w:rFonts w:ascii="Times New Roman" w:hAnsi="Times New Roman" w:cs="Times New Roman"/>
          <w:b/>
          <w:sz w:val="24"/>
          <w:szCs w:val="24"/>
        </w:rPr>
        <w:t>: Seismic Line 33-81 showing unconformity surfaces crossing through the Inigok 1 well. Operational sequence boundaries are colored by tectonic phase. The black line is the acoustic basement, the red lines are Ellesmerian aged, the blue lines are Beaufortian aged, and the green lines are Brookian aged.</w:t>
      </w:r>
    </w:p>
    <w:p w14:paraId="38D92959" w14:textId="3C3280B9" w:rsidR="001B04D9" w:rsidRPr="008F706D" w:rsidRDefault="003647DF" w:rsidP="008F706D">
      <w:pPr>
        <w:spacing w:before="240" w:line="360" w:lineRule="auto"/>
        <w:ind w:firstLine="360"/>
        <w:rPr>
          <w:rFonts w:ascii="Times New Roman" w:hAnsi="Times New Roman" w:cs="Times New Roman"/>
          <w:b/>
          <w:sz w:val="24"/>
          <w:szCs w:val="24"/>
        </w:rPr>
      </w:pPr>
      <w:r w:rsidRPr="003647DF">
        <w:rPr>
          <w:rFonts w:ascii="Times New Roman" w:hAnsi="Times New Roman" w:cs="Times New Roman"/>
          <w:b/>
          <w:bCs/>
          <w:sz w:val="24"/>
          <w:szCs w:val="24"/>
        </w:rPr>
        <w:t>Fig</w:t>
      </w:r>
      <w:r w:rsidR="001B04D9">
        <w:rPr>
          <w:rFonts w:ascii="Times New Roman" w:hAnsi="Times New Roman" w:cs="Times New Roman"/>
          <w:b/>
          <w:bCs/>
          <w:sz w:val="24"/>
          <w:szCs w:val="24"/>
        </w:rPr>
        <w:t>ure 53</w:t>
      </w:r>
      <w:r w:rsidRPr="003647DF">
        <w:rPr>
          <w:rFonts w:ascii="Times New Roman" w:hAnsi="Times New Roman" w:cs="Times New Roman"/>
          <w:b/>
          <w:bCs/>
          <w:sz w:val="24"/>
          <w:szCs w:val="24"/>
        </w:rPr>
        <w:t xml:space="preserve">: Seismic Line A-81 showing unconformity surfaces crossing through the East Teshekpuk 1 well. Operational sequence boundaries are colored by tectonic phase. The black line is the acoustic basement, the red lines are Ellesmerian aged, the blue lines are Beaufortian aged, and the green lines are Brookian aged. </w:t>
      </w:r>
    </w:p>
    <w:p w14:paraId="2FA19524" w14:textId="69B99882" w:rsidR="006C0A96" w:rsidRDefault="006C0A96" w:rsidP="006C0A96">
      <w:pPr>
        <w:spacing w:line="240" w:lineRule="auto"/>
        <w:jc w:val="center"/>
        <w:rPr>
          <w:rFonts w:ascii="Times New Roman" w:hAnsi="Times New Roman" w:cs="Times New Roman"/>
          <w:b/>
          <w:color w:val="FF0000"/>
          <w:sz w:val="28"/>
          <w:szCs w:val="24"/>
        </w:rPr>
      </w:pPr>
      <w:r>
        <w:rPr>
          <w:rFonts w:ascii="Times New Roman" w:hAnsi="Times New Roman" w:cs="Times New Roman"/>
          <w:b/>
          <w:sz w:val="28"/>
          <w:szCs w:val="24"/>
        </w:rPr>
        <w:lastRenderedPageBreak/>
        <w:t>ABSTRACT</w:t>
      </w:r>
      <w:r w:rsidR="00D2467A">
        <w:rPr>
          <w:rFonts w:ascii="Times New Roman" w:hAnsi="Times New Roman" w:cs="Times New Roman"/>
          <w:b/>
          <w:color w:val="FF0000"/>
          <w:sz w:val="28"/>
          <w:szCs w:val="24"/>
        </w:rPr>
        <w:t xml:space="preserve"> </w:t>
      </w:r>
    </w:p>
    <w:p w14:paraId="101C9AEE" w14:textId="0F87CC23" w:rsidR="00D2467A" w:rsidRPr="00D2467A" w:rsidRDefault="00D2467A" w:rsidP="006C0A96">
      <w:pPr>
        <w:spacing w:line="240" w:lineRule="auto"/>
        <w:jc w:val="center"/>
        <w:rPr>
          <w:rFonts w:ascii="Times New Roman" w:hAnsi="Times New Roman" w:cs="Times New Roman"/>
          <w:b/>
          <w:color w:val="FF0000"/>
          <w:sz w:val="28"/>
          <w:szCs w:val="24"/>
        </w:rPr>
      </w:pPr>
    </w:p>
    <w:p w14:paraId="50225B5A" w14:textId="77777777" w:rsidR="0017232D" w:rsidRDefault="0017232D" w:rsidP="006C0A96">
      <w:pPr>
        <w:spacing w:line="240" w:lineRule="auto"/>
        <w:jc w:val="center"/>
        <w:rPr>
          <w:rFonts w:ascii="Times New Roman" w:hAnsi="Times New Roman" w:cs="Times New Roman"/>
          <w:b/>
          <w:sz w:val="28"/>
          <w:szCs w:val="24"/>
        </w:rPr>
      </w:pPr>
    </w:p>
    <w:p w14:paraId="1966DCE7" w14:textId="7896E927" w:rsidR="00C1256C" w:rsidRPr="00AA0048" w:rsidRDefault="00C1256C" w:rsidP="00C1256C">
      <w:pPr>
        <w:spacing w:line="480" w:lineRule="auto"/>
        <w:ind w:firstLine="720"/>
      </w:pPr>
      <w:r w:rsidRPr="00D30655">
        <w:rPr>
          <w:rFonts w:ascii="Times New Roman" w:hAnsi="Times New Roman" w:cs="Times New Roman"/>
          <w:sz w:val="24"/>
          <w:szCs w:val="24"/>
        </w:rPr>
        <w:t xml:space="preserve">The deposition of sediment in the Ikpikpuk-Umiat Basin of the NPRA has been governed by four distinct tectonic phases: 1) Franklinian crustal shortening, 2) Ellesmerian continental sag, 3) Beaufortian continental rifting, and 4) Brookian crustal shortening and tectonic inversion. These tectonic phases and changes in global sea-level resulted in identifiable depositional packages (megasequences). Utilization of the Vail seismic method and corresponding Galloway petrophysical motif analysis identify four parasequence sets: Highstand Systems Tract (HST), Regressive Systems Tract (RST), Lowstand Systems Tract (LST), and Transgressive Systems Tract (TST). These parasequence sets are separated and divided by 25 operational sequence boundaries from the Mississippian to the Cretaceous. Comparison of local and global sea-level curves indicate that the Ikpikpuk-Umiat basin was controlled by allocyclic processes until Brookian time, in which depositional loading of sediment forced the basin to subside. </w:t>
      </w:r>
      <w:r w:rsidR="00A7301A">
        <w:rPr>
          <w:rFonts w:ascii="Times New Roman" w:hAnsi="Times New Roman" w:cs="Times New Roman"/>
          <w:sz w:val="24"/>
          <w:szCs w:val="24"/>
        </w:rPr>
        <w:t>Chronostratigraphic W</w:t>
      </w:r>
      <w:r>
        <w:rPr>
          <w:rFonts w:ascii="Times New Roman" w:hAnsi="Times New Roman" w:cs="Times New Roman"/>
          <w:sz w:val="24"/>
          <w:szCs w:val="24"/>
        </w:rPr>
        <w:t>heeler diagrams</w:t>
      </w:r>
      <w:r w:rsidRPr="00D30655">
        <w:rPr>
          <w:rFonts w:ascii="Times New Roman" w:hAnsi="Times New Roman" w:cs="Times New Roman"/>
          <w:sz w:val="24"/>
          <w:szCs w:val="24"/>
        </w:rPr>
        <w:t xml:space="preserve"> illustrate the results of the complex relationship between auto- and allocyclic accommodation changes</w:t>
      </w:r>
      <w:r>
        <w:rPr>
          <w:rFonts w:ascii="Times New Roman" w:hAnsi="Times New Roman" w:cs="Times New Roman"/>
          <w:sz w:val="24"/>
          <w:szCs w:val="24"/>
        </w:rPr>
        <w:t>. An understanding of the relationship between these depositional phases will substantially increase hydrocarbon exploration strategies. Recent studies suggest the Nanushuk in particular has promising potential for hydrocarbon production, and the relative locations of the underlying systems tracts provide information on the most likely locations of traps, seals, reservoirs, and source rocks.</w:t>
      </w:r>
    </w:p>
    <w:p w14:paraId="213BB386" w14:textId="0A62ED35" w:rsidR="006C0A96" w:rsidRDefault="006C0A96" w:rsidP="006C0A96">
      <w:pPr>
        <w:spacing w:line="240" w:lineRule="auto"/>
        <w:jc w:val="center"/>
        <w:rPr>
          <w:rFonts w:ascii="Times New Roman" w:hAnsi="Times New Roman" w:cs="Times New Roman"/>
          <w:b/>
          <w:sz w:val="28"/>
          <w:szCs w:val="24"/>
        </w:rPr>
      </w:pPr>
    </w:p>
    <w:p w14:paraId="1752B624" w14:textId="77777777" w:rsidR="004C04B6" w:rsidRPr="006326B4" w:rsidRDefault="004C04B6" w:rsidP="006326B4">
      <w:pPr>
        <w:spacing w:line="480" w:lineRule="auto"/>
        <w:rPr>
          <w:rFonts w:ascii="Times New Roman" w:hAnsi="Times New Roman" w:cs="Times New Roman"/>
          <w:b/>
          <w:sz w:val="28"/>
          <w:szCs w:val="24"/>
        </w:rPr>
        <w:sectPr w:rsidR="004C04B6" w:rsidRPr="006326B4" w:rsidSect="00AB1B84">
          <w:footerReference w:type="default" r:id="rId9"/>
          <w:pgSz w:w="12240" w:h="15840"/>
          <w:pgMar w:top="1440" w:right="1440" w:bottom="1440" w:left="1440" w:header="720" w:footer="720" w:gutter="0"/>
          <w:pgNumType w:fmt="lowerRoman" w:start="4"/>
          <w:cols w:space="720"/>
          <w:docGrid w:linePitch="360"/>
        </w:sectPr>
      </w:pPr>
    </w:p>
    <w:p w14:paraId="1111AFC1" w14:textId="79F7A247" w:rsidR="00417014" w:rsidRPr="009D20F7" w:rsidRDefault="009D20F7" w:rsidP="00417014">
      <w:pPr>
        <w:spacing w:line="480" w:lineRule="auto"/>
        <w:jc w:val="center"/>
        <w:rPr>
          <w:rFonts w:ascii="Times New Roman" w:hAnsi="Times New Roman" w:cs="Times New Roman"/>
          <w:b/>
          <w:sz w:val="28"/>
          <w:szCs w:val="28"/>
        </w:rPr>
      </w:pPr>
      <w:r w:rsidRPr="009D20F7">
        <w:rPr>
          <w:rFonts w:ascii="Times New Roman" w:hAnsi="Times New Roman" w:cs="Times New Roman"/>
          <w:b/>
          <w:sz w:val="28"/>
          <w:szCs w:val="28"/>
        </w:rPr>
        <w:lastRenderedPageBreak/>
        <w:t>INTRODUCTION</w:t>
      </w:r>
    </w:p>
    <w:p w14:paraId="6E904997" w14:textId="0594D43C"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Northern Petroleum Reserve in Alaska (NPRA) is over 95,000 square kilometers in are</w:t>
      </w:r>
      <w:r w:rsidR="00A7301A">
        <w:rPr>
          <w:rFonts w:ascii="Times New Roman" w:hAnsi="Times New Roman" w:cs="Times New Roman"/>
          <w:sz w:val="24"/>
          <w:szCs w:val="24"/>
        </w:rPr>
        <w:t>a and consists of all the land n</w:t>
      </w:r>
      <w:r>
        <w:rPr>
          <w:rFonts w:ascii="Times New Roman" w:hAnsi="Times New Roman" w:cs="Times New Roman"/>
          <w:sz w:val="24"/>
          <w:szCs w:val="24"/>
        </w:rPr>
        <w:t>orth of the Brook</w:t>
      </w:r>
      <w:r w:rsidR="00A7301A">
        <w:rPr>
          <w:rFonts w:ascii="Times New Roman" w:hAnsi="Times New Roman" w:cs="Times New Roman"/>
          <w:sz w:val="24"/>
          <w:szCs w:val="24"/>
        </w:rPr>
        <w:t>s Range and Colville River and south and e</w:t>
      </w:r>
      <w:r>
        <w:rPr>
          <w:rFonts w:ascii="Times New Roman" w:hAnsi="Times New Roman" w:cs="Times New Roman"/>
          <w:sz w:val="24"/>
          <w:szCs w:val="24"/>
        </w:rPr>
        <w:t>a</w:t>
      </w:r>
      <w:r w:rsidR="00A7301A">
        <w:rPr>
          <w:rFonts w:ascii="Times New Roman" w:hAnsi="Times New Roman" w:cs="Times New Roman"/>
          <w:sz w:val="24"/>
          <w:szCs w:val="24"/>
        </w:rPr>
        <w:t>st of the Chukchi and Beaufort S</w:t>
      </w:r>
      <w:r>
        <w:rPr>
          <w:rFonts w:ascii="Times New Roman" w:hAnsi="Times New Roman" w:cs="Times New Roman"/>
          <w:sz w:val="24"/>
          <w:szCs w:val="24"/>
        </w:rPr>
        <w:t>eas, respectively (Fulk, 2010). This study focuses primarily on the sequence stratigraphy of the Ikpikpuk-Umiat basin, which covers roughly 7,000 square kilometers of the eastern section of the NPRA, and extends west into an area just south of the Barrow Arch.</w:t>
      </w:r>
    </w:p>
    <w:p w14:paraId="306414D3" w14:textId="5A49EE19" w:rsidR="00417014" w:rsidRDefault="008F1E69" w:rsidP="00417014">
      <w:pPr>
        <w:spacing w:line="240" w:lineRule="auto"/>
        <w:jc w:val="center"/>
        <w:rPr>
          <w:rFonts w:ascii="Times New Roman" w:hAnsi="Times New Roman" w:cs="Times New Roman"/>
          <w:sz w:val="24"/>
          <w:szCs w:val="24"/>
        </w:rPr>
      </w:pPr>
      <w:r w:rsidRPr="008F1E69">
        <w:rPr>
          <w:rFonts w:ascii="Times New Roman" w:hAnsi="Times New Roman" w:cs="Times New Roman"/>
          <w:noProof/>
          <w:sz w:val="24"/>
          <w:szCs w:val="24"/>
        </w:rPr>
        <w:drawing>
          <wp:inline distT="0" distB="0" distL="0" distR="0" wp14:anchorId="4C14EA2F" wp14:editId="537F6B73">
            <wp:extent cx="5908670" cy="2363190"/>
            <wp:effectExtent l="0" t="0" r="0" b="0"/>
            <wp:docPr id="11" name="Picture 7">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0C101777-311E-4FA5-93B6-3700EBF0BC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0C101777-311E-4FA5-93B6-3700EBF0BC08}"/>
                        </a:ext>
                      </a:extLst>
                    </pic:cNvPr>
                    <pic:cNvPicPr>
                      <a:picLocks noChangeAspect="1"/>
                    </pic:cNvPicPr>
                  </pic:nvPicPr>
                  <pic:blipFill>
                    <a:blip r:embed="rId10"/>
                    <a:stretch>
                      <a:fillRect/>
                    </a:stretch>
                  </pic:blipFill>
                  <pic:spPr>
                    <a:xfrm>
                      <a:off x="0" y="0"/>
                      <a:ext cx="5975563" cy="2389944"/>
                    </a:xfrm>
                    <a:prstGeom prst="rect">
                      <a:avLst/>
                    </a:prstGeom>
                  </pic:spPr>
                </pic:pic>
              </a:graphicData>
            </a:graphic>
          </wp:inline>
        </w:drawing>
      </w:r>
    </w:p>
    <w:p w14:paraId="0A7FBCF2" w14:textId="77777777" w:rsidR="00417014" w:rsidRDefault="00417014" w:rsidP="00A33B47">
      <w:pPr>
        <w:spacing w:line="276" w:lineRule="auto"/>
        <w:rPr>
          <w:rFonts w:ascii="Times New Roman" w:hAnsi="Times New Roman" w:cs="Times New Roman"/>
          <w:b/>
          <w:sz w:val="24"/>
          <w:szCs w:val="24"/>
        </w:rPr>
      </w:pPr>
      <w:r>
        <w:rPr>
          <w:rFonts w:ascii="Times New Roman" w:hAnsi="Times New Roman" w:cs="Times New Roman"/>
          <w:b/>
          <w:sz w:val="24"/>
          <w:szCs w:val="24"/>
        </w:rPr>
        <w:t>Figure 1: Map of NPRA boundaries in Northern Alaska showing the locations of the Meade and Ikpikpuk-Umiat basins as well as the locations of the Ikpikpuk 1 well, the Inigok 1 well, and the North Inigok 1 well. (Modified from Fulk, 2010)</w:t>
      </w:r>
    </w:p>
    <w:p w14:paraId="61803EAB" w14:textId="77777777" w:rsidR="00417014" w:rsidRPr="00D30192" w:rsidRDefault="00417014" w:rsidP="00417014">
      <w:pPr>
        <w:spacing w:line="240" w:lineRule="auto"/>
        <w:jc w:val="center"/>
        <w:rPr>
          <w:rFonts w:ascii="Times New Roman" w:hAnsi="Times New Roman" w:cs="Times New Roman"/>
          <w:b/>
          <w:sz w:val="24"/>
          <w:szCs w:val="24"/>
        </w:rPr>
      </w:pPr>
    </w:p>
    <w:p w14:paraId="0FF10D27" w14:textId="0C0095C5"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NPRA consists of four main stratigraphic </w:t>
      </w:r>
      <w:r w:rsidR="00100A24">
        <w:rPr>
          <w:rFonts w:ascii="Times New Roman" w:hAnsi="Times New Roman" w:cs="Times New Roman"/>
          <w:sz w:val="24"/>
          <w:szCs w:val="24"/>
        </w:rPr>
        <w:t>megasequences: The Franklinian Megasequence, the Ellesmerian Megasequence, the Beaufortian Megasequence and the Brookian Megas</w:t>
      </w:r>
      <w:r>
        <w:rPr>
          <w:rFonts w:ascii="Times New Roman" w:hAnsi="Times New Roman" w:cs="Times New Roman"/>
          <w:sz w:val="24"/>
          <w:szCs w:val="24"/>
        </w:rPr>
        <w:t>equence (Bird, 1987</w:t>
      </w:r>
      <w:r w:rsidR="00100A24">
        <w:rPr>
          <w:rFonts w:ascii="Times New Roman" w:hAnsi="Times New Roman" w:cs="Times New Roman"/>
          <w:sz w:val="24"/>
          <w:szCs w:val="24"/>
        </w:rPr>
        <w:t>; Housknecht 2003</w:t>
      </w:r>
      <w:r>
        <w:rPr>
          <w:rFonts w:ascii="Times New Roman" w:hAnsi="Times New Roman" w:cs="Times New Roman"/>
          <w:sz w:val="24"/>
          <w:szCs w:val="24"/>
        </w:rPr>
        <w:t>). The Franklinian Basement complex is comprised of pre-Mississippian metamorphic rocks and is regarded as the econ</w:t>
      </w:r>
      <w:r w:rsidR="00100A24">
        <w:rPr>
          <w:rFonts w:ascii="Times New Roman" w:hAnsi="Times New Roman" w:cs="Times New Roman"/>
          <w:sz w:val="24"/>
          <w:szCs w:val="24"/>
        </w:rPr>
        <w:t>omic basement. The Ellesmerian Megas</w:t>
      </w:r>
      <w:r>
        <w:rPr>
          <w:rFonts w:ascii="Times New Roman" w:hAnsi="Times New Roman" w:cs="Times New Roman"/>
          <w:sz w:val="24"/>
          <w:szCs w:val="24"/>
        </w:rPr>
        <w:t xml:space="preserve">equence was deposited during the Mississippian to early Cretaceous times from a northern-derived source. The </w:t>
      </w:r>
      <w:r w:rsidR="00100A24">
        <w:rPr>
          <w:rFonts w:ascii="Times New Roman" w:hAnsi="Times New Roman" w:cs="Times New Roman"/>
          <w:sz w:val="24"/>
          <w:szCs w:val="24"/>
        </w:rPr>
        <w:t>Beaufortian Megas</w:t>
      </w:r>
      <w:r>
        <w:rPr>
          <w:rFonts w:ascii="Times New Roman" w:hAnsi="Times New Roman" w:cs="Times New Roman"/>
          <w:sz w:val="24"/>
          <w:szCs w:val="24"/>
        </w:rPr>
        <w:t xml:space="preserve">equence, deposited during early to </w:t>
      </w:r>
      <w:r>
        <w:rPr>
          <w:rFonts w:ascii="Times New Roman" w:hAnsi="Times New Roman" w:cs="Times New Roman"/>
          <w:sz w:val="24"/>
          <w:szCs w:val="24"/>
        </w:rPr>
        <w:lastRenderedPageBreak/>
        <w:t>middle Jurassic and early Cretaceous time, formed during the rifting event that opened up the Arctic Ocean (Hou</w:t>
      </w:r>
      <w:r w:rsidR="00100A24">
        <w:rPr>
          <w:rFonts w:ascii="Times New Roman" w:hAnsi="Times New Roman" w:cs="Times New Roman"/>
          <w:sz w:val="24"/>
          <w:szCs w:val="24"/>
        </w:rPr>
        <w:t>seknecht, 2003).  The Brookian Megas</w:t>
      </w:r>
      <w:r>
        <w:rPr>
          <w:rFonts w:ascii="Times New Roman" w:hAnsi="Times New Roman" w:cs="Times New Roman"/>
          <w:sz w:val="24"/>
          <w:szCs w:val="24"/>
        </w:rPr>
        <w:t xml:space="preserve">equence was derived from the Brooks Range in the south from the Early Cretaceous to Cenozoic. The Ellesmerian, Beaufortian, </w:t>
      </w:r>
      <w:r w:rsidR="00100A24">
        <w:rPr>
          <w:rFonts w:ascii="Times New Roman" w:hAnsi="Times New Roman" w:cs="Times New Roman"/>
          <w:sz w:val="24"/>
          <w:szCs w:val="24"/>
        </w:rPr>
        <w:t>and Brookian Megas</w:t>
      </w:r>
      <w:r>
        <w:rPr>
          <w:rFonts w:ascii="Times New Roman" w:hAnsi="Times New Roman" w:cs="Times New Roman"/>
          <w:sz w:val="24"/>
          <w:szCs w:val="24"/>
        </w:rPr>
        <w:t>equences are all considered prospective for petroleum and have been explored and developed by the US Government from 1944 to 1981</w:t>
      </w:r>
      <w:r w:rsidR="008F1E69">
        <w:rPr>
          <w:rFonts w:ascii="Times New Roman" w:hAnsi="Times New Roman" w:cs="Times New Roman"/>
          <w:sz w:val="24"/>
          <w:szCs w:val="24"/>
        </w:rPr>
        <w:t xml:space="preserve"> (Bird, 1987)</w:t>
      </w:r>
      <w:r>
        <w:rPr>
          <w:rFonts w:ascii="Times New Roman" w:hAnsi="Times New Roman" w:cs="Times New Roman"/>
          <w:sz w:val="24"/>
          <w:szCs w:val="24"/>
        </w:rPr>
        <w:t>, and new oil and gas lease</w:t>
      </w:r>
      <w:r w:rsidR="008F1E69">
        <w:rPr>
          <w:rFonts w:ascii="Times New Roman" w:hAnsi="Times New Roman" w:cs="Times New Roman"/>
          <w:sz w:val="24"/>
          <w:szCs w:val="24"/>
        </w:rPr>
        <w:t xml:space="preserve">s </w:t>
      </w:r>
      <w:r w:rsidR="008F3100">
        <w:rPr>
          <w:rFonts w:ascii="Times New Roman" w:hAnsi="Times New Roman" w:cs="Times New Roman"/>
          <w:sz w:val="24"/>
          <w:szCs w:val="24"/>
        </w:rPr>
        <w:t>commenced</w:t>
      </w:r>
      <w:r w:rsidR="008F1E69">
        <w:rPr>
          <w:rFonts w:ascii="Times New Roman" w:hAnsi="Times New Roman" w:cs="Times New Roman"/>
          <w:sz w:val="24"/>
          <w:szCs w:val="24"/>
        </w:rPr>
        <w:t xml:space="preserve"> in 1999.</w:t>
      </w:r>
    </w:p>
    <w:p w14:paraId="2D923B47" w14:textId="5A189B68"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stratigraphy of the Ellesmerian, Beaufortian, and Brookian </w:t>
      </w:r>
      <w:r w:rsidR="00100A24">
        <w:rPr>
          <w:rFonts w:ascii="Times New Roman" w:hAnsi="Times New Roman" w:cs="Times New Roman"/>
          <w:sz w:val="24"/>
          <w:szCs w:val="24"/>
        </w:rPr>
        <w:t>Mega</w:t>
      </w:r>
      <w:r>
        <w:rPr>
          <w:rFonts w:ascii="Times New Roman" w:hAnsi="Times New Roman" w:cs="Times New Roman"/>
          <w:sz w:val="24"/>
          <w:szCs w:val="24"/>
        </w:rPr>
        <w:t xml:space="preserve">sequences has been the subject of numerous studies in the NPRA, and a general framework of the strata has long been established. However, these studies have focused primarily on the major sequence boundaries and do not delve into the finer parasequence sets contained within. Using a combination of seismic sequence stratigraphy and well-log sequence stratigraphy, it is possible to further constrain the sequence stratigraphic model of the NPRA. A higher resolution model of the NPRA subsurface would substantially assist in the acquisition of hydrocarbons in the area. This study focuses on the integrated application of Vail Seismic sequence stratigraphy and Galloway log motif analysis to create a higher resolution model of the NPRA. </w:t>
      </w:r>
    </w:p>
    <w:p w14:paraId="5DF8EFC7" w14:textId="7DDF4DDD"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methods used in this thesis are largely derived from the works of Peter Vail</w:t>
      </w:r>
      <w:r w:rsidR="00C57599">
        <w:rPr>
          <w:rFonts w:ascii="Times New Roman" w:hAnsi="Times New Roman" w:cs="Times New Roman"/>
          <w:sz w:val="24"/>
          <w:szCs w:val="24"/>
        </w:rPr>
        <w:t xml:space="preserve"> (1977)</w:t>
      </w:r>
      <w:r>
        <w:rPr>
          <w:rFonts w:ascii="Times New Roman" w:hAnsi="Times New Roman" w:cs="Times New Roman"/>
          <w:sz w:val="24"/>
          <w:szCs w:val="24"/>
        </w:rPr>
        <w:t>, Robert Mitchum</w:t>
      </w:r>
      <w:r w:rsidR="00C57599">
        <w:rPr>
          <w:rFonts w:ascii="Times New Roman" w:hAnsi="Times New Roman" w:cs="Times New Roman"/>
          <w:sz w:val="24"/>
          <w:szCs w:val="24"/>
        </w:rPr>
        <w:t xml:space="preserve"> </w:t>
      </w:r>
      <w:r w:rsidR="00C57599" w:rsidRPr="00C57599">
        <w:rPr>
          <w:rFonts w:ascii="Times New Roman" w:hAnsi="Times New Roman" w:cs="Times New Roman"/>
          <w:sz w:val="24"/>
          <w:szCs w:val="24"/>
        </w:rPr>
        <w:t>(1977</w:t>
      </w:r>
      <w:r w:rsidR="00873ABF" w:rsidRPr="00C57599">
        <w:rPr>
          <w:rFonts w:ascii="Times New Roman" w:hAnsi="Times New Roman" w:cs="Times New Roman"/>
          <w:sz w:val="24"/>
          <w:szCs w:val="24"/>
        </w:rPr>
        <w:t>)</w:t>
      </w:r>
      <w:r w:rsidRPr="00C57599">
        <w:rPr>
          <w:rFonts w:ascii="Times New Roman" w:hAnsi="Times New Roman" w:cs="Times New Roman"/>
          <w:sz w:val="24"/>
          <w:szCs w:val="24"/>
        </w:rPr>
        <w:t xml:space="preserve">, </w:t>
      </w:r>
      <w:r>
        <w:rPr>
          <w:rFonts w:ascii="Times New Roman" w:hAnsi="Times New Roman" w:cs="Times New Roman"/>
          <w:sz w:val="24"/>
          <w:szCs w:val="24"/>
        </w:rPr>
        <w:t>and William Galloway</w:t>
      </w:r>
      <w:r w:rsidR="00C57599">
        <w:rPr>
          <w:rFonts w:ascii="Times New Roman" w:hAnsi="Times New Roman" w:cs="Times New Roman"/>
          <w:color w:val="FF0000"/>
          <w:sz w:val="24"/>
          <w:szCs w:val="24"/>
        </w:rPr>
        <w:t xml:space="preserve"> </w:t>
      </w:r>
      <w:r w:rsidR="00C57599" w:rsidRPr="00C57599">
        <w:rPr>
          <w:rFonts w:ascii="Times New Roman" w:hAnsi="Times New Roman" w:cs="Times New Roman"/>
          <w:sz w:val="24"/>
          <w:szCs w:val="24"/>
        </w:rPr>
        <w:t>(1981)</w:t>
      </w:r>
      <w:r w:rsidRPr="00C57599">
        <w:rPr>
          <w:rFonts w:ascii="Times New Roman" w:hAnsi="Times New Roman" w:cs="Times New Roman"/>
          <w:sz w:val="24"/>
          <w:szCs w:val="24"/>
        </w:rPr>
        <w:t xml:space="preserve">, </w:t>
      </w:r>
      <w:r>
        <w:rPr>
          <w:rFonts w:ascii="Times New Roman" w:hAnsi="Times New Roman" w:cs="Times New Roman"/>
          <w:sz w:val="24"/>
          <w:szCs w:val="24"/>
        </w:rPr>
        <w:t>all of whom played a large p</w:t>
      </w:r>
      <w:r w:rsidR="002B4496">
        <w:rPr>
          <w:rFonts w:ascii="Times New Roman" w:hAnsi="Times New Roman" w:cs="Times New Roman"/>
          <w:sz w:val="24"/>
          <w:szCs w:val="24"/>
        </w:rPr>
        <w:t>art in developing the study of sequence stratigraphy. Sequence s</w:t>
      </w:r>
      <w:r>
        <w:rPr>
          <w:rFonts w:ascii="Times New Roman" w:hAnsi="Times New Roman" w:cs="Times New Roman"/>
          <w:sz w:val="24"/>
          <w:szCs w:val="24"/>
        </w:rPr>
        <w:t>tratigraphy is a framework for describing the deposition of conformable packages of strata that are bound by surfaces in time as opposed to lithology or depositional environment. These surfaces in ti</w:t>
      </w:r>
      <w:r w:rsidR="002B4496">
        <w:rPr>
          <w:rFonts w:ascii="Times New Roman" w:hAnsi="Times New Roman" w:cs="Times New Roman"/>
          <w:sz w:val="24"/>
          <w:szCs w:val="24"/>
        </w:rPr>
        <w:t>me are referred to as sequence b</w:t>
      </w:r>
      <w:r>
        <w:rPr>
          <w:rFonts w:ascii="Times New Roman" w:hAnsi="Times New Roman" w:cs="Times New Roman"/>
          <w:sz w:val="24"/>
          <w:szCs w:val="24"/>
        </w:rPr>
        <w:t xml:space="preserve">oundaries, and are understood to be significant erosional unconformities and their correlative conformities (Mitchum and Vail, 1977). </w:t>
      </w:r>
    </w:p>
    <w:p w14:paraId="32138F18" w14:textId="3E98E515" w:rsidR="00417014" w:rsidRPr="00BF04E3" w:rsidRDefault="00F32252" w:rsidP="00417014">
      <w:pPr>
        <w:spacing w:line="240" w:lineRule="auto"/>
        <w:jc w:val="center"/>
        <w:rPr>
          <w:rFonts w:ascii="Times New Roman" w:hAnsi="Times New Roman" w:cs="Times New Roman"/>
          <w:sz w:val="24"/>
          <w:szCs w:val="24"/>
          <w14:textOutline w14:w="9525" w14:cap="rnd" w14:cmpd="sng" w14:algn="ctr">
            <w14:solidFill>
              <w14:schemeClr w14:val="bg1"/>
            </w14:solidFill>
            <w14:prstDash w14:val="solid"/>
            <w14:bevel/>
          </w14:textOutline>
        </w:rPr>
      </w:pPr>
      <w:r w:rsidRPr="00F32252">
        <w:rPr>
          <w:noProof/>
        </w:rPr>
        <w:lastRenderedPageBreak/>
        <w:t xml:space="preserve"> </w:t>
      </w:r>
      <w:r>
        <w:rPr>
          <w:noProof/>
        </w:rPr>
        <w:drawing>
          <wp:inline distT="0" distB="0" distL="0" distR="0" wp14:anchorId="665FDB56" wp14:editId="066E6A5B">
            <wp:extent cx="5886450" cy="3000375"/>
            <wp:effectExtent l="0" t="0" r="0"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86450" cy="3000375"/>
                    </a:xfrm>
                    <a:prstGeom prst="rect">
                      <a:avLst/>
                    </a:prstGeom>
                  </pic:spPr>
                </pic:pic>
              </a:graphicData>
            </a:graphic>
          </wp:inline>
        </w:drawing>
      </w:r>
    </w:p>
    <w:p w14:paraId="52236605" w14:textId="7ABB0101" w:rsidR="00A33B47" w:rsidRDefault="00417014" w:rsidP="00127482">
      <w:pPr>
        <w:spacing w:before="240" w:line="276" w:lineRule="auto"/>
        <w:rPr>
          <w:rFonts w:ascii="Times New Roman" w:hAnsi="Times New Roman" w:cs="Times New Roman"/>
          <w:b/>
          <w:color w:val="FF0000"/>
          <w:sz w:val="24"/>
          <w:szCs w:val="24"/>
        </w:rPr>
      </w:pPr>
      <w:r>
        <w:rPr>
          <w:rFonts w:ascii="Times New Roman" w:hAnsi="Times New Roman" w:cs="Times New Roman"/>
          <w:b/>
          <w:sz w:val="24"/>
          <w:szCs w:val="24"/>
        </w:rPr>
        <w:t xml:space="preserve">Figure 2: </w:t>
      </w:r>
      <w:r w:rsidRPr="006D678E">
        <w:rPr>
          <w:rFonts w:ascii="Times New Roman" w:hAnsi="Times New Roman" w:cs="Times New Roman"/>
          <w:b/>
          <w:sz w:val="24"/>
          <w:szCs w:val="24"/>
        </w:rPr>
        <w:t>Model of an ideal</w:t>
      </w:r>
      <w:r w:rsidR="00AF0350" w:rsidRPr="006D678E">
        <w:rPr>
          <w:rFonts w:ascii="Times New Roman" w:hAnsi="Times New Roman" w:cs="Times New Roman"/>
          <w:b/>
          <w:sz w:val="24"/>
          <w:szCs w:val="24"/>
        </w:rPr>
        <w:t>ized</w:t>
      </w:r>
      <w:r w:rsidRPr="006D678E">
        <w:rPr>
          <w:rFonts w:ascii="Times New Roman" w:hAnsi="Times New Roman" w:cs="Times New Roman"/>
          <w:b/>
          <w:sz w:val="24"/>
          <w:szCs w:val="24"/>
        </w:rPr>
        <w:t xml:space="preserve"> </w:t>
      </w:r>
      <w:r w:rsidR="00AF0350" w:rsidRPr="006D678E">
        <w:rPr>
          <w:rFonts w:ascii="Times New Roman" w:hAnsi="Times New Roman" w:cs="Times New Roman"/>
          <w:b/>
          <w:sz w:val="24"/>
          <w:szCs w:val="24"/>
        </w:rPr>
        <w:t>deltaic</w:t>
      </w:r>
      <w:r w:rsidR="006D678E" w:rsidRPr="006D678E">
        <w:rPr>
          <w:rFonts w:ascii="Times New Roman" w:hAnsi="Times New Roman" w:cs="Times New Roman"/>
          <w:b/>
          <w:sz w:val="24"/>
          <w:szCs w:val="24"/>
        </w:rPr>
        <w:t xml:space="preserve"> sequence.</w:t>
      </w:r>
      <w:r w:rsidR="00AF0350" w:rsidRPr="006D678E">
        <w:rPr>
          <w:rFonts w:ascii="Times New Roman" w:hAnsi="Times New Roman" w:cs="Times New Roman"/>
          <w:b/>
          <w:sz w:val="24"/>
          <w:szCs w:val="24"/>
        </w:rPr>
        <w:t xml:space="preserve"> Galloway </w:t>
      </w:r>
      <w:r w:rsidRPr="006D678E">
        <w:rPr>
          <w:rFonts w:ascii="Times New Roman" w:hAnsi="Times New Roman" w:cs="Times New Roman"/>
          <w:b/>
          <w:sz w:val="24"/>
          <w:szCs w:val="24"/>
        </w:rPr>
        <w:t xml:space="preserve">sequence </w:t>
      </w:r>
      <w:r w:rsidR="00A965D3" w:rsidRPr="006D678E">
        <w:rPr>
          <w:rFonts w:ascii="Times New Roman" w:hAnsi="Times New Roman" w:cs="Times New Roman"/>
          <w:b/>
          <w:sz w:val="24"/>
          <w:szCs w:val="24"/>
        </w:rPr>
        <w:t xml:space="preserve">boundaries </w:t>
      </w:r>
      <w:r w:rsidR="006D678E">
        <w:rPr>
          <w:rFonts w:ascii="Times New Roman" w:hAnsi="Times New Roman" w:cs="Times New Roman"/>
          <w:b/>
          <w:sz w:val="24"/>
          <w:szCs w:val="24"/>
        </w:rPr>
        <w:t xml:space="preserve">are </w:t>
      </w:r>
      <w:r w:rsidR="00A965D3" w:rsidRPr="006D678E">
        <w:rPr>
          <w:rFonts w:ascii="Times New Roman" w:hAnsi="Times New Roman" w:cs="Times New Roman"/>
          <w:b/>
          <w:sz w:val="24"/>
          <w:szCs w:val="24"/>
        </w:rPr>
        <w:t>indicated by G</w:t>
      </w:r>
      <w:r w:rsidR="002B4496">
        <w:rPr>
          <w:rFonts w:ascii="Times New Roman" w:hAnsi="Times New Roman" w:cs="Times New Roman"/>
          <w:b/>
          <w:sz w:val="24"/>
          <w:szCs w:val="24"/>
        </w:rPr>
        <w:t>,</w:t>
      </w:r>
      <w:r w:rsidR="006D678E" w:rsidRPr="006D678E">
        <w:rPr>
          <w:rFonts w:ascii="Times New Roman" w:hAnsi="Times New Roman" w:cs="Times New Roman"/>
          <w:b/>
          <w:sz w:val="24"/>
          <w:szCs w:val="24"/>
        </w:rPr>
        <w:t xml:space="preserve"> </w:t>
      </w:r>
      <w:r w:rsidRPr="006D678E">
        <w:rPr>
          <w:rFonts w:ascii="Times New Roman" w:hAnsi="Times New Roman" w:cs="Times New Roman"/>
          <w:b/>
          <w:sz w:val="24"/>
          <w:szCs w:val="24"/>
        </w:rPr>
        <w:t>and</w:t>
      </w:r>
      <w:r w:rsidR="00A965D3" w:rsidRPr="006D678E">
        <w:rPr>
          <w:rFonts w:ascii="Times New Roman" w:hAnsi="Times New Roman" w:cs="Times New Roman"/>
          <w:b/>
          <w:sz w:val="24"/>
          <w:szCs w:val="24"/>
        </w:rPr>
        <w:t xml:space="preserve"> Vail sequence boundaries</w:t>
      </w:r>
      <w:r w:rsidR="006D678E">
        <w:rPr>
          <w:rFonts w:ascii="Times New Roman" w:hAnsi="Times New Roman" w:cs="Times New Roman"/>
          <w:b/>
          <w:sz w:val="24"/>
          <w:szCs w:val="24"/>
        </w:rPr>
        <w:t xml:space="preserve"> are</w:t>
      </w:r>
      <w:r w:rsidR="00A965D3" w:rsidRPr="006D678E">
        <w:rPr>
          <w:rFonts w:ascii="Times New Roman" w:hAnsi="Times New Roman" w:cs="Times New Roman"/>
          <w:b/>
          <w:sz w:val="24"/>
          <w:szCs w:val="24"/>
        </w:rPr>
        <w:t xml:space="preserve"> indicated by V</w:t>
      </w:r>
      <w:r w:rsidR="006D678E">
        <w:rPr>
          <w:rFonts w:ascii="Times New Roman" w:hAnsi="Times New Roman" w:cs="Times New Roman"/>
          <w:b/>
          <w:sz w:val="24"/>
          <w:szCs w:val="24"/>
        </w:rPr>
        <w:t>.</w:t>
      </w:r>
      <w:r w:rsidR="00A965D3" w:rsidRPr="006D678E">
        <w:rPr>
          <w:rFonts w:ascii="Times New Roman" w:hAnsi="Times New Roman" w:cs="Times New Roman"/>
          <w:b/>
          <w:sz w:val="24"/>
          <w:szCs w:val="24"/>
        </w:rPr>
        <w:t xml:space="preserve"> </w:t>
      </w:r>
      <w:r w:rsidR="006D678E" w:rsidRPr="006D678E">
        <w:rPr>
          <w:rFonts w:ascii="Times New Roman" w:hAnsi="Times New Roman" w:cs="Times New Roman"/>
          <w:b/>
          <w:sz w:val="24"/>
          <w:szCs w:val="24"/>
        </w:rPr>
        <w:t>Relative location of parasequence sets are also shown</w:t>
      </w:r>
      <w:r>
        <w:rPr>
          <w:rFonts w:ascii="Times New Roman" w:hAnsi="Times New Roman" w:cs="Times New Roman"/>
          <w:b/>
          <w:sz w:val="24"/>
          <w:szCs w:val="24"/>
        </w:rPr>
        <w:t>. Important surfaces are shown with the black arrows.</w:t>
      </w:r>
      <w:r>
        <w:rPr>
          <w:rFonts w:ascii="Times New Roman" w:hAnsi="Times New Roman" w:cs="Times New Roman"/>
          <w:sz w:val="24"/>
          <w:szCs w:val="24"/>
        </w:rPr>
        <w:t xml:space="preserve"> </w:t>
      </w:r>
      <w:r w:rsidR="006D678E">
        <w:rPr>
          <w:rFonts w:ascii="Times New Roman" w:hAnsi="Times New Roman" w:cs="Times New Roman"/>
          <w:b/>
          <w:sz w:val="24"/>
          <w:szCs w:val="24"/>
        </w:rPr>
        <w:t>See text for explanation.</w:t>
      </w:r>
      <w:r w:rsidR="00127482">
        <w:rPr>
          <w:rFonts w:ascii="Times New Roman" w:hAnsi="Times New Roman" w:cs="Times New Roman"/>
          <w:b/>
          <w:sz w:val="24"/>
          <w:szCs w:val="24"/>
        </w:rPr>
        <w:t xml:space="preserve"> </w:t>
      </w:r>
      <w:r>
        <w:rPr>
          <w:rFonts w:ascii="Times New Roman" w:hAnsi="Times New Roman" w:cs="Times New Roman"/>
          <w:b/>
          <w:sz w:val="24"/>
          <w:szCs w:val="24"/>
        </w:rPr>
        <w:t xml:space="preserve">(Modified from </w:t>
      </w:r>
      <w:r w:rsidR="00127482">
        <w:rPr>
          <w:rStyle w:val="Hyperlink"/>
          <w:rFonts w:ascii="Times New Roman" w:hAnsi="Times New Roman" w:cs="Times New Roman"/>
          <w:b/>
          <w:color w:val="auto"/>
          <w:sz w:val="24"/>
          <w:szCs w:val="24"/>
          <w:u w:val="none"/>
        </w:rPr>
        <w:t>Van Wagoner, 1988</w:t>
      </w:r>
      <w:r w:rsidR="00A965D3">
        <w:rPr>
          <w:rFonts w:ascii="Times New Roman" w:hAnsi="Times New Roman" w:cs="Times New Roman"/>
          <w:b/>
          <w:sz w:val="24"/>
          <w:szCs w:val="24"/>
        </w:rPr>
        <w:t xml:space="preserve">). </w:t>
      </w:r>
    </w:p>
    <w:p w14:paraId="4D1DFC4E" w14:textId="77777777" w:rsidR="00127482" w:rsidRPr="00127482" w:rsidRDefault="00127482" w:rsidP="00127482">
      <w:pPr>
        <w:spacing w:before="240" w:line="276" w:lineRule="auto"/>
        <w:rPr>
          <w:rFonts w:ascii="Times New Roman" w:hAnsi="Times New Roman" w:cs="Times New Roman"/>
          <w:b/>
          <w:color w:val="FF0000"/>
          <w:sz w:val="24"/>
          <w:szCs w:val="24"/>
        </w:rPr>
      </w:pPr>
    </w:p>
    <w:p w14:paraId="2B660274" w14:textId="7E84A2C0" w:rsidR="00417014" w:rsidRDefault="00417014" w:rsidP="00A33B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Alternatively, Galloway (1989) proposed the maximum flooding surface as the sequence boundary for his genetic stratigraphic sequence. There are advantages to both approaches, the main distinction being that in seismic it is easiest to use Vail and Mitchum’s framework </w:t>
      </w:r>
      <w:r w:rsidR="00915E87" w:rsidRPr="003062E1">
        <w:rPr>
          <w:rFonts w:ascii="Times New Roman" w:hAnsi="Times New Roman" w:cs="Times New Roman"/>
          <w:sz w:val="24"/>
          <w:szCs w:val="24"/>
        </w:rPr>
        <w:t xml:space="preserve">(Mitchum and Vail, 1977) </w:t>
      </w:r>
      <w:r>
        <w:rPr>
          <w:rFonts w:ascii="Times New Roman" w:hAnsi="Times New Roman" w:cs="Times New Roman"/>
          <w:sz w:val="24"/>
          <w:szCs w:val="24"/>
        </w:rPr>
        <w:t>due to the ease of spotting unconformities, while Galloway’s approach</w:t>
      </w:r>
      <w:r w:rsidRPr="00915E87">
        <w:rPr>
          <w:rFonts w:ascii="Times New Roman" w:hAnsi="Times New Roman" w:cs="Times New Roman"/>
          <w:color w:val="FF0000"/>
          <w:sz w:val="24"/>
          <w:szCs w:val="24"/>
        </w:rPr>
        <w:t xml:space="preserve"> </w:t>
      </w:r>
      <w:r w:rsidR="00915E87" w:rsidRPr="003062E1">
        <w:rPr>
          <w:rFonts w:ascii="Times New Roman" w:hAnsi="Times New Roman" w:cs="Times New Roman"/>
          <w:sz w:val="24"/>
          <w:szCs w:val="24"/>
        </w:rPr>
        <w:t>(Galloway</w:t>
      </w:r>
      <w:r w:rsidR="003062E1">
        <w:rPr>
          <w:rFonts w:ascii="Times New Roman" w:hAnsi="Times New Roman" w:cs="Times New Roman"/>
          <w:sz w:val="24"/>
          <w:szCs w:val="24"/>
        </w:rPr>
        <w:t>,</w:t>
      </w:r>
      <w:r w:rsidR="00915E87" w:rsidRPr="003062E1">
        <w:rPr>
          <w:rFonts w:ascii="Times New Roman" w:hAnsi="Times New Roman" w:cs="Times New Roman"/>
          <w:sz w:val="24"/>
          <w:szCs w:val="24"/>
        </w:rPr>
        <w:t xml:space="preserve"> 1989)</w:t>
      </w:r>
      <w:r w:rsidR="003062E1">
        <w:rPr>
          <w:rFonts w:ascii="Times New Roman" w:hAnsi="Times New Roman" w:cs="Times New Roman"/>
          <w:sz w:val="24"/>
          <w:szCs w:val="24"/>
        </w:rPr>
        <w:t xml:space="preserve"> </w:t>
      </w:r>
      <w:r>
        <w:rPr>
          <w:rFonts w:ascii="Times New Roman" w:hAnsi="Times New Roman" w:cs="Times New Roman"/>
          <w:sz w:val="24"/>
          <w:szCs w:val="24"/>
        </w:rPr>
        <w:t>works better for well logs, where maximum flooding surfaces are commonly reflected in gamma ray logs</w:t>
      </w:r>
      <w:r w:rsidR="00915E87">
        <w:rPr>
          <w:rFonts w:ascii="Times New Roman" w:hAnsi="Times New Roman" w:cs="Times New Roman"/>
          <w:sz w:val="24"/>
          <w:szCs w:val="24"/>
        </w:rPr>
        <w:t xml:space="preserve"> </w:t>
      </w:r>
      <w:r w:rsidR="00915E87" w:rsidRPr="003062E1">
        <w:rPr>
          <w:rFonts w:ascii="Times New Roman" w:hAnsi="Times New Roman" w:cs="Times New Roman"/>
          <w:sz w:val="24"/>
          <w:szCs w:val="24"/>
        </w:rPr>
        <w:t>(Pigott and Bradley, 2014)</w:t>
      </w:r>
      <w:r w:rsidRPr="003062E1">
        <w:rPr>
          <w:rFonts w:ascii="Times New Roman" w:hAnsi="Times New Roman" w:cs="Times New Roman"/>
          <w:sz w:val="24"/>
          <w:szCs w:val="24"/>
        </w:rPr>
        <w:t xml:space="preserve">;. </w:t>
      </w:r>
      <w:r>
        <w:rPr>
          <w:rFonts w:ascii="Times New Roman" w:hAnsi="Times New Roman" w:cs="Times New Roman"/>
          <w:sz w:val="24"/>
          <w:szCs w:val="24"/>
        </w:rPr>
        <w:t xml:space="preserve">For the </w:t>
      </w:r>
      <w:r w:rsidR="001066B5" w:rsidRPr="003062E1">
        <w:rPr>
          <w:rFonts w:ascii="Times New Roman" w:hAnsi="Times New Roman" w:cs="Times New Roman"/>
          <w:sz w:val="24"/>
          <w:szCs w:val="24"/>
        </w:rPr>
        <w:t xml:space="preserve">pragmatic seismic interpretive </w:t>
      </w:r>
      <w:r>
        <w:rPr>
          <w:rFonts w:ascii="Times New Roman" w:hAnsi="Times New Roman" w:cs="Times New Roman"/>
          <w:sz w:val="24"/>
          <w:szCs w:val="24"/>
        </w:rPr>
        <w:t>purpos</w:t>
      </w:r>
      <w:r w:rsidRPr="003062E1">
        <w:rPr>
          <w:rFonts w:ascii="Times New Roman" w:hAnsi="Times New Roman" w:cs="Times New Roman"/>
          <w:sz w:val="24"/>
          <w:szCs w:val="24"/>
        </w:rPr>
        <w:t>e</w:t>
      </w:r>
      <w:r w:rsidRPr="003062E1">
        <w:rPr>
          <w:rFonts w:ascii="Times New Roman" w:hAnsi="Times New Roman" w:cs="Times New Roman"/>
          <w:strike/>
          <w:sz w:val="24"/>
          <w:szCs w:val="24"/>
        </w:rPr>
        <w:t>s</w:t>
      </w:r>
      <w:r>
        <w:rPr>
          <w:rFonts w:ascii="Times New Roman" w:hAnsi="Times New Roman" w:cs="Times New Roman"/>
          <w:sz w:val="24"/>
          <w:szCs w:val="24"/>
        </w:rPr>
        <w:t xml:space="preserve"> of this thesi</w:t>
      </w:r>
      <w:r w:rsidRPr="003062E1">
        <w:rPr>
          <w:rFonts w:ascii="Times New Roman" w:hAnsi="Times New Roman" w:cs="Times New Roman"/>
          <w:sz w:val="24"/>
          <w:szCs w:val="24"/>
        </w:rPr>
        <w:t>s</w:t>
      </w:r>
      <w:r w:rsidR="00915E87" w:rsidRPr="003062E1">
        <w:rPr>
          <w:rFonts w:ascii="Times New Roman" w:hAnsi="Times New Roman" w:cs="Times New Roman"/>
          <w:sz w:val="24"/>
          <w:szCs w:val="24"/>
        </w:rPr>
        <w:t>,</w:t>
      </w:r>
      <w:r w:rsidRPr="003062E1">
        <w:rPr>
          <w:rFonts w:ascii="Times New Roman" w:hAnsi="Times New Roman" w:cs="Times New Roman"/>
          <w:sz w:val="24"/>
          <w:szCs w:val="24"/>
        </w:rPr>
        <w:t xml:space="preserve"> </w:t>
      </w:r>
      <w:r>
        <w:rPr>
          <w:rFonts w:ascii="Times New Roman" w:hAnsi="Times New Roman" w:cs="Times New Roman"/>
          <w:sz w:val="24"/>
          <w:szCs w:val="24"/>
        </w:rPr>
        <w:t>Vail and Mitchum’s sequence boundary will be used, while gamma ray logs from sparse well control in the region wi</w:t>
      </w:r>
      <w:r w:rsidR="009E4C2C">
        <w:rPr>
          <w:rFonts w:ascii="Times New Roman" w:hAnsi="Times New Roman" w:cs="Times New Roman"/>
          <w:sz w:val="24"/>
          <w:szCs w:val="24"/>
        </w:rPr>
        <w:t>ll provide a proxy for process energy</w:t>
      </w:r>
      <w:r>
        <w:rPr>
          <w:rFonts w:ascii="Times New Roman" w:hAnsi="Times New Roman" w:cs="Times New Roman"/>
          <w:sz w:val="24"/>
          <w:szCs w:val="24"/>
        </w:rPr>
        <w:t xml:space="preserve"> to indicate times of shoreline regression, transgression, and stasis</w:t>
      </w:r>
      <w:r w:rsidR="005B5EAB">
        <w:rPr>
          <w:rFonts w:ascii="Times New Roman" w:hAnsi="Times New Roman" w:cs="Times New Roman"/>
          <w:sz w:val="24"/>
          <w:szCs w:val="24"/>
        </w:rPr>
        <w:t xml:space="preserve"> </w:t>
      </w:r>
      <w:r w:rsidR="005B5EAB" w:rsidRPr="003062E1">
        <w:rPr>
          <w:rFonts w:ascii="Times New Roman" w:hAnsi="Times New Roman" w:cs="Times New Roman"/>
          <w:sz w:val="24"/>
          <w:szCs w:val="24"/>
        </w:rPr>
        <w:t>(Pigott, 2018)</w:t>
      </w:r>
      <w:r w:rsidRPr="003062E1">
        <w:rPr>
          <w:rFonts w:ascii="Times New Roman" w:hAnsi="Times New Roman" w:cs="Times New Roman"/>
          <w:sz w:val="24"/>
          <w:szCs w:val="24"/>
        </w:rPr>
        <w:t>.</w:t>
      </w:r>
    </w:p>
    <w:p w14:paraId="0378F90E" w14:textId="40F3BED0" w:rsidR="00417014" w:rsidRDefault="00B6064A" w:rsidP="00B6064A">
      <w:pPr>
        <w:spacing w:line="240" w:lineRule="auto"/>
        <w:ind w:firstLine="720"/>
        <w:jc w:val="center"/>
        <w:rPr>
          <w:rFonts w:ascii="Times New Roman" w:hAnsi="Times New Roman" w:cs="Times New Roman"/>
          <w:sz w:val="24"/>
          <w:szCs w:val="24"/>
        </w:rPr>
      </w:pPr>
      <w:r>
        <w:rPr>
          <w:noProof/>
        </w:rPr>
        <w:lastRenderedPageBreak/>
        <w:drawing>
          <wp:inline distT="0" distB="0" distL="0" distR="0" wp14:anchorId="320AF390" wp14:editId="692EBC1E">
            <wp:extent cx="3143250" cy="4705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43250" cy="4705350"/>
                    </a:xfrm>
                    <a:prstGeom prst="rect">
                      <a:avLst/>
                    </a:prstGeom>
                  </pic:spPr>
                </pic:pic>
              </a:graphicData>
            </a:graphic>
          </wp:inline>
        </w:drawing>
      </w:r>
    </w:p>
    <w:p w14:paraId="52F74A8D" w14:textId="11211F99" w:rsidR="00417014" w:rsidRPr="005B5EAB" w:rsidRDefault="00417014" w:rsidP="00A33B47">
      <w:pPr>
        <w:spacing w:line="276" w:lineRule="auto"/>
        <w:ind w:firstLine="720"/>
        <w:rPr>
          <w:rFonts w:ascii="Times New Roman" w:hAnsi="Times New Roman" w:cs="Times New Roman"/>
          <w:b/>
          <w:color w:val="FF0000"/>
          <w:sz w:val="24"/>
          <w:szCs w:val="24"/>
        </w:rPr>
      </w:pPr>
      <w:r>
        <w:rPr>
          <w:rFonts w:ascii="Times New Roman" w:hAnsi="Times New Roman" w:cs="Times New Roman"/>
          <w:b/>
          <w:sz w:val="24"/>
          <w:szCs w:val="24"/>
        </w:rPr>
        <w:t>Figure 3: Idealized sea level curve showing maximum flooding surface (MFS), Highstand Systems Tracts (HST), Sequence Boundary (SB), Lowstand Systems Tracts (LST), Transgressive Surface (TS), and Transgressive Systems Tracts (TST) as they relate to</w:t>
      </w:r>
      <w:r w:rsidR="002B4496">
        <w:rPr>
          <w:rFonts w:ascii="Times New Roman" w:hAnsi="Times New Roman" w:cs="Times New Roman"/>
          <w:b/>
          <w:sz w:val="24"/>
          <w:szCs w:val="24"/>
        </w:rPr>
        <w:t xml:space="preserve"> changes in</w:t>
      </w:r>
      <w:r>
        <w:rPr>
          <w:rFonts w:ascii="Times New Roman" w:hAnsi="Times New Roman" w:cs="Times New Roman"/>
          <w:b/>
          <w:sz w:val="24"/>
          <w:szCs w:val="24"/>
        </w:rPr>
        <w:t xml:space="preserve"> sea-level</w:t>
      </w:r>
      <w:r w:rsidR="002B4496">
        <w:rPr>
          <w:rFonts w:ascii="Times New Roman" w:hAnsi="Times New Roman" w:cs="Times New Roman"/>
          <w:b/>
          <w:sz w:val="24"/>
          <w:szCs w:val="24"/>
        </w:rPr>
        <w:t xml:space="preserve"> (SL) and base-level</w:t>
      </w:r>
      <w:r w:rsidR="005B5EAB">
        <w:rPr>
          <w:rFonts w:ascii="Times New Roman" w:hAnsi="Times New Roman" w:cs="Times New Roman"/>
          <w:b/>
          <w:sz w:val="24"/>
          <w:szCs w:val="24"/>
        </w:rPr>
        <w:t xml:space="preserve"> </w:t>
      </w:r>
      <w:r w:rsidR="005B5EAB" w:rsidRPr="00194540">
        <w:rPr>
          <w:rFonts w:ascii="Times New Roman" w:hAnsi="Times New Roman" w:cs="Times New Roman"/>
          <w:b/>
          <w:sz w:val="24"/>
          <w:szCs w:val="24"/>
        </w:rPr>
        <w:t>(</w:t>
      </w:r>
      <w:r w:rsidR="001066B5" w:rsidRPr="00194540">
        <w:rPr>
          <w:rFonts w:ascii="Times New Roman" w:hAnsi="Times New Roman" w:cs="Times New Roman"/>
          <w:b/>
          <w:sz w:val="24"/>
          <w:szCs w:val="24"/>
        </w:rPr>
        <w:t xml:space="preserve">from </w:t>
      </w:r>
      <w:r w:rsidR="005B5EAB" w:rsidRPr="00194540">
        <w:rPr>
          <w:rFonts w:ascii="Times New Roman" w:hAnsi="Times New Roman" w:cs="Times New Roman"/>
          <w:b/>
          <w:sz w:val="24"/>
          <w:szCs w:val="24"/>
        </w:rPr>
        <w:t>Pigott and Bradley,</w:t>
      </w:r>
      <w:r w:rsidR="003062E1">
        <w:rPr>
          <w:rFonts w:ascii="Times New Roman" w:hAnsi="Times New Roman" w:cs="Times New Roman"/>
          <w:b/>
          <w:sz w:val="24"/>
          <w:szCs w:val="24"/>
        </w:rPr>
        <w:t xml:space="preserve"> 2014).</w:t>
      </w:r>
    </w:p>
    <w:p w14:paraId="73F3F376" w14:textId="77777777" w:rsidR="00417014" w:rsidRPr="005419A4" w:rsidRDefault="00417014" w:rsidP="00417014">
      <w:pPr>
        <w:spacing w:line="240" w:lineRule="auto"/>
        <w:ind w:firstLine="720"/>
        <w:jc w:val="center"/>
        <w:rPr>
          <w:rFonts w:ascii="Times New Roman" w:hAnsi="Times New Roman" w:cs="Times New Roman"/>
          <w:b/>
          <w:sz w:val="24"/>
          <w:szCs w:val="24"/>
        </w:rPr>
      </w:pPr>
    </w:p>
    <w:p w14:paraId="75AF9BD1" w14:textId="1A6BF581"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Sequences may be further divided into parasequence</w:t>
      </w:r>
      <w:r w:rsidR="002B4496">
        <w:rPr>
          <w:rFonts w:ascii="Times New Roman" w:hAnsi="Times New Roman" w:cs="Times New Roman"/>
          <w:sz w:val="24"/>
          <w:szCs w:val="24"/>
        </w:rPr>
        <w:t xml:space="preserve"> sets known as systems tracts: highstand systems tracts (HST), l</w:t>
      </w:r>
      <w:r>
        <w:rPr>
          <w:rFonts w:ascii="Times New Roman" w:hAnsi="Times New Roman" w:cs="Times New Roman"/>
          <w:sz w:val="24"/>
          <w:szCs w:val="24"/>
        </w:rPr>
        <w:t>owstand</w:t>
      </w:r>
      <w:r w:rsidR="002B4496">
        <w:rPr>
          <w:rFonts w:ascii="Times New Roman" w:hAnsi="Times New Roman" w:cs="Times New Roman"/>
          <w:sz w:val="24"/>
          <w:szCs w:val="24"/>
        </w:rPr>
        <w:t xml:space="preserve"> systems tracts (LST), t</w:t>
      </w:r>
      <w:r>
        <w:rPr>
          <w:rFonts w:ascii="Times New Roman" w:hAnsi="Times New Roman" w:cs="Times New Roman"/>
          <w:sz w:val="24"/>
          <w:szCs w:val="24"/>
        </w:rPr>
        <w:t>ransgressive systems tracts (Catuneanu, 2006)</w:t>
      </w:r>
      <w:r w:rsidR="005B5EAB">
        <w:rPr>
          <w:rFonts w:ascii="Times New Roman" w:hAnsi="Times New Roman" w:cs="Times New Roman"/>
          <w:sz w:val="24"/>
          <w:szCs w:val="24"/>
        </w:rPr>
        <w:t xml:space="preserve"> </w:t>
      </w:r>
      <w:r w:rsidR="002B4496">
        <w:rPr>
          <w:rFonts w:ascii="Times New Roman" w:hAnsi="Times New Roman" w:cs="Times New Roman"/>
          <w:sz w:val="24"/>
          <w:szCs w:val="24"/>
        </w:rPr>
        <w:t>and regressive systems t</w:t>
      </w:r>
      <w:r w:rsidR="005B5EAB" w:rsidRPr="003062E1">
        <w:rPr>
          <w:rFonts w:ascii="Times New Roman" w:hAnsi="Times New Roman" w:cs="Times New Roman"/>
          <w:sz w:val="24"/>
          <w:szCs w:val="24"/>
        </w:rPr>
        <w:t>racts (</w:t>
      </w:r>
      <w:r w:rsidR="00D04169" w:rsidRPr="003062E1">
        <w:rPr>
          <w:rFonts w:ascii="Times New Roman" w:hAnsi="Times New Roman" w:cs="Times New Roman"/>
          <w:sz w:val="24"/>
          <w:szCs w:val="24"/>
        </w:rPr>
        <w:t>Pigott et al., 2012</w:t>
      </w:r>
      <w:r w:rsidR="005B5EAB" w:rsidRPr="003062E1">
        <w:rPr>
          <w:rFonts w:ascii="Times New Roman" w:hAnsi="Times New Roman" w:cs="Times New Roman"/>
          <w:sz w:val="24"/>
          <w:szCs w:val="24"/>
        </w:rPr>
        <w:t>)</w:t>
      </w:r>
      <w:r w:rsidRPr="003062E1">
        <w:rPr>
          <w:rFonts w:ascii="Times New Roman" w:hAnsi="Times New Roman" w:cs="Times New Roman"/>
          <w:sz w:val="24"/>
          <w:szCs w:val="24"/>
        </w:rPr>
        <w:t xml:space="preserve">. </w:t>
      </w:r>
      <w:r>
        <w:rPr>
          <w:rFonts w:ascii="Times New Roman" w:hAnsi="Times New Roman" w:cs="Times New Roman"/>
          <w:sz w:val="24"/>
          <w:szCs w:val="24"/>
        </w:rPr>
        <w:t xml:space="preserve">In seismic, these systems tracts are divided based on reflector geometry and termination patterns. The geometries within a sequence are dependent on several different variables, such as rate of sedimentation, tectonic activity, and eustatic sea level changes (Galloway, 1989). The different types of reflector </w:t>
      </w:r>
      <w:r>
        <w:rPr>
          <w:rFonts w:ascii="Times New Roman" w:hAnsi="Times New Roman" w:cs="Times New Roman"/>
          <w:sz w:val="24"/>
          <w:szCs w:val="24"/>
        </w:rPr>
        <w:lastRenderedPageBreak/>
        <w:t>termination and their implications can be seen</w:t>
      </w:r>
      <w:r w:rsidR="00D04169">
        <w:rPr>
          <w:rFonts w:ascii="Times New Roman" w:hAnsi="Times New Roman" w:cs="Times New Roman"/>
          <w:sz w:val="24"/>
          <w:szCs w:val="24"/>
        </w:rPr>
        <w:t xml:space="preserve"> </w:t>
      </w:r>
      <w:r w:rsidRPr="003062E1">
        <w:rPr>
          <w:rFonts w:ascii="Times New Roman" w:hAnsi="Times New Roman" w:cs="Times New Roman"/>
          <w:sz w:val="24"/>
          <w:szCs w:val="24"/>
        </w:rPr>
        <w:t xml:space="preserve">in </w:t>
      </w:r>
      <w:r w:rsidR="00CC456D" w:rsidRPr="003062E1">
        <w:rPr>
          <w:rFonts w:ascii="Times New Roman" w:hAnsi="Times New Roman" w:cs="Times New Roman"/>
          <w:sz w:val="24"/>
          <w:szCs w:val="24"/>
        </w:rPr>
        <w:t>Figure 4</w:t>
      </w:r>
      <w:r w:rsidRPr="003062E1">
        <w:rPr>
          <w:rFonts w:ascii="Times New Roman" w:hAnsi="Times New Roman" w:cs="Times New Roman"/>
          <w:sz w:val="24"/>
          <w:szCs w:val="24"/>
        </w:rPr>
        <w:t xml:space="preserve">. </w:t>
      </w:r>
      <w:r>
        <w:rPr>
          <w:rFonts w:ascii="Times New Roman" w:hAnsi="Times New Roman" w:cs="Times New Roman"/>
          <w:sz w:val="24"/>
          <w:szCs w:val="24"/>
        </w:rPr>
        <w:t>Mitchum and Vail (197</w:t>
      </w:r>
      <w:r w:rsidR="003062E1">
        <w:rPr>
          <w:rFonts w:ascii="Times New Roman" w:hAnsi="Times New Roman" w:cs="Times New Roman"/>
          <w:sz w:val="24"/>
          <w:szCs w:val="24"/>
        </w:rPr>
        <w:t>7) provide a detailed method</w:t>
      </w:r>
      <w:r>
        <w:rPr>
          <w:rFonts w:ascii="Times New Roman" w:hAnsi="Times New Roman" w:cs="Times New Roman"/>
          <w:sz w:val="24"/>
          <w:szCs w:val="24"/>
        </w:rPr>
        <w:t xml:space="preserve"> for determining sequence boundaries in seismic data.</w:t>
      </w:r>
    </w:p>
    <w:p w14:paraId="6CF9997C" w14:textId="1B8760D3" w:rsidR="00417014" w:rsidRDefault="004A13D0" w:rsidP="00417014">
      <w:pPr>
        <w:spacing w:line="240" w:lineRule="auto"/>
        <w:rPr>
          <w:rFonts w:ascii="Times New Roman" w:hAnsi="Times New Roman" w:cs="Times New Roman"/>
          <w:sz w:val="24"/>
          <w:szCs w:val="24"/>
        </w:rPr>
      </w:pPr>
      <w:r>
        <w:rPr>
          <w:noProof/>
        </w:rPr>
        <w:drawing>
          <wp:inline distT="0" distB="0" distL="0" distR="0" wp14:anchorId="339A4DED" wp14:editId="531AA089">
            <wp:extent cx="5394960" cy="27590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94960" cy="2759075"/>
                    </a:xfrm>
                    <a:prstGeom prst="rect">
                      <a:avLst/>
                    </a:prstGeom>
                  </pic:spPr>
                </pic:pic>
              </a:graphicData>
            </a:graphic>
          </wp:inline>
        </w:drawing>
      </w:r>
    </w:p>
    <w:p w14:paraId="3E820DED" w14:textId="27FE2158" w:rsidR="00417014" w:rsidRPr="00DB6F8E" w:rsidRDefault="00417014" w:rsidP="00A33B47">
      <w:pPr>
        <w:spacing w:line="276" w:lineRule="auto"/>
        <w:rPr>
          <w:rFonts w:ascii="Times New Roman" w:hAnsi="Times New Roman" w:cs="Times New Roman"/>
          <w:b/>
          <w:color w:val="FF0000"/>
          <w:sz w:val="24"/>
          <w:szCs w:val="24"/>
        </w:rPr>
      </w:pPr>
      <w:r>
        <w:rPr>
          <w:rFonts w:ascii="Times New Roman" w:hAnsi="Times New Roman" w:cs="Times New Roman"/>
          <w:b/>
          <w:sz w:val="24"/>
          <w:szCs w:val="24"/>
        </w:rPr>
        <w:t>Figure 4: Diagram showing the different types of reflector terminations. Truncation is associated wit</w:t>
      </w:r>
      <w:r w:rsidR="002B4496">
        <w:rPr>
          <w:rFonts w:ascii="Times New Roman" w:hAnsi="Times New Roman" w:cs="Times New Roman"/>
          <w:b/>
          <w:sz w:val="24"/>
          <w:szCs w:val="24"/>
        </w:rPr>
        <w:t>h base level drop and erosion, t</w:t>
      </w:r>
      <w:r>
        <w:rPr>
          <w:rFonts w:ascii="Times New Roman" w:hAnsi="Times New Roman" w:cs="Times New Roman"/>
          <w:b/>
          <w:sz w:val="24"/>
          <w:szCs w:val="24"/>
        </w:rPr>
        <w:t>oplap is associat</w:t>
      </w:r>
      <w:r w:rsidR="002B4496">
        <w:rPr>
          <w:rFonts w:ascii="Times New Roman" w:hAnsi="Times New Roman" w:cs="Times New Roman"/>
          <w:b/>
          <w:sz w:val="24"/>
          <w:szCs w:val="24"/>
        </w:rPr>
        <w:t>ed with static base level, and o</w:t>
      </w:r>
      <w:r>
        <w:rPr>
          <w:rFonts w:ascii="Times New Roman" w:hAnsi="Times New Roman" w:cs="Times New Roman"/>
          <w:b/>
          <w:sz w:val="24"/>
          <w:szCs w:val="24"/>
        </w:rPr>
        <w:t>nlap is associated with rising base level and transgression. (</w:t>
      </w:r>
      <w:r w:rsidR="0071685C">
        <w:rPr>
          <w:rFonts w:ascii="Times New Roman" w:hAnsi="Times New Roman" w:cs="Times New Roman"/>
          <w:b/>
          <w:sz w:val="24"/>
          <w:szCs w:val="24"/>
        </w:rPr>
        <w:t>Modified from Mitchum, 1977</w:t>
      </w:r>
      <w:r w:rsidR="00100A24">
        <w:rPr>
          <w:rFonts w:ascii="Times New Roman" w:hAnsi="Times New Roman" w:cs="Times New Roman"/>
          <w:b/>
          <w:sz w:val="24"/>
          <w:szCs w:val="24"/>
        </w:rPr>
        <w:t>)</w:t>
      </w:r>
    </w:p>
    <w:p w14:paraId="1E5D1BE2" w14:textId="77777777" w:rsidR="00417014" w:rsidRDefault="00417014" w:rsidP="00417014">
      <w:pPr>
        <w:spacing w:line="240" w:lineRule="auto"/>
        <w:jc w:val="center"/>
        <w:rPr>
          <w:rFonts w:ascii="Times New Roman" w:hAnsi="Times New Roman" w:cs="Times New Roman"/>
          <w:b/>
          <w:sz w:val="24"/>
          <w:szCs w:val="24"/>
        </w:rPr>
      </w:pPr>
    </w:p>
    <w:p w14:paraId="75037E52" w14:textId="75E19CC2" w:rsidR="00417014" w:rsidRPr="004441C0" w:rsidRDefault="00417014"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understanding of sequence stratigraphy can provide valuable insight into the location and production of hydrocarbons. </w:t>
      </w:r>
      <w:r w:rsidR="00C1256C">
        <w:rPr>
          <w:rFonts w:ascii="Times New Roman" w:hAnsi="Times New Roman" w:cs="Times New Roman"/>
          <w:sz w:val="24"/>
          <w:szCs w:val="24"/>
        </w:rPr>
        <w:t>Statements from the USGS indicate that the Nanushuk Group in particular shows promising potential for hydrocarbon product</w:t>
      </w:r>
      <w:r w:rsidR="006075D1">
        <w:rPr>
          <w:rFonts w:ascii="Times New Roman" w:hAnsi="Times New Roman" w:cs="Times New Roman"/>
          <w:sz w:val="24"/>
          <w:szCs w:val="24"/>
        </w:rPr>
        <w:t>ion, and as such the stratigraphic framework of the underlying units may influence decisions moving forward.</w:t>
      </w:r>
    </w:p>
    <w:p w14:paraId="22120C19" w14:textId="77777777" w:rsidR="00417014" w:rsidRDefault="00417014" w:rsidP="00417014"/>
    <w:p w14:paraId="76A3CFE7" w14:textId="77777777" w:rsidR="00284670" w:rsidRDefault="00284670" w:rsidP="00417014"/>
    <w:p w14:paraId="78811CEF" w14:textId="77777777" w:rsidR="008F706D" w:rsidRDefault="008F706D" w:rsidP="00417014">
      <w:pPr>
        <w:spacing w:line="480" w:lineRule="auto"/>
        <w:jc w:val="center"/>
        <w:rPr>
          <w:rFonts w:ascii="Times New Roman" w:hAnsi="Times New Roman" w:cs="Times New Roman"/>
          <w:b/>
          <w:sz w:val="28"/>
          <w:szCs w:val="28"/>
        </w:rPr>
      </w:pPr>
    </w:p>
    <w:p w14:paraId="0C3FF3F7" w14:textId="77777777" w:rsidR="008F706D" w:rsidRDefault="008F706D" w:rsidP="00417014">
      <w:pPr>
        <w:spacing w:line="480" w:lineRule="auto"/>
        <w:jc w:val="center"/>
        <w:rPr>
          <w:rFonts w:ascii="Times New Roman" w:hAnsi="Times New Roman" w:cs="Times New Roman"/>
          <w:b/>
          <w:sz w:val="28"/>
          <w:szCs w:val="28"/>
        </w:rPr>
      </w:pPr>
    </w:p>
    <w:p w14:paraId="0C7EF704" w14:textId="77777777" w:rsidR="008F706D" w:rsidRDefault="008F706D" w:rsidP="00417014">
      <w:pPr>
        <w:spacing w:line="480" w:lineRule="auto"/>
        <w:jc w:val="center"/>
        <w:rPr>
          <w:rFonts w:ascii="Times New Roman" w:hAnsi="Times New Roman" w:cs="Times New Roman"/>
          <w:b/>
          <w:sz w:val="28"/>
          <w:szCs w:val="28"/>
        </w:rPr>
      </w:pPr>
    </w:p>
    <w:p w14:paraId="3977AC2C" w14:textId="01B96D03" w:rsidR="00417014" w:rsidRPr="009D20F7" w:rsidRDefault="009D20F7" w:rsidP="00417014">
      <w:pPr>
        <w:spacing w:line="480" w:lineRule="auto"/>
        <w:jc w:val="center"/>
        <w:rPr>
          <w:rFonts w:ascii="Times New Roman" w:hAnsi="Times New Roman" w:cs="Times New Roman"/>
          <w:b/>
          <w:sz w:val="28"/>
          <w:szCs w:val="28"/>
        </w:rPr>
      </w:pPr>
      <w:r w:rsidRPr="009D20F7">
        <w:rPr>
          <w:rFonts w:ascii="Times New Roman" w:hAnsi="Times New Roman" w:cs="Times New Roman"/>
          <w:b/>
          <w:sz w:val="28"/>
          <w:szCs w:val="28"/>
        </w:rPr>
        <w:lastRenderedPageBreak/>
        <w:t>GEOLOGIC HISTORY</w:t>
      </w:r>
    </w:p>
    <w:p w14:paraId="3F14F192" w14:textId="3C5178C1"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NPRA is located on a small continental fragment called the Arctic Alaska Microplate (Hubbard et al</w:t>
      </w:r>
      <w:r w:rsidR="0073614B">
        <w:rPr>
          <w:rFonts w:ascii="Times New Roman" w:hAnsi="Times New Roman" w:cs="Times New Roman"/>
          <w:sz w:val="24"/>
          <w:szCs w:val="24"/>
        </w:rPr>
        <w:t>.</w:t>
      </w:r>
      <w:r>
        <w:rPr>
          <w:rFonts w:ascii="Times New Roman" w:hAnsi="Times New Roman" w:cs="Times New Roman"/>
          <w:sz w:val="24"/>
          <w:szCs w:val="24"/>
        </w:rPr>
        <w:t xml:space="preserve"> 1987), whose boundaries are only approximately known. The North Slope, most of the Brooks Range, and part o</w:t>
      </w:r>
      <w:r w:rsidR="0073614B">
        <w:rPr>
          <w:rFonts w:ascii="Times New Roman" w:hAnsi="Times New Roman" w:cs="Times New Roman"/>
          <w:sz w:val="24"/>
          <w:szCs w:val="24"/>
        </w:rPr>
        <w:t>f Siberia are included on this m</w:t>
      </w:r>
      <w:r>
        <w:rPr>
          <w:rFonts w:ascii="Times New Roman" w:hAnsi="Times New Roman" w:cs="Times New Roman"/>
          <w:sz w:val="24"/>
          <w:szCs w:val="24"/>
        </w:rPr>
        <w:t>icroplate. While the plate tectonic history of Northern Alaska remains a controversial subject, the most common interpretation is the rotational hypothesis put forth by Carey (1958), Tailleur (1973), and Grantz (1998). In this hypothesis, the Arctic Alaska Microplate was originally located adjacent to the Canadian Arctic Islands. Rifting in the Cretaceous caused a rotational opening in the Canada Basin, forcing the Arctic Alaska Microplate to move counter-clockwise away from Canada in a 60-degree arc about the Mackenzie Delta. Other leading hypotheses are summarized by Lawver and Scotese (1990).</w:t>
      </w:r>
    </w:p>
    <w:p w14:paraId="218442DC" w14:textId="77777777" w:rsidR="00417014" w:rsidRDefault="00417014" w:rsidP="00A33B47">
      <w:pPr>
        <w:spacing w:line="276" w:lineRule="auto"/>
        <w:rPr>
          <w:rFonts w:ascii="Times New Roman" w:hAnsi="Times New Roman" w:cs="Times New Roman"/>
          <w:b/>
          <w:sz w:val="24"/>
          <w:szCs w:val="24"/>
        </w:rPr>
      </w:pPr>
      <w:r w:rsidRPr="003D5AA8">
        <w:rPr>
          <w:rFonts w:ascii="Times New Roman" w:hAnsi="Times New Roman" w:cs="Times New Roman"/>
          <w:noProof/>
          <w:sz w:val="24"/>
          <w:szCs w:val="24"/>
        </w:rPr>
        <w:drawing>
          <wp:inline distT="0" distB="0" distL="0" distR="0" wp14:anchorId="249E664D" wp14:editId="6BC756AF">
            <wp:extent cx="5943600" cy="3752215"/>
            <wp:effectExtent l="0" t="0" r="4445" b="8890"/>
            <wp:docPr id="5"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D4A92D4-593A-4BA7-BFFA-3553537946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3D4A92D4-593A-4BA7-BFFA-35535379467C}"/>
                        </a:ext>
                      </a:extLst>
                    </pic:cNvPr>
                    <pic:cNvPicPr>
                      <a:picLocks noChangeAspect="1"/>
                    </pic:cNvPicPr>
                  </pic:nvPicPr>
                  <pic:blipFill>
                    <a:blip r:embed="rId14"/>
                    <a:stretch>
                      <a:fillRect/>
                    </a:stretch>
                  </pic:blipFill>
                  <pic:spPr>
                    <a:xfrm>
                      <a:off x="0" y="0"/>
                      <a:ext cx="5943600" cy="3752215"/>
                    </a:xfrm>
                    <a:prstGeom prst="rect">
                      <a:avLst/>
                    </a:prstGeom>
                  </pic:spPr>
                </pic:pic>
              </a:graphicData>
            </a:graphic>
          </wp:inline>
        </w:drawing>
      </w:r>
      <w:r>
        <w:rPr>
          <w:rFonts w:ascii="Times New Roman" w:hAnsi="Times New Roman" w:cs="Times New Roman"/>
          <w:b/>
          <w:sz w:val="24"/>
          <w:szCs w:val="24"/>
        </w:rPr>
        <w:t>Figure 5: Map showing the rotation of the Arctic Alaska microplate rotating away from the Canadian Arctic islands. Heavy dashed line is inferred to be the extinct seafloor spreading center that forced the Arctic Alaska microplate to move. (Laxon,1994: McAdoo, 1998)</w:t>
      </w:r>
    </w:p>
    <w:p w14:paraId="6A05BD13" w14:textId="77777777" w:rsidR="00417014" w:rsidRDefault="00417014" w:rsidP="00417014">
      <w:pPr>
        <w:spacing w:line="240" w:lineRule="auto"/>
        <w:jc w:val="center"/>
        <w:rPr>
          <w:rFonts w:ascii="Times New Roman" w:hAnsi="Times New Roman" w:cs="Times New Roman"/>
          <w:sz w:val="24"/>
          <w:szCs w:val="24"/>
        </w:rPr>
      </w:pPr>
      <w:r>
        <w:rPr>
          <w:noProof/>
        </w:rPr>
        <w:lastRenderedPageBreak/>
        <w:drawing>
          <wp:inline distT="0" distB="0" distL="0" distR="0" wp14:anchorId="5955790D" wp14:editId="3F11BCC4">
            <wp:extent cx="3407668" cy="7171362"/>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23098" cy="7203834"/>
                    </a:xfrm>
                    <a:prstGeom prst="rect">
                      <a:avLst/>
                    </a:prstGeom>
                  </pic:spPr>
                </pic:pic>
              </a:graphicData>
            </a:graphic>
          </wp:inline>
        </w:drawing>
      </w:r>
    </w:p>
    <w:p w14:paraId="793362DB" w14:textId="77777777" w:rsidR="00417014" w:rsidRPr="009C591D" w:rsidRDefault="00417014" w:rsidP="00A33B47">
      <w:pPr>
        <w:spacing w:line="276" w:lineRule="auto"/>
        <w:rPr>
          <w:rFonts w:ascii="Times New Roman" w:hAnsi="Times New Roman" w:cs="Times New Roman"/>
          <w:b/>
          <w:sz w:val="24"/>
          <w:szCs w:val="24"/>
        </w:rPr>
      </w:pPr>
      <w:r>
        <w:rPr>
          <w:rFonts w:ascii="Times New Roman" w:hAnsi="Times New Roman" w:cs="Times New Roman"/>
          <w:b/>
          <w:sz w:val="24"/>
          <w:szCs w:val="24"/>
        </w:rPr>
        <w:t>Figure 6: Generalized stratigraphic column of the North Slope. (Modified from Houseknecht, 2002)</w:t>
      </w:r>
    </w:p>
    <w:p w14:paraId="43646D69" w14:textId="7A706664" w:rsidR="00417014" w:rsidRDefault="0073614B" w:rsidP="004170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geologic h</w:t>
      </w:r>
      <w:r w:rsidR="00417014">
        <w:rPr>
          <w:rFonts w:ascii="Times New Roman" w:hAnsi="Times New Roman" w:cs="Times New Roman"/>
          <w:sz w:val="24"/>
          <w:szCs w:val="24"/>
        </w:rPr>
        <w:t xml:space="preserve">istory of the NPRA has resulted in four </w:t>
      </w:r>
      <w:r w:rsidR="006D678E">
        <w:rPr>
          <w:rFonts w:ascii="Times New Roman" w:hAnsi="Times New Roman" w:cs="Times New Roman"/>
          <w:sz w:val="24"/>
          <w:szCs w:val="24"/>
        </w:rPr>
        <w:t>distinct stratigraphic packages</w:t>
      </w:r>
      <w:r w:rsidR="006D678E">
        <w:rPr>
          <w:rFonts w:ascii="Times New Roman" w:hAnsi="Times New Roman" w:cs="Times New Roman"/>
          <w:color w:val="FF0000"/>
          <w:sz w:val="24"/>
          <w:szCs w:val="24"/>
        </w:rPr>
        <w:t xml:space="preserve"> </w:t>
      </w:r>
      <w:r w:rsidR="006D678E" w:rsidRPr="006D678E">
        <w:rPr>
          <w:rFonts w:ascii="Times New Roman" w:hAnsi="Times New Roman" w:cs="Times New Roman"/>
          <w:sz w:val="24"/>
          <w:szCs w:val="24"/>
        </w:rPr>
        <w:t>which will be referred to as megasequences</w:t>
      </w:r>
      <w:r>
        <w:rPr>
          <w:rFonts w:ascii="Times New Roman" w:hAnsi="Times New Roman" w:cs="Times New Roman"/>
          <w:sz w:val="24"/>
          <w:szCs w:val="24"/>
        </w:rPr>
        <w:t xml:space="preserve"> for the purposes of this paper</w:t>
      </w:r>
      <w:r w:rsidR="006D678E" w:rsidRPr="006D678E">
        <w:rPr>
          <w:rFonts w:ascii="Times New Roman" w:hAnsi="Times New Roman" w:cs="Times New Roman"/>
          <w:sz w:val="24"/>
          <w:szCs w:val="24"/>
        </w:rPr>
        <w:t xml:space="preserve"> (Houseknecht, 2003)</w:t>
      </w:r>
      <w:r>
        <w:rPr>
          <w:rFonts w:ascii="Times New Roman" w:hAnsi="Times New Roman" w:cs="Times New Roman"/>
          <w:sz w:val="24"/>
          <w:szCs w:val="24"/>
        </w:rPr>
        <w:t>.</w:t>
      </w:r>
      <w:r w:rsidR="00417014" w:rsidRPr="006D678E">
        <w:rPr>
          <w:rFonts w:ascii="Times New Roman" w:hAnsi="Times New Roman" w:cs="Times New Roman"/>
          <w:sz w:val="24"/>
          <w:szCs w:val="24"/>
        </w:rPr>
        <w:t xml:space="preserve"> </w:t>
      </w:r>
      <w:r w:rsidR="00417014">
        <w:rPr>
          <w:rFonts w:ascii="Times New Roman" w:hAnsi="Times New Roman" w:cs="Times New Roman"/>
          <w:sz w:val="24"/>
          <w:szCs w:val="24"/>
        </w:rPr>
        <w:t xml:space="preserve">These </w:t>
      </w:r>
      <w:r w:rsidR="006D678E">
        <w:rPr>
          <w:rFonts w:ascii="Times New Roman" w:hAnsi="Times New Roman" w:cs="Times New Roman"/>
          <w:sz w:val="24"/>
          <w:szCs w:val="24"/>
        </w:rPr>
        <w:t>mega</w:t>
      </w:r>
      <w:r w:rsidR="00417014">
        <w:rPr>
          <w:rFonts w:ascii="Times New Roman" w:hAnsi="Times New Roman" w:cs="Times New Roman"/>
          <w:sz w:val="24"/>
          <w:szCs w:val="24"/>
        </w:rPr>
        <w:t xml:space="preserve">sequences are the Franklinian, Ellesmerian, Beaufortian, and Brookian, from oldest to youngest. These </w:t>
      </w:r>
      <w:r w:rsidR="006D678E">
        <w:rPr>
          <w:rFonts w:ascii="Times New Roman" w:hAnsi="Times New Roman" w:cs="Times New Roman"/>
          <w:sz w:val="24"/>
          <w:szCs w:val="24"/>
        </w:rPr>
        <w:t>mega</w:t>
      </w:r>
      <w:r w:rsidR="00417014">
        <w:rPr>
          <w:rFonts w:ascii="Times New Roman" w:hAnsi="Times New Roman" w:cs="Times New Roman"/>
          <w:sz w:val="24"/>
          <w:szCs w:val="24"/>
        </w:rPr>
        <w:t xml:space="preserve">sequences reflect major tectonic events and result in significant differences in sediment source area, structural frameworks, and depositional environments. Changes in global sea-level further influenced deposition and created internal complexities within the </w:t>
      </w:r>
      <w:r w:rsidR="006D678E">
        <w:rPr>
          <w:rFonts w:ascii="Times New Roman" w:hAnsi="Times New Roman" w:cs="Times New Roman"/>
          <w:sz w:val="24"/>
          <w:szCs w:val="24"/>
        </w:rPr>
        <w:t>mega</w:t>
      </w:r>
      <w:r w:rsidR="00417014">
        <w:rPr>
          <w:rFonts w:ascii="Times New Roman" w:hAnsi="Times New Roman" w:cs="Times New Roman"/>
          <w:sz w:val="24"/>
          <w:szCs w:val="24"/>
        </w:rPr>
        <w:t>sequences.</w:t>
      </w:r>
    </w:p>
    <w:p w14:paraId="7EC626BD" w14:textId="4C91F203" w:rsidR="00417014" w:rsidRDefault="006D678E"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w:t>
      </w:r>
      <w:r w:rsidR="0073614B">
        <w:rPr>
          <w:rFonts w:ascii="Times New Roman" w:hAnsi="Times New Roman" w:cs="Times New Roman"/>
          <w:sz w:val="24"/>
          <w:szCs w:val="24"/>
        </w:rPr>
        <w:t>e Frank</w:t>
      </w:r>
      <w:r>
        <w:rPr>
          <w:rFonts w:ascii="Times New Roman" w:hAnsi="Times New Roman" w:cs="Times New Roman"/>
          <w:sz w:val="24"/>
          <w:szCs w:val="24"/>
        </w:rPr>
        <w:t>linian Megas</w:t>
      </w:r>
      <w:r w:rsidR="00417014">
        <w:rPr>
          <w:rFonts w:ascii="Times New Roman" w:hAnsi="Times New Roman" w:cs="Times New Roman"/>
          <w:sz w:val="24"/>
          <w:szCs w:val="24"/>
        </w:rPr>
        <w:t xml:space="preserve">equence formed more than 400 million years ago, before the Middle Devonian time on a stable continental platform. Some of the sequence may have formed on a passive margin sloping under a sea that deepened to the south. Franklinian deposition ended in the Middle to Late Devonian during the Ellesmerian Orogeny and the </w:t>
      </w:r>
      <w:r>
        <w:rPr>
          <w:rFonts w:ascii="Times New Roman" w:hAnsi="Times New Roman" w:cs="Times New Roman"/>
          <w:sz w:val="24"/>
          <w:szCs w:val="24"/>
        </w:rPr>
        <w:t>mega</w:t>
      </w:r>
      <w:r w:rsidR="00417014">
        <w:rPr>
          <w:rFonts w:ascii="Times New Roman" w:hAnsi="Times New Roman" w:cs="Times New Roman"/>
          <w:sz w:val="24"/>
          <w:szCs w:val="24"/>
        </w:rPr>
        <w:t xml:space="preserve">sequence became moderately metamorphosed and highly deformed throughout the mountain belt. The formation of failed rift sub basins such as the Meade and Ikpikpuk-Umiat accelerated the erosion of the continental uplands to a low-lying south-facing coastal plain that began to subside below sea level. A wide range of rock-types are prevalent throughout the sequence, including metamorphosed argillites, graywackes, quartzite, carbonates, and volcanics. The Franklinian </w:t>
      </w:r>
      <w:r w:rsidR="00127482">
        <w:rPr>
          <w:rFonts w:ascii="Times New Roman" w:hAnsi="Times New Roman" w:cs="Times New Roman"/>
          <w:sz w:val="24"/>
          <w:szCs w:val="24"/>
        </w:rPr>
        <w:t>M</w:t>
      </w:r>
      <w:r>
        <w:rPr>
          <w:rFonts w:ascii="Times New Roman" w:hAnsi="Times New Roman" w:cs="Times New Roman"/>
          <w:sz w:val="24"/>
          <w:szCs w:val="24"/>
        </w:rPr>
        <w:t>ega</w:t>
      </w:r>
      <w:r w:rsidR="00417014">
        <w:rPr>
          <w:rFonts w:ascii="Times New Roman" w:hAnsi="Times New Roman" w:cs="Times New Roman"/>
          <w:sz w:val="24"/>
          <w:szCs w:val="24"/>
        </w:rPr>
        <w:t>sequence is often considered the non-prospective basement due to high thermal maturity and generally poor reservoir quality. (</w:t>
      </w:r>
      <w:r w:rsidR="00F73B1C">
        <w:rPr>
          <w:rFonts w:ascii="Times New Roman" w:hAnsi="Times New Roman" w:cs="Times New Roman"/>
          <w:sz w:val="24"/>
          <w:szCs w:val="24"/>
        </w:rPr>
        <w:t>Petroleum News, 2008</w:t>
      </w:r>
      <w:r w:rsidR="00417014">
        <w:rPr>
          <w:rFonts w:ascii="Times New Roman" w:hAnsi="Times New Roman" w:cs="Times New Roman"/>
          <w:sz w:val="24"/>
          <w:szCs w:val="24"/>
        </w:rPr>
        <w:t>)</w:t>
      </w:r>
    </w:p>
    <w:p w14:paraId="12C91973" w14:textId="60C38510"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Overlying the Frankli</w:t>
      </w:r>
      <w:r w:rsidR="006D678E">
        <w:rPr>
          <w:rFonts w:ascii="Times New Roman" w:hAnsi="Times New Roman" w:cs="Times New Roman"/>
          <w:sz w:val="24"/>
          <w:szCs w:val="24"/>
        </w:rPr>
        <w:t>nian Basement, the Ellesmerian Mega</w:t>
      </w:r>
      <w:r>
        <w:rPr>
          <w:rFonts w:ascii="Times New Roman" w:hAnsi="Times New Roman" w:cs="Times New Roman"/>
          <w:sz w:val="24"/>
          <w:szCs w:val="24"/>
        </w:rPr>
        <w:t>equence is comprised of sediments eroded from Franklinian rock in the landmass north of the Beaufort Sea (Bird, 1981). These sediments moved southward and accumulated in coastal and marine settings of the Arctic</w:t>
      </w:r>
      <w:r w:rsidR="00127482">
        <w:rPr>
          <w:rFonts w:ascii="Times New Roman" w:hAnsi="Times New Roman" w:cs="Times New Roman"/>
          <w:sz w:val="24"/>
          <w:szCs w:val="24"/>
        </w:rPr>
        <w:t xml:space="preserve"> Alaska basin. The Ellesmerian Megas</w:t>
      </w:r>
      <w:r>
        <w:rPr>
          <w:rFonts w:ascii="Times New Roman" w:hAnsi="Times New Roman" w:cs="Times New Roman"/>
          <w:sz w:val="24"/>
          <w:szCs w:val="24"/>
        </w:rPr>
        <w:t xml:space="preserve">equence is characterized by this south-facing passive margin deposition and continues over 150 million years, ending in the early or middle Jurassic. </w:t>
      </w:r>
      <w:r>
        <w:rPr>
          <w:rFonts w:ascii="Times New Roman" w:hAnsi="Times New Roman" w:cs="Times New Roman"/>
          <w:sz w:val="24"/>
          <w:szCs w:val="24"/>
        </w:rPr>
        <w:lastRenderedPageBreak/>
        <w:t xml:space="preserve">The </w:t>
      </w:r>
      <w:r w:rsidR="00127482">
        <w:rPr>
          <w:rFonts w:ascii="Times New Roman" w:hAnsi="Times New Roman" w:cs="Times New Roman"/>
          <w:sz w:val="24"/>
          <w:szCs w:val="24"/>
        </w:rPr>
        <w:t>mega</w:t>
      </w:r>
      <w:r>
        <w:rPr>
          <w:rFonts w:ascii="Times New Roman" w:hAnsi="Times New Roman" w:cs="Times New Roman"/>
          <w:sz w:val="24"/>
          <w:szCs w:val="24"/>
        </w:rPr>
        <w:t>sequence is thickest in the center of the Colville basin and thins to the north due to onlap against the landmass and to the south due to distance from sediment source. Deposition was highly varied in Ellesmerian time, resulting in both carbonate and clastic formations that contain petroleum source rocks, excellent reservoi</w:t>
      </w:r>
      <w:r w:rsidR="00F73B1C">
        <w:rPr>
          <w:rFonts w:ascii="Times New Roman" w:hAnsi="Times New Roman" w:cs="Times New Roman"/>
          <w:sz w:val="24"/>
          <w:szCs w:val="24"/>
        </w:rPr>
        <w:t>rs, and strong seals (Petroleum News, 2008</w:t>
      </w:r>
      <w:r>
        <w:rPr>
          <w:rFonts w:ascii="Times New Roman" w:hAnsi="Times New Roman" w:cs="Times New Roman"/>
          <w:sz w:val="24"/>
          <w:szCs w:val="24"/>
        </w:rPr>
        <w:t>). The Elle</w:t>
      </w:r>
      <w:r w:rsidR="00127482">
        <w:rPr>
          <w:rFonts w:ascii="Times New Roman" w:hAnsi="Times New Roman" w:cs="Times New Roman"/>
          <w:sz w:val="24"/>
          <w:szCs w:val="24"/>
        </w:rPr>
        <w:t>smerian Mega</w:t>
      </w:r>
      <w:r>
        <w:rPr>
          <w:rFonts w:ascii="Times New Roman" w:hAnsi="Times New Roman" w:cs="Times New Roman"/>
          <w:sz w:val="24"/>
          <w:szCs w:val="24"/>
        </w:rPr>
        <w:t>equence is commonly understood to contain multiple prominent groups and formations. From youngest to oldest these are: Endicott grou</w:t>
      </w:r>
      <w:r w:rsidR="00127482">
        <w:rPr>
          <w:rFonts w:ascii="Times New Roman" w:hAnsi="Times New Roman" w:cs="Times New Roman"/>
          <w:sz w:val="24"/>
          <w:szCs w:val="24"/>
        </w:rPr>
        <w:t>p, Lisburne Group, Sadlerochit Group, Shublik Formation, and Sag River F</w:t>
      </w:r>
      <w:r>
        <w:rPr>
          <w:rFonts w:ascii="Times New Roman" w:hAnsi="Times New Roman" w:cs="Times New Roman"/>
          <w:sz w:val="24"/>
          <w:szCs w:val="24"/>
        </w:rPr>
        <w:t>ormation (Kupecz, 1995).</w:t>
      </w:r>
    </w:p>
    <w:p w14:paraId="47E1FCC3" w14:textId="7D0CFFB4" w:rsidR="00417014" w:rsidRDefault="00127482"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Beaufortian Megas</w:t>
      </w:r>
      <w:r w:rsidR="00417014">
        <w:rPr>
          <w:rFonts w:ascii="Times New Roman" w:hAnsi="Times New Roman" w:cs="Times New Roman"/>
          <w:sz w:val="24"/>
          <w:szCs w:val="24"/>
        </w:rPr>
        <w:t xml:space="preserve">equence, often referred to as the rift sequence, was deposited between Early to Middle Jurassic and Early Cretaceous time. This </w:t>
      </w:r>
      <w:r>
        <w:rPr>
          <w:rFonts w:ascii="Times New Roman" w:hAnsi="Times New Roman" w:cs="Times New Roman"/>
          <w:sz w:val="24"/>
          <w:szCs w:val="24"/>
        </w:rPr>
        <w:t>mega</w:t>
      </w:r>
      <w:r w:rsidR="00417014">
        <w:rPr>
          <w:rFonts w:ascii="Times New Roman" w:hAnsi="Times New Roman" w:cs="Times New Roman"/>
          <w:sz w:val="24"/>
          <w:szCs w:val="24"/>
        </w:rPr>
        <w:t>sequence was heavily influenced by the counter-clockwise rotational rifting that opened up the Arctic Ocean (Hubbard and Others, 1987). During this time, the east-west trending structural high known as the Barrow Arch began to form in a series of uplift-phases, resulting in a system of rift grabens to the north and widespread surface erosion known as the Lower Cretaceous Unconformity (LCU) (</w:t>
      </w:r>
      <w:r w:rsidR="00F73B1C">
        <w:rPr>
          <w:rFonts w:ascii="Times New Roman" w:hAnsi="Times New Roman" w:cs="Times New Roman"/>
          <w:sz w:val="24"/>
          <w:szCs w:val="24"/>
        </w:rPr>
        <w:t>Petroleum News, 2008</w:t>
      </w:r>
      <w:r w:rsidR="00417014">
        <w:rPr>
          <w:rFonts w:ascii="Times New Roman" w:hAnsi="Times New Roman" w:cs="Times New Roman"/>
          <w:sz w:val="24"/>
          <w:szCs w:val="24"/>
        </w:rPr>
        <w:t xml:space="preserve">). Beaufortian strata are distinguished by northern provenance and seismically defined clinoforms that indicate offlap to the south and southeast (Bird, 1987). The Beaufortian </w:t>
      </w:r>
      <w:r>
        <w:rPr>
          <w:rFonts w:ascii="Times New Roman" w:hAnsi="Times New Roman" w:cs="Times New Roman"/>
          <w:sz w:val="24"/>
          <w:szCs w:val="24"/>
        </w:rPr>
        <w:t>Mega</w:t>
      </w:r>
      <w:r w:rsidR="00417014">
        <w:rPr>
          <w:rFonts w:ascii="Times New Roman" w:hAnsi="Times New Roman" w:cs="Times New Roman"/>
          <w:sz w:val="24"/>
          <w:szCs w:val="24"/>
        </w:rPr>
        <w:t xml:space="preserve">sequence is comprised of the Kingak Shale and overlying Pebble Shale, which are separated regionally by the LCU (Houseknecht, 2003). Some Beaufortian sediments accumulated on the uplifted margin of the Barrow Arch, forming important </w:t>
      </w:r>
      <w:r w:rsidR="00F73B1C">
        <w:rPr>
          <w:rFonts w:ascii="Times New Roman" w:hAnsi="Times New Roman" w:cs="Times New Roman"/>
          <w:sz w:val="24"/>
          <w:szCs w:val="24"/>
        </w:rPr>
        <w:t>sandstone reservoirs (Petroleum News, 2008</w:t>
      </w:r>
      <w:r w:rsidR="00417014">
        <w:rPr>
          <w:rFonts w:ascii="Times New Roman" w:hAnsi="Times New Roman" w:cs="Times New Roman"/>
          <w:sz w:val="24"/>
          <w:szCs w:val="24"/>
        </w:rPr>
        <w:t>).</w:t>
      </w:r>
    </w:p>
    <w:p w14:paraId="43AA9038" w14:textId="11FC965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In late Jurassic and early Cretaceous time, thick sheets of fault thrusted rock from the formation of the Bro</w:t>
      </w:r>
      <w:r w:rsidR="007C7BF1">
        <w:rPr>
          <w:rFonts w:ascii="Times New Roman" w:hAnsi="Times New Roman" w:cs="Times New Roman"/>
          <w:sz w:val="24"/>
          <w:szCs w:val="24"/>
        </w:rPr>
        <w:t>oks Range began to depress the Earth’s crust to the n</w:t>
      </w:r>
      <w:r>
        <w:rPr>
          <w:rFonts w:ascii="Times New Roman" w:hAnsi="Times New Roman" w:cs="Times New Roman"/>
          <w:sz w:val="24"/>
          <w:szCs w:val="24"/>
        </w:rPr>
        <w:t>orth, causing the Colville Basin to begin to sink (</w:t>
      </w:r>
      <w:r w:rsidR="00F73B1C">
        <w:rPr>
          <w:rFonts w:ascii="Times New Roman" w:hAnsi="Times New Roman" w:cs="Times New Roman"/>
          <w:sz w:val="24"/>
          <w:szCs w:val="24"/>
        </w:rPr>
        <w:t>Petroleum News, 2008</w:t>
      </w:r>
      <w:r>
        <w:rPr>
          <w:rFonts w:ascii="Times New Roman" w:hAnsi="Times New Roman" w:cs="Times New Roman"/>
          <w:sz w:val="24"/>
          <w:szCs w:val="24"/>
        </w:rPr>
        <w:t>). Sediments eroded from these thrust sheets began to fill the basin progressively from the southwest to the n</w:t>
      </w:r>
      <w:r w:rsidR="00127482">
        <w:rPr>
          <w:rFonts w:ascii="Times New Roman" w:hAnsi="Times New Roman" w:cs="Times New Roman"/>
          <w:sz w:val="24"/>
          <w:szCs w:val="24"/>
        </w:rPr>
        <w:t xml:space="preserve">ortheast, forming the </w:t>
      </w:r>
      <w:r w:rsidR="00127482">
        <w:rPr>
          <w:rFonts w:ascii="Times New Roman" w:hAnsi="Times New Roman" w:cs="Times New Roman"/>
          <w:sz w:val="24"/>
          <w:szCs w:val="24"/>
        </w:rPr>
        <w:lastRenderedPageBreak/>
        <w:t>Brookian Mega</w:t>
      </w:r>
      <w:r>
        <w:rPr>
          <w:rFonts w:ascii="Times New Roman" w:hAnsi="Times New Roman" w:cs="Times New Roman"/>
          <w:sz w:val="24"/>
          <w:szCs w:val="24"/>
        </w:rPr>
        <w:t xml:space="preserve">equence. The older Brookian sediments were deposited under relatively deepwater settings and are most commonly shales and sandstones, while the younger Brookian sediments were deposited in shallow water settings such as river deltas or coastal plains. This transition from deep to shallow depositional environments demonstrates the progressive infill of the Colville Basin (Houseknecht and Schenk, 2001). The most prominent formation contained within the Brookian </w:t>
      </w:r>
      <w:r w:rsidR="00127482">
        <w:rPr>
          <w:rFonts w:ascii="Times New Roman" w:hAnsi="Times New Roman" w:cs="Times New Roman"/>
          <w:sz w:val="24"/>
          <w:szCs w:val="24"/>
        </w:rPr>
        <w:t>Megasequence is the Torok F</w:t>
      </w:r>
      <w:r>
        <w:rPr>
          <w:rFonts w:ascii="Times New Roman" w:hAnsi="Times New Roman" w:cs="Times New Roman"/>
          <w:sz w:val="24"/>
          <w:szCs w:val="24"/>
        </w:rPr>
        <w:t>ormation, a series of prograding clinoforms that grow younger to the east (Houseknecht and Sche</w:t>
      </w:r>
      <w:r w:rsidR="00127482">
        <w:rPr>
          <w:rFonts w:ascii="Times New Roman" w:hAnsi="Times New Roman" w:cs="Times New Roman"/>
          <w:sz w:val="24"/>
          <w:szCs w:val="24"/>
        </w:rPr>
        <w:t>nk, 2001). Overlying the Torok F</w:t>
      </w:r>
      <w:r>
        <w:rPr>
          <w:rFonts w:ascii="Times New Roman" w:hAnsi="Times New Roman" w:cs="Times New Roman"/>
          <w:sz w:val="24"/>
          <w:szCs w:val="24"/>
        </w:rPr>
        <w:t xml:space="preserve">ormation are several other packages of Brookian strata, however these are beyond the </w:t>
      </w:r>
      <w:r w:rsidR="00D85708" w:rsidRPr="003062E1">
        <w:rPr>
          <w:rFonts w:ascii="Times New Roman" w:hAnsi="Times New Roman" w:cs="Times New Roman"/>
          <w:sz w:val="24"/>
          <w:szCs w:val="24"/>
        </w:rPr>
        <w:t>scope</w:t>
      </w:r>
      <w:r w:rsidR="00D85708">
        <w:rPr>
          <w:rFonts w:ascii="Times New Roman" w:hAnsi="Times New Roman" w:cs="Times New Roman"/>
          <w:color w:val="FF0000"/>
          <w:sz w:val="24"/>
          <w:szCs w:val="24"/>
        </w:rPr>
        <w:t xml:space="preserve"> </w:t>
      </w:r>
      <w:r>
        <w:rPr>
          <w:rFonts w:ascii="Times New Roman" w:hAnsi="Times New Roman" w:cs="Times New Roman"/>
          <w:sz w:val="24"/>
          <w:szCs w:val="24"/>
        </w:rPr>
        <w:t>of this thesis.</w:t>
      </w:r>
    </w:p>
    <w:p w14:paraId="016B83D9" w14:textId="77777777" w:rsidR="00417014" w:rsidRDefault="00417014" w:rsidP="00417014">
      <w:pPr>
        <w:spacing w:line="480" w:lineRule="auto"/>
        <w:rPr>
          <w:rFonts w:ascii="Times New Roman" w:hAnsi="Times New Roman" w:cs="Times New Roman"/>
          <w:sz w:val="24"/>
          <w:szCs w:val="24"/>
        </w:rPr>
      </w:pPr>
    </w:p>
    <w:p w14:paraId="14ADC499" w14:textId="77777777" w:rsidR="00417014" w:rsidRDefault="00417014" w:rsidP="00417014">
      <w:pPr>
        <w:spacing w:line="480" w:lineRule="auto"/>
        <w:rPr>
          <w:rFonts w:ascii="Times New Roman" w:hAnsi="Times New Roman" w:cs="Times New Roman"/>
          <w:sz w:val="24"/>
          <w:szCs w:val="24"/>
        </w:rPr>
      </w:pPr>
    </w:p>
    <w:p w14:paraId="695BCDDD" w14:textId="77777777" w:rsidR="00417014" w:rsidRDefault="00417014" w:rsidP="00417014">
      <w:pPr>
        <w:spacing w:line="480" w:lineRule="auto"/>
        <w:rPr>
          <w:rFonts w:ascii="Times New Roman" w:hAnsi="Times New Roman" w:cs="Times New Roman"/>
          <w:sz w:val="24"/>
          <w:szCs w:val="24"/>
        </w:rPr>
      </w:pPr>
    </w:p>
    <w:p w14:paraId="01F58A0B" w14:textId="77777777" w:rsidR="00417014" w:rsidRDefault="00417014" w:rsidP="00417014">
      <w:pPr>
        <w:spacing w:line="480" w:lineRule="auto"/>
        <w:rPr>
          <w:rFonts w:ascii="Times New Roman" w:hAnsi="Times New Roman" w:cs="Times New Roman"/>
          <w:sz w:val="24"/>
          <w:szCs w:val="24"/>
        </w:rPr>
      </w:pPr>
    </w:p>
    <w:p w14:paraId="43BD6F42" w14:textId="77777777" w:rsidR="00417014" w:rsidRDefault="00417014" w:rsidP="00417014">
      <w:pPr>
        <w:spacing w:line="480" w:lineRule="auto"/>
        <w:rPr>
          <w:rFonts w:ascii="Times New Roman" w:hAnsi="Times New Roman" w:cs="Times New Roman"/>
          <w:sz w:val="24"/>
          <w:szCs w:val="24"/>
        </w:rPr>
      </w:pPr>
    </w:p>
    <w:p w14:paraId="556217B6" w14:textId="77777777" w:rsidR="00417014" w:rsidRDefault="00417014" w:rsidP="00417014">
      <w:pPr>
        <w:spacing w:line="480" w:lineRule="auto"/>
        <w:rPr>
          <w:rFonts w:ascii="Times New Roman" w:hAnsi="Times New Roman" w:cs="Times New Roman"/>
          <w:sz w:val="24"/>
          <w:szCs w:val="24"/>
        </w:rPr>
      </w:pPr>
    </w:p>
    <w:p w14:paraId="0F8AAB46" w14:textId="77777777" w:rsidR="009D20F7" w:rsidRDefault="009D20F7" w:rsidP="00417014">
      <w:pPr>
        <w:spacing w:line="480" w:lineRule="auto"/>
        <w:rPr>
          <w:rFonts w:ascii="Times New Roman" w:hAnsi="Times New Roman" w:cs="Times New Roman"/>
          <w:sz w:val="24"/>
          <w:szCs w:val="24"/>
        </w:rPr>
      </w:pPr>
    </w:p>
    <w:p w14:paraId="7DD71556" w14:textId="77777777" w:rsidR="008F706D" w:rsidRDefault="008F706D" w:rsidP="00417014">
      <w:pPr>
        <w:spacing w:line="480" w:lineRule="auto"/>
        <w:jc w:val="center"/>
        <w:rPr>
          <w:rFonts w:ascii="Times New Roman" w:hAnsi="Times New Roman" w:cs="Times New Roman"/>
          <w:b/>
          <w:sz w:val="28"/>
          <w:szCs w:val="28"/>
        </w:rPr>
      </w:pPr>
    </w:p>
    <w:p w14:paraId="3F5A8FFC" w14:textId="77777777" w:rsidR="008F706D" w:rsidRDefault="008F706D" w:rsidP="00417014">
      <w:pPr>
        <w:spacing w:line="480" w:lineRule="auto"/>
        <w:jc w:val="center"/>
        <w:rPr>
          <w:rFonts w:ascii="Times New Roman" w:hAnsi="Times New Roman" w:cs="Times New Roman"/>
          <w:b/>
          <w:sz w:val="28"/>
          <w:szCs w:val="28"/>
        </w:rPr>
      </w:pPr>
    </w:p>
    <w:p w14:paraId="1052873F" w14:textId="77777777" w:rsidR="008F706D" w:rsidRDefault="008F706D" w:rsidP="00417014">
      <w:pPr>
        <w:spacing w:line="480" w:lineRule="auto"/>
        <w:jc w:val="center"/>
        <w:rPr>
          <w:rFonts w:ascii="Times New Roman" w:hAnsi="Times New Roman" w:cs="Times New Roman"/>
          <w:b/>
          <w:sz w:val="28"/>
          <w:szCs w:val="28"/>
        </w:rPr>
      </w:pPr>
    </w:p>
    <w:p w14:paraId="491B476A" w14:textId="77777777" w:rsidR="008F706D" w:rsidRDefault="008F706D" w:rsidP="00417014">
      <w:pPr>
        <w:spacing w:line="480" w:lineRule="auto"/>
        <w:jc w:val="center"/>
        <w:rPr>
          <w:rFonts w:ascii="Times New Roman" w:hAnsi="Times New Roman" w:cs="Times New Roman"/>
          <w:b/>
          <w:sz w:val="28"/>
          <w:szCs w:val="28"/>
        </w:rPr>
      </w:pPr>
    </w:p>
    <w:p w14:paraId="121CB267" w14:textId="0565008F" w:rsidR="00417014" w:rsidRPr="009D20F7" w:rsidRDefault="009D20F7" w:rsidP="00417014">
      <w:pPr>
        <w:spacing w:line="480" w:lineRule="auto"/>
        <w:jc w:val="center"/>
        <w:rPr>
          <w:rFonts w:ascii="Times New Roman" w:hAnsi="Times New Roman" w:cs="Times New Roman"/>
          <w:b/>
          <w:sz w:val="28"/>
          <w:szCs w:val="28"/>
        </w:rPr>
      </w:pPr>
      <w:r w:rsidRPr="009D20F7">
        <w:rPr>
          <w:rFonts w:ascii="Times New Roman" w:hAnsi="Times New Roman" w:cs="Times New Roman"/>
          <w:b/>
          <w:sz w:val="28"/>
          <w:szCs w:val="28"/>
        </w:rPr>
        <w:lastRenderedPageBreak/>
        <w:t>STRATIGRAPHY</w:t>
      </w:r>
    </w:p>
    <w:p w14:paraId="71F4C613" w14:textId="0C867026" w:rsidR="00417014" w:rsidRPr="00631FBA" w:rsidRDefault="00417014" w:rsidP="00417014">
      <w:pPr>
        <w:spacing w:line="480" w:lineRule="auto"/>
        <w:rPr>
          <w:rFonts w:ascii="Times New Roman" w:hAnsi="Times New Roman" w:cs="Times New Roman"/>
          <w:color w:val="00B050"/>
          <w:sz w:val="24"/>
          <w:szCs w:val="24"/>
        </w:rPr>
      </w:pPr>
      <w:r>
        <w:rPr>
          <w:rFonts w:ascii="Times New Roman" w:hAnsi="Times New Roman" w:cs="Times New Roman"/>
          <w:sz w:val="24"/>
          <w:szCs w:val="24"/>
        </w:rPr>
        <w:tab/>
        <w:t xml:space="preserve">This chapter will focus on the major groups and formations present within the </w:t>
      </w:r>
      <w:r w:rsidRPr="003062E1">
        <w:rPr>
          <w:rFonts w:ascii="Times New Roman" w:hAnsi="Times New Roman" w:cs="Times New Roman"/>
          <w:sz w:val="24"/>
          <w:szCs w:val="24"/>
        </w:rPr>
        <w:t>Ikpikpuk-Umiat basin. From oldest to youngest these are: the Endicott Group, the L</w:t>
      </w:r>
      <w:r w:rsidR="001E40BE">
        <w:rPr>
          <w:rFonts w:ascii="Times New Roman" w:hAnsi="Times New Roman" w:cs="Times New Roman"/>
          <w:sz w:val="24"/>
          <w:szCs w:val="24"/>
        </w:rPr>
        <w:t>isburne Group, the Sadlerochit G</w:t>
      </w:r>
      <w:r w:rsidRPr="003062E1">
        <w:rPr>
          <w:rFonts w:ascii="Times New Roman" w:hAnsi="Times New Roman" w:cs="Times New Roman"/>
          <w:sz w:val="24"/>
          <w:szCs w:val="24"/>
        </w:rPr>
        <w:t xml:space="preserve">roup, the Shublik </w:t>
      </w:r>
      <w:r w:rsidR="00E513BF" w:rsidRPr="003062E1">
        <w:rPr>
          <w:rFonts w:ascii="Times New Roman" w:hAnsi="Times New Roman" w:cs="Times New Roman"/>
          <w:sz w:val="24"/>
          <w:szCs w:val="24"/>
        </w:rPr>
        <w:t>F</w:t>
      </w:r>
      <w:r w:rsidRPr="003062E1">
        <w:rPr>
          <w:rFonts w:ascii="Times New Roman" w:hAnsi="Times New Roman" w:cs="Times New Roman"/>
          <w:sz w:val="24"/>
          <w:szCs w:val="24"/>
        </w:rPr>
        <w:t xml:space="preserve">ormation, the Sag River </w:t>
      </w:r>
      <w:r w:rsidR="00631FBA" w:rsidRPr="003062E1">
        <w:rPr>
          <w:rFonts w:ascii="Times New Roman" w:hAnsi="Times New Roman" w:cs="Times New Roman"/>
          <w:sz w:val="24"/>
          <w:szCs w:val="24"/>
        </w:rPr>
        <w:t>F</w:t>
      </w:r>
      <w:r w:rsidRPr="003062E1">
        <w:rPr>
          <w:rFonts w:ascii="Times New Roman" w:hAnsi="Times New Roman" w:cs="Times New Roman"/>
          <w:sz w:val="24"/>
          <w:szCs w:val="24"/>
        </w:rPr>
        <w:t xml:space="preserve">ormation, the Kingak </w:t>
      </w:r>
      <w:r w:rsidR="00631FBA" w:rsidRPr="003062E1">
        <w:rPr>
          <w:rFonts w:ascii="Times New Roman" w:hAnsi="Times New Roman" w:cs="Times New Roman"/>
          <w:sz w:val="24"/>
          <w:szCs w:val="24"/>
        </w:rPr>
        <w:t>F</w:t>
      </w:r>
      <w:r w:rsidRPr="003062E1">
        <w:rPr>
          <w:rFonts w:ascii="Times New Roman" w:hAnsi="Times New Roman" w:cs="Times New Roman"/>
          <w:sz w:val="24"/>
          <w:szCs w:val="24"/>
        </w:rPr>
        <w:t xml:space="preserve">ormation, the Pebble </w:t>
      </w:r>
      <w:r w:rsidR="00631FBA" w:rsidRPr="003062E1">
        <w:rPr>
          <w:rFonts w:ascii="Times New Roman" w:hAnsi="Times New Roman" w:cs="Times New Roman"/>
          <w:sz w:val="24"/>
          <w:szCs w:val="24"/>
        </w:rPr>
        <w:t>S</w:t>
      </w:r>
      <w:r w:rsidRPr="003062E1">
        <w:rPr>
          <w:rFonts w:ascii="Times New Roman" w:hAnsi="Times New Roman" w:cs="Times New Roman"/>
          <w:sz w:val="24"/>
          <w:szCs w:val="24"/>
        </w:rPr>
        <w:t xml:space="preserve">hale </w:t>
      </w:r>
      <w:r w:rsidR="00631FBA" w:rsidRPr="003062E1">
        <w:rPr>
          <w:rFonts w:ascii="Times New Roman" w:hAnsi="Times New Roman" w:cs="Times New Roman"/>
          <w:sz w:val="24"/>
          <w:szCs w:val="24"/>
        </w:rPr>
        <w:t>F</w:t>
      </w:r>
      <w:r w:rsidRPr="003062E1">
        <w:rPr>
          <w:rFonts w:ascii="Times New Roman" w:hAnsi="Times New Roman" w:cs="Times New Roman"/>
          <w:sz w:val="24"/>
          <w:szCs w:val="24"/>
        </w:rPr>
        <w:t xml:space="preserve">ormation, and the Torok </w:t>
      </w:r>
      <w:r w:rsidR="00631FBA" w:rsidRPr="003062E1">
        <w:rPr>
          <w:rFonts w:ascii="Times New Roman" w:hAnsi="Times New Roman" w:cs="Times New Roman"/>
          <w:sz w:val="24"/>
          <w:szCs w:val="24"/>
        </w:rPr>
        <w:t>F</w:t>
      </w:r>
      <w:r w:rsidRPr="003062E1">
        <w:rPr>
          <w:rFonts w:ascii="Times New Roman" w:hAnsi="Times New Roman" w:cs="Times New Roman"/>
          <w:sz w:val="24"/>
          <w:szCs w:val="24"/>
        </w:rPr>
        <w:t>ormation</w:t>
      </w:r>
      <w:r>
        <w:rPr>
          <w:rFonts w:ascii="Times New Roman" w:hAnsi="Times New Roman" w:cs="Times New Roman"/>
          <w:sz w:val="24"/>
          <w:szCs w:val="24"/>
        </w:rPr>
        <w:t>.</w:t>
      </w:r>
      <w:r w:rsidR="00BE18BE">
        <w:rPr>
          <w:rFonts w:ascii="Times New Roman" w:hAnsi="Times New Roman" w:cs="Times New Roman"/>
          <w:color w:val="FF0000"/>
          <w:sz w:val="24"/>
          <w:szCs w:val="24"/>
        </w:rPr>
        <w:t xml:space="preserve"> </w:t>
      </w:r>
      <w:r w:rsidR="001E40BE">
        <w:rPr>
          <w:rFonts w:ascii="Times New Roman" w:hAnsi="Times New Roman" w:cs="Times New Roman"/>
          <w:sz w:val="24"/>
          <w:szCs w:val="24"/>
        </w:rPr>
        <w:t>See Figure 2.</w:t>
      </w:r>
    </w:p>
    <w:p w14:paraId="565FAAA2"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Endicott Group</w:t>
      </w:r>
    </w:p>
    <w:p w14:paraId="2F21D9B3" w14:textId="64EA94F9"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b/>
          <w:sz w:val="24"/>
          <w:szCs w:val="24"/>
        </w:rPr>
        <w:tab/>
      </w:r>
      <w:r w:rsidR="00127482">
        <w:rPr>
          <w:rFonts w:ascii="Times New Roman" w:hAnsi="Times New Roman" w:cs="Times New Roman"/>
          <w:sz w:val="24"/>
          <w:szCs w:val="24"/>
        </w:rPr>
        <w:t>The Endicott G</w:t>
      </w:r>
      <w:r>
        <w:rPr>
          <w:rFonts w:ascii="Times New Roman" w:hAnsi="Times New Roman" w:cs="Times New Roman"/>
          <w:sz w:val="24"/>
          <w:szCs w:val="24"/>
        </w:rPr>
        <w:t xml:space="preserve">roup is made up of the Mississippian aged clastic rocks beneath the Lisburne group. It forms the basal part of the northern-sourced Ellesmerian </w:t>
      </w:r>
      <w:r w:rsidR="00127482">
        <w:rPr>
          <w:rFonts w:ascii="Times New Roman" w:hAnsi="Times New Roman" w:cs="Times New Roman"/>
          <w:sz w:val="24"/>
          <w:szCs w:val="24"/>
        </w:rPr>
        <w:t>Mega</w:t>
      </w:r>
      <w:r>
        <w:rPr>
          <w:rFonts w:ascii="Times New Roman" w:hAnsi="Times New Roman" w:cs="Times New Roman"/>
          <w:sz w:val="24"/>
          <w:szCs w:val="24"/>
        </w:rPr>
        <w:t>sequence, and is comprised almost entirely of nonmarine and shallow marine clastic rocks, representing an overall transgressive sequence (Bird and Jordan, 1977). This group has been penetrated by a number of wells drilled in the NPRA, most notably the Ikpikpuk 1 well and the Inigok 1 well, though the group is poorly represented in core (Wilson and others, 2001).  Bird and Jord</w:t>
      </w:r>
      <w:r w:rsidR="00127482">
        <w:rPr>
          <w:rFonts w:ascii="Times New Roman" w:hAnsi="Times New Roman" w:cs="Times New Roman"/>
          <w:sz w:val="24"/>
          <w:szCs w:val="24"/>
        </w:rPr>
        <w:t>an (1977) divided the Endicott G</w:t>
      </w:r>
      <w:r>
        <w:rPr>
          <w:rFonts w:ascii="Times New Roman" w:hAnsi="Times New Roman" w:cs="Times New Roman"/>
          <w:sz w:val="24"/>
          <w:szCs w:val="24"/>
        </w:rPr>
        <w:t xml:space="preserve">roup into three formations: the Kekituk Conglomerate, the Kayak Shale, and the Itkilyariak Formation. </w:t>
      </w:r>
    </w:p>
    <w:p w14:paraId="40A9817E" w14:textId="7777777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Nilson (1981) describes the three members within the Kekituk Conglomerate. The lowest member is a 90 foot thick section of breccia and conglomerate, interpreted to be of fluvial origin. The middle member is a 90 foot thick section of fining upward conglomerates and sandstones, likely deposited by braided streams. The highest member is a 60 foot thick section of repeated cycles of fining upward conglomerate and sandstone that is rich with plant fossils, interpreted to be deposited by meandering streams.</w:t>
      </w:r>
    </w:p>
    <w:p w14:paraId="41D993F8" w14:textId="7777777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Kayak Shale consists of a base sandstone layer overlain by black marine shale with thin interbedded sandstone layers, most likely of debris flow origins. The uppermost section of </w:t>
      </w:r>
      <w:r>
        <w:rPr>
          <w:rFonts w:ascii="Times New Roman" w:hAnsi="Times New Roman" w:cs="Times New Roman"/>
          <w:sz w:val="24"/>
          <w:szCs w:val="24"/>
        </w:rPr>
        <w:lastRenderedPageBreak/>
        <w:t>the Kayak is made up of interbedded shale and limestone beds. The abrupt shift from the basal sandstone layer to marine shale heavily indicates strong marine transgression (Nilsen, 1981).</w:t>
      </w:r>
    </w:p>
    <w:p w14:paraId="530E58B9" w14:textId="7D86F7F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Mull and Mangu</w:t>
      </w:r>
      <w:r w:rsidR="00127482">
        <w:rPr>
          <w:rFonts w:ascii="Times New Roman" w:hAnsi="Times New Roman" w:cs="Times New Roman"/>
          <w:sz w:val="24"/>
          <w:szCs w:val="24"/>
        </w:rPr>
        <w:t>s (1972) added the Itkilyariak F</w:t>
      </w:r>
      <w:r>
        <w:rPr>
          <w:rFonts w:ascii="Times New Roman" w:hAnsi="Times New Roman" w:cs="Times New Roman"/>
          <w:sz w:val="24"/>
          <w:szCs w:val="24"/>
        </w:rPr>
        <w:t xml:space="preserve">ormation to the group </w:t>
      </w:r>
      <w:r w:rsidR="00127482" w:rsidRPr="00127482">
        <w:rPr>
          <w:rFonts w:ascii="Times New Roman" w:hAnsi="Times New Roman" w:cs="Times New Roman"/>
          <w:sz w:val="24"/>
          <w:szCs w:val="24"/>
        </w:rPr>
        <w:t>because of</w:t>
      </w:r>
      <w:r>
        <w:rPr>
          <w:rFonts w:ascii="Times New Roman" w:hAnsi="Times New Roman" w:cs="Times New Roman"/>
          <w:sz w:val="24"/>
          <w:szCs w:val="24"/>
        </w:rPr>
        <w:t xml:space="preserve"> distinctive red beds they were able to correlate from the Sadlerochit mountains to the Prudhoe bay ar</w:t>
      </w:r>
      <w:r w:rsidR="00127482">
        <w:rPr>
          <w:rFonts w:ascii="Times New Roman" w:hAnsi="Times New Roman" w:cs="Times New Roman"/>
          <w:sz w:val="24"/>
          <w:szCs w:val="24"/>
        </w:rPr>
        <w:t>ea subsurface. The Itkilyariak F</w:t>
      </w:r>
      <w:r>
        <w:rPr>
          <w:rFonts w:ascii="Times New Roman" w:hAnsi="Times New Roman" w:cs="Times New Roman"/>
          <w:sz w:val="24"/>
          <w:szCs w:val="24"/>
        </w:rPr>
        <w:t>ormation is not believed to be c</w:t>
      </w:r>
      <w:r w:rsidR="00127482">
        <w:rPr>
          <w:rFonts w:ascii="Times New Roman" w:hAnsi="Times New Roman" w:cs="Times New Roman"/>
          <w:sz w:val="24"/>
          <w:szCs w:val="24"/>
        </w:rPr>
        <w:t>ontained in the Ikpikpuk-Umiat B</w:t>
      </w:r>
      <w:r>
        <w:rPr>
          <w:rFonts w:ascii="Times New Roman" w:hAnsi="Times New Roman" w:cs="Times New Roman"/>
          <w:sz w:val="24"/>
          <w:szCs w:val="24"/>
        </w:rPr>
        <w:t>asin (Mauch, 1985).</w:t>
      </w:r>
    </w:p>
    <w:p w14:paraId="686EA3EC" w14:textId="77777777" w:rsidR="00417014" w:rsidRDefault="00417014" w:rsidP="00417014">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838B43" wp14:editId="380AF193">
            <wp:extent cx="5122110" cy="4119562"/>
            <wp:effectExtent l="0" t="0" r="2540" b="0"/>
            <wp:docPr id="8" name="Picture 8" descr="Endicott in the Ikpikpukumiat ba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dicott in the Ikpikpukumiat basi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27701" cy="4124058"/>
                    </a:xfrm>
                    <a:prstGeom prst="rect">
                      <a:avLst/>
                    </a:prstGeom>
                    <a:noFill/>
                    <a:ln>
                      <a:noFill/>
                    </a:ln>
                  </pic:spPr>
                </pic:pic>
              </a:graphicData>
            </a:graphic>
          </wp:inline>
        </w:drawing>
      </w:r>
    </w:p>
    <w:p w14:paraId="2ED3563B" w14:textId="626398F7" w:rsidR="00417014" w:rsidRDefault="00417014" w:rsidP="00A33B47">
      <w:pPr>
        <w:spacing w:line="276" w:lineRule="auto"/>
        <w:rPr>
          <w:rFonts w:ascii="Times New Roman" w:hAnsi="Times New Roman" w:cs="Times New Roman"/>
          <w:b/>
          <w:sz w:val="24"/>
          <w:szCs w:val="24"/>
        </w:rPr>
      </w:pPr>
      <w:r>
        <w:rPr>
          <w:rFonts w:ascii="Times New Roman" w:hAnsi="Times New Roman" w:cs="Times New Roman"/>
          <w:b/>
          <w:sz w:val="24"/>
          <w:szCs w:val="24"/>
        </w:rPr>
        <w:t>Figure 7: Map showing a thickness isopach of the Endicott Group and location of wells that pierced it. (Modified from Wilson, 2001)</w:t>
      </w:r>
      <w:r w:rsidR="001E40BE">
        <w:rPr>
          <w:rFonts w:ascii="Times New Roman" w:hAnsi="Times New Roman" w:cs="Times New Roman"/>
          <w:b/>
          <w:sz w:val="24"/>
          <w:szCs w:val="24"/>
        </w:rPr>
        <w:t>.</w:t>
      </w:r>
    </w:p>
    <w:p w14:paraId="58D3EBC6" w14:textId="77777777" w:rsidR="00D139F6" w:rsidRPr="001E40BE" w:rsidRDefault="00D139F6" w:rsidP="00A33B47">
      <w:pPr>
        <w:spacing w:line="276" w:lineRule="auto"/>
        <w:rPr>
          <w:rFonts w:ascii="Times New Roman" w:hAnsi="Times New Roman" w:cs="Times New Roman"/>
          <w:b/>
          <w:sz w:val="24"/>
          <w:szCs w:val="24"/>
        </w:rPr>
      </w:pPr>
    </w:p>
    <w:p w14:paraId="4B36D214" w14:textId="77777777" w:rsidR="006A221C" w:rsidRDefault="006A221C" w:rsidP="00417014">
      <w:pPr>
        <w:spacing w:line="480" w:lineRule="auto"/>
        <w:rPr>
          <w:rFonts w:ascii="Times New Roman" w:hAnsi="Times New Roman" w:cs="Times New Roman"/>
          <w:b/>
          <w:sz w:val="24"/>
          <w:szCs w:val="24"/>
        </w:rPr>
      </w:pPr>
    </w:p>
    <w:p w14:paraId="11261A0B" w14:textId="77777777" w:rsidR="006A221C" w:rsidRDefault="006A221C" w:rsidP="00417014">
      <w:pPr>
        <w:spacing w:line="480" w:lineRule="auto"/>
        <w:rPr>
          <w:rFonts w:ascii="Times New Roman" w:hAnsi="Times New Roman" w:cs="Times New Roman"/>
          <w:b/>
          <w:sz w:val="24"/>
          <w:szCs w:val="24"/>
        </w:rPr>
      </w:pPr>
    </w:p>
    <w:p w14:paraId="7C9FD5F2"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Lisburne Group</w:t>
      </w:r>
    </w:p>
    <w:p w14:paraId="1ADF8DD1" w14:textId="5ACAC03D"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b/>
          <w:sz w:val="24"/>
          <w:szCs w:val="24"/>
        </w:rPr>
        <w:tab/>
      </w:r>
      <w:r w:rsidR="00127482">
        <w:rPr>
          <w:rFonts w:ascii="Times New Roman" w:hAnsi="Times New Roman" w:cs="Times New Roman"/>
          <w:sz w:val="24"/>
          <w:szCs w:val="24"/>
        </w:rPr>
        <w:t>The Lisburne G</w:t>
      </w:r>
      <w:r>
        <w:rPr>
          <w:rFonts w:ascii="Times New Roman" w:hAnsi="Times New Roman" w:cs="Times New Roman"/>
          <w:sz w:val="24"/>
          <w:szCs w:val="24"/>
        </w:rPr>
        <w:t>roup is a carbonate platform that directly overlies the Kayak Shale in the Ikpikpuk-Umiat basin. In the NPRA, and part</w:t>
      </w:r>
      <w:r w:rsidR="00127482">
        <w:rPr>
          <w:rFonts w:ascii="Times New Roman" w:hAnsi="Times New Roman" w:cs="Times New Roman"/>
          <w:sz w:val="24"/>
          <w:szCs w:val="24"/>
        </w:rPr>
        <w:t>icularly in the Ikpikpuk-Umiat Basin, the Lisburne G</w:t>
      </w:r>
      <w:r>
        <w:rPr>
          <w:rFonts w:ascii="Times New Roman" w:hAnsi="Times New Roman" w:cs="Times New Roman"/>
          <w:sz w:val="24"/>
          <w:szCs w:val="24"/>
        </w:rPr>
        <w:t xml:space="preserve">roup shows highly variable thickness, ranging from 2000 to 6000 feet (Mauch, 1985). Deposited on an irregular surface with high topographic relief, this group is discontinuously present throughout the region, growing progressively older to the south. Having formed on a south-facing passive continental margin, the Lisburne represents several northward transgressions, though in the NPRA it has a westward component as well (Fulk, 2010). Dumoulin and Bird (2001) divided </w:t>
      </w:r>
      <w:r w:rsidR="00127482">
        <w:rPr>
          <w:rFonts w:ascii="Times New Roman" w:hAnsi="Times New Roman" w:cs="Times New Roman"/>
          <w:sz w:val="24"/>
          <w:szCs w:val="24"/>
        </w:rPr>
        <w:t>the Lisburne G</w:t>
      </w:r>
      <w:r>
        <w:rPr>
          <w:rFonts w:ascii="Times New Roman" w:hAnsi="Times New Roman" w:cs="Times New Roman"/>
          <w:sz w:val="24"/>
          <w:szCs w:val="24"/>
        </w:rPr>
        <w:t>roup into Mississippian age strata and Pennsylvanian age strata, with an overlying transi</w:t>
      </w:r>
      <w:r w:rsidR="00127482">
        <w:rPr>
          <w:rFonts w:ascii="Times New Roman" w:hAnsi="Times New Roman" w:cs="Times New Roman"/>
          <w:sz w:val="24"/>
          <w:szCs w:val="24"/>
        </w:rPr>
        <w:t>tion zone into the Sadlerochit G</w:t>
      </w:r>
      <w:r>
        <w:rPr>
          <w:rFonts w:ascii="Times New Roman" w:hAnsi="Times New Roman" w:cs="Times New Roman"/>
          <w:sz w:val="24"/>
          <w:szCs w:val="24"/>
        </w:rPr>
        <w:t>roup.</w:t>
      </w:r>
    </w:p>
    <w:p w14:paraId="0D5049CB" w14:textId="7777777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Dumoulin and Bird (2001) further divide the Mississipian strata into three units: the lower limestone, middle dolostone, and the upper limestone. The lower limestone unit consists mostly of bryozoan rich wackestones and packestones and contains thin interbedded shales as well as grey dolomites and is the thickest unit of the Mississippian strata. Overlying the lower limestone is the middle dolostone. The middle dolostone grades into bioclastic packestones, though aside from these packestones fossil abundance was very low. The upper limestone unit is more laterally extensive than previous units, and is comprised of white/tan/grey limestone, grey dolostone, and some infrequent siltstone and sandstone (Dumoulin and Bird, 2001).</w:t>
      </w:r>
    </w:p>
    <w:p w14:paraId="5C2BB36E" w14:textId="67A30536"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Pennsylvanian age strata in the Ikpikp</w:t>
      </w:r>
      <w:r w:rsidR="00127482">
        <w:rPr>
          <w:rFonts w:ascii="Times New Roman" w:hAnsi="Times New Roman" w:cs="Times New Roman"/>
          <w:sz w:val="24"/>
          <w:szCs w:val="24"/>
        </w:rPr>
        <w:t>uk-Umiat B</w:t>
      </w:r>
      <w:r>
        <w:rPr>
          <w:rFonts w:ascii="Times New Roman" w:hAnsi="Times New Roman" w:cs="Times New Roman"/>
          <w:sz w:val="24"/>
          <w:szCs w:val="24"/>
        </w:rPr>
        <w:t xml:space="preserve">asin is made up of limestone and dolomitic limestone overlain by limestones interbedded with shales and siltstones. This unit is thickest at the Inigok 1 well, where it is over 1,500 feet thick (Haywood, 1983). Dumoulin and Bird (2001) report 10-50 feet thick shallowing upward cycles marked by ooids and bioclastic grainstones, interpreted to represent a shift in environment from open marine, sub-wave base to </w:t>
      </w:r>
      <w:r>
        <w:rPr>
          <w:rFonts w:ascii="Times New Roman" w:hAnsi="Times New Roman" w:cs="Times New Roman"/>
          <w:sz w:val="24"/>
          <w:szCs w:val="24"/>
        </w:rPr>
        <w:lastRenderedPageBreak/>
        <w:t xml:space="preserve">higher energy nearshore shoals. Above the Pennsylvanian age strata exists a transition zone in which carbonate deposition was halted either </w:t>
      </w:r>
      <w:r w:rsidR="00127482">
        <w:rPr>
          <w:rFonts w:ascii="Times New Roman" w:hAnsi="Times New Roman" w:cs="Times New Roman"/>
          <w:sz w:val="24"/>
          <w:szCs w:val="24"/>
        </w:rPr>
        <w:t>because of</w:t>
      </w:r>
      <w:r>
        <w:rPr>
          <w:rFonts w:ascii="Times New Roman" w:hAnsi="Times New Roman" w:cs="Times New Roman"/>
          <w:sz w:val="24"/>
          <w:szCs w:val="24"/>
        </w:rPr>
        <w:t xml:space="preserve"> an influx of siliciclastic sediment or a shift to a deeper, colder marine setting (Dumoulin and Bird, 2001).</w:t>
      </w:r>
    </w:p>
    <w:p w14:paraId="138F7621" w14:textId="77777777" w:rsidR="00417014" w:rsidRDefault="00417014" w:rsidP="00A33B47">
      <w:pPr>
        <w:spacing w:line="276" w:lineRule="auto"/>
        <w:jc w:val="center"/>
        <w:rPr>
          <w:rFonts w:ascii="Times New Roman" w:hAnsi="Times New Roman" w:cs="Times New Roman"/>
          <w:sz w:val="24"/>
          <w:szCs w:val="24"/>
        </w:rPr>
      </w:pPr>
      <w:r w:rsidRPr="00807669">
        <w:rPr>
          <w:rFonts w:ascii="Times New Roman" w:hAnsi="Times New Roman" w:cs="Times New Roman"/>
          <w:noProof/>
          <w:sz w:val="24"/>
          <w:szCs w:val="24"/>
        </w:rPr>
        <w:drawing>
          <wp:inline distT="0" distB="0" distL="0" distR="0" wp14:anchorId="675A766F" wp14:editId="147E6DA6">
            <wp:extent cx="5734050" cy="2895600"/>
            <wp:effectExtent l="0" t="0" r="0" b="0"/>
            <wp:docPr id="7" name="Picture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9157285B-B1A2-47B2-B2A7-016135BAB7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9157285B-B1A2-47B2-B2A7-016135BAB7CD}"/>
                        </a:ext>
                      </a:extLst>
                    </pic:cNvPr>
                    <pic:cNvPicPr>
                      <a:picLocks noChangeAspect="1"/>
                    </pic:cNvPicPr>
                  </pic:nvPicPr>
                  <pic:blipFill>
                    <a:blip r:embed="rId17"/>
                    <a:stretch>
                      <a:fillRect/>
                    </a:stretch>
                  </pic:blipFill>
                  <pic:spPr>
                    <a:xfrm>
                      <a:off x="0" y="0"/>
                      <a:ext cx="5734050" cy="2895600"/>
                    </a:xfrm>
                    <a:prstGeom prst="rect">
                      <a:avLst/>
                    </a:prstGeom>
                  </pic:spPr>
                </pic:pic>
              </a:graphicData>
            </a:graphic>
          </wp:inline>
        </w:drawing>
      </w:r>
    </w:p>
    <w:p w14:paraId="01B38A70" w14:textId="7D0EC3A3" w:rsidR="00417014" w:rsidRPr="009A2823" w:rsidRDefault="00417014" w:rsidP="00A33B47">
      <w:pPr>
        <w:spacing w:line="276" w:lineRule="auto"/>
        <w:rPr>
          <w:rFonts w:ascii="Times New Roman" w:hAnsi="Times New Roman" w:cs="Times New Roman"/>
          <w:b/>
          <w:color w:val="00B050"/>
          <w:sz w:val="24"/>
          <w:szCs w:val="24"/>
        </w:rPr>
      </w:pPr>
      <w:r>
        <w:rPr>
          <w:rFonts w:ascii="Times New Roman" w:hAnsi="Times New Roman" w:cs="Times New Roman"/>
          <w:b/>
          <w:sz w:val="24"/>
          <w:szCs w:val="24"/>
        </w:rPr>
        <w:t>Figure 8: Map showing a thickness isopach of the Lisburne Group on the North Slope. Ikpikpuk-Umiat basin is labeled “A” and Meade basin is labeled “B”. (Modified from Dumoulin and others, 2008)</w:t>
      </w:r>
      <w:r w:rsidR="004D4A45">
        <w:rPr>
          <w:rFonts w:ascii="Times New Roman" w:hAnsi="Times New Roman" w:cs="Times New Roman"/>
          <w:b/>
          <w:sz w:val="24"/>
          <w:szCs w:val="24"/>
        </w:rPr>
        <w:t xml:space="preserve"> </w:t>
      </w:r>
    </w:p>
    <w:p w14:paraId="5D61B392" w14:textId="77777777" w:rsidR="00A33B47" w:rsidRPr="00807669" w:rsidRDefault="00A33B47" w:rsidP="00A33B47">
      <w:pPr>
        <w:spacing w:line="276" w:lineRule="auto"/>
        <w:rPr>
          <w:rFonts w:ascii="Times New Roman" w:hAnsi="Times New Roman" w:cs="Times New Roman"/>
          <w:b/>
          <w:sz w:val="24"/>
          <w:szCs w:val="24"/>
        </w:rPr>
      </w:pPr>
    </w:p>
    <w:p w14:paraId="5FD291E0"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Sadlerochit Group</w:t>
      </w:r>
    </w:p>
    <w:p w14:paraId="2C331825" w14:textId="6C8193DF" w:rsidR="00417014" w:rsidRDefault="00100A24" w:rsidP="00417014">
      <w:pPr>
        <w:spacing w:line="480" w:lineRule="auto"/>
        <w:rPr>
          <w:rFonts w:ascii="Times New Roman" w:hAnsi="Times New Roman" w:cs="Times New Roman"/>
          <w:sz w:val="24"/>
          <w:szCs w:val="24"/>
        </w:rPr>
      </w:pPr>
      <w:r>
        <w:rPr>
          <w:rFonts w:ascii="Times New Roman" w:hAnsi="Times New Roman" w:cs="Times New Roman"/>
          <w:sz w:val="24"/>
          <w:szCs w:val="24"/>
        </w:rPr>
        <w:tab/>
        <w:t>Overlying the Lisburne G</w:t>
      </w:r>
      <w:r w:rsidR="00417014">
        <w:rPr>
          <w:rFonts w:ascii="Times New Roman" w:hAnsi="Times New Roman" w:cs="Times New Roman"/>
          <w:sz w:val="24"/>
          <w:szCs w:val="24"/>
        </w:rPr>
        <w:t>roup dis</w:t>
      </w:r>
      <w:r>
        <w:rPr>
          <w:rFonts w:ascii="Times New Roman" w:hAnsi="Times New Roman" w:cs="Times New Roman"/>
          <w:sz w:val="24"/>
          <w:szCs w:val="24"/>
        </w:rPr>
        <w:t>conformably is the Sadlerochit G</w:t>
      </w:r>
      <w:r w:rsidR="00417014">
        <w:rPr>
          <w:rFonts w:ascii="Times New Roman" w:hAnsi="Times New Roman" w:cs="Times New Roman"/>
          <w:sz w:val="24"/>
          <w:szCs w:val="24"/>
        </w:rPr>
        <w:t>roup. This group is composed of primarily coarsening upward siliciclastic sediment, with the exception of the uppermost member, which is silty. The Sadlerochit shows variable thickness and thins to the north, from 1,550 feet in the Inigok 1 well to 600 feet</w:t>
      </w:r>
      <w:r>
        <w:rPr>
          <w:rFonts w:ascii="Times New Roman" w:hAnsi="Times New Roman" w:cs="Times New Roman"/>
          <w:sz w:val="24"/>
          <w:szCs w:val="24"/>
        </w:rPr>
        <w:t xml:space="preserve"> at the West Fish Creek well owing to</w:t>
      </w:r>
      <w:r w:rsidR="00417014">
        <w:rPr>
          <w:rFonts w:ascii="Times New Roman" w:hAnsi="Times New Roman" w:cs="Times New Roman"/>
          <w:sz w:val="24"/>
          <w:szCs w:val="24"/>
        </w:rPr>
        <w:t xml:space="preserve"> distance from the sediment source and erosion (Bird and Jordan, 1977). Wilson and others (2001) divide the Sadlerochit int</w:t>
      </w:r>
      <w:r>
        <w:rPr>
          <w:rFonts w:ascii="Times New Roman" w:hAnsi="Times New Roman" w:cs="Times New Roman"/>
          <w:sz w:val="24"/>
          <w:szCs w:val="24"/>
        </w:rPr>
        <w:t>o four formations: the Echooka Formation, the Kavik Shale, the Ivishak Formation, and the Fire Creek F</w:t>
      </w:r>
      <w:r w:rsidR="00417014">
        <w:rPr>
          <w:rFonts w:ascii="Times New Roman" w:hAnsi="Times New Roman" w:cs="Times New Roman"/>
          <w:sz w:val="24"/>
          <w:szCs w:val="24"/>
        </w:rPr>
        <w:t>ormation.</w:t>
      </w:r>
    </w:p>
    <w:p w14:paraId="3F31FEC9" w14:textId="1EC4AD2C" w:rsidR="00417014" w:rsidRDefault="00100A24" w:rsidP="004170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Echooka F</w:t>
      </w:r>
      <w:r w:rsidR="00417014">
        <w:rPr>
          <w:rFonts w:ascii="Times New Roman" w:hAnsi="Times New Roman" w:cs="Times New Roman"/>
          <w:sz w:val="24"/>
          <w:szCs w:val="24"/>
        </w:rPr>
        <w:t>ormation was deposited from the Early to Late Permian and is a fine grained silty sandstone that is rich in fossils (Wilson and others, 2001). Near the to</w:t>
      </w:r>
      <w:r w:rsidR="007C7BF1">
        <w:rPr>
          <w:rFonts w:ascii="Times New Roman" w:hAnsi="Times New Roman" w:cs="Times New Roman"/>
          <w:sz w:val="24"/>
          <w:szCs w:val="24"/>
        </w:rPr>
        <w:t>p of the Lisburne unit the silt</w:t>
      </w:r>
      <w:r w:rsidR="00417014">
        <w:rPr>
          <w:rFonts w:ascii="Times New Roman" w:hAnsi="Times New Roman" w:cs="Times New Roman"/>
          <w:sz w:val="24"/>
          <w:szCs w:val="24"/>
        </w:rPr>
        <w:t>stones are more calcareous, grading upwards into a more quartzose heavy sandstone-siltstone mixt</w:t>
      </w:r>
      <w:r>
        <w:rPr>
          <w:rFonts w:ascii="Times New Roman" w:hAnsi="Times New Roman" w:cs="Times New Roman"/>
          <w:sz w:val="24"/>
          <w:szCs w:val="24"/>
        </w:rPr>
        <w:t>ure (Mauch, 1985). The Echooka F</w:t>
      </w:r>
      <w:r w:rsidR="00417014">
        <w:rPr>
          <w:rFonts w:ascii="Times New Roman" w:hAnsi="Times New Roman" w:cs="Times New Roman"/>
          <w:sz w:val="24"/>
          <w:szCs w:val="24"/>
        </w:rPr>
        <w:t>ormation is interpreted to have formed in a shallow marine depositional environment, such as a prodelta (Mauch, 1985; Bird, 2001).</w:t>
      </w:r>
    </w:p>
    <w:p w14:paraId="7C083976" w14:textId="6984F3DF" w:rsidR="00417014" w:rsidRDefault="00100A24"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Kavik Shale overlies the Echooka Formation in the Ikpikpuk-Umiat B</w:t>
      </w:r>
      <w:r w:rsidR="00417014">
        <w:rPr>
          <w:rFonts w:ascii="Times New Roman" w:hAnsi="Times New Roman" w:cs="Times New Roman"/>
          <w:sz w:val="24"/>
          <w:szCs w:val="24"/>
        </w:rPr>
        <w:t>asi</w:t>
      </w:r>
      <w:r>
        <w:rPr>
          <w:rFonts w:ascii="Times New Roman" w:hAnsi="Times New Roman" w:cs="Times New Roman"/>
          <w:sz w:val="24"/>
          <w:szCs w:val="24"/>
        </w:rPr>
        <w:t>n. Near the top of the Echooka F</w:t>
      </w:r>
      <w:r w:rsidR="00417014">
        <w:rPr>
          <w:rFonts w:ascii="Times New Roman" w:hAnsi="Times New Roman" w:cs="Times New Roman"/>
          <w:sz w:val="24"/>
          <w:szCs w:val="24"/>
        </w:rPr>
        <w:t>ormation, it is composed primarily of shale with thin interlayers of siltstone and grades upward into a slightly shaley siltstone, abundant with plant fragments (Wilso</w:t>
      </w:r>
      <w:r>
        <w:rPr>
          <w:rFonts w:ascii="Times New Roman" w:hAnsi="Times New Roman" w:cs="Times New Roman"/>
          <w:sz w:val="24"/>
          <w:szCs w:val="24"/>
        </w:rPr>
        <w:t>n and others, 2001). The Kavik S</w:t>
      </w:r>
      <w:r w:rsidR="00417014">
        <w:rPr>
          <w:rFonts w:ascii="Times New Roman" w:hAnsi="Times New Roman" w:cs="Times New Roman"/>
          <w:sz w:val="24"/>
          <w:szCs w:val="24"/>
        </w:rPr>
        <w:t>hale was most likely deposited in a more distal shelf or deltaic environment.</w:t>
      </w:r>
    </w:p>
    <w:p w14:paraId="629158E7" w14:textId="6E97E760" w:rsidR="00417014" w:rsidRDefault="00100A24" w:rsidP="0041701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Ivishak Formation </w:t>
      </w:r>
      <w:r w:rsidR="007C7BF1">
        <w:rPr>
          <w:rFonts w:ascii="Times New Roman" w:hAnsi="Times New Roman" w:cs="Times New Roman"/>
          <w:sz w:val="24"/>
          <w:szCs w:val="24"/>
        </w:rPr>
        <w:t xml:space="preserve">unconformably </w:t>
      </w:r>
      <w:r>
        <w:rPr>
          <w:rFonts w:ascii="Times New Roman" w:hAnsi="Times New Roman" w:cs="Times New Roman"/>
          <w:sz w:val="24"/>
          <w:szCs w:val="24"/>
        </w:rPr>
        <w:t>overlies the Kavik S</w:t>
      </w:r>
      <w:r w:rsidR="007C7BF1">
        <w:rPr>
          <w:rFonts w:ascii="Times New Roman" w:hAnsi="Times New Roman" w:cs="Times New Roman"/>
          <w:sz w:val="24"/>
          <w:szCs w:val="24"/>
        </w:rPr>
        <w:t>hale</w:t>
      </w:r>
      <w:r w:rsidR="00417014">
        <w:rPr>
          <w:rFonts w:ascii="Times New Roman" w:hAnsi="Times New Roman" w:cs="Times New Roman"/>
          <w:sz w:val="24"/>
          <w:szCs w:val="24"/>
        </w:rPr>
        <w:t>. The Ivishak coarsens upward from siltstones and interbedded shales at the base to argillaceous sandstones and shales at the top. It is believed to have been deposited in a fluvial deltaic environment during a shoreline regression (Mauch, 1985; Wilson and others, 2001).</w:t>
      </w:r>
    </w:p>
    <w:p w14:paraId="3C6372F5" w14:textId="2D05A327" w:rsidR="009D20F7" w:rsidRPr="00A33B47"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uppermos</w:t>
      </w:r>
      <w:r w:rsidR="00100A24">
        <w:rPr>
          <w:rFonts w:ascii="Times New Roman" w:hAnsi="Times New Roman" w:cs="Times New Roman"/>
          <w:sz w:val="24"/>
          <w:szCs w:val="24"/>
        </w:rPr>
        <w:t>t formation in the Sadlerochit G</w:t>
      </w:r>
      <w:r>
        <w:rPr>
          <w:rFonts w:ascii="Times New Roman" w:hAnsi="Times New Roman" w:cs="Times New Roman"/>
          <w:sz w:val="24"/>
          <w:szCs w:val="24"/>
        </w:rPr>
        <w:t xml:space="preserve">roup is the Fire Creek Siltstone. This formation contains siltstone, mudstone and some sandstones. Wilson and others (2001) cite the transition from sandstone to mudstone as evidence that the Fire Creek Siltstone was deposited during a time of transgression. </w:t>
      </w:r>
    </w:p>
    <w:p w14:paraId="7E8B458E" w14:textId="693BF644"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Shublik Formation</w:t>
      </w:r>
    </w:p>
    <w:p w14:paraId="3FF86321" w14:textId="4C8D40FA" w:rsidR="00417014" w:rsidRDefault="00100A24"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Shublik F</w:t>
      </w:r>
      <w:r w:rsidR="00417014">
        <w:rPr>
          <w:rFonts w:ascii="Times New Roman" w:hAnsi="Times New Roman" w:cs="Times New Roman"/>
          <w:sz w:val="24"/>
          <w:szCs w:val="24"/>
        </w:rPr>
        <w:t>ormation was deposited atop the Sadlerochi</w:t>
      </w:r>
      <w:r>
        <w:rPr>
          <w:rFonts w:ascii="Times New Roman" w:hAnsi="Times New Roman" w:cs="Times New Roman"/>
          <w:sz w:val="24"/>
          <w:szCs w:val="24"/>
        </w:rPr>
        <w:t>t G</w:t>
      </w:r>
      <w:r w:rsidR="00417014">
        <w:rPr>
          <w:rFonts w:ascii="Times New Roman" w:hAnsi="Times New Roman" w:cs="Times New Roman"/>
          <w:sz w:val="24"/>
          <w:szCs w:val="24"/>
        </w:rPr>
        <w:t xml:space="preserve">roup from Middle to Late Triassic time. Ranging from 250 to 500 feet </w:t>
      </w:r>
      <w:r>
        <w:rPr>
          <w:rFonts w:ascii="Times New Roman" w:hAnsi="Times New Roman" w:cs="Times New Roman"/>
          <w:sz w:val="24"/>
          <w:szCs w:val="24"/>
        </w:rPr>
        <w:t>thick in the NPRA, the Shublik F</w:t>
      </w:r>
      <w:r w:rsidR="00417014">
        <w:rPr>
          <w:rFonts w:ascii="Times New Roman" w:hAnsi="Times New Roman" w:cs="Times New Roman"/>
          <w:sz w:val="24"/>
          <w:szCs w:val="24"/>
        </w:rPr>
        <w:t xml:space="preserve">ormation contains a </w:t>
      </w:r>
      <w:r w:rsidR="00417014">
        <w:rPr>
          <w:rFonts w:ascii="Times New Roman" w:hAnsi="Times New Roman" w:cs="Times New Roman"/>
          <w:sz w:val="24"/>
          <w:szCs w:val="24"/>
        </w:rPr>
        <w:lastRenderedPageBreak/>
        <w:t>number of lithologies: calcareous siltstones, limestones and dolomites, and shales and sandstones (Mauch, 1985). This formation is very high in phosphate and organic material, and is considered the prominent source rock of the Prudhoe Bay (Fulk, 2010). Detterman (1970) suggests a low-energy, deep-water depositional environment, with mud to silt sized sediment sourced from the north.</w:t>
      </w:r>
    </w:p>
    <w:p w14:paraId="36FFBD49"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Sag River Formation</w:t>
      </w:r>
    </w:p>
    <w:p w14:paraId="0C0D5A43" w14:textId="11727890" w:rsidR="00417014" w:rsidRDefault="00DD0D9A"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Sag River F</w:t>
      </w:r>
      <w:r w:rsidR="00417014">
        <w:rPr>
          <w:rFonts w:ascii="Times New Roman" w:hAnsi="Times New Roman" w:cs="Times New Roman"/>
          <w:sz w:val="24"/>
          <w:szCs w:val="24"/>
        </w:rPr>
        <w:t>ormation is a very thin (&lt;70 feet) Late Triassic sandstone unit that conformably overlies the Shublik Formation (Mauch, 1985). This formation is interpreted to be correlative with the upper Shublik sandstone found in the Northeastern Brooks Range. This glauconitic orthoquartzite thins towards the North and East, it is only 30 feet thick in the Inigok 1 well (Bird, 1982).</w:t>
      </w:r>
    </w:p>
    <w:p w14:paraId="774C6D6A"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Kingak Formation</w:t>
      </w:r>
    </w:p>
    <w:p w14:paraId="4A0E7ABC" w14:textId="5F23D82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b/>
          <w:sz w:val="24"/>
          <w:szCs w:val="24"/>
        </w:rPr>
        <w:tab/>
      </w:r>
      <w:r w:rsidR="00DD0D9A">
        <w:rPr>
          <w:rFonts w:ascii="Times New Roman" w:hAnsi="Times New Roman" w:cs="Times New Roman"/>
          <w:sz w:val="24"/>
          <w:szCs w:val="24"/>
        </w:rPr>
        <w:t>The Kingak For</w:t>
      </w:r>
      <w:r>
        <w:rPr>
          <w:rFonts w:ascii="Times New Roman" w:hAnsi="Times New Roman" w:cs="Times New Roman"/>
          <w:sz w:val="24"/>
          <w:szCs w:val="24"/>
        </w:rPr>
        <w:t>mation is primarily a marine shale with small amounts of fine-grained sandstone and siltstone, deposited during Jurassic and Early Cretaceous time from a sediment source in the North (Kirschner and others,</w:t>
      </w:r>
      <w:r w:rsidR="00DD0D9A">
        <w:rPr>
          <w:rFonts w:ascii="Times New Roman" w:hAnsi="Times New Roman" w:cs="Times New Roman"/>
          <w:sz w:val="24"/>
          <w:szCs w:val="24"/>
        </w:rPr>
        <w:t xml:space="preserve"> 1983). Unlike the Sadlerochit Group, Shublik Formation, and Sag River Formation, the Kingak F</w:t>
      </w:r>
      <w:r>
        <w:rPr>
          <w:rFonts w:ascii="Times New Roman" w:hAnsi="Times New Roman" w:cs="Times New Roman"/>
          <w:sz w:val="24"/>
          <w:szCs w:val="24"/>
        </w:rPr>
        <w:t xml:space="preserve">ormation is very thick and grows thicker to the south, reaching 2900 feet at the Inigok 1 well (Tetra Tech, 1982). In the NPRA, the Kingak is generally characterized by a lower transgressive sequence with interbedded sandstones and shales at the base, followed by a middle regressive sequence with erosion or a depositional hiatus, and finally an upper transgression during which marine shales and siltstones were deposited (Mauch, 1985; Tetra Tech, 1982). The Kingak is interpreted to either be a turbidite </w:t>
      </w:r>
      <w:r>
        <w:rPr>
          <w:rFonts w:ascii="Times New Roman" w:hAnsi="Times New Roman" w:cs="Times New Roman"/>
          <w:sz w:val="24"/>
          <w:szCs w:val="24"/>
        </w:rPr>
        <w:lastRenderedPageBreak/>
        <w:t>sequence or prograding shelf deposit (Kirschner and others, 1983). This formation is overlain by the Lower Cretaceous Unconformity, on which sits the Pebble Shale.</w:t>
      </w:r>
    </w:p>
    <w:p w14:paraId="2887689F"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Pebble Shale</w:t>
      </w:r>
    </w:p>
    <w:p w14:paraId="6DC56BEF" w14:textId="7777777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0172CF">
        <w:rPr>
          <w:rFonts w:ascii="Times New Roman" w:hAnsi="Times New Roman" w:cs="Times New Roman"/>
          <w:sz w:val="24"/>
          <w:szCs w:val="24"/>
        </w:rPr>
        <w:t>The Pebble Shale is an Early</w:t>
      </w:r>
      <w:r>
        <w:rPr>
          <w:rFonts w:ascii="Times New Roman" w:hAnsi="Times New Roman" w:cs="Times New Roman"/>
          <w:sz w:val="24"/>
          <w:szCs w:val="24"/>
        </w:rPr>
        <w:t xml:space="preserve"> Cretaceous shale derived mostly from a sediment source in the south, though a northern upland provided some sandstones to the northernmost reaches of the Pebble Shale (Balkwill and others, 1983). This unit is a black shale containing well rounded quartz grains throughout, as well as highly polished chert pebbles. The exact origin of the pebbles is unknown, though it is hypothesized that the pebbles were transported in by moving ice or vegetation (Detterman and others, 1975; Molenaar, 1981).</w:t>
      </w:r>
    </w:p>
    <w:p w14:paraId="49CA974D"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Torok Formation</w:t>
      </w:r>
    </w:p>
    <w:p w14:paraId="7C1B38F7" w14:textId="40FDB6DB" w:rsidR="00417014" w:rsidRDefault="00DD0D9A"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Torok F</w:t>
      </w:r>
      <w:r w:rsidR="00417014">
        <w:rPr>
          <w:rFonts w:ascii="Times New Roman" w:hAnsi="Times New Roman" w:cs="Times New Roman"/>
          <w:sz w:val="24"/>
          <w:szCs w:val="24"/>
        </w:rPr>
        <w:t>ormation is a Middle Cretaceous prograding predeltaic wedge that consists of shale, siltstone, and very fine</w:t>
      </w:r>
      <w:r w:rsidR="001E40BE">
        <w:rPr>
          <w:rFonts w:ascii="Times New Roman" w:hAnsi="Times New Roman" w:cs="Times New Roman"/>
          <w:sz w:val="24"/>
          <w:szCs w:val="24"/>
        </w:rPr>
        <w:t xml:space="preserve"> </w:t>
      </w:r>
      <w:r w:rsidR="00417014">
        <w:rPr>
          <w:rFonts w:ascii="Times New Roman" w:hAnsi="Times New Roman" w:cs="Times New Roman"/>
          <w:sz w:val="24"/>
          <w:szCs w:val="24"/>
        </w:rPr>
        <w:t>grained sandstone (Molenaar, 1981</w:t>
      </w:r>
      <w:r w:rsidR="007C7BF1">
        <w:rPr>
          <w:rFonts w:ascii="Times New Roman" w:hAnsi="Times New Roman" w:cs="Times New Roman"/>
          <w:sz w:val="24"/>
          <w:szCs w:val="24"/>
        </w:rPr>
        <w:t>; Maunch 1985</w:t>
      </w:r>
      <w:r w:rsidR="00417014">
        <w:rPr>
          <w:rFonts w:ascii="Times New Roman" w:hAnsi="Times New Roman" w:cs="Times New Roman"/>
          <w:sz w:val="24"/>
          <w:szCs w:val="24"/>
        </w:rPr>
        <w:t>). This formation progrades to the northeast from sediment derived from the southern Brooks Range. The Torok uniformly grows in thickness to the southwest, ranging from 2,000 feet thick in the Colville Delta in the Northeastern NPRA to 19,000 feet in the Knifeblade wells (Tetra Tech, 198</w:t>
      </w:r>
      <w:r>
        <w:rPr>
          <w:rFonts w:ascii="Times New Roman" w:hAnsi="Times New Roman" w:cs="Times New Roman"/>
          <w:sz w:val="24"/>
          <w:szCs w:val="24"/>
        </w:rPr>
        <w:t>2). In seismic data, the Torok F</w:t>
      </w:r>
      <w:r w:rsidR="00417014">
        <w:rPr>
          <w:rFonts w:ascii="Times New Roman" w:hAnsi="Times New Roman" w:cs="Times New Roman"/>
          <w:sz w:val="24"/>
          <w:szCs w:val="24"/>
        </w:rPr>
        <w:t>ormation is visible as a series of prograding clinoforms that onlap onto the Pebble Shale below.</w:t>
      </w:r>
    </w:p>
    <w:p w14:paraId="3B654D53" w14:textId="77777777" w:rsidR="00417014" w:rsidRDefault="00417014" w:rsidP="00417014">
      <w:pPr>
        <w:spacing w:line="480" w:lineRule="auto"/>
        <w:rPr>
          <w:rFonts w:ascii="Times New Roman" w:hAnsi="Times New Roman" w:cs="Times New Roman"/>
          <w:sz w:val="24"/>
          <w:szCs w:val="24"/>
        </w:rPr>
      </w:pPr>
    </w:p>
    <w:p w14:paraId="38542AB7" w14:textId="21134615" w:rsidR="00417014" w:rsidRDefault="00417014" w:rsidP="00417014">
      <w:pPr>
        <w:spacing w:line="480" w:lineRule="auto"/>
        <w:rPr>
          <w:rFonts w:ascii="Times New Roman" w:hAnsi="Times New Roman" w:cs="Times New Roman"/>
          <w:sz w:val="24"/>
          <w:szCs w:val="24"/>
        </w:rPr>
      </w:pPr>
    </w:p>
    <w:p w14:paraId="7B744C32" w14:textId="379C1FB0" w:rsidR="00A33B47" w:rsidRDefault="00A33B47" w:rsidP="00417014">
      <w:pPr>
        <w:spacing w:line="480" w:lineRule="auto"/>
        <w:rPr>
          <w:rFonts w:ascii="Times New Roman" w:hAnsi="Times New Roman" w:cs="Times New Roman"/>
          <w:sz w:val="24"/>
          <w:szCs w:val="24"/>
        </w:rPr>
      </w:pPr>
    </w:p>
    <w:p w14:paraId="0FDCDA96" w14:textId="77777777" w:rsidR="00A33B47" w:rsidRDefault="00A33B47" w:rsidP="00417014">
      <w:pPr>
        <w:spacing w:line="480" w:lineRule="auto"/>
        <w:rPr>
          <w:rFonts w:ascii="Times New Roman" w:hAnsi="Times New Roman" w:cs="Times New Roman"/>
          <w:sz w:val="24"/>
          <w:szCs w:val="24"/>
        </w:rPr>
      </w:pPr>
    </w:p>
    <w:p w14:paraId="0FF785DA" w14:textId="2122B153" w:rsidR="00417014" w:rsidRPr="003D1553" w:rsidRDefault="009D20F7" w:rsidP="0041701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DATA AND INTERPRETATIONS</w:t>
      </w:r>
    </w:p>
    <w:p w14:paraId="25D6A7BB" w14:textId="3100634A" w:rsidR="00417014" w:rsidRDefault="00417014"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data</w:t>
      </w:r>
      <w:r w:rsidR="001E1968">
        <w:rPr>
          <w:rFonts w:ascii="Times New Roman" w:hAnsi="Times New Roman" w:cs="Times New Roman"/>
          <w:sz w:val="24"/>
          <w:szCs w:val="24"/>
        </w:rPr>
        <w:t>set</w:t>
      </w:r>
      <w:r>
        <w:rPr>
          <w:rFonts w:ascii="Times New Roman" w:hAnsi="Times New Roman" w:cs="Times New Roman"/>
          <w:sz w:val="24"/>
          <w:szCs w:val="24"/>
        </w:rPr>
        <w:t xml:space="preserve"> used in this study contain</w:t>
      </w:r>
      <w:r w:rsidR="001E1968">
        <w:rPr>
          <w:rFonts w:ascii="Times New Roman" w:hAnsi="Times New Roman" w:cs="Times New Roman"/>
          <w:sz w:val="24"/>
          <w:szCs w:val="24"/>
        </w:rPr>
        <w:t>s</w:t>
      </w:r>
      <w:r w:rsidR="0008191B">
        <w:rPr>
          <w:rFonts w:ascii="Times New Roman" w:hAnsi="Times New Roman" w:cs="Times New Roman"/>
          <w:color w:val="FF0000"/>
          <w:sz w:val="24"/>
          <w:szCs w:val="24"/>
        </w:rPr>
        <w:t xml:space="preserve"> </w:t>
      </w:r>
      <w:r>
        <w:rPr>
          <w:rFonts w:ascii="Times New Roman" w:hAnsi="Times New Roman" w:cs="Times New Roman"/>
          <w:sz w:val="24"/>
          <w:szCs w:val="24"/>
        </w:rPr>
        <w:t>590 miles of post-stack, unmigrated 2D seismic line data cent</w:t>
      </w:r>
      <w:r w:rsidR="00DD0D9A">
        <w:rPr>
          <w:rFonts w:ascii="Times New Roman" w:hAnsi="Times New Roman" w:cs="Times New Roman"/>
          <w:sz w:val="24"/>
          <w:szCs w:val="24"/>
        </w:rPr>
        <w:t>ered around the Ikpikpuk-Umiat B</w:t>
      </w:r>
      <w:r>
        <w:rPr>
          <w:rFonts w:ascii="Times New Roman" w:hAnsi="Times New Roman" w:cs="Times New Roman"/>
          <w:sz w:val="24"/>
          <w:szCs w:val="24"/>
        </w:rPr>
        <w:t xml:space="preserve">asin in the NPRA (Kulander and others, 2005). </w:t>
      </w:r>
      <w:r w:rsidR="001E1968">
        <w:rPr>
          <w:rFonts w:ascii="Times New Roman" w:hAnsi="Times New Roman" w:cs="Times New Roman"/>
          <w:sz w:val="24"/>
          <w:szCs w:val="24"/>
        </w:rPr>
        <w:t>Shot in 1981, this</w:t>
      </w:r>
      <w:r w:rsidR="00347609">
        <w:rPr>
          <w:rFonts w:ascii="Times New Roman" w:hAnsi="Times New Roman" w:cs="Times New Roman"/>
          <w:sz w:val="24"/>
          <w:szCs w:val="24"/>
        </w:rPr>
        <w:t xml:space="preserve"> data </w:t>
      </w:r>
      <w:r w:rsidR="001E1968">
        <w:rPr>
          <w:rFonts w:ascii="Times New Roman" w:hAnsi="Times New Roman" w:cs="Times New Roman"/>
          <w:sz w:val="24"/>
          <w:szCs w:val="24"/>
        </w:rPr>
        <w:t>is</w:t>
      </w:r>
      <w:r w:rsidR="00932155">
        <w:rPr>
          <w:rFonts w:ascii="Times New Roman" w:hAnsi="Times New Roman" w:cs="Times New Roman"/>
          <w:sz w:val="24"/>
          <w:szCs w:val="24"/>
        </w:rPr>
        <w:t xml:space="preserve"> 12-fold with a 2 millisecond sample rate and 6 second record length. The distance between traces is a uniform 110 feet.</w:t>
      </w:r>
      <w:r w:rsidR="00970AF2">
        <w:rPr>
          <w:rFonts w:ascii="Times New Roman" w:hAnsi="Times New Roman" w:cs="Times New Roman"/>
          <w:sz w:val="24"/>
          <w:szCs w:val="24"/>
        </w:rPr>
        <w:t xml:space="preserve"> In this dataset, wavelet peaks represent positive reflection coefficients and the wavelets are zero-phase.</w:t>
      </w:r>
      <w:r w:rsidR="00932155">
        <w:rPr>
          <w:rFonts w:ascii="Times New Roman" w:hAnsi="Times New Roman" w:cs="Times New Roman"/>
          <w:sz w:val="24"/>
          <w:szCs w:val="24"/>
        </w:rPr>
        <w:t xml:space="preserve"> </w:t>
      </w:r>
      <w:r>
        <w:rPr>
          <w:rFonts w:ascii="Times New Roman" w:hAnsi="Times New Roman" w:cs="Times New Roman"/>
          <w:sz w:val="24"/>
          <w:szCs w:val="24"/>
        </w:rPr>
        <w:t>The quality of this seismic data is considered moderate to poor due</w:t>
      </w:r>
      <w:r w:rsidR="00B15CAC">
        <w:rPr>
          <w:rFonts w:ascii="Times New Roman" w:hAnsi="Times New Roman" w:cs="Times New Roman"/>
          <w:sz w:val="24"/>
          <w:szCs w:val="24"/>
        </w:rPr>
        <w:t xml:space="preserve"> to</w:t>
      </w:r>
      <w:r>
        <w:rPr>
          <w:rFonts w:ascii="Times New Roman" w:hAnsi="Times New Roman" w:cs="Times New Roman"/>
          <w:sz w:val="24"/>
          <w:szCs w:val="24"/>
        </w:rPr>
        <w:t xml:space="preserve"> surface topography, permafrost, shallow gas hydrate anomalies, or an inability to shoot dir</w:t>
      </w:r>
      <w:r w:rsidR="00DD0D9A">
        <w:rPr>
          <w:rFonts w:ascii="Times New Roman" w:hAnsi="Times New Roman" w:cs="Times New Roman"/>
          <w:sz w:val="24"/>
          <w:szCs w:val="24"/>
        </w:rPr>
        <w:t>ectly on the planned path because of</w:t>
      </w:r>
      <w:r>
        <w:rPr>
          <w:rFonts w:ascii="Times New Roman" w:hAnsi="Times New Roman" w:cs="Times New Roman"/>
          <w:sz w:val="24"/>
          <w:szCs w:val="24"/>
        </w:rPr>
        <w:t xml:space="preserve"> sensitive wild life or weather conditions (Fulk, 2010). In addition to seismic data, sparse well control in the basin allows for synthetic well ties to seismic, using depth converted sections from density and velocity logs. All data in this study was provided by the United States Geological Survey.</w:t>
      </w:r>
    </w:p>
    <w:p w14:paraId="36ED78DE" w14:textId="473AEC5A" w:rsidR="00417014" w:rsidRDefault="00050940" w:rsidP="00417014">
      <w:pPr>
        <w:spacing w:line="240" w:lineRule="auto"/>
        <w:jc w:val="center"/>
        <w:rPr>
          <w:rFonts w:ascii="Times New Roman" w:hAnsi="Times New Roman" w:cs="Times New Roman"/>
          <w:sz w:val="24"/>
          <w:szCs w:val="24"/>
        </w:rPr>
      </w:pPr>
      <w:r>
        <w:rPr>
          <w:noProof/>
        </w:rPr>
        <w:lastRenderedPageBreak/>
        <w:drawing>
          <wp:inline distT="0" distB="0" distL="0" distR="0" wp14:anchorId="3A8A141C" wp14:editId="256E655C">
            <wp:extent cx="7273109" cy="4599625"/>
            <wp:effectExtent l="3175" t="0" r="762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16200000">
                      <a:off x="0" y="0"/>
                      <a:ext cx="7288491" cy="4609353"/>
                    </a:xfrm>
                    <a:prstGeom prst="rect">
                      <a:avLst/>
                    </a:prstGeom>
                  </pic:spPr>
                </pic:pic>
              </a:graphicData>
            </a:graphic>
          </wp:inline>
        </w:drawing>
      </w:r>
    </w:p>
    <w:p w14:paraId="4F429E83" w14:textId="7265882E" w:rsidR="00417014" w:rsidRPr="004D4A45" w:rsidRDefault="00417014" w:rsidP="00A33B47">
      <w:pPr>
        <w:spacing w:line="276" w:lineRule="auto"/>
        <w:rPr>
          <w:rFonts w:ascii="Times New Roman" w:hAnsi="Times New Roman" w:cs="Times New Roman"/>
          <w:b/>
          <w:color w:val="FF0000"/>
          <w:sz w:val="24"/>
          <w:szCs w:val="24"/>
        </w:rPr>
      </w:pPr>
      <w:r>
        <w:rPr>
          <w:rFonts w:ascii="Times New Roman" w:hAnsi="Times New Roman" w:cs="Times New Roman"/>
          <w:b/>
          <w:sz w:val="24"/>
          <w:szCs w:val="24"/>
        </w:rPr>
        <w:t>Figure 9: Map showing study area in the eastern NPRA as well as interpreted 1981 seismic lines and key wel</w:t>
      </w:r>
      <w:r w:rsidR="00C57599">
        <w:rPr>
          <w:rFonts w:ascii="Times New Roman" w:hAnsi="Times New Roman" w:cs="Times New Roman"/>
          <w:b/>
          <w:sz w:val="24"/>
          <w:szCs w:val="24"/>
        </w:rPr>
        <w:t>ls. All lines were interpreted,</w:t>
      </w:r>
      <w:r w:rsidR="004D4A45">
        <w:rPr>
          <w:rFonts w:ascii="Times New Roman" w:hAnsi="Times New Roman" w:cs="Times New Roman"/>
          <w:b/>
          <w:color w:val="FF0000"/>
          <w:sz w:val="24"/>
          <w:szCs w:val="24"/>
        </w:rPr>
        <w:t xml:space="preserve"> </w:t>
      </w:r>
      <w:r>
        <w:rPr>
          <w:rFonts w:ascii="Times New Roman" w:hAnsi="Times New Roman" w:cs="Times New Roman"/>
          <w:b/>
          <w:sz w:val="24"/>
          <w:szCs w:val="24"/>
        </w:rPr>
        <w:t>but this study will focus on the key lines and wells mentioned previously.</w:t>
      </w:r>
      <w:r w:rsidR="004D4A45">
        <w:rPr>
          <w:rFonts w:ascii="Times New Roman" w:hAnsi="Times New Roman" w:cs="Times New Roman"/>
          <w:b/>
          <w:color w:val="FF0000"/>
          <w:sz w:val="24"/>
          <w:szCs w:val="24"/>
        </w:rPr>
        <w:t xml:space="preserve"> </w:t>
      </w:r>
    </w:p>
    <w:p w14:paraId="49C7D477" w14:textId="77777777" w:rsidR="00417014" w:rsidRPr="007E60BE" w:rsidRDefault="00417014" w:rsidP="00417014">
      <w:pPr>
        <w:spacing w:line="240" w:lineRule="auto"/>
        <w:jc w:val="center"/>
        <w:rPr>
          <w:rFonts w:ascii="Times New Roman" w:hAnsi="Times New Roman" w:cs="Times New Roman"/>
          <w:b/>
          <w:sz w:val="24"/>
          <w:szCs w:val="24"/>
        </w:rPr>
      </w:pPr>
    </w:p>
    <w:p w14:paraId="122EC102" w14:textId="5C1D5683" w:rsidR="00417014" w:rsidRDefault="00417014"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study will focus on the sequence stratigraphic interpretations of lines 18-81, 27-81, and B-81, which have been tied to the North Inigok 1, Inigok 1, and Ikpikpuk 1 wells. Seismic interpretation was completed in Petrel 2016</w:t>
      </w:r>
      <w:r w:rsidR="0047491B">
        <w:rPr>
          <w:rFonts w:ascii="Times New Roman" w:hAnsi="Times New Roman" w:cs="Times New Roman"/>
          <w:sz w:val="24"/>
          <w:szCs w:val="24"/>
        </w:rPr>
        <w:t>,</w:t>
      </w:r>
      <w:r>
        <w:rPr>
          <w:rFonts w:ascii="Times New Roman" w:hAnsi="Times New Roman" w:cs="Times New Roman"/>
          <w:sz w:val="24"/>
          <w:szCs w:val="24"/>
        </w:rPr>
        <w:t xml:space="preserve"> and HampsonRussel Geoview was used for well-ties, both of which were licensed by University of Oklahoma.</w:t>
      </w:r>
    </w:p>
    <w:p w14:paraId="26AF3328" w14:textId="61EC0B53" w:rsidR="00417014" w:rsidRDefault="00417014"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Using paleontology and lithostrat</w:t>
      </w:r>
      <w:r w:rsidR="00B6064A">
        <w:rPr>
          <w:rFonts w:ascii="Times New Roman" w:hAnsi="Times New Roman" w:cs="Times New Roman"/>
          <w:sz w:val="24"/>
          <w:szCs w:val="24"/>
        </w:rPr>
        <w:t>i</w:t>
      </w:r>
      <w:r>
        <w:rPr>
          <w:rFonts w:ascii="Times New Roman" w:hAnsi="Times New Roman" w:cs="Times New Roman"/>
          <w:sz w:val="24"/>
          <w:szCs w:val="24"/>
        </w:rPr>
        <w:t>graphy reports provided with the well logs to infer tops, seven horizons that correspond to lithologic formation tops have been interpreted in the seismic data. These lithologic horizons include the Franklinian Basement, the Lisburne, the Sadlerochit-Shublik, the Sag River, the Kingak, the Pebble Shale, and the Torok.</w:t>
      </w:r>
    </w:p>
    <w:p w14:paraId="2A4A5FAC" w14:textId="26213746" w:rsidR="00417014" w:rsidRDefault="008D188F" w:rsidP="00417014">
      <w:pPr>
        <w:spacing w:line="480" w:lineRule="auto"/>
        <w:rPr>
          <w:rFonts w:ascii="Times New Roman" w:hAnsi="Times New Roman" w:cs="Times New Roman"/>
          <w:sz w:val="24"/>
          <w:szCs w:val="24"/>
        </w:rPr>
      </w:pPr>
      <w:r>
        <w:rPr>
          <w:noProof/>
        </w:rPr>
        <w:lastRenderedPageBreak/>
        <w:drawing>
          <wp:inline distT="0" distB="0" distL="0" distR="0" wp14:anchorId="635247ED" wp14:editId="5A1E14CF">
            <wp:extent cx="8359145" cy="5411405"/>
            <wp:effectExtent l="7302"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rot="16200000">
                      <a:off x="0" y="0"/>
                      <a:ext cx="8400618" cy="5438253"/>
                    </a:xfrm>
                    <a:prstGeom prst="rect">
                      <a:avLst/>
                    </a:prstGeom>
                  </pic:spPr>
                </pic:pic>
              </a:graphicData>
            </a:graphic>
          </wp:inline>
        </w:drawing>
      </w:r>
    </w:p>
    <w:p w14:paraId="024510AC" w14:textId="5A637CAC" w:rsidR="00417014" w:rsidRDefault="008D188F" w:rsidP="00417014">
      <w:pPr>
        <w:spacing w:line="480" w:lineRule="auto"/>
        <w:rPr>
          <w:rFonts w:ascii="Times New Roman" w:hAnsi="Times New Roman" w:cs="Times New Roman"/>
          <w:sz w:val="24"/>
          <w:szCs w:val="24"/>
        </w:rPr>
      </w:pPr>
      <w:r>
        <w:rPr>
          <w:noProof/>
        </w:rPr>
        <w:lastRenderedPageBreak/>
        <w:drawing>
          <wp:inline distT="0" distB="0" distL="0" distR="0" wp14:anchorId="35B2AAAD" wp14:editId="32B5D4E4">
            <wp:extent cx="8357577" cy="5524500"/>
            <wp:effectExtent l="6668"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rot="16200000">
                      <a:off x="0" y="0"/>
                      <a:ext cx="8365408" cy="5529677"/>
                    </a:xfrm>
                    <a:prstGeom prst="rect">
                      <a:avLst/>
                    </a:prstGeom>
                  </pic:spPr>
                </pic:pic>
              </a:graphicData>
            </a:graphic>
          </wp:inline>
        </w:drawing>
      </w:r>
    </w:p>
    <w:p w14:paraId="2E9D3907" w14:textId="51A0B772" w:rsidR="00417014" w:rsidRDefault="008D188F" w:rsidP="00417014">
      <w:pPr>
        <w:spacing w:line="480" w:lineRule="auto"/>
        <w:rPr>
          <w:rFonts w:ascii="Times New Roman" w:hAnsi="Times New Roman" w:cs="Times New Roman"/>
          <w:b/>
          <w:sz w:val="24"/>
          <w:szCs w:val="24"/>
        </w:rPr>
      </w:pPr>
      <w:r>
        <w:rPr>
          <w:noProof/>
        </w:rPr>
        <w:lastRenderedPageBreak/>
        <w:drawing>
          <wp:inline distT="0" distB="0" distL="0" distR="0" wp14:anchorId="1DAA62FD" wp14:editId="284601DE">
            <wp:extent cx="8311520" cy="5468620"/>
            <wp:effectExtent l="0" t="7302" r="6032" b="6033"/>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8338794" cy="5486565"/>
                    </a:xfrm>
                    <a:prstGeom prst="rect">
                      <a:avLst/>
                    </a:prstGeom>
                  </pic:spPr>
                </pic:pic>
              </a:graphicData>
            </a:graphic>
          </wp:inline>
        </w:drawing>
      </w:r>
    </w:p>
    <w:p w14:paraId="60A19144" w14:textId="4D6A39A1"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In order to constrain the seismic to the borehole dat</w:t>
      </w:r>
      <w:r w:rsidR="0047491B">
        <w:rPr>
          <w:rFonts w:ascii="Times New Roman" w:hAnsi="Times New Roman" w:cs="Times New Roman"/>
          <w:sz w:val="24"/>
          <w:szCs w:val="24"/>
        </w:rPr>
        <w:t>a, sonic and density logs from five</w:t>
      </w:r>
      <w:r>
        <w:rPr>
          <w:rFonts w:ascii="Times New Roman" w:hAnsi="Times New Roman" w:cs="Times New Roman"/>
          <w:sz w:val="24"/>
          <w:szCs w:val="24"/>
        </w:rPr>
        <w:t xml:space="preserve"> wells in the area were used along with their statistically extracted wavelets to perform well-ties. The correlation coefficients for tied wells vary from 64% to 66%. Figure 13 shows the well to seismic tie at the Inigok 1 well.</w:t>
      </w:r>
      <w:r w:rsidR="00B037E1">
        <w:rPr>
          <w:rFonts w:ascii="Times New Roman" w:hAnsi="Times New Roman" w:cs="Times New Roman"/>
          <w:sz w:val="24"/>
          <w:szCs w:val="24"/>
        </w:rPr>
        <w:t xml:space="preserve"> </w:t>
      </w:r>
    </w:p>
    <w:p w14:paraId="314ED8BD" w14:textId="77777777" w:rsidR="00417014" w:rsidRDefault="00417014" w:rsidP="00417014">
      <w:pPr>
        <w:spacing w:line="480" w:lineRule="auto"/>
        <w:rPr>
          <w:rFonts w:ascii="Times New Roman" w:hAnsi="Times New Roman" w:cs="Times New Roman"/>
          <w:sz w:val="24"/>
          <w:szCs w:val="24"/>
        </w:rPr>
      </w:pPr>
      <w:r>
        <w:rPr>
          <w:noProof/>
        </w:rPr>
        <w:drawing>
          <wp:inline distT="0" distB="0" distL="0" distR="0" wp14:anchorId="79E2F6CA" wp14:editId="5A21663E">
            <wp:extent cx="5397486" cy="51149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402794" cy="5119955"/>
                    </a:xfrm>
                    <a:prstGeom prst="rect">
                      <a:avLst/>
                    </a:prstGeom>
                  </pic:spPr>
                </pic:pic>
              </a:graphicData>
            </a:graphic>
          </wp:inline>
        </w:drawing>
      </w:r>
    </w:p>
    <w:p w14:paraId="38DD87E1" w14:textId="77777777" w:rsidR="00417014" w:rsidRPr="005A4D4A"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Once the seismic data was constrained to the borehole and major lithologic formations were picked, a sequence stratigraphic interpretation was performed. The rest of this chapter will focus on the methodology used for sequence stratigraphy and the interpretations that followed.</w:t>
      </w:r>
    </w:p>
    <w:p w14:paraId="724C29E8" w14:textId="77777777" w:rsidR="008F706D" w:rsidRDefault="008F706D" w:rsidP="00417014">
      <w:pPr>
        <w:spacing w:line="480" w:lineRule="auto"/>
        <w:rPr>
          <w:rFonts w:ascii="Times New Roman" w:hAnsi="Times New Roman" w:cs="Times New Roman"/>
          <w:b/>
          <w:sz w:val="24"/>
          <w:szCs w:val="24"/>
        </w:rPr>
      </w:pPr>
    </w:p>
    <w:p w14:paraId="25B28594" w14:textId="7777777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Methods</w:t>
      </w:r>
      <w:r>
        <w:rPr>
          <w:rFonts w:ascii="Times New Roman" w:hAnsi="Times New Roman" w:cs="Times New Roman"/>
          <w:sz w:val="24"/>
          <w:szCs w:val="24"/>
        </w:rPr>
        <w:tab/>
      </w:r>
      <w:r>
        <w:rPr>
          <w:rFonts w:ascii="Times New Roman" w:hAnsi="Times New Roman" w:cs="Times New Roman"/>
          <w:sz w:val="24"/>
          <w:szCs w:val="24"/>
        </w:rPr>
        <w:tab/>
      </w:r>
    </w:p>
    <w:p w14:paraId="4CBB3324" w14:textId="24798277" w:rsidR="00417014" w:rsidRDefault="00417014"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1977, Mitchum and Vail provided the initial theory and methodology for sequence stratigraphy. Since then, several other approaches to the study of sequence stratigraphy have been developed. Some of the more prominent approaches important</w:t>
      </w:r>
      <w:r w:rsidR="0047491B">
        <w:rPr>
          <w:rFonts w:ascii="Times New Roman" w:hAnsi="Times New Roman" w:cs="Times New Roman"/>
          <w:sz w:val="24"/>
          <w:szCs w:val="24"/>
        </w:rPr>
        <w:t xml:space="preserve"> for this study are Galloway’s g</w:t>
      </w:r>
      <w:r>
        <w:rPr>
          <w:rFonts w:ascii="Times New Roman" w:hAnsi="Times New Roman" w:cs="Times New Roman"/>
          <w:sz w:val="24"/>
          <w:szCs w:val="24"/>
        </w:rPr>
        <w:t>enetic sequence stratigraphy (1989) and Neal and Abreau’s</w:t>
      </w:r>
      <w:r w:rsidR="0047491B">
        <w:rPr>
          <w:rFonts w:ascii="Times New Roman" w:hAnsi="Times New Roman" w:cs="Times New Roman"/>
          <w:sz w:val="24"/>
          <w:szCs w:val="24"/>
        </w:rPr>
        <w:t xml:space="preserve"> (2009)</w:t>
      </w:r>
      <w:r>
        <w:rPr>
          <w:rFonts w:ascii="Times New Roman" w:hAnsi="Times New Roman" w:cs="Times New Roman"/>
          <w:sz w:val="24"/>
          <w:szCs w:val="24"/>
        </w:rPr>
        <w:t xml:space="preserve"> ac</w:t>
      </w:r>
      <w:r w:rsidR="0047491B">
        <w:rPr>
          <w:rFonts w:ascii="Times New Roman" w:hAnsi="Times New Roman" w:cs="Times New Roman"/>
          <w:sz w:val="24"/>
          <w:szCs w:val="24"/>
        </w:rPr>
        <w:t xml:space="preserve">commodation succession approach. </w:t>
      </w:r>
      <w:r>
        <w:rPr>
          <w:rFonts w:ascii="Times New Roman" w:hAnsi="Times New Roman" w:cs="Times New Roman"/>
          <w:sz w:val="24"/>
          <w:szCs w:val="24"/>
        </w:rPr>
        <w:t>Pigott and Radicojevic (2010) term Mitchum and Vail’s method and Galloway’s method as the “Vail Approach” and the “Galloway Approach” respectively. These three approaches form the sequence stratigraphic framework utilized in this study</w:t>
      </w:r>
      <w:r w:rsidR="009A2823">
        <w:rPr>
          <w:rFonts w:ascii="Times New Roman" w:hAnsi="Times New Roman" w:cs="Times New Roman"/>
          <w:sz w:val="24"/>
          <w:szCs w:val="24"/>
        </w:rPr>
        <w:t>,</w:t>
      </w:r>
      <w:r w:rsidR="009A2823" w:rsidRPr="00377A03">
        <w:rPr>
          <w:rFonts w:ascii="Times New Roman" w:hAnsi="Times New Roman" w:cs="Times New Roman"/>
          <w:sz w:val="24"/>
          <w:szCs w:val="24"/>
        </w:rPr>
        <w:t xml:space="preserve"> thus the pragmatic rationale behind utilizing the Vail approach on the seismic and then refining it with the Galloway approach.</w:t>
      </w:r>
      <w:r w:rsidRPr="00377A03">
        <w:rPr>
          <w:rFonts w:ascii="Times New Roman" w:hAnsi="Times New Roman" w:cs="Times New Roman"/>
          <w:sz w:val="24"/>
          <w:szCs w:val="24"/>
        </w:rPr>
        <w:t xml:space="preserve"> The specific method</w:t>
      </w:r>
      <w:r w:rsidR="009A2823" w:rsidRPr="00377A03">
        <w:rPr>
          <w:rFonts w:ascii="Times New Roman" w:hAnsi="Times New Roman" w:cs="Times New Roman"/>
          <w:sz w:val="24"/>
          <w:szCs w:val="24"/>
        </w:rPr>
        <w:t>s</w:t>
      </w:r>
      <w:r w:rsidR="00377A03" w:rsidRPr="00377A03">
        <w:rPr>
          <w:rFonts w:ascii="Times New Roman" w:hAnsi="Times New Roman" w:cs="Times New Roman"/>
          <w:sz w:val="24"/>
          <w:szCs w:val="24"/>
        </w:rPr>
        <w:t xml:space="preserve"> </w:t>
      </w:r>
      <w:r w:rsidRPr="00377A03">
        <w:rPr>
          <w:rFonts w:ascii="Times New Roman" w:hAnsi="Times New Roman" w:cs="Times New Roman"/>
          <w:sz w:val="24"/>
          <w:szCs w:val="24"/>
        </w:rPr>
        <w:t>can be seen below:</w:t>
      </w:r>
    </w:p>
    <w:p w14:paraId="44A5C4A5" w14:textId="77777777" w:rsidR="00417014" w:rsidRPr="006C559A" w:rsidRDefault="00417014" w:rsidP="00417014">
      <w:pPr>
        <w:pStyle w:val="ListParagraph"/>
        <w:numPr>
          <w:ilvl w:val="0"/>
          <w:numId w:val="11"/>
        </w:numPr>
        <w:spacing w:line="480" w:lineRule="auto"/>
        <w:rPr>
          <w:rFonts w:ascii="Times New Roman" w:hAnsi="Times New Roman" w:cs="Times New Roman"/>
          <w:sz w:val="24"/>
          <w:szCs w:val="24"/>
        </w:rPr>
      </w:pPr>
      <w:r w:rsidRPr="006C559A">
        <w:rPr>
          <w:rFonts w:ascii="Times New Roman" w:hAnsi="Times New Roman" w:cs="Times New Roman"/>
          <w:sz w:val="24"/>
          <w:szCs w:val="24"/>
        </w:rPr>
        <w:t>Identify reflector terminations from seismic and identify whether they downlap, onlap, truncate, or toplap.</w:t>
      </w:r>
    </w:p>
    <w:p w14:paraId="2675BC3E"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sidRPr="006C559A">
        <w:rPr>
          <w:rFonts w:ascii="Times New Roman" w:hAnsi="Times New Roman" w:cs="Times New Roman"/>
          <w:sz w:val="24"/>
          <w:szCs w:val="24"/>
        </w:rPr>
        <w:t xml:space="preserve">Draw in unconformity surfaces between </w:t>
      </w:r>
      <w:r>
        <w:rPr>
          <w:rFonts w:ascii="Times New Roman" w:hAnsi="Times New Roman" w:cs="Times New Roman"/>
          <w:sz w:val="24"/>
          <w:szCs w:val="24"/>
        </w:rPr>
        <w:t>downlapping and onlapping reflectors above and truncating or toplapping reflectors below.</w:t>
      </w:r>
    </w:p>
    <w:p w14:paraId="0DC3693F"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Extend unconformity surface across the complete section and tie to intersecting seismic lines.</w:t>
      </w:r>
    </w:p>
    <w:p w14:paraId="1CA95DBF"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Interpret well log motifs using gamma ray as a proxy for grainsize to indicate periods of shoreline stasis, transgression, and regression.</w:t>
      </w:r>
    </w:p>
    <w:p w14:paraId="287E2348"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Correlate to other interpreted boreholes located in the seismic section.</w:t>
      </w:r>
    </w:p>
    <w:p w14:paraId="0A1C5228"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Constrain well logs with seismic and match unconformities to shifts in log motif.</w:t>
      </w:r>
    </w:p>
    <w:p w14:paraId="7B888991"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Identify the type of unconformity as a sequence boundary or a downlap surface.</w:t>
      </w:r>
    </w:p>
    <w:p w14:paraId="401272FE"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The packages of strata between two boundaries is a systems tract, and the geometry of the strata within aids in the identification of Systems tracts. (Figure 14)</w:t>
      </w:r>
    </w:p>
    <w:p w14:paraId="1ED242BB" w14:textId="77777777" w:rsidR="00417014" w:rsidRDefault="00417014" w:rsidP="00417014">
      <w:pPr>
        <w:pStyle w:val="ListParagraph"/>
        <w:numPr>
          <w:ilvl w:val="1"/>
          <w:numId w:val="1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Prograding to Aggrading is indicative of a Lowstand Systems Tract.</w:t>
      </w:r>
    </w:p>
    <w:p w14:paraId="0356CC37" w14:textId="77777777" w:rsidR="00417014" w:rsidRDefault="00417014" w:rsidP="00417014">
      <w:pPr>
        <w:pStyle w:val="ListParagraph"/>
        <w:numPr>
          <w:ilvl w:val="1"/>
          <w:numId w:val="11"/>
        </w:numPr>
        <w:spacing w:line="480" w:lineRule="auto"/>
        <w:rPr>
          <w:rFonts w:ascii="Times New Roman" w:hAnsi="Times New Roman" w:cs="Times New Roman"/>
          <w:sz w:val="24"/>
          <w:szCs w:val="24"/>
        </w:rPr>
      </w:pPr>
      <w:r>
        <w:rPr>
          <w:rFonts w:ascii="Times New Roman" w:hAnsi="Times New Roman" w:cs="Times New Roman"/>
          <w:sz w:val="24"/>
          <w:szCs w:val="24"/>
        </w:rPr>
        <w:t>Retrogradation is indicative of a Transgressive Systems Tract.</w:t>
      </w:r>
    </w:p>
    <w:p w14:paraId="33E50A03" w14:textId="77777777" w:rsidR="00417014" w:rsidRDefault="00417014" w:rsidP="00417014">
      <w:pPr>
        <w:pStyle w:val="ListParagraph"/>
        <w:numPr>
          <w:ilvl w:val="1"/>
          <w:numId w:val="11"/>
        </w:numPr>
        <w:spacing w:line="480" w:lineRule="auto"/>
        <w:rPr>
          <w:rFonts w:ascii="Times New Roman" w:hAnsi="Times New Roman" w:cs="Times New Roman"/>
          <w:sz w:val="24"/>
          <w:szCs w:val="24"/>
        </w:rPr>
      </w:pPr>
      <w:r>
        <w:rPr>
          <w:rFonts w:ascii="Times New Roman" w:hAnsi="Times New Roman" w:cs="Times New Roman"/>
          <w:sz w:val="24"/>
          <w:szCs w:val="24"/>
        </w:rPr>
        <w:t>Aggradation to Progradation to Degradation is indicative of a Highstand Systems Tract.</w:t>
      </w:r>
    </w:p>
    <w:p w14:paraId="74BDD91F"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Match interpreted systems tracts to log motif trends.</w:t>
      </w:r>
    </w:p>
    <w:p w14:paraId="323F77C5" w14:textId="77777777" w:rsidR="00417014" w:rsidRDefault="00417014" w:rsidP="0041701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Construct chronostratigraphic chart.</w:t>
      </w:r>
    </w:p>
    <w:p w14:paraId="47E27DA2" w14:textId="5EA1A9DF"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The met</w:t>
      </w:r>
      <w:r w:rsidR="0047491B">
        <w:rPr>
          <w:rFonts w:ascii="Times New Roman" w:hAnsi="Times New Roman" w:cs="Times New Roman"/>
          <w:sz w:val="24"/>
          <w:szCs w:val="24"/>
        </w:rPr>
        <w:t>hodology for construction of a chronostratigraphic c</w:t>
      </w:r>
      <w:r>
        <w:rPr>
          <w:rFonts w:ascii="Times New Roman" w:hAnsi="Times New Roman" w:cs="Times New Roman"/>
          <w:sz w:val="24"/>
          <w:szCs w:val="24"/>
        </w:rPr>
        <w:t>hart was described in detail by Pigott and Radivojevic (2010). A brief summary of the methods used to construct a chronostratigraphic diagram follows:</w:t>
      </w:r>
    </w:p>
    <w:p w14:paraId="56FA8B1D" w14:textId="07E3AEC5" w:rsidR="00417014" w:rsidRPr="00657D7B" w:rsidRDefault="00417014" w:rsidP="00417014">
      <w:pPr>
        <w:pStyle w:val="ListParagraph"/>
        <w:numPr>
          <w:ilvl w:val="0"/>
          <w:numId w:val="12"/>
        </w:numPr>
        <w:spacing w:line="480" w:lineRule="auto"/>
        <w:rPr>
          <w:rFonts w:ascii="Times New Roman" w:hAnsi="Times New Roman" w:cs="Times New Roman"/>
          <w:sz w:val="24"/>
          <w:szCs w:val="24"/>
        </w:rPr>
      </w:pPr>
      <w:r w:rsidRPr="00657D7B">
        <w:rPr>
          <w:rFonts w:ascii="Times New Roman" w:hAnsi="Times New Roman" w:cs="Times New Roman"/>
          <w:sz w:val="24"/>
          <w:szCs w:val="24"/>
        </w:rPr>
        <w:t>Id</w:t>
      </w:r>
      <w:r w:rsidR="00932155">
        <w:rPr>
          <w:rFonts w:ascii="Times New Roman" w:hAnsi="Times New Roman" w:cs="Times New Roman"/>
          <w:sz w:val="24"/>
          <w:szCs w:val="24"/>
        </w:rPr>
        <w:t>entify and date</w:t>
      </w:r>
      <w:r w:rsidRPr="00657D7B">
        <w:rPr>
          <w:rFonts w:ascii="Times New Roman" w:hAnsi="Times New Roman" w:cs="Times New Roman"/>
          <w:sz w:val="24"/>
          <w:szCs w:val="24"/>
        </w:rPr>
        <w:t xml:space="preserve"> the reflectors that correspond to operational sequence b</w:t>
      </w:r>
      <w:r w:rsidR="00932155">
        <w:rPr>
          <w:rFonts w:ascii="Times New Roman" w:hAnsi="Times New Roman" w:cs="Times New Roman"/>
          <w:sz w:val="24"/>
          <w:szCs w:val="24"/>
        </w:rPr>
        <w:t>oundaries from oldest (bottommost reflector</w:t>
      </w:r>
      <w:r w:rsidRPr="00657D7B">
        <w:rPr>
          <w:rFonts w:ascii="Times New Roman" w:hAnsi="Times New Roman" w:cs="Times New Roman"/>
          <w:sz w:val="24"/>
          <w:szCs w:val="24"/>
        </w:rPr>
        <w:t>) to youngest (uppermost reflector).</w:t>
      </w:r>
      <w:r w:rsidR="0047491B">
        <w:rPr>
          <w:rFonts w:ascii="Times New Roman" w:hAnsi="Times New Roman" w:cs="Times New Roman"/>
          <w:sz w:val="24"/>
          <w:szCs w:val="24"/>
        </w:rPr>
        <w:t xml:space="preserve"> </w:t>
      </w:r>
    </w:p>
    <w:p w14:paraId="64B7BA83" w14:textId="79B73765" w:rsidR="00417014" w:rsidRDefault="00417014" w:rsidP="00417014">
      <w:pPr>
        <w:pStyle w:val="ListParagraph"/>
        <w:numPr>
          <w:ilvl w:val="0"/>
          <w:numId w:val="12"/>
        </w:numPr>
        <w:spacing w:line="480" w:lineRule="auto"/>
        <w:rPr>
          <w:rFonts w:ascii="Times New Roman" w:hAnsi="Times New Roman" w:cs="Times New Roman"/>
          <w:sz w:val="24"/>
          <w:szCs w:val="24"/>
        </w:rPr>
      </w:pPr>
      <w:r w:rsidRPr="00657D7B">
        <w:rPr>
          <w:rFonts w:ascii="Times New Roman" w:hAnsi="Times New Roman" w:cs="Times New Roman"/>
          <w:sz w:val="24"/>
          <w:szCs w:val="24"/>
        </w:rPr>
        <w:t>Transfer this information to a char</w:t>
      </w:r>
      <w:r w:rsidR="00932155">
        <w:rPr>
          <w:rFonts w:ascii="Times New Roman" w:hAnsi="Times New Roman" w:cs="Times New Roman"/>
          <w:sz w:val="24"/>
          <w:szCs w:val="24"/>
        </w:rPr>
        <w:t>t with age</w:t>
      </w:r>
      <w:r w:rsidRPr="00657D7B">
        <w:rPr>
          <w:rFonts w:ascii="Times New Roman" w:hAnsi="Times New Roman" w:cs="Times New Roman"/>
          <w:sz w:val="24"/>
          <w:szCs w:val="24"/>
        </w:rPr>
        <w:t xml:space="preserve"> on the Y-axis and horizontal location on the x-axis (denoted by shotpoints).</w:t>
      </w:r>
    </w:p>
    <w:p w14:paraId="777B31C4" w14:textId="6B96F4DE" w:rsidR="00417014" w:rsidRDefault="00417014" w:rsidP="00417014">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Beginning with the oldest reflector, mark the lateral</w:t>
      </w:r>
      <w:r w:rsidR="00932155">
        <w:rPr>
          <w:rFonts w:ascii="Times New Roman" w:hAnsi="Times New Roman" w:cs="Times New Roman"/>
          <w:sz w:val="24"/>
          <w:szCs w:val="24"/>
        </w:rPr>
        <w:t xml:space="preserve"> extent of that reflector at the appropriate time</w:t>
      </w:r>
      <w:r>
        <w:rPr>
          <w:rFonts w:ascii="Times New Roman" w:hAnsi="Times New Roman" w:cs="Times New Roman"/>
          <w:sz w:val="24"/>
          <w:szCs w:val="24"/>
        </w:rPr>
        <w:t>.</w:t>
      </w:r>
    </w:p>
    <w:p w14:paraId="4C3127E9" w14:textId="4E0EC3C7" w:rsidR="00417014" w:rsidRDefault="00417014" w:rsidP="00417014">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Continue</w:t>
      </w:r>
      <w:r w:rsidR="00932155">
        <w:rPr>
          <w:rFonts w:ascii="Times New Roman" w:hAnsi="Times New Roman" w:cs="Times New Roman"/>
          <w:sz w:val="24"/>
          <w:szCs w:val="24"/>
        </w:rPr>
        <w:t xml:space="preserve"> this process for every</w:t>
      </w:r>
      <w:r>
        <w:rPr>
          <w:rFonts w:ascii="Times New Roman" w:hAnsi="Times New Roman" w:cs="Times New Roman"/>
          <w:sz w:val="24"/>
          <w:szCs w:val="24"/>
        </w:rPr>
        <w:t xml:space="preserve"> reflector.</w:t>
      </w:r>
    </w:p>
    <w:p w14:paraId="14D4EB4A" w14:textId="77777777" w:rsidR="00417014" w:rsidRDefault="00417014" w:rsidP="00417014">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Void spaces left on the chart represent zones of missing time. Four types of recognized time gaps exist:</w:t>
      </w:r>
    </w:p>
    <w:p w14:paraId="475340F6" w14:textId="77777777" w:rsidR="00417014" w:rsidRDefault="00417014" w:rsidP="00417014">
      <w:pPr>
        <w:pStyle w:val="ListParagraph"/>
        <w:numPr>
          <w:ilvl w:val="1"/>
          <w:numId w:val="12"/>
        </w:numPr>
        <w:spacing w:line="480" w:lineRule="auto"/>
        <w:rPr>
          <w:rFonts w:ascii="Times New Roman" w:hAnsi="Times New Roman" w:cs="Times New Roman"/>
          <w:sz w:val="24"/>
          <w:szCs w:val="24"/>
        </w:rPr>
      </w:pPr>
      <w:r>
        <w:rPr>
          <w:rFonts w:ascii="Times New Roman" w:hAnsi="Times New Roman" w:cs="Times New Roman"/>
          <w:sz w:val="24"/>
          <w:szCs w:val="24"/>
        </w:rPr>
        <w:t>Non-depositional hiatus</w:t>
      </w:r>
    </w:p>
    <w:p w14:paraId="5FEFF75B" w14:textId="77777777" w:rsidR="00417014" w:rsidRDefault="00417014" w:rsidP="00417014">
      <w:pPr>
        <w:pStyle w:val="ListParagraph"/>
        <w:numPr>
          <w:ilvl w:val="1"/>
          <w:numId w:val="12"/>
        </w:numPr>
        <w:spacing w:line="480" w:lineRule="auto"/>
        <w:rPr>
          <w:rFonts w:ascii="Times New Roman" w:hAnsi="Times New Roman" w:cs="Times New Roman"/>
          <w:sz w:val="24"/>
          <w:szCs w:val="24"/>
        </w:rPr>
      </w:pPr>
      <w:r>
        <w:rPr>
          <w:rFonts w:ascii="Times New Roman" w:hAnsi="Times New Roman" w:cs="Times New Roman"/>
          <w:sz w:val="24"/>
          <w:szCs w:val="24"/>
        </w:rPr>
        <w:t>Unconformity</w:t>
      </w:r>
    </w:p>
    <w:p w14:paraId="13F13DAC" w14:textId="77777777" w:rsidR="00417014" w:rsidRDefault="00417014" w:rsidP="00417014">
      <w:pPr>
        <w:pStyle w:val="ListParagraph"/>
        <w:numPr>
          <w:ilvl w:val="1"/>
          <w:numId w:val="12"/>
        </w:numPr>
        <w:spacing w:line="480" w:lineRule="auto"/>
        <w:rPr>
          <w:rFonts w:ascii="Times New Roman" w:hAnsi="Times New Roman" w:cs="Times New Roman"/>
          <w:sz w:val="24"/>
          <w:szCs w:val="24"/>
        </w:rPr>
      </w:pPr>
      <w:r>
        <w:rPr>
          <w:rFonts w:ascii="Times New Roman" w:hAnsi="Times New Roman" w:cs="Times New Roman"/>
          <w:sz w:val="24"/>
          <w:szCs w:val="24"/>
        </w:rPr>
        <w:t>Vertical or horizontal limits of control</w:t>
      </w:r>
    </w:p>
    <w:p w14:paraId="28D79A45" w14:textId="77777777" w:rsidR="00417014" w:rsidRDefault="00417014" w:rsidP="00417014">
      <w:pPr>
        <w:pStyle w:val="ListParagraph"/>
        <w:numPr>
          <w:ilvl w:val="1"/>
          <w:numId w:val="12"/>
        </w:numPr>
        <w:spacing w:line="480" w:lineRule="auto"/>
        <w:rPr>
          <w:rFonts w:ascii="Times New Roman" w:hAnsi="Times New Roman" w:cs="Times New Roman"/>
          <w:sz w:val="24"/>
          <w:szCs w:val="24"/>
        </w:rPr>
      </w:pPr>
      <w:r>
        <w:rPr>
          <w:rFonts w:ascii="Times New Roman" w:hAnsi="Times New Roman" w:cs="Times New Roman"/>
          <w:sz w:val="24"/>
          <w:szCs w:val="24"/>
        </w:rPr>
        <w:t>Combinations of the previous three</w:t>
      </w:r>
    </w:p>
    <w:p w14:paraId="7246180A" w14:textId="77777777" w:rsidR="00417014" w:rsidRDefault="00417014" w:rsidP="00417014">
      <w:pPr>
        <w:spacing w:line="240" w:lineRule="auto"/>
        <w:rPr>
          <w:rFonts w:ascii="Times New Roman" w:hAnsi="Times New Roman" w:cs="Times New Roman"/>
          <w:sz w:val="24"/>
          <w:szCs w:val="24"/>
        </w:rPr>
      </w:pPr>
      <w:r>
        <w:rPr>
          <w:noProof/>
        </w:rPr>
        <w:lastRenderedPageBreak/>
        <w:drawing>
          <wp:inline distT="0" distB="0" distL="0" distR="0" wp14:anchorId="2F07EFFD" wp14:editId="5E8E7D59">
            <wp:extent cx="5810250" cy="35623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10250" cy="3562350"/>
                    </a:xfrm>
                    <a:prstGeom prst="rect">
                      <a:avLst/>
                    </a:prstGeom>
                  </pic:spPr>
                </pic:pic>
              </a:graphicData>
            </a:graphic>
          </wp:inline>
        </w:drawing>
      </w:r>
    </w:p>
    <w:p w14:paraId="061522B6" w14:textId="526C9896" w:rsidR="00417014" w:rsidRPr="00DB6F8E" w:rsidRDefault="00417014" w:rsidP="00A33B47">
      <w:pPr>
        <w:spacing w:line="276" w:lineRule="auto"/>
        <w:rPr>
          <w:rFonts w:ascii="Times New Roman" w:hAnsi="Times New Roman" w:cs="Times New Roman"/>
          <w:b/>
          <w:color w:val="FF0000"/>
          <w:sz w:val="24"/>
          <w:szCs w:val="24"/>
        </w:rPr>
      </w:pPr>
      <w:r>
        <w:rPr>
          <w:rFonts w:ascii="Times New Roman" w:hAnsi="Times New Roman" w:cs="Times New Roman"/>
          <w:b/>
          <w:sz w:val="24"/>
          <w:szCs w:val="24"/>
        </w:rPr>
        <w:t>Figure 14: Accommodation Succession stacking patterns. progradation-aggradation is understood to represent Lowstand Systems Tracts, retrogradation represents Transgressive Systems Tracts, and aggradation-progradation-degradation represents Highstand Systems Tracts. (Modified from Neal and Abreu, 2009)</w:t>
      </w:r>
      <w:r w:rsidR="00DB6F8E">
        <w:rPr>
          <w:rFonts w:ascii="Times New Roman" w:hAnsi="Times New Roman" w:cs="Times New Roman"/>
          <w:b/>
          <w:color w:val="FF0000"/>
          <w:sz w:val="24"/>
          <w:szCs w:val="24"/>
        </w:rPr>
        <w:t xml:space="preserve"> </w:t>
      </w:r>
    </w:p>
    <w:p w14:paraId="73E142F5" w14:textId="77777777" w:rsidR="00417014" w:rsidRDefault="00417014" w:rsidP="00417014">
      <w:pPr>
        <w:spacing w:line="480" w:lineRule="auto"/>
        <w:rPr>
          <w:rFonts w:ascii="Times New Roman" w:hAnsi="Times New Roman" w:cs="Times New Roman"/>
          <w:b/>
          <w:sz w:val="24"/>
          <w:szCs w:val="24"/>
        </w:rPr>
      </w:pPr>
    </w:p>
    <w:p w14:paraId="705FAFE4" w14:textId="77777777" w:rsidR="00BF6794" w:rsidRDefault="00BF6794" w:rsidP="00417014">
      <w:pPr>
        <w:spacing w:line="480" w:lineRule="auto"/>
        <w:rPr>
          <w:rFonts w:ascii="Times New Roman" w:hAnsi="Times New Roman" w:cs="Times New Roman"/>
          <w:b/>
          <w:sz w:val="24"/>
          <w:szCs w:val="24"/>
        </w:rPr>
      </w:pPr>
    </w:p>
    <w:p w14:paraId="21EBA05C" w14:textId="77777777" w:rsidR="00BF6794" w:rsidRDefault="00BF6794" w:rsidP="00417014">
      <w:pPr>
        <w:spacing w:line="480" w:lineRule="auto"/>
        <w:rPr>
          <w:rFonts w:ascii="Times New Roman" w:hAnsi="Times New Roman" w:cs="Times New Roman"/>
          <w:b/>
          <w:sz w:val="24"/>
          <w:szCs w:val="24"/>
        </w:rPr>
      </w:pPr>
    </w:p>
    <w:p w14:paraId="368F8AF2" w14:textId="77777777" w:rsidR="008F706D" w:rsidRDefault="008F706D" w:rsidP="00417014">
      <w:pPr>
        <w:spacing w:line="480" w:lineRule="auto"/>
        <w:rPr>
          <w:rFonts w:ascii="Times New Roman" w:hAnsi="Times New Roman" w:cs="Times New Roman"/>
          <w:b/>
          <w:sz w:val="24"/>
          <w:szCs w:val="24"/>
        </w:rPr>
      </w:pPr>
    </w:p>
    <w:p w14:paraId="3BD22CCC" w14:textId="77777777" w:rsidR="008F706D" w:rsidRDefault="008F706D" w:rsidP="00417014">
      <w:pPr>
        <w:spacing w:line="480" w:lineRule="auto"/>
        <w:rPr>
          <w:rFonts w:ascii="Times New Roman" w:hAnsi="Times New Roman" w:cs="Times New Roman"/>
          <w:b/>
          <w:sz w:val="24"/>
          <w:szCs w:val="24"/>
        </w:rPr>
      </w:pPr>
    </w:p>
    <w:p w14:paraId="090D6182" w14:textId="77777777" w:rsidR="008F706D" w:rsidRDefault="008F706D" w:rsidP="00417014">
      <w:pPr>
        <w:spacing w:line="480" w:lineRule="auto"/>
        <w:rPr>
          <w:rFonts w:ascii="Times New Roman" w:hAnsi="Times New Roman" w:cs="Times New Roman"/>
          <w:b/>
          <w:sz w:val="24"/>
          <w:szCs w:val="24"/>
        </w:rPr>
      </w:pPr>
    </w:p>
    <w:p w14:paraId="61627212" w14:textId="77777777" w:rsidR="008F706D" w:rsidRDefault="008F706D" w:rsidP="00417014">
      <w:pPr>
        <w:spacing w:line="480" w:lineRule="auto"/>
        <w:rPr>
          <w:rFonts w:ascii="Times New Roman" w:hAnsi="Times New Roman" w:cs="Times New Roman"/>
          <w:b/>
          <w:sz w:val="24"/>
          <w:szCs w:val="24"/>
        </w:rPr>
      </w:pPr>
    </w:p>
    <w:p w14:paraId="18BEFF13" w14:textId="77777777" w:rsidR="008F706D" w:rsidRDefault="008F706D" w:rsidP="00417014">
      <w:pPr>
        <w:spacing w:line="480" w:lineRule="auto"/>
        <w:rPr>
          <w:rFonts w:ascii="Times New Roman" w:hAnsi="Times New Roman" w:cs="Times New Roman"/>
          <w:b/>
          <w:sz w:val="24"/>
          <w:szCs w:val="24"/>
        </w:rPr>
      </w:pPr>
    </w:p>
    <w:p w14:paraId="23D29C9A" w14:textId="77777777" w:rsidR="00417014" w:rsidRPr="00B51E8A"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Sequence Stratigraphic Interpretation</w:t>
      </w:r>
    </w:p>
    <w:p w14:paraId="61CE937D" w14:textId="2ABC7E12" w:rsidR="00417014" w:rsidRDefault="00417014"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addition to the lithologic formation horizons, 25 operational sequence boundaries have been interpreted in the seismic using reflector termination patterns to show unconformities, depositional hiatuses, and maximum flooding surface</w:t>
      </w:r>
      <w:r w:rsidR="00A50814">
        <w:rPr>
          <w:rFonts w:ascii="Times New Roman" w:hAnsi="Times New Roman" w:cs="Times New Roman"/>
          <w:sz w:val="24"/>
          <w:szCs w:val="24"/>
        </w:rPr>
        <w:t xml:space="preserve">s </w:t>
      </w:r>
      <w:r w:rsidR="00A50814" w:rsidRPr="00377A03">
        <w:rPr>
          <w:rFonts w:ascii="Times New Roman" w:hAnsi="Times New Roman" w:cs="Times New Roman"/>
          <w:sz w:val="24"/>
          <w:szCs w:val="24"/>
        </w:rPr>
        <w:t>according to the operational procedures outlined in Pigott and Radiovejic (</w:t>
      </w:r>
      <w:r w:rsidR="00DB6F8E" w:rsidRPr="00377A03">
        <w:rPr>
          <w:rFonts w:ascii="Times New Roman" w:hAnsi="Times New Roman" w:cs="Times New Roman"/>
          <w:sz w:val="24"/>
          <w:szCs w:val="24"/>
        </w:rPr>
        <w:t>2010</w:t>
      </w:r>
      <w:r w:rsidR="00A50814" w:rsidRPr="00377A03">
        <w:rPr>
          <w:rFonts w:ascii="Times New Roman" w:hAnsi="Times New Roman" w:cs="Times New Roman"/>
          <w:sz w:val="24"/>
          <w:szCs w:val="24"/>
        </w:rPr>
        <w:t>)</w:t>
      </w:r>
      <w:r w:rsidRPr="00377A03">
        <w:rPr>
          <w:rFonts w:ascii="Times New Roman" w:hAnsi="Times New Roman" w:cs="Times New Roman"/>
          <w:sz w:val="24"/>
          <w:szCs w:val="24"/>
        </w:rPr>
        <w:t xml:space="preserve">. </w:t>
      </w:r>
      <w:r>
        <w:rPr>
          <w:rFonts w:ascii="Times New Roman" w:hAnsi="Times New Roman" w:cs="Times New Roman"/>
          <w:sz w:val="24"/>
          <w:szCs w:val="24"/>
        </w:rPr>
        <w:t xml:space="preserve">These operational sequence boundaries are grouped and colored by tectonic phase, with Ellesmerian, Beaufortian, and Brookian boundaries colored red, blue, and green, respectively. Operational sequence boundaries delineate systems tracts and provide valuable insight into ancient depositional conditions (Van Wagoner and others, 1988). Figures 15 through 19 show the interpreted operational sequences and systems tracts. </w:t>
      </w:r>
    </w:p>
    <w:p w14:paraId="4CFD108E" w14:textId="47D656E4" w:rsidR="00417014" w:rsidRDefault="008D188F" w:rsidP="00417014">
      <w:pPr>
        <w:spacing w:line="480" w:lineRule="auto"/>
        <w:rPr>
          <w:rFonts w:ascii="Times New Roman" w:hAnsi="Times New Roman" w:cs="Times New Roman"/>
          <w:sz w:val="24"/>
          <w:szCs w:val="24"/>
        </w:rPr>
      </w:pPr>
      <w:r>
        <w:rPr>
          <w:noProof/>
        </w:rPr>
        <w:lastRenderedPageBreak/>
        <w:drawing>
          <wp:inline distT="0" distB="0" distL="0" distR="0" wp14:anchorId="04D04020" wp14:editId="3714D40C">
            <wp:extent cx="8332640" cy="5264785"/>
            <wp:effectExtent l="0" t="9208" r="2223" b="2222"/>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rot="16200000">
                      <a:off x="0" y="0"/>
                      <a:ext cx="8338430" cy="5268443"/>
                    </a:xfrm>
                    <a:prstGeom prst="rect">
                      <a:avLst/>
                    </a:prstGeom>
                  </pic:spPr>
                </pic:pic>
              </a:graphicData>
            </a:graphic>
          </wp:inline>
        </w:drawing>
      </w:r>
    </w:p>
    <w:p w14:paraId="2370F1E0" w14:textId="0CE85893" w:rsidR="00417014" w:rsidRDefault="003B75B3" w:rsidP="00417014">
      <w:pPr>
        <w:spacing w:line="480" w:lineRule="auto"/>
        <w:rPr>
          <w:rFonts w:ascii="Times New Roman" w:hAnsi="Times New Roman" w:cs="Times New Roman"/>
          <w:sz w:val="24"/>
          <w:szCs w:val="24"/>
        </w:rPr>
      </w:pPr>
      <w:r>
        <w:rPr>
          <w:noProof/>
        </w:rPr>
        <w:lastRenderedPageBreak/>
        <w:drawing>
          <wp:inline distT="0" distB="0" distL="0" distR="0" wp14:anchorId="489AADEF" wp14:editId="7C09632D">
            <wp:extent cx="8323046" cy="5225415"/>
            <wp:effectExtent l="5715" t="0" r="762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16200000">
                      <a:off x="0" y="0"/>
                      <a:ext cx="8338971" cy="5235413"/>
                    </a:xfrm>
                    <a:prstGeom prst="rect">
                      <a:avLst/>
                    </a:prstGeom>
                  </pic:spPr>
                </pic:pic>
              </a:graphicData>
            </a:graphic>
          </wp:inline>
        </w:drawing>
      </w:r>
    </w:p>
    <w:p w14:paraId="3EFBF37E" w14:textId="6D4C8FAA" w:rsidR="00417014" w:rsidRDefault="008D188F" w:rsidP="00417014">
      <w:pPr>
        <w:spacing w:line="480" w:lineRule="auto"/>
        <w:rPr>
          <w:rFonts w:ascii="Times New Roman" w:hAnsi="Times New Roman" w:cs="Times New Roman"/>
          <w:sz w:val="24"/>
          <w:szCs w:val="24"/>
        </w:rPr>
      </w:pPr>
      <w:r>
        <w:rPr>
          <w:noProof/>
        </w:rPr>
        <w:lastRenderedPageBreak/>
        <w:drawing>
          <wp:inline distT="0" distB="0" distL="0" distR="0" wp14:anchorId="2D304CD1" wp14:editId="7C69C196">
            <wp:extent cx="8322398" cy="5239702"/>
            <wp:effectExtent l="0" t="1588" r="953" b="952"/>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rot="16200000">
                      <a:off x="0" y="0"/>
                      <a:ext cx="8336194" cy="5248388"/>
                    </a:xfrm>
                    <a:prstGeom prst="rect">
                      <a:avLst/>
                    </a:prstGeom>
                  </pic:spPr>
                </pic:pic>
              </a:graphicData>
            </a:graphic>
          </wp:inline>
        </w:drawing>
      </w:r>
    </w:p>
    <w:p w14:paraId="62B90FCC" w14:textId="6CC7EAFC" w:rsidR="00417014" w:rsidRDefault="008D188F" w:rsidP="00417014">
      <w:pPr>
        <w:spacing w:line="480" w:lineRule="auto"/>
        <w:rPr>
          <w:rFonts w:ascii="Times New Roman" w:hAnsi="Times New Roman" w:cs="Times New Roman"/>
          <w:sz w:val="24"/>
          <w:szCs w:val="24"/>
        </w:rPr>
      </w:pPr>
      <w:r>
        <w:rPr>
          <w:noProof/>
        </w:rPr>
        <w:lastRenderedPageBreak/>
        <w:drawing>
          <wp:inline distT="0" distB="0" distL="0" distR="0" wp14:anchorId="4C8EC034" wp14:editId="64E9BB89">
            <wp:extent cx="8415149" cy="5191125"/>
            <wp:effectExtent l="0" t="7303"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8425998" cy="5197818"/>
                    </a:xfrm>
                    <a:prstGeom prst="rect">
                      <a:avLst/>
                    </a:prstGeom>
                  </pic:spPr>
                </pic:pic>
              </a:graphicData>
            </a:graphic>
          </wp:inline>
        </w:drawing>
      </w:r>
    </w:p>
    <w:p w14:paraId="709FFBF1" w14:textId="63B2724E" w:rsidR="00417014" w:rsidRDefault="008D188F" w:rsidP="00417014">
      <w:pPr>
        <w:spacing w:line="480" w:lineRule="auto"/>
        <w:rPr>
          <w:rFonts w:ascii="Times New Roman" w:hAnsi="Times New Roman" w:cs="Times New Roman"/>
          <w:sz w:val="24"/>
          <w:szCs w:val="24"/>
        </w:rPr>
      </w:pPr>
      <w:r>
        <w:rPr>
          <w:noProof/>
        </w:rPr>
        <w:lastRenderedPageBreak/>
        <w:drawing>
          <wp:inline distT="0" distB="0" distL="0" distR="0" wp14:anchorId="4FD802C9" wp14:editId="4C17DCFA">
            <wp:extent cx="8313105" cy="5325828"/>
            <wp:effectExtent l="7620" t="0" r="635" b="63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8339859" cy="5342968"/>
                    </a:xfrm>
                    <a:prstGeom prst="rect">
                      <a:avLst/>
                    </a:prstGeom>
                  </pic:spPr>
                </pic:pic>
              </a:graphicData>
            </a:graphic>
          </wp:inline>
        </w:drawing>
      </w:r>
    </w:p>
    <w:p w14:paraId="44914FE6" w14:textId="77777777"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Several of the unconformity surfaces shown above correspond directly to the lithologic formation tops shown earlier in this chapter. From oldest to youngest these are:</w:t>
      </w:r>
    </w:p>
    <w:p w14:paraId="15B3146E" w14:textId="77777777" w:rsidR="00417014" w:rsidRDefault="00417014" w:rsidP="0041701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Lisburne Group to EL2</w:t>
      </w:r>
    </w:p>
    <w:p w14:paraId="12238CB1" w14:textId="77777777" w:rsidR="00417014" w:rsidRDefault="00417014" w:rsidP="0041701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Sadlerochit-Shublik to BE1</w:t>
      </w:r>
    </w:p>
    <w:p w14:paraId="78D915C6" w14:textId="77777777" w:rsidR="00417014" w:rsidRDefault="00417014" w:rsidP="0041701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Kingak to BE4</w:t>
      </w:r>
    </w:p>
    <w:p w14:paraId="3B2544F7" w14:textId="77777777" w:rsidR="00417014" w:rsidRDefault="00417014" w:rsidP="00417014">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Pebble Shale to BE5</w:t>
      </w:r>
    </w:p>
    <w:p w14:paraId="1FD39146" w14:textId="57892DF1" w:rsidR="00417014" w:rsidRDefault="00417014" w:rsidP="00417014">
      <w:pPr>
        <w:spacing w:line="480" w:lineRule="auto"/>
        <w:ind w:firstLine="364"/>
        <w:rPr>
          <w:rFonts w:ascii="Times New Roman" w:hAnsi="Times New Roman" w:cs="Times New Roman"/>
          <w:sz w:val="24"/>
          <w:szCs w:val="24"/>
        </w:rPr>
      </w:pPr>
      <w:r>
        <w:rPr>
          <w:rFonts w:ascii="Times New Roman" w:hAnsi="Times New Roman" w:cs="Times New Roman"/>
          <w:sz w:val="24"/>
          <w:szCs w:val="24"/>
        </w:rPr>
        <w:t xml:space="preserve">These operational sequence boundaries were picked independently of the lithologic formation tops, solely based on reflector termination patterns. Arriving at the same conclusion in both seismic and well analysis lends confidence to the interpretation, which will be further explored with Galloway log motif analysis </w:t>
      </w:r>
      <w:r w:rsidR="004D4A45" w:rsidRPr="00377A03">
        <w:rPr>
          <w:rFonts w:ascii="Times New Roman" w:hAnsi="Times New Roman" w:cs="Times New Roman"/>
          <w:sz w:val="24"/>
          <w:szCs w:val="24"/>
        </w:rPr>
        <w:t xml:space="preserve">as shown </w:t>
      </w:r>
      <w:r>
        <w:rPr>
          <w:rFonts w:ascii="Times New Roman" w:hAnsi="Times New Roman" w:cs="Times New Roman"/>
          <w:sz w:val="24"/>
          <w:szCs w:val="24"/>
        </w:rPr>
        <w:t>in Figure 20</w:t>
      </w:r>
      <w:r w:rsidR="002352D2">
        <w:rPr>
          <w:rFonts w:ascii="Times New Roman" w:hAnsi="Times New Roman" w:cs="Times New Roman"/>
          <w:sz w:val="24"/>
          <w:szCs w:val="24"/>
        </w:rPr>
        <w:t xml:space="preserve"> </w:t>
      </w:r>
      <w:r w:rsidR="002352D2" w:rsidRPr="00377A03">
        <w:rPr>
          <w:rFonts w:ascii="Times New Roman" w:hAnsi="Times New Roman" w:cs="Times New Roman"/>
          <w:sz w:val="24"/>
          <w:szCs w:val="24"/>
        </w:rPr>
        <w:t>(procedure</w:t>
      </w:r>
      <w:r w:rsidR="009F5DAC" w:rsidRPr="00377A03">
        <w:rPr>
          <w:rFonts w:ascii="Times New Roman" w:hAnsi="Times New Roman" w:cs="Times New Roman"/>
          <w:sz w:val="24"/>
          <w:szCs w:val="24"/>
        </w:rPr>
        <w:t xml:space="preserve"> of Pigott, 2018)</w:t>
      </w:r>
      <w:r w:rsidRPr="00377A03">
        <w:rPr>
          <w:rFonts w:ascii="Times New Roman" w:hAnsi="Times New Roman" w:cs="Times New Roman"/>
          <w:sz w:val="24"/>
          <w:szCs w:val="24"/>
        </w:rPr>
        <w:t xml:space="preserve">. </w:t>
      </w:r>
    </w:p>
    <w:p w14:paraId="1278E03B" w14:textId="77777777" w:rsidR="00417014" w:rsidRDefault="00417014"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Comparison of the Vail and Galloway analyses show both similarities and differences in the results. Third order parasequence boundaries are seismically resolvable while the Galloway motifs show fourth order parasequence boundaries.</w:t>
      </w:r>
    </w:p>
    <w:p w14:paraId="423EFAF2" w14:textId="55FA52BB" w:rsidR="00417014" w:rsidRDefault="008D188F" w:rsidP="00417014">
      <w:pPr>
        <w:spacing w:line="480" w:lineRule="auto"/>
        <w:jc w:val="both"/>
        <w:rPr>
          <w:rFonts w:ascii="Times New Roman" w:hAnsi="Times New Roman" w:cs="Times New Roman"/>
          <w:sz w:val="24"/>
          <w:szCs w:val="24"/>
        </w:rPr>
      </w:pPr>
      <w:r>
        <w:rPr>
          <w:noProof/>
        </w:rPr>
        <w:lastRenderedPageBreak/>
        <w:drawing>
          <wp:inline distT="0" distB="0" distL="0" distR="0" wp14:anchorId="7F44C45E" wp14:editId="320A18C5">
            <wp:extent cx="8301675" cy="5588192"/>
            <wp:effectExtent l="4128" t="0" r="8572" b="8573"/>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8321637" cy="5601629"/>
                    </a:xfrm>
                    <a:prstGeom prst="rect">
                      <a:avLst/>
                    </a:prstGeom>
                  </pic:spPr>
                </pic:pic>
              </a:graphicData>
            </a:graphic>
          </wp:inline>
        </w:drawing>
      </w:r>
    </w:p>
    <w:p w14:paraId="7150E589" w14:textId="038339D7" w:rsidR="00D5477E" w:rsidRDefault="008D188F" w:rsidP="00417014">
      <w:pPr>
        <w:spacing w:line="480" w:lineRule="auto"/>
        <w:jc w:val="both"/>
        <w:rPr>
          <w:rFonts w:ascii="Times New Roman" w:hAnsi="Times New Roman" w:cs="Times New Roman"/>
          <w:sz w:val="24"/>
          <w:szCs w:val="24"/>
        </w:rPr>
      </w:pPr>
      <w:r>
        <w:rPr>
          <w:noProof/>
        </w:rPr>
        <w:lastRenderedPageBreak/>
        <w:drawing>
          <wp:inline distT="0" distB="0" distL="0" distR="0" wp14:anchorId="5C4E8EE6" wp14:editId="090B8B85">
            <wp:extent cx="8357407" cy="5327650"/>
            <wp:effectExtent l="0" t="9207"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8366229" cy="5333274"/>
                    </a:xfrm>
                    <a:prstGeom prst="rect">
                      <a:avLst/>
                    </a:prstGeom>
                  </pic:spPr>
                </pic:pic>
              </a:graphicData>
            </a:graphic>
          </wp:inline>
        </w:drawing>
      </w:r>
    </w:p>
    <w:p w14:paraId="7F31C1FB" w14:textId="434324C5" w:rsidR="00B037E1" w:rsidRDefault="008D188F" w:rsidP="00712CCF">
      <w:pPr>
        <w:spacing w:line="480" w:lineRule="auto"/>
        <w:ind w:firstLine="720"/>
        <w:jc w:val="both"/>
        <w:rPr>
          <w:rFonts w:ascii="Times New Roman" w:hAnsi="Times New Roman" w:cs="Times New Roman"/>
          <w:sz w:val="24"/>
          <w:szCs w:val="24"/>
        </w:rPr>
      </w:pPr>
      <w:r>
        <w:rPr>
          <w:noProof/>
        </w:rPr>
        <w:lastRenderedPageBreak/>
        <w:drawing>
          <wp:inline distT="0" distB="0" distL="0" distR="0" wp14:anchorId="01E67309" wp14:editId="1B630378">
            <wp:extent cx="8291515" cy="5202691"/>
            <wp:effectExtent l="127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8314819" cy="5217314"/>
                    </a:xfrm>
                    <a:prstGeom prst="rect">
                      <a:avLst/>
                    </a:prstGeom>
                  </pic:spPr>
                </pic:pic>
              </a:graphicData>
            </a:graphic>
          </wp:inline>
        </w:drawing>
      </w:r>
      <w:r w:rsidR="00417014">
        <w:rPr>
          <w:rFonts w:ascii="Times New Roman" w:hAnsi="Times New Roman" w:cs="Times New Roman"/>
          <w:sz w:val="24"/>
          <w:szCs w:val="24"/>
        </w:rPr>
        <w:lastRenderedPageBreak/>
        <w:tab/>
      </w:r>
      <w:r w:rsidR="00B037E1">
        <w:rPr>
          <w:rFonts w:ascii="Times New Roman" w:hAnsi="Times New Roman" w:cs="Times New Roman"/>
          <w:sz w:val="24"/>
          <w:szCs w:val="24"/>
        </w:rPr>
        <w:t>The vertical resolution of borehole data is much greater than the vertical resolution of seismic data. As a result of this, the fourth order sequences visible in the well logs are much thinner than the third order sequences shown in the seismic. The trends shown in the borehole data show much more detail than the overall trends noted in the seismic data.</w:t>
      </w:r>
    </w:p>
    <w:p w14:paraId="5492D13E" w14:textId="32EBBAFD" w:rsidR="00D5477E" w:rsidRPr="00712CCF" w:rsidRDefault="00D5477E" w:rsidP="00712C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a result of seismic sequence analysis, a chronostratigraphic Wheeler Diagram was constructed on seismic lines 27-81 and 18-81 using the methodology described at the beginning of this chapter. Wheeler Diagrams are useful for describing the temporal and spatial distribution of rocks as well as the accommodation conditions at the time of deposition.</w:t>
      </w:r>
      <w:r w:rsidR="00377A03">
        <w:rPr>
          <w:rFonts w:ascii="Times New Roman" w:hAnsi="Times New Roman" w:cs="Times New Roman"/>
          <w:sz w:val="24"/>
          <w:szCs w:val="24"/>
        </w:rPr>
        <w:t xml:space="preserve"> Perhaps most importantly, </w:t>
      </w:r>
      <w:r w:rsidR="00377A03" w:rsidRPr="00377A03">
        <w:rPr>
          <w:rFonts w:ascii="Times New Roman" w:hAnsi="Times New Roman" w:cs="Times New Roman"/>
          <w:sz w:val="24"/>
          <w:szCs w:val="24"/>
        </w:rPr>
        <w:t xml:space="preserve">constructing Wheeler Diagrams makes the interpreter question the geological </w:t>
      </w:r>
      <w:r w:rsidR="00970AF2">
        <w:rPr>
          <w:rFonts w:ascii="Times New Roman" w:hAnsi="Times New Roman" w:cs="Times New Roman"/>
          <w:sz w:val="24"/>
          <w:szCs w:val="24"/>
        </w:rPr>
        <w:t>integrity of the interpretation.</w:t>
      </w:r>
    </w:p>
    <w:p w14:paraId="628C47C5" w14:textId="1B50CAEE" w:rsidR="00D5477E" w:rsidRDefault="0084086F" w:rsidP="00417014">
      <w:pPr>
        <w:spacing w:line="480" w:lineRule="auto"/>
        <w:jc w:val="both"/>
        <w:rPr>
          <w:rFonts w:ascii="Times New Roman" w:hAnsi="Times New Roman" w:cs="Times New Roman"/>
          <w:sz w:val="24"/>
          <w:szCs w:val="24"/>
        </w:rPr>
      </w:pPr>
      <w:r>
        <w:rPr>
          <w:noProof/>
        </w:rPr>
        <w:lastRenderedPageBreak/>
        <w:drawing>
          <wp:inline distT="0" distB="0" distL="0" distR="0" wp14:anchorId="0585C2CA" wp14:editId="7AF37ECD">
            <wp:extent cx="8312261" cy="5598253"/>
            <wp:effectExtent l="4445"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8332511" cy="5611891"/>
                    </a:xfrm>
                    <a:prstGeom prst="rect">
                      <a:avLst/>
                    </a:prstGeom>
                  </pic:spPr>
                </pic:pic>
              </a:graphicData>
            </a:graphic>
          </wp:inline>
        </w:drawing>
      </w:r>
    </w:p>
    <w:p w14:paraId="12BA04E8" w14:textId="26B3B9D3" w:rsidR="004014F6" w:rsidRDefault="0084086F" w:rsidP="00417014">
      <w:pPr>
        <w:spacing w:line="480" w:lineRule="auto"/>
        <w:jc w:val="both"/>
        <w:rPr>
          <w:rFonts w:ascii="Times New Roman" w:hAnsi="Times New Roman" w:cs="Times New Roman"/>
          <w:sz w:val="24"/>
          <w:szCs w:val="24"/>
        </w:rPr>
      </w:pPr>
      <w:r>
        <w:rPr>
          <w:noProof/>
        </w:rPr>
        <w:lastRenderedPageBreak/>
        <w:drawing>
          <wp:inline distT="0" distB="0" distL="0" distR="0" wp14:anchorId="57EC9C42" wp14:editId="2434473F">
            <wp:extent cx="8462259" cy="5114607"/>
            <wp:effectExtent l="0" t="254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8482005" cy="5126542"/>
                    </a:xfrm>
                    <a:prstGeom prst="rect">
                      <a:avLst/>
                    </a:prstGeom>
                  </pic:spPr>
                </pic:pic>
              </a:graphicData>
            </a:graphic>
          </wp:inline>
        </w:drawing>
      </w:r>
    </w:p>
    <w:p w14:paraId="052DE2A5" w14:textId="6EDA7B68" w:rsidR="00417014" w:rsidRPr="00F46FE2" w:rsidRDefault="00417014" w:rsidP="00417014">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lastRenderedPageBreak/>
        <w:t>As mentioned previously, the paraseqeuence set boundaries shown above are grouped based on tectonic phase. These groupings are the Ellesmer</w:t>
      </w:r>
      <w:r w:rsidR="00DD0D9A">
        <w:rPr>
          <w:rFonts w:ascii="Times New Roman" w:hAnsi="Times New Roman" w:cs="Times New Roman"/>
          <w:sz w:val="24"/>
          <w:szCs w:val="24"/>
        </w:rPr>
        <w:t>ian, Beaufortian, and Brookian M</w:t>
      </w:r>
      <w:r>
        <w:rPr>
          <w:rFonts w:ascii="Times New Roman" w:hAnsi="Times New Roman" w:cs="Times New Roman"/>
          <w:sz w:val="24"/>
          <w:szCs w:val="24"/>
        </w:rPr>
        <w:t>egasequences. Isopach maps as well as time-structure maps showing key surfaces in each megaseq</w:t>
      </w:r>
      <w:r w:rsidR="004F4DFB">
        <w:rPr>
          <w:rFonts w:ascii="Times New Roman" w:hAnsi="Times New Roman" w:cs="Times New Roman"/>
          <w:sz w:val="24"/>
          <w:szCs w:val="24"/>
        </w:rPr>
        <w:t>uence are shown in the Figures 25 through 33</w:t>
      </w:r>
      <w:r>
        <w:rPr>
          <w:rFonts w:ascii="Times New Roman" w:hAnsi="Times New Roman" w:cs="Times New Roman"/>
          <w:sz w:val="24"/>
          <w:szCs w:val="24"/>
        </w:rPr>
        <w:t>.</w:t>
      </w:r>
      <w:r w:rsidR="00F46FE2">
        <w:rPr>
          <w:rFonts w:ascii="Times New Roman" w:hAnsi="Times New Roman" w:cs="Times New Roman"/>
          <w:color w:val="FF0000"/>
          <w:sz w:val="24"/>
          <w:szCs w:val="24"/>
        </w:rPr>
        <w:t xml:space="preserve"> </w:t>
      </w:r>
    </w:p>
    <w:p w14:paraId="4C5C876B" w14:textId="1F46C7C3" w:rsidR="00417014" w:rsidRDefault="00B50531" w:rsidP="00417014">
      <w:pPr>
        <w:spacing w:line="480" w:lineRule="auto"/>
        <w:jc w:val="both"/>
        <w:rPr>
          <w:rFonts w:ascii="Times New Roman" w:hAnsi="Times New Roman" w:cs="Times New Roman"/>
          <w:sz w:val="24"/>
          <w:szCs w:val="24"/>
        </w:rPr>
      </w:pPr>
      <w:r>
        <w:rPr>
          <w:noProof/>
        </w:rPr>
        <w:lastRenderedPageBreak/>
        <w:drawing>
          <wp:inline distT="0" distB="0" distL="0" distR="0" wp14:anchorId="796A34B1" wp14:editId="565F9A6B">
            <wp:extent cx="8194320" cy="5286378"/>
            <wp:effectExtent l="6032" t="0" r="3493" b="3492"/>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8209129" cy="5295931"/>
                    </a:xfrm>
                    <a:prstGeom prst="rect">
                      <a:avLst/>
                    </a:prstGeom>
                  </pic:spPr>
                </pic:pic>
              </a:graphicData>
            </a:graphic>
          </wp:inline>
        </w:drawing>
      </w:r>
    </w:p>
    <w:p w14:paraId="14C3E58C" w14:textId="2AC21024" w:rsidR="00417014" w:rsidRDefault="007C7034" w:rsidP="00417014">
      <w:pPr>
        <w:spacing w:line="480" w:lineRule="auto"/>
        <w:jc w:val="both"/>
        <w:rPr>
          <w:rFonts w:ascii="Times New Roman" w:hAnsi="Times New Roman" w:cs="Times New Roman"/>
          <w:sz w:val="24"/>
          <w:szCs w:val="24"/>
        </w:rPr>
      </w:pPr>
      <w:r>
        <w:rPr>
          <w:noProof/>
        </w:rPr>
        <w:lastRenderedPageBreak/>
        <w:drawing>
          <wp:inline distT="0" distB="0" distL="0" distR="0" wp14:anchorId="71F20459" wp14:editId="4B004BA6">
            <wp:extent cx="8265762" cy="5540667"/>
            <wp:effectExtent l="0" t="9208"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8290677" cy="5557368"/>
                    </a:xfrm>
                    <a:prstGeom prst="rect">
                      <a:avLst/>
                    </a:prstGeom>
                  </pic:spPr>
                </pic:pic>
              </a:graphicData>
            </a:graphic>
          </wp:inline>
        </w:drawing>
      </w:r>
    </w:p>
    <w:p w14:paraId="3A49DEE3" w14:textId="31AEA535" w:rsidR="00417014" w:rsidRDefault="00B56F45" w:rsidP="00417014">
      <w:pPr>
        <w:spacing w:line="480" w:lineRule="auto"/>
        <w:jc w:val="both"/>
        <w:rPr>
          <w:rFonts w:ascii="Times New Roman" w:hAnsi="Times New Roman" w:cs="Times New Roman"/>
          <w:sz w:val="24"/>
          <w:szCs w:val="24"/>
        </w:rPr>
      </w:pPr>
      <w:r>
        <w:rPr>
          <w:noProof/>
        </w:rPr>
        <w:lastRenderedPageBreak/>
        <w:drawing>
          <wp:inline distT="0" distB="0" distL="0" distR="0" wp14:anchorId="1404BBA5" wp14:editId="3D5CCE58">
            <wp:extent cx="8282938" cy="5604827"/>
            <wp:effectExtent l="5398"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rot="16200000">
                      <a:off x="0" y="0"/>
                      <a:ext cx="8299050" cy="5615730"/>
                    </a:xfrm>
                    <a:prstGeom prst="rect">
                      <a:avLst/>
                    </a:prstGeom>
                  </pic:spPr>
                </pic:pic>
              </a:graphicData>
            </a:graphic>
          </wp:inline>
        </w:drawing>
      </w:r>
    </w:p>
    <w:p w14:paraId="3EF878B1" w14:textId="39CF23A9" w:rsidR="00417014" w:rsidRDefault="00B56F45" w:rsidP="00417014">
      <w:pPr>
        <w:spacing w:line="480" w:lineRule="auto"/>
        <w:jc w:val="both"/>
        <w:rPr>
          <w:rFonts w:ascii="Times New Roman" w:hAnsi="Times New Roman" w:cs="Times New Roman"/>
          <w:sz w:val="24"/>
          <w:szCs w:val="24"/>
        </w:rPr>
      </w:pPr>
      <w:r>
        <w:rPr>
          <w:noProof/>
        </w:rPr>
        <w:lastRenderedPageBreak/>
        <w:drawing>
          <wp:inline distT="0" distB="0" distL="0" distR="0" wp14:anchorId="5A97EEDF" wp14:editId="56540D79">
            <wp:extent cx="8258666" cy="5554381"/>
            <wp:effectExtent l="0" t="635" r="889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rot="16200000">
                      <a:off x="0" y="0"/>
                      <a:ext cx="8281964" cy="5570050"/>
                    </a:xfrm>
                    <a:prstGeom prst="rect">
                      <a:avLst/>
                    </a:prstGeom>
                  </pic:spPr>
                </pic:pic>
              </a:graphicData>
            </a:graphic>
          </wp:inline>
        </w:drawing>
      </w:r>
    </w:p>
    <w:p w14:paraId="5D3AEA0D" w14:textId="48DCDCE4" w:rsidR="00417014" w:rsidRDefault="00B50531" w:rsidP="00417014">
      <w:pPr>
        <w:spacing w:line="480" w:lineRule="auto"/>
        <w:jc w:val="both"/>
        <w:rPr>
          <w:rFonts w:ascii="Times New Roman" w:hAnsi="Times New Roman" w:cs="Times New Roman"/>
          <w:sz w:val="24"/>
          <w:szCs w:val="24"/>
        </w:rPr>
      </w:pPr>
      <w:r>
        <w:rPr>
          <w:noProof/>
        </w:rPr>
        <w:lastRenderedPageBreak/>
        <w:drawing>
          <wp:inline distT="0" distB="0" distL="0" distR="0" wp14:anchorId="5C12FEE7" wp14:editId="0423312C">
            <wp:extent cx="8308083" cy="5455602"/>
            <wp:effectExtent l="0" t="254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rot="16200000">
                      <a:off x="0" y="0"/>
                      <a:ext cx="8320041" cy="5463454"/>
                    </a:xfrm>
                    <a:prstGeom prst="rect">
                      <a:avLst/>
                    </a:prstGeom>
                  </pic:spPr>
                </pic:pic>
              </a:graphicData>
            </a:graphic>
          </wp:inline>
        </w:drawing>
      </w:r>
    </w:p>
    <w:p w14:paraId="3831E710" w14:textId="0C25265D" w:rsidR="00417014" w:rsidRDefault="00B56F45" w:rsidP="00417014">
      <w:pPr>
        <w:spacing w:line="480" w:lineRule="auto"/>
        <w:jc w:val="both"/>
        <w:rPr>
          <w:rFonts w:ascii="Times New Roman" w:hAnsi="Times New Roman" w:cs="Times New Roman"/>
          <w:sz w:val="24"/>
          <w:szCs w:val="24"/>
        </w:rPr>
      </w:pPr>
      <w:r>
        <w:rPr>
          <w:noProof/>
        </w:rPr>
        <w:lastRenderedPageBreak/>
        <w:drawing>
          <wp:inline distT="0" distB="0" distL="0" distR="0" wp14:anchorId="083D6C3F" wp14:editId="6F58B63A">
            <wp:extent cx="8328868" cy="5547677"/>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rot="16200000">
                      <a:off x="0" y="0"/>
                      <a:ext cx="8347083" cy="5559810"/>
                    </a:xfrm>
                    <a:prstGeom prst="rect">
                      <a:avLst/>
                    </a:prstGeom>
                  </pic:spPr>
                </pic:pic>
              </a:graphicData>
            </a:graphic>
          </wp:inline>
        </w:drawing>
      </w:r>
    </w:p>
    <w:p w14:paraId="6D7A31B1" w14:textId="6486E50E" w:rsidR="00417014" w:rsidRDefault="00B56F45" w:rsidP="00417014">
      <w:pPr>
        <w:spacing w:line="480" w:lineRule="auto"/>
        <w:jc w:val="both"/>
        <w:rPr>
          <w:rFonts w:ascii="Times New Roman" w:hAnsi="Times New Roman" w:cs="Times New Roman"/>
          <w:sz w:val="24"/>
          <w:szCs w:val="24"/>
        </w:rPr>
      </w:pPr>
      <w:r>
        <w:rPr>
          <w:noProof/>
        </w:rPr>
        <w:lastRenderedPageBreak/>
        <w:drawing>
          <wp:inline distT="0" distB="0" distL="0" distR="0" wp14:anchorId="260E31F0" wp14:editId="2DF1097C">
            <wp:extent cx="8216407" cy="5513387"/>
            <wp:effectExtent l="0" t="952"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rot="16200000">
                      <a:off x="0" y="0"/>
                      <a:ext cx="8229249" cy="5522004"/>
                    </a:xfrm>
                    <a:prstGeom prst="rect">
                      <a:avLst/>
                    </a:prstGeom>
                  </pic:spPr>
                </pic:pic>
              </a:graphicData>
            </a:graphic>
          </wp:inline>
        </w:drawing>
      </w:r>
    </w:p>
    <w:p w14:paraId="03D14E30" w14:textId="506CB490" w:rsidR="00417014" w:rsidRDefault="00B50531" w:rsidP="00417014">
      <w:pPr>
        <w:spacing w:line="480" w:lineRule="auto"/>
        <w:jc w:val="both"/>
        <w:rPr>
          <w:rFonts w:ascii="Times New Roman" w:hAnsi="Times New Roman" w:cs="Times New Roman"/>
          <w:sz w:val="24"/>
          <w:szCs w:val="24"/>
        </w:rPr>
      </w:pPr>
      <w:r>
        <w:rPr>
          <w:noProof/>
        </w:rPr>
        <w:lastRenderedPageBreak/>
        <w:drawing>
          <wp:inline distT="0" distB="0" distL="0" distR="0" wp14:anchorId="7557D658" wp14:editId="13AB41D7">
            <wp:extent cx="8279593" cy="5337492"/>
            <wp:effectExtent l="4127"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rot="16200000">
                      <a:off x="0" y="0"/>
                      <a:ext cx="8289796" cy="5344069"/>
                    </a:xfrm>
                    <a:prstGeom prst="rect">
                      <a:avLst/>
                    </a:prstGeom>
                  </pic:spPr>
                </pic:pic>
              </a:graphicData>
            </a:graphic>
          </wp:inline>
        </w:drawing>
      </w:r>
    </w:p>
    <w:p w14:paraId="162CFFC1" w14:textId="4303451D" w:rsidR="00566F87" w:rsidRDefault="0086627D" w:rsidP="0086627D">
      <w:pPr>
        <w:spacing w:line="480" w:lineRule="auto"/>
        <w:jc w:val="both"/>
        <w:rPr>
          <w:rFonts w:ascii="Times New Roman" w:hAnsi="Times New Roman" w:cs="Times New Roman"/>
          <w:sz w:val="24"/>
          <w:szCs w:val="24"/>
        </w:rPr>
      </w:pPr>
      <w:r>
        <w:rPr>
          <w:noProof/>
        </w:rPr>
        <w:lastRenderedPageBreak/>
        <w:drawing>
          <wp:inline distT="0" distB="0" distL="0" distR="0" wp14:anchorId="3E04FF4B" wp14:editId="253A2752">
            <wp:extent cx="8233730" cy="5575406"/>
            <wp:effectExtent l="0" t="4445"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rot="16200000">
                      <a:off x="0" y="0"/>
                      <a:ext cx="8250071" cy="5586471"/>
                    </a:xfrm>
                    <a:prstGeom prst="rect">
                      <a:avLst/>
                    </a:prstGeom>
                  </pic:spPr>
                </pic:pic>
              </a:graphicData>
            </a:graphic>
          </wp:inline>
        </w:drawing>
      </w:r>
    </w:p>
    <w:p w14:paraId="38E36311" w14:textId="76172AB3" w:rsidR="00741F53" w:rsidRDefault="00741F53" w:rsidP="0086627D">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Seismic Facies Interpretation</w:t>
      </w:r>
      <w:r w:rsidR="00E26399">
        <w:rPr>
          <w:rFonts w:ascii="Times New Roman" w:hAnsi="Times New Roman" w:cs="Times New Roman"/>
          <w:b/>
          <w:sz w:val="24"/>
          <w:szCs w:val="24"/>
        </w:rPr>
        <w:t xml:space="preserve"> and Petroleum Implications</w:t>
      </w:r>
    </w:p>
    <w:p w14:paraId="3717966B" w14:textId="79327CC3" w:rsidR="00741F53" w:rsidRDefault="00741F53" w:rsidP="0086627D">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This section of the study uses seismic reflector geometry to interpret </w:t>
      </w:r>
      <w:r w:rsidR="003F5658">
        <w:rPr>
          <w:rFonts w:ascii="Times New Roman" w:hAnsi="Times New Roman" w:cs="Times New Roman"/>
          <w:sz w:val="24"/>
          <w:szCs w:val="24"/>
        </w:rPr>
        <w:t xml:space="preserve">seismic </w:t>
      </w:r>
      <w:r>
        <w:rPr>
          <w:rFonts w:ascii="Times New Roman" w:hAnsi="Times New Roman" w:cs="Times New Roman"/>
          <w:sz w:val="24"/>
          <w:szCs w:val="24"/>
        </w:rPr>
        <w:t>facies</w:t>
      </w:r>
      <w:r w:rsidR="003F5658">
        <w:rPr>
          <w:rFonts w:ascii="Times New Roman" w:hAnsi="Times New Roman" w:cs="Times New Roman"/>
          <w:sz w:val="24"/>
          <w:szCs w:val="24"/>
        </w:rPr>
        <w:t xml:space="preserve"> as well as important seismic features</w:t>
      </w:r>
      <w:r>
        <w:rPr>
          <w:rFonts w:ascii="Times New Roman" w:hAnsi="Times New Roman" w:cs="Times New Roman"/>
          <w:sz w:val="24"/>
          <w:szCs w:val="24"/>
        </w:rPr>
        <w:t xml:space="preserve"> in the Brookian clinoforms discussed previously.</w:t>
      </w:r>
      <w:r w:rsidR="0071685C">
        <w:rPr>
          <w:rFonts w:ascii="Times New Roman" w:hAnsi="Times New Roman" w:cs="Times New Roman"/>
          <w:sz w:val="24"/>
          <w:szCs w:val="24"/>
        </w:rPr>
        <w:t xml:space="preserve"> Figure </w:t>
      </w:r>
      <w:r w:rsidR="00EC78ED">
        <w:rPr>
          <w:rFonts w:ascii="Times New Roman" w:hAnsi="Times New Roman" w:cs="Times New Roman"/>
          <w:sz w:val="24"/>
          <w:szCs w:val="24"/>
        </w:rPr>
        <w:t>3</w:t>
      </w:r>
      <w:r w:rsidR="0071685C">
        <w:rPr>
          <w:rFonts w:ascii="Times New Roman" w:hAnsi="Times New Roman" w:cs="Times New Roman"/>
          <w:sz w:val="24"/>
          <w:szCs w:val="24"/>
        </w:rPr>
        <w:t>4 shows how seismic reflector geometries are used to identify seismic facies</w:t>
      </w:r>
      <w:r w:rsidR="00DD39CA">
        <w:rPr>
          <w:rFonts w:ascii="Times New Roman" w:hAnsi="Times New Roman" w:cs="Times New Roman"/>
          <w:sz w:val="24"/>
          <w:szCs w:val="24"/>
        </w:rPr>
        <w:t>.</w:t>
      </w:r>
      <w:r w:rsidR="00DC004F" w:rsidRPr="00DC004F">
        <w:rPr>
          <w:rFonts w:ascii="Times New Roman" w:hAnsi="Times New Roman" w:cs="Times New Roman"/>
          <w:sz w:val="24"/>
          <w:szCs w:val="24"/>
        </w:rPr>
        <w:t xml:space="preserve"> </w:t>
      </w:r>
      <w:r w:rsidR="00DC004F">
        <w:rPr>
          <w:rFonts w:ascii="Times New Roman" w:hAnsi="Times New Roman" w:cs="Times New Roman"/>
          <w:sz w:val="24"/>
          <w:szCs w:val="24"/>
        </w:rPr>
        <w:t>The most prevalent seismic facies discernable in the Brookian clinoforms are parallel to divergent, draping parallel, and transparent sigmoid clinoform facies.</w:t>
      </w:r>
    </w:p>
    <w:p w14:paraId="08518C43" w14:textId="1FF547AF" w:rsidR="00DD39CA" w:rsidRDefault="00DD39CA" w:rsidP="00DD39CA">
      <w:pPr>
        <w:spacing w:line="276" w:lineRule="auto"/>
        <w:jc w:val="both"/>
        <w:rPr>
          <w:rFonts w:ascii="Times New Roman" w:hAnsi="Times New Roman" w:cs="Times New Roman"/>
          <w:sz w:val="24"/>
          <w:szCs w:val="24"/>
        </w:rPr>
      </w:pPr>
      <w:r>
        <w:rPr>
          <w:noProof/>
        </w:rPr>
        <w:drawing>
          <wp:inline distT="0" distB="0" distL="0" distR="0" wp14:anchorId="1FCBC76A" wp14:editId="1B9F42F5">
            <wp:extent cx="5394960" cy="465010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394960" cy="4650105"/>
                    </a:xfrm>
                    <a:prstGeom prst="rect">
                      <a:avLst/>
                    </a:prstGeom>
                  </pic:spPr>
                </pic:pic>
              </a:graphicData>
            </a:graphic>
          </wp:inline>
        </w:drawing>
      </w:r>
    </w:p>
    <w:p w14:paraId="0E5197F2" w14:textId="0099C702" w:rsidR="00DD39CA" w:rsidRDefault="00DD39CA" w:rsidP="00DD39CA">
      <w:pPr>
        <w:spacing w:line="276" w:lineRule="auto"/>
        <w:rPr>
          <w:rFonts w:ascii="Times New Roman" w:hAnsi="Times New Roman" w:cs="Times New Roman"/>
          <w:b/>
          <w:sz w:val="24"/>
          <w:szCs w:val="24"/>
        </w:rPr>
      </w:pPr>
      <w:r w:rsidRPr="00DD39CA">
        <w:rPr>
          <w:rFonts w:ascii="Times New Roman" w:hAnsi="Times New Roman" w:cs="Times New Roman"/>
          <w:b/>
          <w:sz w:val="24"/>
          <w:szCs w:val="24"/>
        </w:rPr>
        <w:t>Figure 34</w:t>
      </w:r>
      <w:r>
        <w:rPr>
          <w:rFonts w:ascii="Times New Roman" w:hAnsi="Times New Roman" w:cs="Times New Roman"/>
          <w:b/>
          <w:sz w:val="24"/>
          <w:szCs w:val="24"/>
        </w:rPr>
        <w:t xml:space="preserve">: Figure showing various types of seismic facies. (A) Parallel to divergent facies. (B) Draping parallel facies. (C) Transparent sigmoid clinoform facies. (D) Hummocky facies. (E) Chaotic facies. </w:t>
      </w:r>
      <w:r w:rsidR="00DC004F">
        <w:rPr>
          <w:rFonts w:ascii="Times New Roman" w:hAnsi="Times New Roman" w:cs="Times New Roman"/>
          <w:b/>
          <w:sz w:val="24"/>
          <w:szCs w:val="24"/>
        </w:rPr>
        <w:t>(</w:t>
      </w:r>
      <w:r>
        <w:rPr>
          <w:rFonts w:ascii="Times New Roman" w:hAnsi="Times New Roman" w:cs="Times New Roman"/>
          <w:b/>
          <w:sz w:val="24"/>
          <w:szCs w:val="24"/>
        </w:rPr>
        <w:t>Modified from Lofi et al.</w:t>
      </w:r>
      <w:r w:rsidR="00DC004F">
        <w:rPr>
          <w:rFonts w:ascii="Times New Roman" w:hAnsi="Times New Roman" w:cs="Times New Roman"/>
          <w:b/>
          <w:sz w:val="24"/>
          <w:szCs w:val="24"/>
        </w:rPr>
        <w:t>,</w:t>
      </w:r>
      <w:r>
        <w:rPr>
          <w:rFonts w:ascii="Times New Roman" w:hAnsi="Times New Roman" w:cs="Times New Roman"/>
          <w:b/>
          <w:sz w:val="24"/>
          <w:szCs w:val="24"/>
        </w:rPr>
        <w:t xml:space="preserve"> 20</w:t>
      </w:r>
      <w:r w:rsidR="00DC004F">
        <w:rPr>
          <w:rFonts w:ascii="Times New Roman" w:hAnsi="Times New Roman" w:cs="Times New Roman"/>
          <w:b/>
          <w:sz w:val="24"/>
          <w:szCs w:val="24"/>
        </w:rPr>
        <w:t>03)</w:t>
      </w:r>
    </w:p>
    <w:p w14:paraId="47D878DC" w14:textId="77777777" w:rsidR="00DD39CA" w:rsidRDefault="00DD39CA" w:rsidP="0086627D">
      <w:pPr>
        <w:spacing w:line="480" w:lineRule="auto"/>
        <w:jc w:val="both"/>
        <w:rPr>
          <w:rFonts w:ascii="Times New Roman" w:hAnsi="Times New Roman" w:cs="Times New Roman"/>
          <w:sz w:val="24"/>
          <w:szCs w:val="24"/>
        </w:rPr>
      </w:pPr>
    </w:p>
    <w:p w14:paraId="0D431B21" w14:textId="7550FFAB" w:rsidR="00DC004F" w:rsidRDefault="00DC004F" w:rsidP="0086627D">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B01EFF">
        <w:rPr>
          <w:rFonts w:ascii="Times New Roman" w:hAnsi="Times New Roman" w:cs="Times New Roman"/>
          <w:sz w:val="24"/>
          <w:szCs w:val="24"/>
        </w:rPr>
        <w:t>Parallel to divergent facies is</w:t>
      </w:r>
      <w:r>
        <w:rPr>
          <w:rFonts w:ascii="Times New Roman" w:hAnsi="Times New Roman" w:cs="Times New Roman"/>
          <w:sz w:val="24"/>
          <w:szCs w:val="24"/>
        </w:rPr>
        <w:t xml:space="preserve"> represented by variably continuous high amplitude reflections and are most common in the middle shelf. These facies are typically interpreted to have been deposited in shallow marine environments. They are commonly characterized by erosional features that have been filled with parallel, transparent or chaotic reflections. (Lofi et al., 2003)</w:t>
      </w:r>
    </w:p>
    <w:p w14:paraId="37A2A3E1" w14:textId="740E01D3" w:rsidR="00DC004F" w:rsidRDefault="00B01EFF" w:rsidP="0086627D">
      <w:pPr>
        <w:spacing w:line="480" w:lineRule="auto"/>
        <w:jc w:val="both"/>
        <w:rPr>
          <w:rFonts w:ascii="Times New Roman" w:hAnsi="Times New Roman" w:cs="Times New Roman"/>
          <w:sz w:val="24"/>
          <w:szCs w:val="24"/>
        </w:rPr>
      </w:pPr>
      <w:r>
        <w:rPr>
          <w:rFonts w:ascii="Times New Roman" w:hAnsi="Times New Roman" w:cs="Times New Roman"/>
          <w:sz w:val="24"/>
          <w:szCs w:val="24"/>
        </w:rPr>
        <w:tab/>
        <w:t>Draping parallel facies is</w:t>
      </w:r>
      <w:r w:rsidR="00DC004F">
        <w:rPr>
          <w:rFonts w:ascii="Times New Roman" w:hAnsi="Times New Roman" w:cs="Times New Roman"/>
          <w:sz w:val="24"/>
          <w:szCs w:val="24"/>
        </w:rPr>
        <w:t xml:space="preserve"> represented by</w:t>
      </w:r>
      <w:r>
        <w:rPr>
          <w:rFonts w:ascii="Times New Roman" w:hAnsi="Times New Roman" w:cs="Times New Roman"/>
          <w:sz w:val="24"/>
          <w:szCs w:val="24"/>
        </w:rPr>
        <w:t xml:space="preserve"> gently dipping,</w:t>
      </w:r>
      <w:r w:rsidR="00DC004F">
        <w:rPr>
          <w:rFonts w:ascii="Times New Roman" w:hAnsi="Times New Roman" w:cs="Times New Roman"/>
          <w:sz w:val="24"/>
          <w:szCs w:val="24"/>
        </w:rPr>
        <w:t xml:space="preserve"> con</w:t>
      </w:r>
      <w:r>
        <w:rPr>
          <w:rFonts w:ascii="Times New Roman" w:hAnsi="Times New Roman" w:cs="Times New Roman"/>
          <w:sz w:val="24"/>
          <w:szCs w:val="24"/>
        </w:rPr>
        <w:t>tinuous, low to high amplitude drape reflections. This facies is commonly found at the base of clinoforms and are interpreted to be deposited under low energy, deep water conditions. (Lofi et al., 2003)</w:t>
      </w:r>
    </w:p>
    <w:p w14:paraId="5D100B92" w14:textId="015A5CAD" w:rsidR="003E7CC4" w:rsidRDefault="003E7CC4" w:rsidP="0086627D">
      <w:pPr>
        <w:spacing w:line="480" w:lineRule="auto"/>
        <w:jc w:val="both"/>
        <w:rPr>
          <w:rFonts w:ascii="Times New Roman" w:hAnsi="Times New Roman" w:cs="Times New Roman"/>
          <w:sz w:val="24"/>
          <w:szCs w:val="24"/>
        </w:rPr>
      </w:pPr>
      <w:r>
        <w:rPr>
          <w:rFonts w:ascii="Times New Roman" w:hAnsi="Times New Roman" w:cs="Times New Roman"/>
          <w:sz w:val="24"/>
          <w:szCs w:val="24"/>
        </w:rPr>
        <w:tab/>
        <w:t>Transparent sigmoidal clinoform facies is</w:t>
      </w:r>
      <w:r w:rsidR="00044C69">
        <w:rPr>
          <w:rFonts w:ascii="Times New Roman" w:hAnsi="Times New Roman" w:cs="Times New Roman"/>
          <w:sz w:val="24"/>
          <w:szCs w:val="24"/>
        </w:rPr>
        <w:t xml:space="preserve"> usually represented by moderate to high amplitude seismic </w:t>
      </w:r>
      <w:r w:rsidR="006F7D4E">
        <w:rPr>
          <w:rFonts w:ascii="Times New Roman" w:hAnsi="Times New Roman" w:cs="Times New Roman"/>
          <w:sz w:val="24"/>
          <w:szCs w:val="24"/>
        </w:rPr>
        <w:t>reflections</w:t>
      </w:r>
      <w:r w:rsidR="00044C69">
        <w:rPr>
          <w:rFonts w:ascii="Times New Roman" w:hAnsi="Times New Roman" w:cs="Times New Roman"/>
          <w:sz w:val="24"/>
          <w:szCs w:val="24"/>
        </w:rPr>
        <w:t xml:space="preserve"> showing distinct topsets, foresets, and bottomsets. In between the clinoforms are discontinuous low amplitude reflections. This facies is characteristic of prograding units and shelf deposits. This facies is commonly interpreted to be shallow-marine to slope depositional environments. (Lofi et al., 2003)</w:t>
      </w:r>
    </w:p>
    <w:p w14:paraId="6D9D545F" w14:textId="170C8346" w:rsidR="00EC78ED" w:rsidRDefault="00EC78ED" w:rsidP="0086627D">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type of facies present in any area can give important indications of the lithology of that package of strata. </w:t>
      </w:r>
      <w:r w:rsidR="003F5658">
        <w:rPr>
          <w:rFonts w:ascii="Times New Roman" w:hAnsi="Times New Roman" w:cs="Times New Roman"/>
          <w:sz w:val="24"/>
          <w:szCs w:val="24"/>
        </w:rPr>
        <w:t xml:space="preserve">These </w:t>
      </w:r>
      <w:r>
        <w:rPr>
          <w:rFonts w:ascii="Times New Roman" w:hAnsi="Times New Roman" w:cs="Times New Roman"/>
          <w:sz w:val="24"/>
          <w:szCs w:val="24"/>
        </w:rPr>
        <w:t xml:space="preserve">seismic facies expressions can offer insight into the </w:t>
      </w:r>
      <w:r w:rsidR="003F5658">
        <w:rPr>
          <w:rFonts w:ascii="Times New Roman" w:hAnsi="Times New Roman" w:cs="Times New Roman"/>
          <w:sz w:val="24"/>
          <w:szCs w:val="24"/>
        </w:rPr>
        <w:t xml:space="preserve">probable </w:t>
      </w:r>
      <w:r>
        <w:rPr>
          <w:rFonts w:ascii="Times New Roman" w:hAnsi="Times New Roman" w:cs="Times New Roman"/>
          <w:sz w:val="24"/>
          <w:szCs w:val="24"/>
        </w:rPr>
        <w:t xml:space="preserve">location of </w:t>
      </w:r>
      <w:r w:rsidR="00B87DB2">
        <w:rPr>
          <w:rFonts w:ascii="Times New Roman" w:hAnsi="Times New Roman" w:cs="Times New Roman"/>
          <w:sz w:val="24"/>
          <w:szCs w:val="24"/>
        </w:rPr>
        <w:t>petroleum system elements</w:t>
      </w:r>
      <w:r>
        <w:rPr>
          <w:rFonts w:ascii="Times New Roman" w:hAnsi="Times New Roman" w:cs="Times New Roman"/>
          <w:sz w:val="24"/>
          <w:szCs w:val="24"/>
        </w:rPr>
        <w:t xml:space="preserve">. For the purposes of this study, </w:t>
      </w:r>
      <w:r w:rsidR="003F5658">
        <w:rPr>
          <w:rFonts w:ascii="Times New Roman" w:hAnsi="Times New Roman" w:cs="Times New Roman"/>
          <w:sz w:val="24"/>
          <w:szCs w:val="24"/>
        </w:rPr>
        <w:t>seismic facies and important seismic features were distinguished in the Brookian clinoforms near the North I</w:t>
      </w:r>
      <w:r w:rsidR="001C7629">
        <w:rPr>
          <w:rFonts w:ascii="Times New Roman" w:hAnsi="Times New Roman" w:cs="Times New Roman"/>
          <w:sz w:val="24"/>
          <w:szCs w:val="24"/>
        </w:rPr>
        <w:t>nigok 1 well, shown below in Figure 35.</w:t>
      </w:r>
    </w:p>
    <w:p w14:paraId="502D3249" w14:textId="19D3487B" w:rsidR="0053129D" w:rsidRDefault="0053129D" w:rsidP="00B87DB2">
      <w:pPr>
        <w:spacing w:line="276" w:lineRule="auto"/>
        <w:jc w:val="both"/>
        <w:rPr>
          <w:rFonts w:ascii="Times New Roman" w:hAnsi="Times New Roman" w:cs="Times New Roman"/>
          <w:sz w:val="24"/>
          <w:szCs w:val="24"/>
        </w:rPr>
      </w:pPr>
      <w:r>
        <w:rPr>
          <w:noProof/>
        </w:rPr>
        <w:lastRenderedPageBreak/>
        <w:drawing>
          <wp:inline distT="0" distB="0" distL="0" distR="0" wp14:anchorId="599062CF" wp14:editId="034C2193">
            <wp:extent cx="5394960" cy="53574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394960" cy="5357495"/>
                    </a:xfrm>
                    <a:prstGeom prst="rect">
                      <a:avLst/>
                    </a:prstGeom>
                  </pic:spPr>
                </pic:pic>
              </a:graphicData>
            </a:graphic>
          </wp:inline>
        </w:drawing>
      </w:r>
    </w:p>
    <w:p w14:paraId="716F29E5" w14:textId="7AE1E1CB" w:rsidR="00B87DB2" w:rsidRDefault="00B87DB2" w:rsidP="00B87DB2">
      <w:pPr>
        <w:spacing w:line="276" w:lineRule="auto"/>
        <w:jc w:val="both"/>
        <w:rPr>
          <w:rFonts w:ascii="Times New Roman" w:hAnsi="Times New Roman" w:cs="Times New Roman"/>
          <w:b/>
          <w:sz w:val="24"/>
          <w:szCs w:val="24"/>
        </w:rPr>
      </w:pPr>
      <w:r>
        <w:rPr>
          <w:rFonts w:ascii="Times New Roman" w:hAnsi="Times New Roman" w:cs="Times New Roman"/>
          <w:b/>
          <w:sz w:val="24"/>
          <w:szCs w:val="24"/>
        </w:rPr>
        <w:t>Figure 35: Figure showing a zoomed in image of the Brookian clinoforms near the North Inigok 1 well. Seismic Facies have been grouped by color. The blue polygon corresponds to parallel to divergent facies. The green polygon corresponds to draping parallel facies. The yellow polygons correspond to transparent sigmoid clinoform facies. Important geological components of a delta are shown with black arrows.</w:t>
      </w:r>
    </w:p>
    <w:p w14:paraId="46A01338" w14:textId="6F3B1862" w:rsidR="00B87DB2" w:rsidRDefault="00B87DB2" w:rsidP="00B87DB2">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w:t>
      </w:r>
      <w:r w:rsidR="00C87AE0">
        <w:rPr>
          <w:rFonts w:ascii="Times New Roman" w:hAnsi="Times New Roman" w:cs="Times New Roman"/>
          <w:sz w:val="24"/>
          <w:szCs w:val="24"/>
        </w:rPr>
        <w:t xml:space="preserve">various component parts making up a delta can indicate the most likely location of petroleum system elements. Deposited in deep water during low energy conditions, prodeltas consist almost entirely of muds and fine grained organic material. These deposits make excellent source rocks and seals. Above the delta plain is the delta front. The delta front is where distributary mouth bar sands are located, and are found on the crest of the shelf before the slope, which serve </w:t>
      </w:r>
      <w:r w:rsidR="00C87AE0">
        <w:rPr>
          <w:rFonts w:ascii="Times New Roman" w:hAnsi="Times New Roman" w:cs="Times New Roman"/>
          <w:sz w:val="24"/>
          <w:szCs w:val="24"/>
        </w:rPr>
        <w:lastRenderedPageBreak/>
        <w:t>as stratigraphic traps. The presence</w:t>
      </w:r>
      <w:r w:rsidR="00CA19A2">
        <w:rPr>
          <w:rFonts w:ascii="Times New Roman" w:hAnsi="Times New Roman" w:cs="Times New Roman"/>
          <w:sz w:val="24"/>
          <w:szCs w:val="24"/>
        </w:rPr>
        <w:t xml:space="preserve"> of sand and</w:t>
      </w:r>
      <w:r w:rsidR="00C87AE0">
        <w:rPr>
          <w:rFonts w:ascii="Times New Roman" w:hAnsi="Times New Roman" w:cs="Times New Roman"/>
          <w:sz w:val="24"/>
          <w:szCs w:val="24"/>
        </w:rPr>
        <w:t xml:space="preserve"> overlying stratigraphic traps</w:t>
      </w:r>
      <w:r w:rsidR="00CA19A2">
        <w:rPr>
          <w:rFonts w:ascii="Times New Roman" w:hAnsi="Times New Roman" w:cs="Times New Roman"/>
          <w:sz w:val="24"/>
          <w:szCs w:val="24"/>
        </w:rPr>
        <w:t>, as well as the organic rich prodeltas below</w:t>
      </w:r>
      <w:r w:rsidR="00C87AE0">
        <w:rPr>
          <w:rFonts w:ascii="Times New Roman" w:hAnsi="Times New Roman" w:cs="Times New Roman"/>
          <w:sz w:val="24"/>
          <w:szCs w:val="24"/>
        </w:rPr>
        <w:t xml:space="preserve"> make delta fronts excellent reservoirs</w:t>
      </w:r>
      <w:r w:rsidR="00CA19A2">
        <w:rPr>
          <w:rFonts w:ascii="Times New Roman" w:hAnsi="Times New Roman" w:cs="Times New Roman"/>
          <w:sz w:val="24"/>
          <w:szCs w:val="24"/>
        </w:rPr>
        <w:t>.</w:t>
      </w:r>
      <w:r w:rsidR="00C87AE0">
        <w:rPr>
          <w:rFonts w:ascii="Times New Roman" w:hAnsi="Times New Roman" w:cs="Times New Roman"/>
          <w:sz w:val="24"/>
          <w:szCs w:val="24"/>
        </w:rPr>
        <w:t xml:space="preserve"> In the delta plain, the deposited sediment is commonly deltaic mud along with sporadic and compartmentalized channel sands. These delta plains often make good seals</w:t>
      </w:r>
      <w:r w:rsidR="00CA19A2">
        <w:rPr>
          <w:rFonts w:ascii="Times New Roman" w:hAnsi="Times New Roman" w:cs="Times New Roman"/>
          <w:sz w:val="24"/>
          <w:szCs w:val="24"/>
        </w:rPr>
        <w:t xml:space="preserve"> and can aid in trapping any hydrocarbons that have migrated into the sand-rich delta fronts.</w:t>
      </w:r>
      <w:r w:rsidR="00CA19A2">
        <w:rPr>
          <w:rFonts w:ascii="Times New Roman" w:hAnsi="Times New Roman" w:cs="Times New Roman"/>
          <w:sz w:val="24"/>
          <w:szCs w:val="24"/>
        </w:rPr>
        <w:tab/>
      </w:r>
    </w:p>
    <w:p w14:paraId="492365DB" w14:textId="78B04500" w:rsidR="00CA19A2" w:rsidRPr="00B87DB2" w:rsidRDefault="00CA19A2" w:rsidP="00B87DB2">
      <w:pPr>
        <w:spacing w:line="480" w:lineRule="auto"/>
        <w:jc w:val="both"/>
        <w:rPr>
          <w:rFonts w:ascii="Times New Roman" w:hAnsi="Times New Roman" w:cs="Times New Roman"/>
          <w:sz w:val="24"/>
          <w:szCs w:val="24"/>
        </w:rPr>
      </w:pPr>
      <w:r>
        <w:rPr>
          <w:rFonts w:ascii="Times New Roman" w:hAnsi="Times New Roman" w:cs="Times New Roman"/>
          <w:sz w:val="24"/>
          <w:szCs w:val="24"/>
        </w:rPr>
        <w:tab/>
        <w:t>In the Brookian clinoforms, the foreset and the bottomset are part of the Torok Formation, and the topset is part of the Nanushuk formation. The Torok Formation is made up almost entirely of silt and mud</w:t>
      </w:r>
      <w:r w:rsidR="00AC7771">
        <w:rPr>
          <w:rFonts w:ascii="Times New Roman" w:hAnsi="Times New Roman" w:cs="Times New Roman"/>
          <w:sz w:val="24"/>
          <w:szCs w:val="24"/>
        </w:rPr>
        <w:t>, whereas the overlying Nanushu</w:t>
      </w:r>
      <w:r>
        <w:rPr>
          <w:rFonts w:ascii="Times New Roman" w:hAnsi="Times New Roman" w:cs="Times New Roman"/>
          <w:sz w:val="24"/>
          <w:szCs w:val="24"/>
        </w:rPr>
        <w:t>k has a higher concentration of sands. These observations are consistent with the seismic facies expressions depositional environments. Accordingly, the sandy delta fronts could be potentially lucrative targets for petroleum exploration.</w:t>
      </w:r>
    </w:p>
    <w:p w14:paraId="783670C7" w14:textId="77777777" w:rsidR="00741F53" w:rsidRDefault="00741F53" w:rsidP="0086627D">
      <w:pPr>
        <w:spacing w:line="480" w:lineRule="auto"/>
        <w:jc w:val="both"/>
        <w:rPr>
          <w:rFonts w:ascii="Times New Roman" w:hAnsi="Times New Roman" w:cs="Times New Roman"/>
          <w:b/>
          <w:sz w:val="24"/>
          <w:szCs w:val="24"/>
        </w:rPr>
      </w:pPr>
    </w:p>
    <w:p w14:paraId="5B91766E" w14:textId="77777777" w:rsidR="00741F53" w:rsidRDefault="00741F53" w:rsidP="0086627D">
      <w:pPr>
        <w:spacing w:line="480" w:lineRule="auto"/>
        <w:jc w:val="both"/>
        <w:rPr>
          <w:rFonts w:ascii="Times New Roman" w:hAnsi="Times New Roman" w:cs="Times New Roman"/>
          <w:b/>
          <w:sz w:val="24"/>
          <w:szCs w:val="24"/>
        </w:rPr>
      </w:pPr>
    </w:p>
    <w:p w14:paraId="767948C7" w14:textId="77777777" w:rsidR="00741F53" w:rsidRDefault="00741F53" w:rsidP="0086627D">
      <w:pPr>
        <w:spacing w:line="480" w:lineRule="auto"/>
        <w:jc w:val="both"/>
        <w:rPr>
          <w:rFonts w:ascii="Times New Roman" w:hAnsi="Times New Roman" w:cs="Times New Roman"/>
          <w:b/>
          <w:sz w:val="24"/>
          <w:szCs w:val="24"/>
        </w:rPr>
      </w:pPr>
    </w:p>
    <w:p w14:paraId="25E9ECEF" w14:textId="77777777" w:rsidR="00741F53" w:rsidRDefault="00741F53" w:rsidP="0086627D">
      <w:pPr>
        <w:spacing w:line="480" w:lineRule="auto"/>
        <w:jc w:val="both"/>
        <w:rPr>
          <w:rFonts w:ascii="Times New Roman" w:hAnsi="Times New Roman" w:cs="Times New Roman"/>
          <w:b/>
          <w:sz w:val="24"/>
          <w:szCs w:val="24"/>
        </w:rPr>
      </w:pPr>
    </w:p>
    <w:p w14:paraId="1A33635E" w14:textId="77777777" w:rsidR="00741F53" w:rsidRDefault="00741F53" w:rsidP="0086627D">
      <w:pPr>
        <w:spacing w:line="480" w:lineRule="auto"/>
        <w:jc w:val="both"/>
        <w:rPr>
          <w:rFonts w:ascii="Times New Roman" w:hAnsi="Times New Roman" w:cs="Times New Roman"/>
          <w:b/>
          <w:sz w:val="24"/>
          <w:szCs w:val="24"/>
        </w:rPr>
      </w:pPr>
    </w:p>
    <w:p w14:paraId="4077DF1F" w14:textId="77777777" w:rsidR="00741F53" w:rsidRDefault="00741F53" w:rsidP="0086627D">
      <w:pPr>
        <w:spacing w:line="480" w:lineRule="auto"/>
        <w:jc w:val="both"/>
        <w:rPr>
          <w:rFonts w:ascii="Times New Roman" w:hAnsi="Times New Roman" w:cs="Times New Roman"/>
          <w:b/>
          <w:sz w:val="24"/>
          <w:szCs w:val="24"/>
        </w:rPr>
      </w:pPr>
    </w:p>
    <w:p w14:paraId="0B8D929C" w14:textId="77777777" w:rsidR="00741F53" w:rsidRDefault="00741F53" w:rsidP="0086627D">
      <w:pPr>
        <w:spacing w:line="480" w:lineRule="auto"/>
        <w:jc w:val="both"/>
        <w:rPr>
          <w:rFonts w:ascii="Times New Roman" w:hAnsi="Times New Roman" w:cs="Times New Roman"/>
          <w:b/>
          <w:sz w:val="24"/>
          <w:szCs w:val="24"/>
        </w:rPr>
      </w:pPr>
    </w:p>
    <w:p w14:paraId="5F4BCC59" w14:textId="77777777" w:rsidR="00CA19A2" w:rsidRPr="00741F53" w:rsidRDefault="00CA19A2" w:rsidP="0086627D">
      <w:pPr>
        <w:spacing w:line="480" w:lineRule="auto"/>
        <w:jc w:val="both"/>
        <w:rPr>
          <w:rFonts w:ascii="Times New Roman" w:hAnsi="Times New Roman" w:cs="Times New Roman"/>
          <w:b/>
          <w:sz w:val="24"/>
          <w:szCs w:val="24"/>
        </w:rPr>
      </w:pPr>
    </w:p>
    <w:p w14:paraId="58B163ED" w14:textId="77777777" w:rsidR="00F32252" w:rsidRDefault="00F32252" w:rsidP="004F4DFB">
      <w:pPr>
        <w:spacing w:line="480" w:lineRule="auto"/>
        <w:jc w:val="center"/>
        <w:rPr>
          <w:rFonts w:ascii="Times New Roman" w:hAnsi="Times New Roman" w:cs="Times New Roman"/>
          <w:b/>
          <w:sz w:val="36"/>
          <w:szCs w:val="36"/>
        </w:rPr>
      </w:pPr>
    </w:p>
    <w:p w14:paraId="28534D5F" w14:textId="77777777" w:rsidR="00F32252" w:rsidRDefault="00F32252" w:rsidP="004F4DFB">
      <w:pPr>
        <w:spacing w:line="480" w:lineRule="auto"/>
        <w:jc w:val="center"/>
        <w:rPr>
          <w:rFonts w:ascii="Times New Roman" w:hAnsi="Times New Roman" w:cs="Times New Roman"/>
          <w:b/>
          <w:sz w:val="36"/>
          <w:szCs w:val="36"/>
        </w:rPr>
      </w:pPr>
    </w:p>
    <w:p w14:paraId="5B5FF3AA" w14:textId="68B3A4C4" w:rsidR="00417014" w:rsidRDefault="00417014" w:rsidP="004F4DFB">
      <w:pPr>
        <w:spacing w:line="480" w:lineRule="auto"/>
        <w:jc w:val="center"/>
        <w:rPr>
          <w:rFonts w:ascii="Times New Roman" w:hAnsi="Times New Roman" w:cs="Times New Roman"/>
          <w:b/>
          <w:sz w:val="36"/>
          <w:szCs w:val="36"/>
        </w:rPr>
      </w:pPr>
      <w:r>
        <w:rPr>
          <w:rFonts w:ascii="Times New Roman" w:hAnsi="Times New Roman" w:cs="Times New Roman"/>
          <w:b/>
          <w:sz w:val="36"/>
          <w:szCs w:val="36"/>
        </w:rPr>
        <w:lastRenderedPageBreak/>
        <w:t>DISCUSSION</w:t>
      </w:r>
    </w:p>
    <w:p w14:paraId="0B139F9F" w14:textId="6FDE3CDB"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preceding interpretations demonstrate the variable nature of de</w:t>
      </w:r>
      <w:r w:rsidR="00DD0D9A">
        <w:rPr>
          <w:rFonts w:ascii="Times New Roman" w:hAnsi="Times New Roman" w:cs="Times New Roman"/>
          <w:sz w:val="24"/>
          <w:szCs w:val="24"/>
        </w:rPr>
        <w:t>position in the Ikpikpuk-Umiat B</w:t>
      </w:r>
      <w:r>
        <w:rPr>
          <w:rFonts w:ascii="Times New Roman" w:hAnsi="Times New Roman" w:cs="Times New Roman"/>
          <w:sz w:val="24"/>
          <w:szCs w:val="24"/>
        </w:rPr>
        <w:t>asin and provides a sequence stratigraphic framework for the resolvable parasequence sets in the seismic data. The following discussion describes those interpretations in greater detail and will be grouped by megasequence.</w:t>
      </w:r>
      <w:r w:rsidR="0014349C">
        <w:rPr>
          <w:rFonts w:ascii="Times New Roman" w:hAnsi="Times New Roman" w:cs="Times New Roman"/>
          <w:sz w:val="24"/>
          <w:szCs w:val="24"/>
        </w:rPr>
        <w:t xml:space="preserve"> </w:t>
      </w:r>
      <w:r w:rsidR="00B71342">
        <w:rPr>
          <w:rFonts w:ascii="Times New Roman" w:hAnsi="Times New Roman" w:cs="Times New Roman"/>
          <w:sz w:val="24"/>
          <w:szCs w:val="24"/>
        </w:rPr>
        <w:t xml:space="preserve">Following this is </w:t>
      </w:r>
      <w:r w:rsidR="0014349C">
        <w:rPr>
          <w:rFonts w:ascii="Times New Roman" w:hAnsi="Times New Roman" w:cs="Times New Roman"/>
          <w:sz w:val="24"/>
          <w:szCs w:val="24"/>
        </w:rPr>
        <w:t>a comparison of local sea level curves to the global sea level curve (Haq et al</w:t>
      </w:r>
      <w:r w:rsidR="0061158C">
        <w:rPr>
          <w:rFonts w:ascii="Times New Roman" w:hAnsi="Times New Roman" w:cs="Times New Roman"/>
          <w:sz w:val="24"/>
          <w:szCs w:val="24"/>
        </w:rPr>
        <w:t>., 1987</w:t>
      </w:r>
      <w:r w:rsidR="0014349C">
        <w:rPr>
          <w:rFonts w:ascii="Times New Roman" w:hAnsi="Times New Roman" w:cs="Times New Roman"/>
          <w:sz w:val="24"/>
          <w:szCs w:val="24"/>
        </w:rPr>
        <w:t>) in order to distinguish autocyclic or allocylcic dominance in the Ikpikpuk-Umiat basin.</w:t>
      </w:r>
      <w:r w:rsidR="00B71342">
        <w:rPr>
          <w:rFonts w:ascii="Times New Roman" w:hAnsi="Times New Roman" w:cs="Times New Roman"/>
          <w:sz w:val="24"/>
          <w:szCs w:val="24"/>
        </w:rPr>
        <w:t xml:space="preserve"> The discussion will be concluded with a comparison of this study to previous works.</w:t>
      </w:r>
    </w:p>
    <w:p w14:paraId="0ADF4898"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Ellesmerian Megasequence</w:t>
      </w:r>
    </w:p>
    <w:p w14:paraId="32F09AAE" w14:textId="0B999BA6" w:rsidR="00417014" w:rsidRPr="0064118E" w:rsidRDefault="00417014" w:rsidP="00417014">
      <w:pPr>
        <w:spacing w:line="480" w:lineRule="auto"/>
        <w:rPr>
          <w:rFonts w:ascii="Times New Roman" w:hAnsi="Times New Roman" w:cs="Times New Roman"/>
          <w:color w:val="FF0000"/>
          <w:sz w:val="24"/>
          <w:szCs w:val="24"/>
        </w:rPr>
      </w:pPr>
      <w:r>
        <w:rPr>
          <w:rFonts w:ascii="Times New Roman" w:hAnsi="Times New Roman" w:cs="Times New Roman"/>
          <w:b/>
          <w:sz w:val="24"/>
          <w:szCs w:val="24"/>
        </w:rPr>
        <w:tab/>
      </w:r>
      <w:r>
        <w:rPr>
          <w:rFonts w:ascii="Times New Roman" w:hAnsi="Times New Roman" w:cs="Times New Roman"/>
          <w:sz w:val="24"/>
          <w:szCs w:val="24"/>
        </w:rPr>
        <w:t>As mention</w:t>
      </w:r>
      <w:r w:rsidR="00DD0D9A">
        <w:rPr>
          <w:rFonts w:ascii="Times New Roman" w:hAnsi="Times New Roman" w:cs="Times New Roman"/>
          <w:sz w:val="24"/>
          <w:szCs w:val="24"/>
        </w:rPr>
        <w:t>ed previously, the Ellesmerian M</w:t>
      </w:r>
      <w:r>
        <w:rPr>
          <w:rFonts w:ascii="Times New Roman" w:hAnsi="Times New Roman" w:cs="Times New Roman"/>
          <w:sz w:val="24"/>
          <w:szCs w:val="24"/>
        </w:rPr>
        <w:t>egasequence consists of the Endicott Group, the Lisburne Group, the Sadlerochit Group, the Shublik Formation, and the Sag River Formation.  In the seismic, only two operational sequence boundaries were distinguished: EL1 and EL2. Boundary BE1 marks the top of this group and coincides with the top of the Sag River Formation. This megasequence sits on top of the interpreted basement horizon, which</w:t>
      </w:r>
      <w:r w:rsidR="00DD0D9A">
        <w:rPr>
          <w:rFonts w:ascii="Times New Roman" w:hAnsi="Times New Roman" w:cs="Times New Roman"/>
          <w:sz w:val="24"/>
          <w:szCs w:val="24"/>
        </w:rPr>
        <w:t xml:space="preserve"> is the top of the Franklinian M</w:t>
      </w:r>
      <w:r>
        <w:rPr>
          <w:rFonts w:ascii="Times New Roman" w:hAnsi="Times New Roman" w:cs="Times New Roman"/>
          <w:sz w:val="24"/>
          <w:szCs w:val="24"/>
        </w:rPr>
        <w:t>egasequence discussed earlier in this work.</w:t>
      </w:r>
      <w:r w:rsidR="0064118E">
        <w:rPr>
          <w:rFonts w:ascii="Times New Roman" w:hAnsi="Times New Roman" w:cs="Times New Roman"/>
          <w:color w:val="FF0000"/>
          <w:sz w:val="24"/>
          <w:szCs w:val="24"/>
        </w:rPr>
        <w:t xml:space="preserve"> </w:t>
      </w:r>
    </w:p>
    <w:p w14:paraId="536AC62C" w14:textId="09179A0F" w:rsidR="00417014" w:rsidRDefault="00B33DD8" w:rsidP="00417014">
      <w:pPr>
        <w:spacing w:line="480" w:lineRule="auto"/>
        <w:rPr>
          <w:rFonts w:ascii="Times New Roman" w:hAnsi="Times New Roman" w:cs="Times New Roman"/>
          <w:sz w:val="24"/>
          <w:szCs w:val="24"/>
        </w:rPr>
      </w:pPr>
      <w:r>
        <w:rPr>
          <w:rFonts w:ascii="Times New Roman" w:hAnsi="Times New Roman" w:cs="Times New Roman"/>
          <w:sz w:val="24"/>
          <w:szCs w:val="24"/>
        </w:rPr>
        <w:tab/>
        <w:t>Figure 25</w:t>
      </w:r>
      <w:r w:rsidR="00417014">
        <w:rPr>
          <w:rFonts w:ascii="Times New Roman" w:hAnsi="Times New Roman" w:cs="Times New Roman"/>
          <w:sz w:val="24"/>
          <w:szCs w:val="24"/>
        </w:rPr>
        <w:t xml:space="preserve"> shows an </w:t>
      </w:r>
      <w:r w:rsidRPr="00B33DD8">
        <w:rPr>
          <w:rFonts w:ascii="Times New Roman" w:hAnsi="Times New Roman" w:cs="Times New Roman"/>
          <w:sz w:val="24"/>
          <w:szCs w:val="24"/>
        </w:rPr>
        <w:t>isopach</w:t>
      </w:r>
      <w:r w:rsidR="00DD0D9A">
        <w:rPr>
          <w:rFonts w:ascii="Times New Roman" w:hAnsi="Times New Roman" w:cs="Times New Roman"/>
          <w:sz w:val="24"/>
          <w:szCs w:val="24"/>
        </w:rPr>
        <w:t xml:space="preserve"> map of the Ellesmerian M</w:t>
      </w:r>
      <w:r w:rsidR="00417014">
        <w:rPr>
          <w:rFonts w:ascii="Times New Roman" w:hAnsi="Times New Roman" w:cs="Times New Roman"/>
          <w:sz w:val="24"/>
          <w:szCs w:val="24"/>
        </w:rPr>
        <w:t>egasequence. This sequence is thickest in the southwest of the basin, thinning to the North and North-East. This is largely due to the stru</w:t>
      </w:r>
      <w:r>
        <w:rPr>
          <w:rFonts w:ascii="Times New Roman" w:hAnsi="Times New Roman" w:cs="Times New Roman"/>
          <w:sz w:val="24"/>
          <w:szCs w:val="24"/>
        </w:rPr>
        <w:t>cture of the basement (Figure 26</w:t>
      </w:r>
      <w:r w:rsidR="00417014">
        <w:rPr>
          <w:rFonts w:ascii="Times New Roman" w:hAnsi="Times New Roman" w:cs="Times New Roman"/>
          <w:sz w:val="24"/>
          <w:szCs w:val="24"/>
        </w:rPr>
        <w:t>) which is deepest in the southwest and shallows to the North. The reflectors between the basement and EL2 consistently onlap towards the northeast, backstepping towards the sediment source. Parasequence set boundary EL1 truncates underlying strata in places, indicating at least some erosion.</w:t>
      </w:r>
    </w:p>
    <w:p w14:paraId="42417255" w14:textId="563D65B1" w:rsidR="00417014" w:rsidRDefault="00B33DD8"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Figure 27</w:t>
      </w:r>
      <w:r w:rsidR="00417014">
        <w:rPr>
          <w:rFonts w:ascii="Times New Roman" w:hAnsi="Times New Roman" w:cs="Times New Roman"/>
          <w:sz w:val="24"/>
          <w:szCs w:val="24"/>
        </w:rPr>
        <w:t xml:space="preserve"> shows the EL2 parasequence set boundary, which corresponds directly to the top of the Lisburne Group. This boundary is laterally continuous and is interpreted to mark the shift between Lisburne carbonates and the shallow marine silicicl</w:t>
      </w:r>
      <w:r w:rsidR="00DD0D9A">
        <w:rPr>
          <w:rFonts w:ascii="Times New Roman" w:hAnsi="Times New Roman" w:cs="Times New Roman"/>
          <w:sz w:val="24"/>
          <w:szCs w:val="24"/>
        </w:rPr>
        <w:t>astic rocks of the Sadlerochit F</w:t>
      </w:r>
      <w:r w:rsidR="00417014">
        <w:rPr>
          <w:rFonts w:ascii="Times New Roman" w:hAnsi="Times New Roman" w:cs="Times New Roman"/>
          <w:sz w:val="24"/>
          <w:szCs w:val="24"/>
        </w:rPr>
        <w:t>ormation. This surface truncates several underlying reflectors, but ultimately is not considered to be an erosional surface, but a non-depositional one.</w:t>
      </w:r>
    </w:p>
    <w:p w14:paraId="63CBF361" w14:textId="4B497C35" w:rsidR="00417014" w:rsidRPr="00A6325F" w:rsidRDefault="00B33DD8" w:rsidP="00B71342">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Figure 28</w:t>
      </w:r>
      <w:r w:rsidR="00417014">
        <w:rPr>
          <w:rFonts w:ascii="Times New Roman" w:hAnsi="Times New Roman" w:cs="Times New Roman"/>
          <w:sz w:val="24"/>
          <w:szCs w:val="24"/>
        </w:rPr>
        <w:t xml:space="preserve"> shows the BE1 parasequence set boundary which is interpreted to</w:t>
      </w:r>
      <w:r w:rsidR="00DD0D9A">
        <w:rPr>
          <w:rFonts w:ascii="Times New Roman" w:hAnsi="Times New Roman" w:cs="Times New Roman"/>
          <w:sz w:val="24"/>
          <w:szCs w:val="24"/>
        </w:rPr>
        <w:t xml:space="preserve"> be the top of the Ellesmerian M</w:t>
      </w:r>
      <w:r w:rsidR="00417014">
        <w:rPr>
          <w:rFonts w:ascii="Times New Roman" w:hAnsi="Times New Roman" w:cs="Times New Roman"/>
          <w:sz w:val="24"/>
          <w:szCs w:val="24"/>
        </w:rPr>
        <w:t xml:space="preserve">egasequence. Between boundaries EL2 and BE1 few reflector terminations are visible and the strata are mostly conformable, though some onlap and truncation is present. This surface is interpreted to be a non-depositional hiatus. </w:t>
      </w:r>
    </w:p>
    <w:p w14:paraId="2244BB8A"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Beaufortian Megasequence</w:t>
      </w:r>
    </w:p>
    <w:p w14:paraId="41DB54CE" w14:textId="2A9DB362" w:rsidR="00417014" w:rsidRDefault="00DD0D9A" w:rsidP="00417014">
      <w:pPr>
        <w:spacing w:line="480" w:lineRule="auto"/>
        <w:rPr>
          <w:rFonts w:ascii="Times New Roman" w:hAnsi="Times New Roman" w:cs="Times New Roman"/>
          <w:sz w:val="24"/>
          <w:szCs w:val="24"/>
        </w:rPr>
      </w:pPr>
      <w:r>
        <w:rPr>
          <w:rFonts w:ascii="Times New Roman" w:hAnsi="Times New Roman" w:cs="Times New Roman"/>
          <w:sz w:val="24"/>
          <w:szCs w:val="24"/>
        </w:rPr>
        <w:tab/>
        <w:t>The Beaufortian M</w:t>
      </w:r>
      <w:r w:rsidR="00417014">
        <w:rPr>
          <w:rFonts w:ascii="Times New Roman" w:hAnsi="Times New Roman" w:cs="Times New Roman"/>
          <w:sz w:val="24"/>
          <w:szCs w:val="24"/>
        </w:rPr>
        <w:t xml:space="preserve">egasequence consists of the Kingak Formation, and the Pebble Shale Formation. In seismic, five operational sequence boundaries have been distinguished: BE1, BE2, BE3, BE4, and BE5. As mentioned above, BE1 corresponds to the </w:t>
      </w:r>
      <w:r>
        <w:rPr>
          <w:rFonts w:ascii="Times New Roman" w:hAnsi="Times New Roman" w:cs="Times New Roman"/>
          <w:sz w:val="24"/>
          <w:szCs w:val="24"/>
        </w:rPr>
        <w:t>top of the Sadlerochit-Shublik F</w:t>
      </w:r>
      <w:r w:rsidR="00417014">
        <w:rPr>
          <w:rFonts w:ascii="Times New Roman" w:hAnsi="Times New Roman" w:cs="Times New Roman"/>
          <w:sz w:val="24"/>
          <w:szCs w:val="24"/>
        </w:rPr>
        <w:t>ormations and marks the base of the Bea</w:t>
      </w:r>
      <w:r>
        <w:rPr>
          <w:rFonts w:ascii="Times New Roman" w:hAnsi="Times New Roman" w:cs="Times New Roman"/>
          <w:sz w:val="24"/>
          <w:szCs w:val="24"/>
        </w:rPr>
        <w:t>ufortian M</w:t>
      </w:r>
      <w:r w:rsidR="00417014">
        <w:rPr>
          <w:rFonts w:ascii="Times New Roman" w:hAnsi="Times New Roman" w:cs="Times New Roman"/>
          <w:sz w:val="24"/>
          <w:szCs w:val="24"/>
        </w:rPr>
        <w:t>egasequen</w:t>
      </w:r>
      <w:r>
        <w:rPr>
          <w:rFonts w:ascii="Times New Roman" w:hAnsi="Times New Roman" w:cs="Times New Roman"/>
          <w:sz w:val="24"/>
          <w:szCs w:val="24"/>
        </w:rPr>
        <w:t>ce. The top of the Beaufortian M</w:t>
      </w:r>
      <w:r w:rsidR="00417014">
        <w:rPr>
          <w:rFonts w:ascii="Times New Roman" w:hAnsi="Times New Roman" w:cs="Times New Roman"/>
          <w:sz w:val="24"/>
          <w:szCs w:val="24"/>
        </w:rPr>
        <w:t>egasequence is BE5, which corresponds to the Pebble Shale.</w:t>
      </w:r>
    </w:p>
    <w:p w14:paraId="16513B1B" w14:textId="6D2305BB" w:rsidR="00417014" w:rsidRDefault="00B33DD8" w:rsidP="00417014">
      <w:pPr>
        <w:spacing w:line="480" w:lineRule="auto"/>
        <w:rPr>
          <w:rFonts w:ascii="Times New Roman" w:hAnsi="Times New Roman" w:cs="Times New Roman"/>
          <w:sz w:val="24"/>
          <w:szCs w:val="24"/>
        </w:rPr>
      </w:pPr>
      <w:r>
        <w:rPr>
          <w:rFonts w:ascii="Times New Roman" w:hAnsi="Times New Roman" w:cs="Times New Roman"/>
          <w:sz w:val="24"/>
          <w:szCs w:val="24"/>
        </w:rPr>
        <w:tab/>
        <w:t>Figure 29 shows an isopach</w:t>
      </w:r>
      <w:r w:rsidR="00DD0D9A">
        <w:rPr>
          <w:rFonts w:ascii="Times New Roman" w:hAnsi="Times New Roman" w:cs="Times New Roman"/>
          <w:sz w:val="24"/>
          <w:szCs w:val="24"/>
        </w:rPr>
        <w:t xml:space="preserve"> map of the Beaufortian M</w:t>
      </w:r>
      <w:r w:rsidR="00417014">
        <w:rPr>
          <w:rFonts w:ascii="Times New Roman" w:hAnsi="Times New Roman" w:cs="Times New Roman"/>
          <w:sz w:val="24"/>
          <w:szCs w:val="24"/>
        </w:rPr>
        <w:t>egasequence. This sequence is thickest in the middle of the study area and thins outward from the center. This sequence reaches it’s thickest near the Inigok 1 well.</w:t>
      </w:r>
    </w:p>
    <w:p w14:paraId="45552D3C" w14:textId="71E36918" w:rsidR="00417014" w:rsidRDefault="00B33DD8" w:rsidP="00417014">
      <w:pPr>
        <w:spacing w:line="480" w:lineRule="auto"/>
        <w:rPr>
          <w:rFonts w:ascii="Times New Roman" w:hAnsi="Times New Roman" w:cs="Times New Roman"/>
          <w:sz w:val="24"/>
          <w:szCs w:val="24"/>
        </w:rPr>
      </w:pPr>
      <w:r>
        <w:rPr>
          <w:rFonts w:ascii="Times New Roman" w:hAnsi="Times New Roman" w:cs="Times New Roman"/>
          <w:sz w:val="24"/>
          <w:szCs w:val="24"/>
        </w:rPr>
        <w:tab/>
        <w:t>Figure 30</w:t>
      </w:r>
      <w:r w:rsidR="00417014">
        <w:rPr>
          <w:rFonts w:ascii="Times New Roman" w:hAnsi="Times New Roman" w:cs="Times New Roman"/>
          <w:sz w:val="24"/>
          <w:szCs w:val="24"/>
        </w:rPr>
        <w:t xml:space="preserve"> shows boundary BE4, which corresponds to the top of the Kingak Formation. BE4 is deepest in the south and shallows to the North. BE2 is interpreted to be the base of th</w:t>
      </w:r>
      <w:r w:rsidR="006A0F5C">
        <w:rPr>
          <w:rFonts w:ascii="Times New Roman" w:hAnsi="Times New Roman" w:cs="Times New Roman"/>
          <w:sz w:val="24"/>
          <w:szCs w:val="24"/>
        </w:rPr>
        <w:t>e Kingak F</w:t>
      </w:r>
      <w:r w:rsidR="00417014">
        <w:rPr>
          <w:rFonts w:ascii="Times New Roman" w:hAnsi="Times New Roman" w:cs="Times New Roman"/>
          <w:sz w:val="24"/>
          <w:szCs w:val="24"/>
        </w:rPr>
        <w:t xml:space="preserve">ormation. Within the interval bounded by these two surfaces, reflector terminations are abundant. The Kingak exhibits onlap onto the BE2 boundary and above reflectors are truncated </w:t>
      </w:r>
      <w:r w:rsidR="00417014">
        <w:rPr>
          <w:rFonts w:ascii="Times New Roman" w:hAnsi="Times New Roman" w:cs="Times New Roman"/>
          <w:sz w:val="24"/>
          <w:szCs w:val="24"/>
        </w:rPr>
        <w:lastRenderedPageBreak/>
        <w:t>by the BE4 boundary. Between the BE4 and BE5 surfaces, reflector terminations are mostly absent, tough truncation against the BE5 surface provides evidence that parasequence set boundaries BE4 and BE5 are both erosional surfaces.</w:t>
      </w:r>
    </w:p>
    <w:p w14:paraId="6FB53A00" w14:textId="5D820F9B" w:rsidR="00417014" w:rsidRDefault="00B33DD8" w:rsidP="00417014">
      <w:pPr>
        <w:spacing w:line="480" w:lineRule="auto"/>
        <w:rPr>
          <w:rFonts w:ascii="Times New Roman" w:hAnsi="Times New Roman" w:cs="Times New Roman"/>
          <w:sz w:val="24"/>
          <w:szCs w:val="24"/>
        </w:rPr>
      </w:pPr>
      <w:r>
        <w:rPr>
          <w:rFonts w:ascii="Times New Roman" w:hAnsi="Times New Roman" w:cs="Times New Roman"/>
          <w:sz w:val="24"/>
          <w:szCs w:val="24"/>
        </w:rPr>
        <w:tab/>
        <w:t>Figure 31</w:t>
      </w:r>
      <w:r w:rsidR="00417014">
        <w:rPr>
          <w:rFonts w:ascii="Times New Roman" w:hAnsi="Times New Roman" w:cs="Times New Roman"/>
          <w:sz w:val="24"/>
          <w:szCs w:val="24"/>
        </w:rPr>
        <w:t xml:space="preserve"> shows boundary BE5, which corresponds to the top of the Pebble Shale Formation. Boundary BE5 truncates the reflectors beneath it, and the reflectors above it onlap down on to it. As mentioned previously in this work, the Pebble Shale sits directly atop a regional unconformity, the Lower Cretaceous Unconformity.</w:t>
      </w:r>
    </w:p>
    <w:p w14:paraId="167EFEB9" w14:textId="77777777" w:rsidR="00417014" w:rsidRDefault="00417014" w:rsidP="00417014">
      <w:pPr>
        <w:spacing w:line="480" w:lineRule="auto"/>
        <w:rPr>
          <w:rFonts w:ascii="Times New Roman" w:hAnsi="Times New Roman" w:cs="Times New Roman"/>
          <w:b/>
          <w:sz w:val="24"/>
          <w:szCs w:val="24"/>
        </w:rPr>
      </w:pPr>
      <w:r>
        <w:rPr>
          <w:rFonts w:ascii="Times New Roman" w:hAnsi="Times New Roman" w:cs="Times New Roman"/>
          <w:b/>
          <w:sz w:val="24"/>
          <w:szCs w:val="24"/>
        </w:rPr>
        <w:t>Brookian Megasequence</w:t>
      </w:r>
    </w:p>
    <w:p w14:paraId="20FEC844" w14:textId="097BF1CD" w:rsidR="00417014" w:rsidRDefault="00417014" w:rsidP="00417014">
      <w:pPr>
        <w:spacing w:line="480" w:lineRule="auto"/>
        <w:rPr>
          <w:rFonts w:ascii="Times New Roman" w:hAnsi="Times New Roman" w:cs="Times New Roman"/>
          <w:sz w:val="24"/>
          <w:szCs w:val="24"/>
        </w:rPr>
      </w:pPr>
      <w:r>
        <w:rPr>
          <w:rFonts w:ascii="Times New Roman" w:hAnsi="Times New Roman" w:cs="Times New Roman"/>
          <w:sz w:val="24"/>
          <w:szCs w:val="24"/>
        </w:rPr>
        <w:tab/>
        <w:t>For the purposes of this thesis, the Torok Formation was the only member of the Brookian megasequence to be analyzed. In the seismic, 18 operational sequence boundaries were distinguished. These a</w:t>
      </w:r>
      <w:r w:rsidR="00DD0D9A">
        <w:rPr>
          <w:rFonts w:ascii="Times New Roman" w:hAnsi="Times New Roman" w:cs="Times New Roman"/>
          <w:sz w:val="24"/>
          <w:szCs w:val="24"/>
        </w:rPr>
        <w:t>re BR1 through BR18. The Torok F</w:t>
      </w:r>
      <w:r>
        <w:rPr>
          <w:rFonts w:ascii="Times New Roman" w:hAnsi="Times New Roman" w:cs="Times New Roman"/>
          <w:sz w:val="24"/>
          <w:szCs w:val="24"/>
        </w:rPr>
        <w:t>ormation sits directly atop the Pebble Shale Formation in the study area.</w:t>
      </w:r>
    </w:p>
    <w:p w14:paraId="69558FFF" w14:textId="49159D43" w:rsidR="00417014" w:rsidRDefault="00B33DD8"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Figure 32</w:t>
      </w:r>
      <w:r w:rsidR="0061158C">
        <w:rPr>
          <w:rFonts w:ascii="Times New Roman" w:hAnsi="Times New Roman" w:cs="Times New Roman"/>
          <w:sz w:val="24"/>
          <w:szCs w:val="24"/>
        </w:rPr>
        <w:t xml:space="preserve"> shows a</w:t>
      </w:r>
      <w:r>
        <w:rPr>
          <w:rFonts w:ascii="Times New Roman" w:hAnsi="Times New Roman" w:cs="Times New Roman"/>
          <w:sz w:val="24"/>
          <w:szCs w:val="24"/>
        </w:rPr>
        <w:t xml:space="preserve">n isopach map </w:t>
      </w:r>
      <w:r w:rsidR="00417014">
        <w:rPr>
          <w:rFonts w:ascii="Times New Roman" w:hAnsi="Times New Roman" w:cs="Times New Roman"/>
          <w:sz w:val="24"/>
          <w:szCs w:val="24"/>
        </w:rPr>
        <w:t xml:space="preserve">of </w:t>
      </w:r>
      <w:r w:rsidR="00DD0D9A">
        <w:rPr>
          <w:rFonts w:ascii="Times New Roman" w:hAnsi="Times New Roman" w:cs="Times New Roman"/>
          <w:sz w:val="24"/>
          <w:szCs w:val="24"/>
        </w:rPr>
        <w:t>the clinoforms in the Brookian Megasequence. The Brookian M</w:t>
      </w:r>
      <w:r w:rsidR="00417014">
        <w:rPr>
          <w:rFonts w:ascii="Times New Roman" w:hAnsi="Times New Roman" w:cs="Times New Roman"/>
          <w:sz w:val="24"/>
          <w:szCs w:val="24"/>
        </w:rPr>
        <w:t>egasequence is thickest in the South and thins moving N</w:t>
      </w:r>
      <w:r>
        <w:rPr>
          <w:rFonts w:ascii="Times New Roman" w:hAnsi="Times New Roman" w:cs="Times New Roman"/>
          <w:sz w:val="24"/>
          <w:szCs w:val="24"/>
        </w:rPr>
        <w:t>orthward and Eastward. Figure 33</w:t>
      </w:r>
      <w:r w:rsidR="00417014">
        <w:rPr>
          <w:rFonts w:ascii="Times New Roman" w:hAnsi="Times New Roman" w:cs="Times New Roman"/>
          <w:sz w:val="24"/>
          <w:szCs w:val="24"/>
        </w:rPr>
        <w:t xml:space="preserve"> shows parasequence set boundary BR10, which is representative of the other clinoforms in the Torok formation. These clinoforms prograde to the East and represent a huge influx of sediment in a relatively short amount of geologic time.</w:t>
      </w:r>
    </w:p>
    <w:p w14:paraId="12822BCA" w14:textId="4E8799A9" w:rsidR="00417014" w:rsidRDefault="00DD0D9A" w:rsidP="0041701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base of the Brookian M</w:t>
      </w:r>
      <w:r w:rsidR="00417014">
        <w:rPr>
          <w:rFonts w:ascii="Times New Roman" w:hAnsi="Times New Roman" w:cs="Times New Roman"/>
          <w:sz w:val="24"/>
          <w:szCs w:val="24"/>
        </w:rPr>
        <w:t>egasequence is BE5, or the Pebble Shale. In the seismic, this is a regional onlap surface, and many of the clinoform reflectors in the Torok terminate against it. Reflector termination</w:t>
      </w:r>
      <w:r>
        <w:rPr>
          <w:rFonts w:ascii="Times New Roman" w:hAnsi="Times New Roman" w:cs="Times New Roman"/>
          <w:sz w:val="24"/>
          <w:szCs w:val="24"/>
        </w:rPr>
        <w:t>s are abundant in the Brookian M</w:t>
      </w:r>
      <w:r w:rsidR="00417014">
        <w:rPr>
          <w:rFonts w:ascii="Times New Roman" w:hAnsi="Times New Roman" w:cs="Times New Roman"/>
          <w:sz w:val="24"/>
          <w:szCs w:val="24"/>
        </w:rPr>
        <w:t xml:space="preserve">egasequence, especially within the Torok clinoforms, showing all of the forms of reflector termination shown in Figure 4. BR1 </w:t>
      </w:r>
      <w:r w:rsidR="00417014">
        <w:rPr>
          <w:rFonts w:ascii="Times New Roman" w:hAnsi="Times New Roman" w:cs="Times New Roman"/>
          <w:sz w:val="24"/>
          <w:szCs w:val="24"/>
        </w:rPr>
        <w:lastRenderedPageBreak/>
        <w:t>through BR18 are interpreted to represent non-depositional surfaces, though the presence of truncation in the clinoforms indicates periods of erosion as well.</w:t>
      </w:r>
    </w:p>
    <w:p w14:paraId="7EF14E8F" w14:textId="77777777" w:rsidR="006A0F5C" w:rsidRDefault="006A0F5C" w:rsidP="006A0F5C">
      <w:pPr>
        <w:spacing w:line="480" w:lineRule="auto"/>
        <w:rPr>
          <w:rFonts w:ascii="Times New Roman" w:hAnsi="Times New Roman" w:cs="Times New Roman"/>
          <w:b/>
          <w:sz w:val="24"/>
          <w:szCs w:val="24"/>
        </w:rPr>
      </w:pPr>
    </w:p>
    <w:p w14:paraId="0A5FADAD" w14:textId="77777777" w:rsidR="006A0F5C" w:rsidRDefault="006A0F5C" w:rsidP="006A0F5C">
      <w:pPr>
        <w:spacing w:line="480" w:lineRule="auto"/>
        <w:rPr>
          <w:rFonts w:ascii="Times New Roman" w:hAnsi="Times New Roman" w:cs="Times New Roman"/>
          <w:b/>
          <w:sz w:val="24"/>
          <w:szCs w:val="24"/>
        </w:rPr>
      </w:pPr>
    </w:p>
    <w:p w14:paraId="139684B7" w14:textId="77777777" w:rsidR="006A0F5C" w:rsidRDefault="006A0F5C" w:rsidP="006A0F5C">
      <w:pPr>
        <w:spacing w:line="480" w:lineRule="auto"/>
        <w:rPr>
          <w:rFonts w:ascii="Times New Roman" w:hAnsi="Times New Roman" w:cs="Times New Roman"/>
          <w:b/>
          <w:sz w:val="24"/>
          <w:szCs w:val="24"/>
        </w:rPr>
      </w:pPr>
    </w:p>
    <w:p w14:paraId="3D53677D" w14:textId="72B7886D" w:rsidR="00717F9B" w:rsidRPr="00A6325F" w:rsidRDefault="006A0F5C" w:rsidP="00A6325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Comparison of Sea-Level Curves</w:t>
      </w:r>
      <w:r w:rsidR="0084086F" w:rsidRPr="0084086F">
        <w:rPr>
          <w:noProof/>
        </w:rPr>
        <w:t xml:space="preserve"> </w:t>
      </w:r>
      <w:r w:rsidR="0084086F">
        <w:rPr>
          <w:noProof/>
        </w:rPr>
        <w:drawing>
          <wp:inline distT="0" distB="0" distL="0" distR="0" wp14:anchorId="0239CD91" wp14:editId="00086BAE">
            <wp:extent cx="5637187" cy="6457950"/>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45085" cy="6466998"/>
                    </a:xfrm>
                    <a:prstGeom prst="rect">
                      <a:avLst/>
                    </a:prstGeom>
                  </pic:spPr>
                </pic:pic>
              </a:graphicData>
            </a:graphic>
          </wp:inline>
        </w:drawing>
      </w:r>
    </w:p>
    <w:p w14:paraId="26D6AB6B" w14:textId="5855809D" w:rsidR="00417014" w:rsidRDefault="0084086F" w:rsidP="0084086F">
      <w:pPr>
        <w:spacing w:line="480" w:lineRule="auto"/>
        <w:rPr>
          <w:rFonts w:ascii="Times New Roman" w:hAnsi="Times New Roman" w:cs="Times New Roman"/>
          <w:sz w:val="24"/>
          <w:szCs w:val="24"/>
        </w:rPr>
      </w:pPr>
      <w:r>
        <w:rPr>
          <w:noProof/>
        </w:rPr>
        <w:lastRenderedPageBreak/>
        <w:drawing>
          <wp:inline distT="0" distB="0" distL="0" distR="0" wp14:anchorId="6333E60B" wp14:editId="1D224430">
            <wp:extent cx="5914964" cy="68961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28626" cy="6912029"/>
                    </a:xfrm>
                    <a:prstGeom prst="rect">
                      <a:avLst/>
                    </a:prstGeom>
                  </pic:spPr>
                </pic:pic>
              </a:graphicData>
            </a:graphic>
          </wp:inline>
        </w:drawing>
      </w:r>
    </w:p>
    <w:p w14:paraId="147AE2D8" w14:textId="77777777" w:rsidR="00417014" w:rsidRDefault="00417014" w:rsidP="00417014">
      <w:pPr>
        <w:spacing w:line="480" w:lineRule="auto"/>
        <w:ind w:firstLine="720"/>
        <w:rPr>
          <w:rFonts w:ascii="Times New Roman" w:hAnsi="Times New Roman" w:cs="Times New Roman"/>
          <w:sz w:val="24"/>
          <w:szCs w:val="24"/>
        </w:rPr>
      </w:pPr>
    </w:p>
    <w:p w14:paraId="628725F9" w14:textId="77777777" w:rsidR="00417014" w:rsidRDefault="00417014" w:rsidP="00417014">
      <w:pPr>
        <w:spacing w:line="480" w:lineRule="auto"/>
        <w:jc w:val="center"/>
        <w:rPr>
          <w:rFonts w:ascii="Times New Roman" w:hAnsi="Times New Roman" w:cs="Times New Roman"/>
          <w:b/>
          <w:sz w:val="36"/>
          <w:szCs w:val="36"/>
        </w:rPr>
      </w:pPr>
    </w:p>
    <w:p w14:paraId="2F309F4C" w14:textId="1E89B24B" w:rsidR="00417014" w:rsidRDefault="006A0F5C" w:rsidP="006A0F5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Comparison of local sea level curves to the global sea level cur</w:t>
      </w:r>
      <w:r w:rsidR="00503F3F">
        <w:rPr>
          <w:rFonts w:ascii="Times New Roman" w:hAnsi="Times New Roman" w:cs="Times New Roman"/>
          <w:sz w:val="24"/>
          <w:szCs w:val="24"/>
        </w:rPr>
        <w:t>v</w:t>
      </w:r>
      <w:r>
        <w:rPr>
          <w:rFonts w:ascii="Times New Roman" w:hAnsi="Times New Roman" w:cs="Times New Roman"/>
          <w:sz w:val="24"/>
          <w:szCs w:val="24"/>
        </w:rPr>
        <w:t>e can give insights into the forces that control deposition in a basin, whether those forces be autocyclic or allocyclic. Until around 80 million years ago, the local sea level curves match the shape of the global sea-level curve</w:t>
      </w:r>
      <w:r w:rsidR="00134A7C">
        <w:rPr>
          <w:rFonts w:ascii="Times New Roman" w:hAnsi="Times New Roman" w:cs="Times New Roman"/>
          <w:sz w:val="24"/>
          <w:szCs w:val="24"/>
        </w:rPr>
        <w:t xml:space="preserve">, which indicates that the dominant controls on deposition were allocyclic through that time. However, after that point, the global sea-level curve and local sea level curves diverge. The local sea level curves indicate that accommodation in the basin was increasing despite the decrease in global sea-level, which indicates the control on the basin was autocyclic dominated. One possible reason for this divergence is the Brooks Mountain Range. Erosion of sediment from the Brooks Mountain Range and subsequent deposition may have caused the basin to subside slowly under the depositional load. </w:t>
      </w:r>
    </w:p>
    <w:p w14:paraId="07E5CB2F" w14:textId="77777777" w:rsidR="008F3100" w:rsidRDefault="008F3100" w:rsidP="006A0F5C">
      <w:pPr>
        <w:spacing w:line="480" w:lineRule="auto"/>
        <w:ind w:firstLine="720"/>
        <w:rPr>
          <w:rFonts w:ascii="Times New Roman" w:hAnsi="Times New Roman" w:cs="Times New Roman"/>
          <w:sz w:val="24"/>
          <w:szCs w:val="24"/>
        </w:rPr>
      </w:pPr>
    </w:p>
    <w:p w14:paraId="15B08DE3" w14:textId="77777777" w:rsidR="008F3100" w:rsidRDefault="008F3100" w:rsidP="006A0F5C">
      <w:pPr>
        <w:spacing w:line="480" w:lineRule="auto"/>
        <w:ind w:firstLine="720"/>
        <w:rPr>
          <w:rFonts w:ascii="Times New Roman" w:hAnsi="Times New Roman" w:cs="Times New Roman"/>
          <w:sz w:val="24"/>
          <w:szCs w:val="24"/>
        </w:rPr>
      </w:pPr>
    </w:p>
    <w:p w14:paraId="313FFFB4" w14:textId="77777777" w:rsidR="008F3100" w:rsidRDefault="008F3100" w:rsidP="006A0F5C">
      <w:pPr>
        <w:spacing w:line="480" w:lineRule="auto"/>
        <w:ind w:firstLine="720"/>
        <w:rPr>
          <w:rFonts w:ascii="Times New Roman" w:hAnsi="Times New Roman" w:cs="Times New Roman"/>
          <w:sz w:val="24"/>
          <w:szCs w:val="24"/>
        </w:rPr>
      </w:pPr>
    </w:p>
    <w:p w14:paraId="7F4165BE" w14:textId="77777777" w:rsidR="008F3100" w:rsidRDefault="008F3100" w:rsidP="006A0F5C">
      <w:pPr>
        <w:spacing w:line="480" w:lineRule="auto"/>
        <w:ind w:firstLine="720"/>
        <w:rPr>
          <w:rFonts w:ascii="Times New Roman" w:hAnsi="Times New Roman" w:cs="Times New Roman"/>
          <w:sz w:val="24"/>
          <w:szCs w:val="24"/>
        </w:rPr>
      </w:pPr>
    </w:p>
    <w:p w14:paraId="0AE92390" w14:textId="77777777" w:rsidR="008F3100" w:rsidRDefault="008F3100" w:rsidP="006A0F5C">
      <w:pPr>
        <w:spacing w:line="480" w:lineRule="auto"/>
        <w:ind w:firstLine="720"/>
        <w:rPr>
          <w:rFonts w:ascii="Times New Roman" w:hAnsi="Times New Roman" w:cs="Times New Roman"/>
          <w:sz w:val="24"/>
          <w:szCs w:val="24"/>
        </w:rPr>
      </w:pPr>
    </w:p>
    <w:p w14:paraId="2D05F067" w14:textId="77777777" w:rsidR="008F3100" w:rsidRDefault="008F3100" w:rsidP="006A0F5C">
      <w:pPr>
        <w:spacing w:line="480" w:lineRule="auto"/>
        <w:ind w:firstLine="720"/>
        <w:rPr>
          <w:rFonts w:ascii="Times New Roman" w:hAnsi="Times New Roman" w:cs="Times New Roman"/>
          <w:sz w:val="24"/>
          <w:szCs w:val="24"/>
        </w:rPr>
      </w:pPr>
    </w:p>
    <w:p w14:paraId="57E475E2" w14:textId="77777777" w:rsidR="008F3100" w:rsidRDefault="008F3100" w:rsidP="006A0F5C">
      <w:pPr>
        <w:spacing w:line="480" w:lineRule="auto"/>
        <w:ind w:firstLine="720"/>
        <w:rPr>
          <w:rFonts w:ascii="Times New Roman" w:hAnsi="Times New Roman" w:cs="Times New Roman"/>
          <w:sz w:val="24"/>
          <w:szCs w:val="24"/>
        </w:rPr>
      </w:pPr>
    </w:p>
    <w:p w14:paraId="728B5077" w14:textId="77777777" w:rsidR="008F3100" w:rsidRDefault="008F3100" w:rsidP="006A0F5C">
      <w:pPr>
        <w:spacing w:line="480" w:lineRule="auto"/>
        <w:ind w:firstLine="720"/>
        <w:rPr>
          <w:rFonts w:ascii="Times New Roman" w:hAnsi="Times New Roman" w:cs="Times New Roman"/>
          <w:sz w:val="24"/>
          <w:szCs w:val="24"/>
        </w:rPr>
      </w:pPr>
    </w:p>
    <w:p w14:paraId="659ADE9D" w14:textId="77777777" w:rsidR="008F3100" w:rsidRPr="006A0F5C" w:rsidRDefault="008F3100" w:rsidP="006A0F5C">
      <w:pPr>
        <w:spacing w:line="480" w:lineRule="auto"/>
        <w:ind w:firstLine="720"/>
        <w:rPr>
          <w:rFonts w:ascii="Times New Roman" w:hAnsi="Times New Roman" w:cs="Times New Roman"/>
          <w:sz w:val="24"/>
          <w:szCs w:val="24"/>
        </w:rPr>
      </w:pPr>
    </w:p>
    <w:p w14:paraId="7E6BB36F" w14:textId="77777777" w:rsidR="00417014" w:rsidRPr="008F3100" w:rsidRDefault="00417014" w:rsidP="00866FBF">
      <w:pPr>
        <w:spacing w:line="480" w:lineRule="auto"/>
        <w:rPr>
          <w:rFonts w:ascii="Times New Roman" w:hAnsi="Times New Roman" w:cs="Times New Roman"/>
          <w:b/>
          <w:sz w:val="24"/>
          <w:szCs w:val="24"/>
        </w:rPr>
      </w:pPr>
    </w:p>
    <w:p w14:paraId="2FA9FAB7" w14:textId="540B1F7A" w:rsidR="00417014" w:rsidRDefault="008F3100" w:rsidP="008F310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Comparison to Previous Studies</w:t>
      </w:r>
    </w:p>
    <w:p w14:paraId="40F6835B" w14:textId="77777777" w:rsidR="00F23669" w:rsidRDefault="008F3100" w:rsidP="008F310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As stated previously in this study, the NPRA has been the subject of numerous previous studies as a result of its potential for hydrocarbon production.</w:t>
      </w:r>
      <w:r w:rsidR="00053436">
        <w:rPr>
          <w:rFonts w:ascii="Times New Roman" w:hAnsi="Times New Roman" w:cs="Times New Roman"/>
          <w:sz w:val="24"/>
          <w:szCs w:val="24"/>
        </w:rPr>
        <w:t xml:space="preserve"> Studies conducted by the likes of Bird (1977, 1981, 1982,</w:t>
      </w:r>
      <w:r w:rsidR="00F23669">
        <w:rPr>
          <w:rFonts w:ascii="Times New Roman" w:hAnsi="Times New Roman" w:cs="Times New Roman"/>
          <w:sz w:val="24"/>
          <w:szCs w:val="24"/>
        </w:rPr>
        <w:t xml:space="preserve"> 2018), Hubbard (1987), Parrish (2010), and Wilson (2010) focused almost entirely on the appraisal of hydrocarbon resources in the NPRA. </w:t>
      </w:r>
    </w:p>
    <w:p w14:paraId="442EE238" w14:textId="4A473EB8" w:rsidR="006175D2" w:rsidRPr="008F3100" w:rsidRDefault="00F23669" w:rsidP="00DC4AB2">
      <w:pPr>
        <w:spacing w:line="480" w:lineRule="auto"/>
        <w:ind w:firstLine="720"/>
        <w:rPr>
          <w:rFonts w:ascii="Times New Roman" w:hAnsi="Times New Roman" w:cs="Times New Roman"/>
          <w:sz w:val="24"/>
          <w:szCs w:val="24"/>
        </w:rPr>
      </w:pPr>
      <w:r>
        <w:rPr>
          <w:rFonts w:ascii="Times New Roman" w:hAnsi="Times New Roman" w:cs="Times New Roman"/>
          <w:sz w:val="24"/>
          <w:szCs w:val="24"/>
        </w:rPr>
        <w:t>Other studies, conducted by those such as Detterman (1973), Houseknecht (2004, 2009, 2010)</w:t>
      </w:r>
      <w:r w:rsidR="006175D2">
        <w:rPr>
          <w:rFonts w:ascii="Times New Roman" w:hAnsi="Times New Roman" w:cs="Times New Roman"/>
          <w:sz w:val="24"/>
          <w:szCs w:val="24"/>
        </w:rPr>
        <w:t>, Molenaar (1981), and Schultz (2013) focused on a sequence stratigraphic approach to understanding the NPRA. The primary difference between the studies mentioned above and the sequence stratigraphic interpretation of this study is one of scale. While the studies above provide excellent sequence stratigraphic models, they are generally regional in scale whereas this study focuses on a higher resolution model of the Ikpikpuk-Umiat sub-basin in particular. Fulk (2010) and Mauch (1985)</w:t>
      </w:r>
      <w:r w:rsidR="00DC4AB2">
        <w:rPr>
          <w:rFonts w:ascii="Times New Roman" w:hAnsi="Times New Roman" w:cs="Times New Roman"/>
          <w:sz w:val="24"/>
          <w:szCs w:val="24"/>
        </w:rPr>
        <w:t xml:space="preserve"> also focused on the Ikpikpuk-Umiat sub-basin, but these studies were concerned with the structural aspects of the sub-basin as opposed to sequence stratigraphy.</w:t>
      </w:r>
    </w:p>
    <w:p w14:paraId="63DAEB50" w14:textId="77777777" w:rsidR="00417014" w:rsidRDefault="00417014" w:rsidP="00417014">
      <w:pPr>
        <w:spacing w:line="480" w:lineRule="auto"/>
        <w:jc w:val="center"/>
        <w:rPr>
          <w:rFonts w:ascii="Times New Roman" w:hAnsi="Times New Roman" w:cs="Times New Roman"/>
          <w:b/>
          <w:sz w:val="36"/>
          <w:szCs w:val="36"/>
        </w:rPr>
      </w:pPr>
    </w:p>
    <w:p w14:paraId="3CE1AC25" w14:textId="77777777" w:rsidR="00134A7C" w:rsidRDefault="00134A7C" w:rsidP="00417014">
      <w:pPr>
        <w:spacing w:line="480" w:lineRule="auto"/>
        <w:jc w:val="center"/>
        <w:rPr>
          <w:rFonts w:ascii="Times New Roman" w:hAnsi="Times New Roman" w:cs="Times New Roman"/>
          <w:b/>
          <w:sz w:val="28"/>
          <w:szCs w:val="28"/>
        </w:rPr>
      </w:pPr>
    </w:p>
    <w:p w14:paraId="3895E301" w14:textId="77777777" w:rsidR="00134A7C" w:rsidRDefault="00134A7C" w:rsidP="00417014">
      <w:pPr>
        <w:spacing w:line="480" w:lineRule="auto"/>
        <w:jc w:val="center"/>
        <w:rPr>
          <w:rFonts w:ascii="Times New Roman" w:hAnsi="Times New Roman" w:cs="Times New Roman"/>
          <w:b/>
          <w:sz w:val="28"/>
          <w:szCs w:val="28"/>
        </w:rPr>
      </w:pPr>
    </w:p>
    <w:p w14:paraId="693275DA" w14:textId="77777777" w:rsidR="00134A7C" w:rsidRDefault="00134A7C" w:rsidP="00417014">
      <w:pPr>
        <w:spacing w:line="480" w:lineRule="auto"/>
        <w:jc w:val="center"/>
        <w:rPr>
          <w:rFonts w:ascii="Times New Roman" w:hAnsi="Times New Roman" w:cs="Times New Roman"/>
          <w:b/>
          <w:sz w:val="28"/>
          <w:szCs w:val="28"/>
        </w:rPr>
      </w:pPr>
    </w:p>
    <w:p w14:paraId="01D9138E" w14:textId="77777777" w:rsidR="007C7034" w:rsidRDefault="007C7034" w:rsidP="00DC4AB2">
      <w:pPr>
        <w:spacing w:line="480" w:lineRule="auto"/>
        <w:rPr>
          <w:rFonts w:ascii="Times New Roman" w:hAnsi="Times New Roman" w:cs="Times New Roman"/>
          <w:b/>
          <w:sz w:val="28"/>
          <w:szCs w:val="28"/>
        </w:rPr>
      </w:pPr>
    </w:p>
    <w:p w14:paraId="1ECBF9EC" w14:textId="77777777" w:rsidR="00F32252" w:rsidRDefault="00F32252" w:rsidP="00417014">
      <w:pPr>
        <w:spacing w:line="480" w:lineRule="auto"/>
        <w:jc w:val="center"/>
        <w:rPr>
          <w:rFonts w:ascii="Times New Roman" w:hAnsi="Times New Roman" w:cs="Times New Roman"/>
          <w:b/>
          <w:sz w:val="28"/>
          <w:szCs w:val="28"/>
        </w:rPr>
      </w:pPr>
    </w:p>
    <w:p w14:paraId="495D2A12" w14:textId="4D516FFE" w:rsidR="00417014" w:rsidRPr="00417014" w:rsidRDefault="00417014" w:rsidP="00417014">
      <w:pPr>
        <w:spacing w:line="480" w:lineRule="auto"/>
        <w:jc w:val="center"/>
        <w:rPr>
          <w:rFonts w:ascii="Times New Roman" w:hAnsi="Times New Roman" w:cs="Times New Roman"/>
          <w:b/>
          <w:sz w:val="28"/>
          <w:szCs w:val="28"/>
        </w:rPr>
      </w:pPr>
      <w:r w:rsidRPr="00417014">
        <w:rPr>
          <w:rFonts w:ascii="Times New Roman" w:hAnsi="Times New Roman" w:cs="Times New Roman"/>
          <w:b/>
          <w:sz w:val="28"/>
          <w:szCs w:val="28"/>
        </w:rPr>
        <w:lastRenderedPageBreak/>
        <w:t>CONCLUSIONS</w:t>
      </w:r>
    </w:p>
    <w:p w14:paraId="5671D78A" w14:textId="5100127F" w:rsidR="00614D25" w:rsidRDefault="00417014" w:rsidP="00417014">
      <w:pPr>
        <w:spacing w:line="480" w:lineRule="auto"/>
        <w:rPr>
          <w:rFonts w:ascii="Times New Roman" w:hAnsi="Times New Roman" w:cs="Times New Roman"/>
          <w:color w:val="FF0000"/>
          <w:sz w:val="24"/>
          <w:szCs w:val="24"/>
        </w:rPr>
      </w:pPr>
      <w:r>
        <w:rPr>
          <w:rFonts w:ascii="Times New Roman" w:hAnsi="Times New Roman" w:cs="Times New Roman"/>
          <w:b/>
          <w:sz w:val="24"/>
          <w:szCs w:val="24"/>
        </w:rPr>
        <w:tab/>
      </w:r>
      <w:r>
        <w:rPr>
          <w:rFonts w:ascii="Times New Roman" w:hAnsi="Times New Roman" w:cs="Times New Roman"/>
          <w:sz w:val="24"/>
          <w:szCs w:val="24"/>
        </w:rPr>
        <w:t>Seismic sequence stratigraphic interpretation of the rock strata of the Ikpikpuk-Umiat basin of the National Petroleum Reserve in Alaska constrained against Galloway log motif analysis shows 25 operational sequence boundaries from the Mississippian to the Cretaceous. These operational sequence boundaries occur across three phases of tectonism and their depositional character refle</w:t>
      </w:r>
      <w:r w:rsidR="00DD0D9A">
        <w:rPr>
          <w:rFonts w:ascii="Times New Roman" w:hAnsi="Times New Roman" w:cs="Times New Roman"/>
          <w:sz w:val="24"/>
          <w:szCs w:val="24"/>
        </w:rPr>
        <w:t>cts this fact. The Ellesmerian M</w:t>
      </w:r>
      <w:r>
        <w:rPr>
          <w:rFonts w:ascii="Times New Roman" w:hAnsi="Times New Roman" w:cs="Times New Roman"/>
          <w:sz w:val="24"/>
          <w:szCs w:val="24"/>
        </w:rPr>
        <w:t xml:space="preserve">egasequence contains two operational sequence boundaries and was derived from a sediment source in the North and consists of both carbonate and </w:t>
      </w:r>
      <w:r w:rsidR="00DD0D9A">
        <w:rPr>
          <w:rFonts w:ascii="Times New Roman" w:hAnsi="Times New Roman" w:cs="Times New Roman"/>
          <w:sz w:val="24"/>
          <w:szCs w:val="24"/>
        </w:rPr>
        <w:t>clastic rocks. The Beaufortian M</w:t>
      </w:r>
      <w:r>
        <w:rPr>
          <w:rFonts w:ascii="Times New Roman" w:hAnsi="Times New Roman" w:cs="Times New Roman"/>
          <w:sz w:val="24"/>
          <w:szCs w:val="24"/>
        </w:rPr>
        <w:t>egasequence contains five operational sequence boundaries and is dominated by southward progradation of sand and shale, which are easily identifiable due to extensive onla</w:t>
      </w:r>
      <w:r w:rsidR="00DD0D9A">
        <w:rPr>
          <w:rFonts w:ascii="Times New Roman" w:hAnsi="Times New Roman" w:cs="Times New Roman"/>
          <w:sz w:val="24"/>
          <w:szCs w:val="24"/>
        </w:rPr>
        <w:t>p and truncation. The Brookian M</w:t>
      </w:r>
      <w:r>
        <w:rPr>
          <w:rFonts w:ascii="Times New Roman" w:hAnsi="Times New Roman" w:cs="Times New Roman"/>
          <w:sz w:val="24"/>
          <w:szCs w:val="24"/>
        </w:rPr>
        <w:t>egasequence contains 18 operational sequence boundaries which prograde to the East and</w:t>
      </w:r>
      <w:r w:rsidR="00DD0D9A">
        <w:rPr>
          <w:rFonts w:ascii="Times New Roman" w:hAnsi="Times New Roman" w:cs="Times New Roman"/>
          <w:sz w:val="24"/>
          <w:szCs w:val="24"/>
        </w:rPr>
        <w:t xml:space="preserve"> downlap onto the Pebble Shale F</w:t>
      </w:r>
      <w:r>
        <w:rPr>
          <w:rFonts w:ascii="Times New Roman" w:hAnsi="Times New Roman" w:cs="Times New Roman"/>
          <w:sz w:val="24"/>
          <w:szCs w:val="24"/>
        </w:rPr>
        <w:t>ormation, which is regionally distinguishable in the seismic. Construction of a chronostratigraphic chart illustrate the results of the complex relationship between auto- and allocyclic accommodation changes. The interpretation of these operational sequence boundaries may assist in renewed hydrocarbon exploration in the NPRA.</w:t>
      </w:r>
      <w:r w:rsidR="00DD0808">
        <w:rPr>
          <w:rFonts w:ascii="Times New Roman" w:hAnsi="Times New Roman" w:cs="Times New Roman"/>
          <w:color w:val="FF0000"/>
          <w:sz w:val="24"/>
          <w:szCs w:val="24"/>
        </w:rPr>
        <w:t xml:space="preserve"> </w:t>
      </w:r>
    </w:p>
    <w:p w14:paraId="7BCDBC17" w14:textId="25B5B105" w:rsidR="00C6520C" w:rsidRPr="00614D25" w:rsidRDefault="00614D25" w:rsidP="00417014">
      <w:pPr>
        <w:spacing w:line="480" w:lineRule="auto"/>
        <w:rPr>
          <w:rFonts w:ascii="Times New Roman" w:hAnsi="Times New Roman" w:cs="Times New Roman"/>
          <w:sz w:val="24"/>
          <w:szCs w:val="24"/>
        </w:rPr>
      </w:pPr>
      <w:r>
        <w:rPr>
          <w:rFonts w:ascii="Times New Roman" w:hAnsi="Times New Roman" w:cs="Times New Roman"/>
          <w:color w:val="FF0000"/>
          <w:sz w:val="24"/>
          <w:szCs w:val="24"/>
        </w:rPr>
        <w:tab/>
      </w:r>
      <w:r>
        <w:rPr>
          <w:rFonts w:ascii="Times New Roman" w:hAnsi="Times New Roman" w:cs="Times New Roman"/>
          <w:sz w:val="24"/>
          <w:szCs w:val="24"/>
        </w:rPr>
        <w:t xml:space="preserve">The cyclic variation in accommodation detailed by this study has resulted in a largely compartmentalized subsurface. Abundant shales and TST deposits form seals that overly and divide </w:t>
      </w:r>
      <w:r w:rsidR="00521846">
        <w:rPr>
          <w:rFonts w:ascii="Times New Roman" w:hAnsi="Times New Roman" w:cs="Times New Roman"/>
          <w:sz w:val="24"/>
          <w:szCs w:val="24"/>
        </w:rPr>
        <w:t xml:space="preserve">sand-rich LST deposits which make </w:t>
      </w:r>
      <w:r w:rsidR="00DD0D9A">
        <w:rPr>
          <w:rFonts w:ascii="Times New Roman" w:hAnsi="Times New Roman" w:cs="Times New Roman"/>
          <w:sz w:val="24"/>
          <w:szCs w:val="24"/>
        </w:rPr>
        <w:t>ideal reservoirs. The Brookian M</w:t>
      </w:r>
      <w:r w:rsidR="00521846">
        <w:rPr>
          <w:rFonts w:ascii="Times New Roman" w:hAnsi="Times New Roman" w:cs="Times New Roman"/>
          <w:sz w:val="24"/>
          <w:szCs w:val="24"/>
        </w:rPr>
        <w:t>egasequence is almost entirely characterized by the interplay of systems tracts</w:t>
      </w:r>
      <w:r w:rsidR="00C6520C">
        <w:rPr>
          <w:rFonts w:ascii="Times New Roman" w:hAnsi="Times New Roman" w:cs="Times New Roman"/>
          <w:sz w:val="24"/>
          <w:szCs w:val="24"/>
        </w:rPr>
        <w:t>. However,</w:t>
      </w:r>
      <w:r w:rsidR="00521846">
        <w:rPr>
          <w:rFonts w:ascii="Times New Roman" w:hAnsi="Times New Roman" w:cs="Times New Roman"/>
          <w:sz w:val="24"/>
          <w:szCs w:val="24"/>
        </w:rPr>
        <w:t xml:space="preserve"> it is important to note that the upper boundary of the Torok Formation is a</w:t>
      </w:r>
      <w:r w:rsidR="00C6520C">
        <w:rPr>
          <w:rFonts w:ascii="Times New Roman" w:hAnsi="Times New Roman" w:cs="Times New Roman"/>
          <w:sz w:val="24"/>
          <w:szCs w:val="24"/>
        </w:rPr>
        <w:t xml:space="preserve"> time transgressive</w:t>
      </w:r>
      <w:r w:rsidR="00521846">
        <w:rPr>
          <w:rFonts w:ascii="Times New Roman" w:hAnsi="Times New Roman" w:cs="Times New Roman"/>
          <w:sz w:val="24"/>
          <w:szCs w:val="24"/>
        </w:rPr>
        <w:t xml:space="preserve"> lithostratigraphic </w:t>
      </w:r>
      <w:r w:rsidR="00C6520C">
        <w:rPr>
          <w:rFonts w:ascii="Times New Roman" w:hAnsi="Times New Roman" w:cs="Times New Roman"/>
          <w:sz w:val="24"/>
          <w:szCs w:val="24"/>
        </w:rPr>
        <w:t>boundary,</w:t>
      </w:r>
      <w:r w:rsidR="00521846">
        <w:rPr>
          <w:rFonts w:ascii="Times New Roman" w:hAnsi="Times New Roman" w:cs="Times New Roman"/>
          <w:sz w:val="24"/>
          <w:szCs w:val="24"/>
        </w:rPr>
        <w:t xml:space="preserve"> </w:t>
      </w:r>
      <w:r w:rsidR="00C6520C">
        <w:rPr>
          <w:rFonts w:ascii="Times New Roman" w:hAnsi="Times New Roman" w:cs="Times New Roman"/>
          <w:sz w:val="24"/>
          <w:szCs w:val="24"/>
        </w:rPr>
        <w:t>and as such it does not correspond to any operational sequence boundary.</w:t>
      </w:r>
      <w:r w:rsidR="0061158C">
        <w:rPr>
          <w:rFonts w:ascii="Times New Roman" w:hAnsi="Times New Roman" w:cs="Times New Roman"/>
          <w:sz w:val="24"/>
          <w:szCs w:val="24"/>
        </w:rPr>
        <w:t xml:space="preserve"> </w:t>
      </w:r>
      <w:r w:rsidR="00DD0D9A">
        <w:rPr>
          <w:rFonts w:ascii="Times New Roman" w:hAnsi="Times New Roman" w:cs="Times New Roman"/>
          <w:sz w:val="24"/>
          <w:szCs w:val="24"/>
        </w:rPr>
        <w:t>Though the Brookian M</w:t>
      </w:r>
      <w:r w:rsidR="00C6520C">
        <w:rPr>
          <w:rFonts w:ascii="Times New Roman" w:hAnsi="Times New Roman" w:cs="Times New Roman"/>
          <w:sz w:val="24"/>
          <w:szCs w:val="24"/>
        </w:rPr>
        <w:t>egasequence was deposited during a time of relative tectonic stability, tectonic inversion and structural flexure associated with Beaufortian rifting and Brookian deposition</w:t>
      </w:r>
      <w:r w:rsidR="00866FBF">
        <w:rPr>
          <w:rFonts w:ascii="Times New Roman" w:hAnsi="Times New Roman" w:cs="Times New Roman"/>
          <w:sz w:val="24"/>
          <w:szCs w:val="24"/>
        </w:rPr>
        <w:t xml:space="preserve"> may </w:t>
      </w:r>
      <w:r w:rsidR="00866FBF">
        <w:rPr>
          <w:rFonts w:ascii="Times New Roman" w:hAnsi="Times New Roman" w:cs="Times New Roman"/>
          <w:sz w:val="24"/>
          <w:szCs w:val="24"/>
        </w:rPr>
        <w:lastRenderedPageBreak/>
        <w:t>have</w:t>
      </w:r>
      <w:r w:rsidR="00C6520C">
        <w:rPr>
          <w:rFonts w:ascii="Times New Roman" w:hAnsi="Times New Roman" w:cs="Times New Roman"/>
          <w:sz w:val="24"/>
          <w:szCs w:val="24"/>
        </w:rPr>
        <w:t xml:space="preserve"> opened up migration pathways through local faults in t</w:t>
      </w:r>
      <w:r w:rsidR="00DD0D9A">
        <w:rPr>
          <w:rFonts w:ascii="Times New Roman" w:hAnsi="Times New Roman" w:cs="Times New Roman"/>
          <w:sz w:val="24"/>
          <w:szCs w:val="24"/>
        </w:rPr>
        <w:t>he Franklinian and Ellesmerian M</w:t>
      </w:r>
      <w:r w:rsidR="00C6520C">
        <w:rPr>
          <w:rFonts w:ascii="Times New Roman" w:hAnsi="Times New Roman" w:cs="Times New Roman"/>
          <w:sz w:val="24"/>
          <w:szCs w:val="24"/>
        </w:rPr>
        <w:t>eagasequences.</w:t>
      </w:r>
      <w:r w:rsidR="00AF4C07">
        <w:rPr>
          <w:rFonts w:ascii="Times New Roman" w:hAnsi="Times New Roman" w:cs="Times New Roman"/>
          <w:sz w:val="24"/>
          <w:szCs w:val="24"/>
        </w:rPr>
        <w:t xml:space="preserve"> </w:t>
      </w:r>
      <w:r w:rsidR="0061158C">
        <w:rPr>
          <w:rFonts w:ascii="Times New Roman" w:hAnsi="Times New Roman" w:cs="Times New Roman"/>
          <w:sz w:val="24"/>
          <w:szCs w:val="24"/>
        </w:rPr>
        <w:t>Several prominent organic-rich shales represent source rocks in the Ellesmer</w:t>
      </w:r>
      <w:r w:rsidR="00DD0D9A">
        <w:rPr>
          <w:rFonts w:ascii="Times New Roman" w:hAnsi="Times New Roman" w:cs="Times New Roman"/>
          <w:sz w:val="24"/>
          <w:szCs w:val="24"/>
        </w:rPr>
        <w:t>ian, Beaufortian, and Brookian M</w:t>
      </w:r>
      <w:r w:rsidR="0061158C">
        <w:rPr>
          <w:rFonts w:ascii="Times New Roman" w:hAnsi="Times New Roman" w:cs="Times New Roman"/>
          <w:sz w:val="24"/>
          <w:szCs w:val="24"/>
        </w:rPr>
        <w:t>egasequences. An understanding of these petroleum system elements may contribute to improved hydrocarbon exploration strategies in the Ikpikpuk-Umiat basin.</w:t>
      </w:r>
    </w:p>
    <w:p w14:paraId="2A994689" w14:textId="5533CC50" w:rsidR="00424D6E" w:rsidRDefault="00424D6E" w:rsidP="00424D6E">
      <w:pPr>
        <w:spacing w:line="480" w:lineRule="auto"/>
        <w:rPr>
          <w:rFonts w:ascii="Times New Roman" w:hAnsi="Times New Roman" w:cs="Times New Roman"/>
          <w:sz w:val="24"/>
          <w:szCs w:val="24"/>
        </w:rPr>
      </w:pPr>
    </w:p>
    <w:p w14:paraId="6490FF4A" w14:textId="148CF79A" w:rsidR="00864E6D" w:rsidRDefault="00864E6D" w:rsidP="00424D6E">
      <w:pPr>
        <w:spacing w:line="480" w:lineRule="auto"/>
        <w:rPr>
          <w:rFonts w:ascii="Times New Roman" w:hAnsi="Times New Roman" w:cs="Times New Roman"/>
          <w:sz w:val="24"/>
          <w:szCs w:val="24"/>
        </w:rPr>
      </w:pPr>
    </w:p>
    <w:p w14:paraId="7F039393" w14:textId="47417D4A" w:rsidR="009A4E31" w:rsidRDefault="009A4E31" w:rsidP="00424D6E">
      <w:pPr>
        <w:spacing w:line="480" w:lineRule="auto"/>
        <w:rPr>
          <w:rFonts w:ascii="Times New Roman" w:hAnsi="Times New Roman" w:cs="Times New Roman"/>
          <w:sz w:val="24"/>
          <w:szCs w:val="24"/>
        </w:rPr>
      </w:pPr>
    </w:p>
    <w:p w14:paraId="367068B5" w14:textId="77777777" w:rsidR="009A4E31" w:rsidRPr="009322FC" w:rsidRDefault="009A4E31" w:rsidP="00424D6E">
      <w:pPr>
        <w:spacing w:line="480" w:lineRule="auto"/>
        <w:rPr>
          <w:rFonts w:ascii="Times New Roman" w:hAnsi="Times New Roman" w:cs="Times New Roman"/>
          <w:sz w:val="24"/>
          <w:szCs w:val="24"/>
        </w:rPr>
      </w:pPr>
    </w:p>
    <w:p w14:paraId="7F9F81F9" w14:textId="77777777" w:rsidR="00417014" w:rsidRDefault="00417014" w:rsidP="009C7868">
      <w:pPr>
        <w:spacing w:line="480" w:lineRule="auto"/>
        <w:ind w:firstLine="360"/>
        <w:jc w:val="center"/>
        <w:rPr>
          <w:rFonts w:ascii="Times New Roman" w:hAnsi="Times New Roman" w:cs="Times New Roman"/>
          <w:b/>
          <w:sz w:val="28"/>
          <w:szCs w:val="24"/>
        </w:rPr>
      </w:pPr>
    </w:p>
    <w:p w14:paraId="45C88BF7" w14:textId="77777777" w:rsidR="00134A7C" w:rsidRDefault="00134A7C" w:rsidP="009C7868">
      <w:pPr>
        <w:spacing w:line="480" w:lineRule="auto"/>
        <w:ind w:firstLine="360"/>
        <w:jc w:val="center"/>
        <w:rPr>
          <w:rFonts w:ascii="Times New Roman" w:hAnsi="Times New Roman" w:cs="Times New Roman"/>
          <w:b/>
          <w:sz w:val="28"/>
          <w:szCs w:val="28"/>
        </w:rPr>
      </w:pPr>
    </w:p>
    <w:p w14:paraId="39AE6782" w14:textId="77777777" w:rsidR="00134A7C" w:rsidRDefault="00134A7C" w:rsidP="009C7868">
      <w:pPr>
        <w:spacing w:line="480" w:lineRule="auto"/>
        <w:ind w:firstLine="360"/>
        <w:jc w:val="center"/>
        <w:rPr>
          <w:rFonts w:ascii="Times New Roman" w:hAnsi="Times New Roman" w:cs="Times New Roman"/>
          <w:b/>
          <w:sz w:val="28"/>
          <w:szCs w:val="28"/>
        </w:rPr>
      </w:pPr>
    </w:p>
    <w:p w14:paraId="72C5CBD4" w14:textId="77777777" w:rsidR="00134A7C" w:rsidRDefault="00134A7C" w:rsidP="009C7868">
      <w:pPr>
        <w:spacing w:line="480" w:lineRule="auto"/>
        <w:ind w:firstLine="360"/>
        <w:jc w:val="center"/>
        <w:rPr>
          <w:rFonts w:ascii="Times New Roman" w:hAnsi="Times New Roman" w:cs="Times New Roman"/>
          <w:b/>
          <w:sz w:val="28"/>
          <w:szCs w:val="28"/>
        </w:rPr>
      </w:pPr>
    </w:p>
    <w:p w14:paraId="2929698C" w14:textId="77777777" w:rsidR="00134A7C" w:rsidRDefault="00134A7C" w:rsidP="009C7868">
      <w:pPr>
        <w:spacing w:line="480" w:lineRule="auto"/>
        <w:ind w:firstLine="360"/>
        <w:jc w:val="center"/>
        <w:rPr>
          <w:rFonts w:ascii="Times New Roman" w:hAnsi="Times New Roman" w:cs="Times New Roman"/>
          <w:b/>
          <w:sz w:val="28"/>
          <w:szCs w:val="28"/>
        </w:rPr>
      </w:pPr>
    </w:p>
    <w:p w14:paraId="34C2D822" w14:textId="77777777" w:rsidR="00134A7C" w:rsidRDefault="00134A7C" w:rsidP="009C7868">
      <w:pPr>
        <w:spacing w:line="480" w:lineRule="auto"/>
        <w:ind w:firstLine="360"/>
        <w:jc w:val="center"/>
        <w:rPr>
          <w:rFonts w:ascii="Times New Roman" w:hAnsi="Times New Roman" w:cs="Times New Roman"/>
          <w:b/>
          <w:sz w:val="28"/>
          <w:szCs w:val="28"/>
        </w:rPr>
      </w:pPr>
    </w:p>
    <w:p w14:paraId="05977267" w14:textId="77777777" w:rsidR="00134A7C" w:rsidRDefault="00134A7C" w:rsidP="004547C8">
      <w:pPr>
        <w:spacing w:line="480" w:lineRule="auto"/>
        <w:rPr>
          <w:rFonts w:ascii="Times New Roman" w:hAnsi="Times New Roman" w:cs="Times New Roman"/>
          <w:b/>
          <w:sz w:val="28"/>
          <w:szCs w:val="28"/>
        </w:rPr>
      </w:pPr>
    </w:p>
    <w:p w14:paraId="123FA65C" w14:textId="77777777" w:rsidR="00F32252" w:rsidRDefault="00F32252" w:rsidP="009C7868">
      <w:pPr>
        <w:spacing w:line="480" w:lineRule="auto"/>
        <w:ind w:firstLine="360"/>
        <w:jc w:val="center"/>
        <w:rPr>
          <w:rFonts w:ascii="Times New Roman" w:hAnsi="Times New Roman" w:cs="Times New Roman"/>
          <w:b/>
          <w:sz w:val="28"/>
          <w:szCs w:val="28"/>
        </w:rPr>
      </w:pPr>
    </w:p>
    <w:p w14:paraId="2EDDBFCF" w14:textId="77777777" w:rsidR="00F32252" w:rsidRDefault="00F32252" w:rsidP="009C7868">
      <w:pPr>
        <w:spacing w:line="480" w:lineRule="auto"/>
        <w:ind w:firstLine="360"/>
        <w:jc w:val="center"/>
        <w:rPr>
          <w:rFonts w:ascii="Times New Roman" w:hAnsi="Times New Roman" w:cs="Times New Roman"/>
          <w:b/>
          <w:sz w:val="28"/>
          <w:szCs w:val="28"/>
        </w:rPr>
      </w:pPr>
    </w:p>
    <w:p w14:paraId="363397C1" w14:textId="1EFEF1D7" w:rsidR="009C7868" w:rsidRDefault="009C7868" w:rsidP="009C7868">
      <w:pPr>
        <w:spacing w:line="480" w:lineRule="auto"/>
        <w:ind w:firstLine="360"/>
        <w:jc w:val="center"/>
        <w:rPr>
          <w:rFonts w:ascii="Times New Roman" w:hAnsi="Times New Roman" w:cs="Times New Roman"/>
          <w:b/>
          <w:sz w:val="28"/>
          <w:szCs w:val="24"/>
        </w:rPr>
      </w:pPr>
      <w:r w:rsidRPr="00417014">
        <w:rPr>
          <w:rFonts w:ascii="Times New Roman" w:hAnsi="Times New Roman" w:cs="Times New Roman"/>
          <w:b/>
          <w:sz w:val="28"/>
          <w:szCs w:val="28"/>
        </w:rPr>
        <w:lastRenderedPageBreak/>
        <w:t>REFERENCES</w:t>
      </w:r>
      <w:r w:rsidR="00D2371C">
        <w:rPr>
          <w:rFonts w:ascii="Times New Roman" w:hAnsi="Times New Roman" w:cs="Times New Roman"/>
          <w:b/>
          <w:sz w:val="28"/>
          <w:szCs w:val="24"/>
        </w:rPr>
        <w:t xml:space="preserve"> </w:t>
      </w:r>
    </w:p>
    <w:p w14:paraId="2E25D849" w14:textId="77777777" w:rsidR="00837FBD" w:rsidRDefault="00837FBD" w:rsidP="00837FBD">
      <w:pPr>
        <w:pStyle w:val="NormalWeb"/>
        <w:ind w:left="480" w:hanging="480"/>
      </w:pPr>
      <w:r w:rsidRPr="00B55E77">
        <w:t>Balkwill, H. R., Cook, D. 6., Detterman, R. L, Embry, A.F., Hakansson, E.,</w:t>
      </w:r>
      <w:r>
        <w:t xml:space="preserve"> </w:t>
      </w:r>
      <w:r w:rsidRPr="00B55E77">
        <w:t>Miall, A. D., Poulton, T. P., and Young, F. G., 1983, Arctic North</w:t>
      </w:r>
      <w:r>
        <w:t xml:space="preserve"> </w:t>
      </w:r>
      <w:r w:rsidRPr="00B55E77">
        <w:t>America and Northern Greenland: reprint from; The Phanerozoic</w:t>
      </w:r>
      <w:r>
        <w:t xml:space="preserve"> </w:t>
      </w:r>
      <w:r w:rsidRPr="00B55E77">
        <w:t>Geology of the World, II The Mesozoic B, Elsevier, The Netherlands,</w:t>
      </w:r>
      <w:r>
        <w:t xml:space="preserve"> </w:t>
      </w:r>
      <w:r w:rsidRPr="00B55E77">
        <w:t>p. 1-31.</w:t>
      </w:r>
    </w:p>
    <w:p w14:paraId="7CE7262F" w14:textId="1E6194E1" w:rsidR="00837FBD" w:rsidRDefault="00837FBD" w:rsidP="00837FBD">
      <w:pPr>
        <w:pStyle w:val="NormalWeb"/>
        <w:ind w:left="480" w:hanging="480"/>
      </w:pPr>
      <w:r>
        <w:t xml:space="preserve">Bird, K., 2018, </w:t>
      </w:r>
      <w:r w:rsidR="00FA2A73" w:rsidRPr="00FA2A73">
        <w:t>Hydrocarbon Resources in the National Petroleum Reserve of Y the Play-Appraisal Method:</w:t>
      </w:r>
    </w:p>
    <w:p w14:paraId="4AB0C5B8" w14:textId="77777777" w:rsidR="00837FBD" w:rsidRDefault="00837FBD" w:rsidP="00837FBD">
      <w:pPr>
        <w:pStyle w:val="NormalWeb"/>
        <w:ind w:left="480" w:hanging="480"/>
      </w:pPr>
      <w:r w:rsidRPr="00B107DB">
        <w:t>Bird, K. J., 1982, Rock Unit Reports of 228 Wells Drilled on the North Slope, Alaska: U. S. Geol. Surv. Open File Rpt. 82-278.</w:t>
      </w:r>
    </w:p>
    <w:p w14:paraId="7A9E0C5E" w14:textId="77777777" w:rsidR="00837FBD" w:rsidRDefault="00837FBD" w:rsidP="00837FBD">
      <w:pPr>
        <w:pStyle w:val="NormalWeb"/>
        <w:ind w:left="480" w:hanging="480"/>
      </w:pPr>
      <w:r>
        <w:t>Bird, K.J., 1981, United states department of the interior geological survey:</w:t>
      </w:r>
    </w:p>
    <w:p w14:paraId="1C4D5AE7" w14:textId="77777777" w:rsidR="00837FBD" w:rsidRDefault="00837FBD" w:rsidP="00837FBD">
      <w:pPr>
        <w:pStyle w:val="NormalWeb"/>
        <w:ind w:left="480" w:hanging="480"/>
      </w:pPr>
      <w:r w:rsidRPr="00B107DB">
        <w:t>Bird, K. J., 1977, and Jordan, C. F., 1977, Lisburne Group (Mississippian and Pennslyvanian), potential major hydrocarbon objective of Arctic slope, Alaska: AAPG Bulletin, y. 61, no. 9, p. 1493-15 12.</w:t>
      </w:r>
    </w:p>
    <w:p w14:paraId="5EA500FF" w14:textId="77777777" w:rsidR="00837FBD" w:rsidRDefault="00837FBD" w:rsidP="00837FBD">
      <w:pPr>
        <w:pStyle w:val="NormalWeb"/>
        <w:ind w:left="480" w:hanging="480"/>
      </w:pPr>
      <w:r>
        <w:t>Bruynzeel, J.W., Guldenzopf, E.C., and JPickard, E., 1982, Petroleum exploration of NPRA, 1974-1981 : final report: , p. 940.</w:t>
      </w:r>
    </w:p>
    <w:p w14:paraId="7B240F80" w14:textId="77777777" w:rsidR="00837FBD" w:rsidRDefault="00837FBD" w:rsidP="00837FBD">
      <w:pPr>
        <w:pStyle w:val="NormalWeb"/>
        <w:ind w:left="480" w:hanging="480"/>
      </w:pPr>
      <w:r w:rsidRPr="00B55E77">
        <w:t>Detterman, R. L, 1973, Mesozoic sequence in Arctic Alaska: jn Proceedings</w:t>
      </w:r>
      <w:r>
        <w:t xml:space="preserve"> </w:t>
      </w:r>
      <w:r w:rsidRPr="00B55E77">
        <w:t>of the International Arctic Symposium: Am. Assoc. Petrol. Geol. Mem.</w:t>
      </w:r>
      <w:r>
        <w:t xml:space="preserve"> </w:t>
      </w:r>
      <w:r w:rsidRPr="00B55E77">
        <w:t>19, p. 376-387.</w:t>
      </w:r>
    </w:p>
    <w:p w14:paraId="38C22E29" w14:textId="77777777" w:rsidR="00837FBD" w:rsidRDefault="00837FBD" w:rsidP="00837FBD">
      <w:pPr>
        <w:pStyle w:val="NormalWeb"/>
        <w:ind w:left="480" w:hanging="480"/>
      </w:pPr>
      <w:r w:rsidRPr="00B55E77">
        <w:t>Dumoulin, Julie A., Whalen, Michael T., and Harris, Anita G., 2008, Lithofacies, age, and sequence stratigraphy of the Carboniferous Lisburne Group in the Skimo Creek area, central Brooks Range, in, Haeussler, Peter J., and Galloway, John P., eds., Studies by the U.S. Geological Survey in Alaska, 2006:  U.S. Geological Survey Professional Paper 1739-B, 64 p. [http://pubs.usgs.gov/pp/pp1739/b/].</w:t>
      </w:r>
    </w:p>
    <w:p w14:paraId="0C71AB39" w14:textId="77777777" w:rsidR="00837FBD" w:rsidRDefault="00837FBD" w:rsidP="00837FBD">
      <w:pPr>
        <w:pStyle w:val="NormalWeb"/>
        <w:ind w:left="480" w:hanging="480"/>
      </w:pPr>
      <w:r w:rsidRPr="00B107DB">
        <w:t xml:space="preserve">Dumoulin, J. A., and Bird, K .J., 2001, Stratigraphy and lithofacies of Lisburne Group carbonate rocks (Carboniferous - Permian) in the National Petroleum Reserve - Alaska, in D. W. Houseknecht (ed.), NPRA Core Workshop--Petroleum Plays and Systems in the National Petroleum Reserve – Alaska: SEPM Core Workshop No. 21, p. 141-166.  </w:t>
      </w:r>
    </w:p>
    <w:p w14:paraId="21B828EC" w14:textId="718BF12C" w:rsidR="006175D2" w:rsidRPr="00B55E77" w:rsidRDefault="00DC4AB2" w:rsidP="00837FBD">
      <w:pPr>
        <w:pStyle w:val="NormalWeb"/>
        <w:ind w:left="480" w:hanging="480"/>
      </w:pPr>
      <w:r>
        <w:t>Fulk, B. R. 2010,</w:t>
      </w:r>
      <w:r w:rsidR="006175D2" w:rsidRPr="006175D2">
        <w:t xml:space="preserve"> Seismic analysis of the Ikpikpuk-Umiat basin, NPRA, North Slope, Alaska (Doctoral dissertation, Sciences).</w:t>
      </w:r>
    </w:p>
    <w:p w14:paraId="7FC25264" w14:textId="77777777" w:rsidR="00837FBD" w:rsidRDefault="00837FBD" w:rsidP="00837FBD">
      <w:pPr>
        <w:pStyle w:val="NormalWeb"/>
        <w:ind w:left="480" w:hanging="480"/>
      </w:pPr>
      <w:r>
        <w:t>Galloway, W.E., and Galloway, L.E., 2015, Genetic stratigraphic sequences in basin analysis I : architecture and genesis of flooding- surface bounded depositional units Genetic Stratigraphic Sequences in Basin Analysis 1 : Architecture and Genesis of Flooding-Surface Bounded Depositional Units: v. 2.</w:t>
      </w:r>
    </w:p>
    <w:p w14:paraId="24FEC5B9" w14:textId="70898095" w:rsidR="0058612C" w:rsidRDefault="0058612C" w:rsidP="00837FBD">
      <w:pPr>
        <w:pStyle w:val="NormalWeb"/>
        <w:ind w:left="480" w:hanging="480"/>
      </w:pPr>
      <w:r w:rsidRPr="0058612C">
        <w:lastRenderedPageBreak/>
        <w:t>Haq, B. U., Hardenbol,</w:t>
      </w:r>
      <w:r>
        <w:t xml:space="preserve"> J. A. N., &amp; Vail, P. R., 1987,</w:t>
      </w:r>
      <w:r w:rsidRPr="0058612C">
        <w:t xml:space="preserve"> Chronology of fluctuating sea levels since the Triassic. </w:t>
      </w:r>
      <w:r w:rsidRPr="0058612C">
        <w:rPr>
          <w:i/>
          <w:iCs/>
        </w:rPr>
        <w:t>Science</w:t>
      </w:r>
      <w:r w:rsidRPr="0058612C">
        <w:t>, </w:t>
      </w:r>
      <w:r w:rsidRPr="0058612C">
        <w:rPr>
          <w:i/>
          <w:iCs/>
        </w:rPr>
        <w:t>235</w:t>
      </w:r>
      <w:r w:rsidRPr="0058612C">
        <w:t>(4793), 1156-1167.</w:t>
      </w:r>
    </w:p>
    <w:p w14:paraId="5CDFB85E" w14:textId="77777777" w:rsidR="00837FBD" w:rsidRDefault="00837FBD" w:rsidP="00837FBD">
      <w:pPr>
        <w:pStyle w:val="NormalWeb"/>
        <w:ind w:left="480" w:hanging="480"/>
      </w:pPr>
      <w:r w:rsidRPr="00B107DB">
        <w:t>Haywood, H., 1983, Inigok test well no. 1: National Petroleum Reserve in Alaska Geological Report of Husky Oil NPR Operations, Inc., National Geophysical Data Center, NOAS E/GC3 Department 874, Boulder, CO.</w:t>
      </w:r>
    </w:p>
    <w:p w14:paraId="0DB0D9AD" w14:textId="77777777" w:rsidR="00837FBD" w:rsidRDefault="00837FBD" w:rsidP="00837FBD">
      <w:pPr>
        <w:pStyle w:val="NormalWeb"/>
        <w:ind w:left="480" w:hanging="480"/>
      </w:pPr>
      <w:r>
        <w:t>Houseknecht, D.W., 2010, Sequence Stratigraphy and Sedimentology of Beaufortian Strata (Jurassic – Lower Cretaceous) in the National Petroleum Reserve – Alaska (Npra): Petroleum Plays and Systems in the National Petroleum Reserve–Alaska, p. 57–88, doi:10.2110/cor.01.01.0057.</w:t>
      </w:r>
    </w:p>
    <w:p w14:paraId="549B680F" w14:textId="77777777" w:rsidR="00837FBD" w:rsidRDefault="00837FBD" w:rsidP="00837FBD">
      <w:pPr>
        <w:pStyle w:val="NormalWeb"/>
        <w:ind w:left="480" w:hanging="480"/>
      </w:pPr>
      <w:r>
        <w:t>Houseknecht, D.W., Bird, K.J., and Schenk, C.J., 2009, Seismic analysis of clinoform depositional sequences and shelf-margin trajectories in Lower Cretaceous (Albian) strata, Alaska North Slope: Basin Research, v. 21, p. 644–654, doi:10.1111/j.1365-2117.2008.00392.x.</w:t>
      </w:r>
    </w:p>
    <w:p w14:paraId="68F3F9B6" w14:textId="77777777" w:rsidR="00837FBD" w:rsidRDefault="00837FBD" w:rsidP="00837FBD">
      <w:pPr>
        <w:pStyle w:val="NormalWeb"/>
        <w:ind w:left="480" w:hanging="480"/>
      </w:pPr>
      <w:r>
        <w:t>Houseknecht, D.W., and Schenk, C.J., 2004, Sedimentology and sequence stratigraphy of the Cretaceous Nanushuk, Seabee, and Tuluvak Formations exposed on Umiat Mountain, North-Central Alaska: USGS Professional Paper, v. 1709B, p. 1–18.</w:t>
      </w:r>
    </w:p>
    <w:p w14:paraId="72BFBB64" w14:textId="77777777" w:rsidR="00837FBD" w:rsidRDefault="00837FBD" w:rsidP="00837FBD">
      <w:pPr>
        <w:pStyle w:val="NormalWeb"/>
        <w:ind w:left="480" w:hanging="480"/>
      </w:pPr>
      <w:r>
        <w:t>Houseknecht, D.W., and Schenk, C.J., 2010, Depositional Sequences and Facies in the Torok Formation, National Petroleum Reserve – Alaska (Npra): Petroleum Plays and Systems in the National Petroleum Reserve–Alaska, p. 179–199, doi:10.2110/cor.01.01.0179.</w:t>
      </w:r>
    </w:p>
    <w:p w14:paraId="4084EA55" w14:textId="77777777" w:rsidR="00837FBD" w:rsidRDefault="00837FBD" w:rsidP="00837FBD">
      <w:pPr>
        <w:pStyle w:val="NormalWeb"/>
        <w:ind w:left="480" w:hanging="480"/>
      </w:pPr>
      <w:r>
        <w:t>Houseknecht, D.W., and Bird, K.J., 2004, Seq_Strat_Kingak_Shale: v. 3, p. 279–302.</w:t>
      </w:r>
    </w:p>
    <w:p w14:paraId="461E9439" w14:textId="77777777" w:rsidR="00837FBD" w:rsidRDefault="00837FBD" w:rsidP="00837FBD">
      <w:pPr>
        <w:pStyle w:val="NormalWeb"/>
        <w:ind w:left="480" w:hanging="480"/>
      </w:pPr>
      <w:r w:rsidRPr="00B107DB">
        <w:t>Hubbard, R. J., Edrich, S. P., and Rattey, R. P., 1987, Geologic evolution and hydrocarbon habitat of the ‘Arctic Alaska microplate,’: Marine and Petroleum Geology, v. 4,  p. 2-8.</w:t>
      </w:r>
    </w:p>
    <w:p w14:paraId="2B617BE8" w14:textId="77777777" w:rsidR="00837FBD" w:rsidRDefault="00837FBD" w:rsidP="00837FBD">
      <w:pPr>
        <w:pStyle w:val="NormalWeb"/>
        <w:ind w:left="480" w:hanging="480"/>
      </w:pPr>
      <w:r w:rsidRPr="00B55E77">
        <w:t>Kirschner, C. E., Gryc, G., and Molenaar, C. M., 1983, Regional seismic lines</w:t>
      </w:r>
      <w:r>
        <w:t xml:space="preserve"> </w:t>
      </w:r>
      <w:r w:rsidRPr="00B55E77">
        <w:t>in the N. P. R. A. in Alaska: in A. W. Bailey (ed.), Seismic Expression of</w:t>
      </w:r>
      <w:r>
        <w:t xml:space="preserve"> </w:t>
      </w:r>
      <w:r w:rsidRPr="00B55E77">
        <w:t>Structural Styles - A Picture and Work Atlas: Am. Assoc. Petrol. Geol.</w:t>
      </w:r>
      <w:r>
        <w:t xml:space="preserve"> </w:t>
      </w:r>
      <w:r w:rsidRPr="00B55E77">
        <w:t>Studies in Geology.</w:t>
      </w:r>
    </w:p>
    <w:p w14:paraId="55DB2B07" w14:textId="77777777" w:rsidR="00837FBD" w:rsidRDefault="00837FBD" w:rsidP="00837FBD">
      <w:pPr>
        <w:pStyle w:val="NormalWeb"/>
        <w:ind w:left="480" w:hanging="480"/>
      </w:pPr>
      <w:r>
        <w:t>Kulander, C.S., Grow, J.A., Potter, C.J., Saltus, R.W., and Killgore, M.L., 2005, Interpreted Regional Seismic Reflection Lines, National Petroleum Reserve in Alaska: USGS Open File Report 2005-1402, p. 1–25, http://pubs.usgs.gov/of/2005/1402/of2005-1402_text.pdf.</w:t>
      </w:r>
    </w:p>
    <w:p w14:paraId="540E8AC7" w14:textId="77777777" w:rsidR="00837FBD" w:rsidRDefault="00837FBD" w:rsidP="00837FBD">
      <w:pPr>
        <w:pStyle w:val="NormalWeb"/>
        <w:ind w:left="480" w:hanging="480"/>
      </w:pPr>
      <w:r>
        <w:t>Kupecz, J.A., 1995, and Reservoir Potential of a Mixed-Lithology , Upwelling Deposit : Upper Triassic Shublik Formation , Prudhoe Bay , Alaska / Prudhoe Bay: North, v. 9, p. 1301–1319.</w:t>
      </w:r>
    </w:p>
    <w:p w14:paraId="5B520622" w14:textId="5CBFC5AA" w:rsidR="0071685C" w:rsidRDefault="0071685C" w:rsidP="00837FBD">
      <w:pPr>
        <w:pStyle w:val="NormalWeb"/>
        <w:ind w:left="480" w:hanging="480"/>
      </w:pPr>
      <w:r>
        <w:t xml:space="preserve">Lofi, Johanna et al., 2003, </w:t>
      </w:r>
      <w:r w:rsidRPr="0071685C">
        <w:t>Plio–Quaternary prograding clinoform wedges of the western Gulf of Lion continental margin (NW Mediterranean) after the Messinian Salinity Crisi</w:t>
      </w:r>
      <w:r>
        <w:t>s.</w:t>
      </w:r>
    </w:p>
    <w:p w14:paraId="4CEEC8F6" w14:textId="77777777" w:rsidR="00837FBD" w:rsidRDefault="00837FBD" w:rsidP="00837FBD">
      <w:pPr>
        <w:pStyle w:val="NormalWeb"/>
        <w:ind w:left="480" w:hanging="480"/>
      </w:pPr>
      <w:r>
        <w:lastRenderedPageBreak/>
        <w:t>Mauch, E.A., 1985, A seismic stratigraphic and structural interpretation of the middle Paleozoic Ikpikpuk-Umiat basin, National Petroleum Reserve in Alaska:</w:t>
      </w:r>
    </w:p>
    <w:p w14:paraId="7FA068F1" w14:textId="77777777" w:rsidR="00837FBD" w:rsidRDefault="00837FBD" w:rsidP="00837FBD">
      <w:pPr>
        <w:pStyle w:val="NormalWeb"/>
        <w:ind w:left="480" w:hanging="480"/>
      </w:pPr>
      <w:r w:rsidRPr="00B107DB">
        <w:t>Mitchum Jr, R., Vail, P., and Thompson III, S., 1977, Seismic Stratigraphy and Global Changes of Sea Level: Part 2. The Depositional Sequence as a Basic Unit for Stratigraphic Analysis: Section 2. Application of Seismic Reflection Configuration to Stratigraphic Interpretation: Seismic Stratigraphy: Application to Hydrocarbon Exploration. AAPG Memoir, v. 26, p. 5362</w:t>
      </w:r>
    </w:p>
    <w:p w14:paraId="47E6F51D" w14:textId="77777777" w:rsidR="00837FBD" w:rsidRDefault="00837FBD" w:rsidP="00837FBD">
      <w:pPr>
        <w:pStyle w:val="NormalWeb"/>
        <w:ind w:left="480" w:hanging="480"/>
      </w:pPr>
      <w:r w:rsidRPr="00B107DB">
        <w:t>Mitchum Jr, R., and Vail, P., 1977, Seismic stratigraphy and global changes of sea level, part 7: seismic stratigraphic interpretation procedure: Seismic Stratigraphy: Application to Hydrocarbon Exploration.AAPG Memoir, v. 26, p. 135-143.</w:t>
      </w:r>
    </w:p>
    <w:p w14:paraId="02563447" w14:textId="77777777" w:rsidR="00837FBD" w:rsidRDefault="00837FBD" w:rsidP="00837FBD">
      <w:pPr>
        <w:pStyle w:val="NormalWeb"/>
        <w:ind w:left="480" w:hanging="480"/>
      </w:pPr>
      <w:r w:rsidRPr="00B55E77">
        <w:t>Molenaar, C. M., 1981, Depositional History and Seismic Stratigraphy of</w:t>
      </w:r>
      <w:r>
        <w:t xml:space="preserve"> </w:t>
      </w:r>
      <w:r w:rsidRPr="00B55E77">
        <w:t>Lower Cretaceous Rocks, N. P. R. A. in Alaska and Adjacent Areas: U. S.</w:t>
      </w:r>
      <w:r>
        <w:t xml:space="preserve"> </w:t>
      </w:r>
      <w:r w:rsidRPr="00B55E77">
        <w:t>Geol. Surv Open File Rpt. 81-1084.</w:t>
      </w:r>
    </w:p>
    <w:p w14:paraId="402039FF" w14:textId="77777777" w:rsidR="00837FBD" w:rsidRDefault="00837FBD" w:rsidP="00837FBD">
      <w:pPr>
        <w:pStyle w:val="NormalWeb"/>
        <w:ind w:left="480" w:hanging="480"/>
      </w:pPr>
      <w:r w:rsidRPr="00B107DB">
        <w:t>Mull, C. G., and Mangus, M. D., 1972, Itkilyariak Formation: new Mississippian Formation of Endicott Group, Arctic slope of Alaska: AAPG Bulletin, y. 56, no. 8, p. 1364 -1369.</w:t>
      </w:r>
    </w:p>
    <w:p w14:paraId="2F5DB9F1" w14:textId="77777777" w:rsidR="00837FBD" w:rsidRDefault="00837FBD" w:rsidP="00837FBD">
      <w:pPr>
        <w:pStyle w:val="NormalWeb"/>
        <w:ind w:left="480" w:hanging="480"/>
      </w:pPr>
      <w:r w:rsidRPr="00B55E77">
        <w:rPr>
          <w:bCs/>
        </w:rPr>
        <w:t>Neal, J., and Abreu, V., 2009,</w:t>
      </w:r>
      <w:r w:rsidRPr="00B55E77">
        <w:t> </w:t>
      </w:r>
      <w:hyperlink r:id="rId47" w:history="1">
        <w:r w:rsidRPr="00B55E77">
          <w:rPr>
            <w:rStyle w:val="Hyperlink"/>
            <w:color w:val="auto"/>
            <w:u w:val="none"/>
          </w:rPr>
          <w:t>Sequence stratigraphy</w:t>
        </w:r>
      </w:hyperlink>
      <w:r w:rsidRPr="00B55E77">
        <w:t> hierarchy and the </w:t>
      </w:r>
      <w:hyperlink r:id="rId48" w:history="1">
        <w:r w:rsidRPr="00B55E77">
          <w:rPr>
            <w:rStyle w:val="Hyperlink"/>
            <w:color w:val="auto"/>
            <w:u w:val="none"/>
          </w:rPr>
          <w:t>accommodation succession</w:t>
        </w:r>
      </w:hyperlink>
      <w:r w:rsidRPr="00B55E77">
        <w:t> method, Geology, v. 37, p. 779-782</w:t>
      </w:r>
    </w:p>
    <w:p w14:paraId="39B315E9" w14:textId="77777777" w:rsidR="00837FBD" w:rsidRDefault="00837FBD" w:rsidP="00837FBD">
      <w:pPr>
        <w:pStyle w:val="NormalWeb"/>
        <w:ind w:left="480" w:hanging="480"/>
      </w:pPr>
      <w:r w:rsidRPr="00B107DB">
        <w:t>Nilsen, T. H., 1981, Upper Devonian and lower Mississippian redbeds, Brooks Range, Alaska: in A. D. Miall (ed.), Sedimentation and Tectonics in Alluvial Basins: Geol. Assoc. Can. Spec. Paper 23, p. 187-219.</w:t>
      </w:r>
    </w:p>
    <w:p w14:paraId="265C70CD" w14:textId="77777777" w:rsidR="00837FBD" w:rsidRDefault="00837FBD" w:rsidP="00837FBD">
      <w:pPr>
        <w:pStyle w:val="NormalWeb"/>
        <w:ind w:left="480" w:hanging="480"/>
      </w:pPr>
      <w:r>
        <w:t>Noonan, W.G., and An, G.N., 1983, Alaskan North Slope Geology , Volumes I and II , 1987 Copyright © 201 2 Pacific Section , SEPM ( Society for Sedimentary Geology ):</w:t>
      </w:r>
    </w:p>
    <w:p w14:paraId="43602431" w14:textId="77777777" w:rsidR="00837FBD" w:rsidRDefault="00837FBD" w:rsidP="00837FBD">
      <w:pPr>
        <w:pStyle w:val="NormalWeb"/>
        <w:ind w:left="480" w:hanging="480"/>
      </w:pPr>
      <w:r>
        <w:t>Parrish, J.T., Whalen, M.T., and Hulm, E.J., 2010, Shublik Formation Lithofacies, Environments, and Sequence Stratigraphy, Arctic Alaska, U.S.a.: Petroleum Plays and Systems in the National Petroleum Reserve–Alaska, p. 89–110, doi:10.2110/cor.01.01.0089.</w:t>
      </w:r>
    </w:p>
    <w:p w14:paraId="5A593CB9" w14:textId="77777777" w:rsidR="00837FBD" w:rsidRDefault="00837FBD" w:rsidP="00837FBD">
      <w:pPr>
        <w:pStyle w:val="NormalWeb"/>
        <w:ind w:left="480" w:hanging="480"/>
      </w:pPr>
      <w:r w:rsidRPr="00B107DB">
        <w:t>Parrish, J.T., Droser, M.L., and Bottjer, D.J., 2001, A triassic upwelling zone: The shublik formation, Arctic Alaska, U.S.A: Journal of Sedimentary Research, v. 71, no. 2, p. 272-285.</w:t>
      </w:r>
    </w:p>
    <w:p w14:paraId="1E3C6D8A" w14:textId="1C914AED" w:rsidR="00CE5DE2" w:rsidRDefault="00CE5DE2" w:rsidP="00CE5DE2">
      <w:pPr>
        <w:pStyle w:val="NormalWeb"/>
        <w:ind w:left="567" w:hanging="567"/>
      </w:pPr>
      <w:r>
        <w:t xml:space="preserve">Petroleum News, 2008, Northern Alaska's Oil and Gas Province: </w:t>
      </w:r>
      <w:r w:rsidRPr="00CE5DE2">
        <w:rPr>
          <w:iCs/>
        </w:rPr>
        <w:t>Dispelling the Alaska Fear Factor</w:t>
      </w:r>
      <w:r>
        <w:t>, www.arlis.org/docs/vol1/61764701/61764701-2005.pdfpp. 3.1–3.18.</w:t>
      </w:r>
    </w:p>
    <w:p w14:paraId="2C7B65A4" w14:textId="5E297023" w:rsidR="00837FBD" w:rsidRDefault="00837FBD" w:rsidP="00837FBD">
      <w:pPr>
        <w:pStyle w:val="NormalWeb"/>
        <w:ind w:left="480" w:hanging="480"/>
      </w:pPr>
      <w:r w:rsidRPr="00B55E77">
        <w:t xml:space="preserve">Pigott, J., D., D. Radivojevic, 2010, Seismic stratigraphy based chronostratigraphy (SSBC) of the Serbian Banat region of the Pannonian Basin, Central European Journal of Geosciences, </w:t>
      </w:r>
      <w:r w:rsidRPr="00B55E77">
        <w:rPr>
          <w:b/>
          <w:bCs/>
        </w:rPr>
        <w:t>2</w:t>
      </w:r>
      <w:r w:rsidRPr="00B55E77">
        <w:t>, 481-500.</w:t>
      </w:r>
    </w:p>
    <w:p w14:paraId="7E604688" w14:textId="1FE89568" w:rsidR="00AC4C38" w:rsidRPr="00461463" w:rsidRDefault="00AC4C38" w:rsidP="00121B42">
      <w:pPr>
        <w:pStyle w:val="NormalWeb"/>
        <w:ind w:left="432" w:hanging="432"/>
      </w:pPr>
      <w:r w:rsidRPr="00461463">
        <w:t xml:space="preserve">Pigott, John D., Zhai, Rui, Pigott, Kulwadee L., and Tonianse, T. 2012, Searching for the Missing Link: The Regressive System Tract – Seismic Stratigraphic Evidence from </w:t>
      </w:r>
      <w:r w:rsidR="00121B42">
        <w:t xml:space="preserve">the </w:t>
      </w:r>
      <w:r w:rsidR="00121B42">
        <w:lastRenderedPageBreak/>
        <w:t xml:space="preserve">Southern Gulf of Thailand, </w:t>
      </w:r>
      <w:r w:rsidRPr="00461463">
        <w:t xml:space="preserve">International Petroleum Technology Conference, Bangkok, Thailand IPTC 1511-PP, 21pp. </w:t>
      </w:r>
    </w:p>
    <w:p w14:paraId="4ECBEE04" w14:textId="3B8EAF1D" w:rsidR="005B5EAB" w:rsidRPr="00461463" w:rsidRDefault="005B5EAB" w:rsidP="00121B42">
      <w:pPr>
        <w:pStyle w:val="NormalWeb"/>
        <w:ind w:left="432" w:hanging="432"/>
        <w:rPr>
          <w:b/>
        </w:rPr>
      </w:pPr>
      <w:r w:rsidRPr="00461463">
        <w:t>Pigott, John D. and Bradley, Bryant W., 2014, Application of production decline curve    analysis to clastic reservoir facies characterization within a sequence stratigraphic framework: Example- Frio Formation, South Texas, GCAGS Journal, Vol 3, p. 112-133.</w:t>
      </w:r>
    </w:p>
    <w:p w14:paraId="14F715A7" w14:textId="77777777" w:rsidR="00837FBD" w:rsidRDefault="00837FBD" w:rsidP="00837FBD">
      <w:pPr>
        <w:pStyle w:val="NormalWeb"/>
        <w:ind w:left="480" w:hanging="480"/>
      </w:pPr>
      <w:r>
        <w:t>Schultz, L.E., 2013, Sequence Stratigraphic and Structural Interpretation, Modeling and Restoration in the National Petroleum Reserve in Alaska (NPRA): , p. 63.</w:t>
      </w:r>
    </w:p>
    <w:p w14:paraId="1FF708AE" w14:textId="04DD32D7" w:rsidR="00837FBD" w:rsidRDefault="00837FBD" w:rsidP="00837FBD">
      <w:pPr>
        <w:pStyle w:val="NormalWeb"/>
        <w:ind w:left="480" w:hanging="480"/>
      </w:pPr>
      <w:r w:rsidRPr="00B55E77">
        <w:t>Tetra Tech, Inc., 1982, Petroleum Exploration of the N. P. R. A., 1974-1981;</w:t>
      </w:r>
      <w:r>
        <w:t xml:space="preserve"> </w:t>
      </w:r>
      <w:r w:rsidRPr="00B55E77">
        <w:t>Final Report, Vol. 1,2,3.</w:t>
      </w:r>
    </w:p>
    <w:p w14:paraId="6314C3F7" w14:textId="77777777" w:rsidR="00837FBD" w:rsidRDefault="00837FBD" w:rsidP="00837FBD">
      <w:pPr>
        <w:pStyle w:val="NormalWeb"/>
        <w:ind w:left="480" w:hanging="480"/>
      </w:pPr>
      <w:r>
        <w:t>Vail, P.R., 1987, Seismic stratigraphy interpretation procedure: Atlas of seismic stratigraphy, v. 27 (2), p. 1–10.</w:t>
      </w:r>
    </w:p>
    <w:p w14:paraId="2EAEC2E2" w14:textId="77777777" w:rsidR="00837FBD" w:rsidRDefault="00837FBD" w:rsidP="00837FBD">
      <w:pPr>
        <w:pStyle w:val="NormalWeb"/>
        <w:ind w:left="480" w:hanging="480"/>
      </w:pPr>
      <w:r w:rsidRPr="00B55E77">
        <w:t>Van Wagoner, J.C., H. W. Posamentier, R. M. Mitchum, P. R. Vail, J. F. Sarg, T. S. Loutit and J. Hardenbol, 1988, An overview of sequence stratigraphy and key definitions. In: C. K. Wilgus, B. S. Hastings, C.G. St. C. Kendall, H. W. Posamentier, C. A. Ross and J. C. Van Wagoner, Editors, Sea  level changes – an integrated approach, special publication  vol. 42, Society of Economic Paleontologists and Mineralogists (SEPM), 39–45.</w:t>
      </w:r>
    </w:p>
    <w:p w14:paraId="5C516252" w14:textId="5DBE5AE6" w:rsidR="00FA2A73" w:rsidRDefault="00FA2A73" w:rsidP="00FA2A73">
      <w:pPr>
        <w:pStyle w:val="NormalWeb"/>
        <w:ind w:left="480" w:hanging="480"/>
      </w:pPr>
      <w:r>
        <w:t>Van Wagoner, J.C., Mitchum,</w:t>
      </w:r>
      <w:r w:rsidRPr="00FA2A73">
        <w:t xml:space="preserve"> </w:t>
      </w:r>
      <w:r>
        <w:t>R. M., (1, 2003, Siliciclastic Sequence Stratigraphy in Well Logs, Cores, and Outcrops: Concepts for High-Resolution Correlation of Time and Facies:, doi:10.1306/bf9ab431-0eb6-11d7-8643000102c1865d.</w:t>
      </w:r>
    </w:p>
    <w:p w14:paraId="01771E04" w14:textId="77777777" w:rsidR="00837FBD" w:rsidRDefault="00837FBD" w:rsidP="00837FBD">
      <w:pPr>
        <w:pStyle w:val="NormalWeb"/>
        <w:ind w:left="480" w:hanging="480"/>
      </w:pPr>
      <w:r>
        <w:t>Wilson, G.C., McGowen, J.H., and Veidhuis, J.H., 2010, Facies Associations and Depositional Environments of the Mississippian Endicott Group in the National Petroleum Reserve – Alaska (Npra): Petroleum Plays and Systems in the National Petroleum Reserve–Alaska, p. 167–178, doi:10.2110/cor.01.01.0167.</w:t>
      </w:r>
    </w:p>
    <w:p w14:paraId="1E0C9942" w14:textId="77777777" w:rsidR="00134A7C" w:rsidRDefault="00134A7C" w:rsidP="00837FBD">
      <w:pPr>
        <w:pStyle w:val="NormalWeb"/>
        <w:ind w:left="480" w:hanging="480"/>
      </w:pPr>
    </w:p>
    <w:p w14:paraId="76B13F35" w14:textId="77777777" w:rsidR="00B71342" w:rsidRDefault="00B71342" w:rsidP="006400B6">
      <w:pPr>
        <w:pStyle w:val="NormalWeb"/>
        <w:rPr>
          <w:b/>
          <w:sz w:val="28"/>
          <w:szCs w:val="28"/>
        </w:rPr>
      </w:pPr>
    </w:p>
    <w:p w14:paraId="23F362CC" w14:textId="77777777" w:rsidR="00F32252" w:rsidRDefault="00F32252" w:rsidP="00134A7C">
      <w:pPr>
        <w:pStyle w:val="NormalWeb"/>
        <w:ind w:left="480" w:hanging="480"/>
        <w:jc w:val="center"/>
        <w:rPr>
          <w:b/>
          <w:sz w:val="28"/>
          <w:szCs w:val="28"/>
        </w:rPr>
      </w:pPr>
    </w:p>
    <w:p w14:paraId="4B220473" w14:textId="77777777" w:rsidR="00F32252" w:rsidRDefault="00F32252" w:rsidP="00134A7C">
      <w:pPr>
        <w:pStyle w:val="NormalWeb"/>
        <w:ind w:left="480" w:hanging="480"/>
        <w:jc w:val="center"/>
        <w:rPr>
          <w:b/>
          <w:sz w:val="28"/>
          <w:szCs w:val="28"/>
        </w:rPr>
      </w:pPr>
    </w:p>
    <w:p w14:paraId="73118F88" w14:textId="77777777" w:rsidR="00F32252" w:rsidRDefault="00F32252" w:rsidP="00134A7C">
      <w:pPr>
        <w:pStyle w:val="NormalWeb"/>
        <w:ind w:left="480" w:hanging="480"/>
        <w:jc w:val="center"/>
        <w:rPr>
          <w:b/>
          <w:sz w:val="28"/>
          <w:szCs w:val="28"/>
        </w:rPr>
      </w:pPr>
    </w:p>
    <w:p w14:paraId="03BC59DC" w14:textId="77777777" w:rsidR="00F32252" w:rsidRDefault="00F32252" w:rsidP="00134A7C">
      <w:pPr>
        <w:pStyle w:val="NormalWeb"/>
        <w:ind w:left="480" w:hanging="480"/>
        <w:jc w:val="center"/>
        <w:rPr>
          <w:b/>
          <w:sz w:val="28"/>
          <w:szCs w:val="28"/>
        </w:rPr>
      </w:pPr>
    </w:p>
    <w:p w14:paraId="6BCFED5D" w14:textId="77777777" w:rsidR="00F32252" w:rsidRDefault="00F32252" w:rsidP="00134A7C">
      <w:pPr>
        <w:pStyle w:val="NormalWeb"/>
        <w:ind w:left="480" w:hanging="480"/>
        <w:jc w:val="center"/>
        <w:rPr>
          <w:b/>
          <w:sz w:val="28"/>
          <w:szCs w:val="28"/>
        </w:rPr>
      </w:pPr>
    </w:p>
    <w:p w14:paraId="6264ED7A" w14:textId="4D4E759C" w:rsidR="00B42538" w:rsidRDefault="00134A7C" w:rsidP="00134A7C">
      <w:pPr>
        <w:pStyle w:val="NormalWeb"/>
        <w:ind w:left="480" w:hanging="480"/>
        <w:jc w:val="center"/>
        <w:rPr>
          <w:b/>
          <w:sz w:val="28"/>
          <w:szCs w:val="28"/>
        </w:rPr>
      </w:pPr>
      <w:r>
        <w:rPr>
          <w:b/>
          <w:sz w:val="28"/>
          <w:szCs w:val="28"/>
        </w:rPr>
        <w:lastRenderedPageBreak/>
        <w:t>APPENDIX</w:t>
      </w:r>
    </w:p>
    <w:p w14:paraId="5602B4C4" w14:textId="77777777" w:rsidR="00134A7C" w:rsidRDefault="00134A7C" w:rsidP="00134A7C">
      <w:pPr>
        <w:pStyle w:val="NormalWeb"/>
        <w:ind w:left="480" w:hanging="480"/>
        <w:jc w:val="center"/>
        <w:rPr>
          <w:b/>
          <w:sz w:val="28"/>
          <w:szCs w:val="28"/>
        </w:rPr>
      </w:pPr>
    </w:p>
    <w:p w14:paraId="79EB5E27" w14:textId="77777777" w:rsidR="00CA19A2" w:rsidRDefault="00CA19A2" w:rsidP="00134A7C">
      <w:pPr>
        <w:pStyle w:val="NormalWeb"/>
        <w:ind w:left="480" w:hanging="480"/>
        <w:jc w:val="center"/>
        <w:rPr>
          <w:b/>
          <w:sz w:val="28"/>
          <w:szCs w:val="28"/>
        </w:rPr>
      </w:pPr>
    </w:p>
    <w:p w14:paraId="0CB3B58F" w14:textId="77777777" w:rsidR="0084086F" w:rsidRDefault="0084086F" w:rsidP="00134A7C">
      <w:pPr>
        <w:pStyle w:val="NormalWeb"/>
        <w:ind w:left="480" w:hanging="480"/>
        <w:jc w:val="center"/>
        <w:rPr>
          <w:b/>
          <w:sz w:val="28"/>
          <w:szCs w:val="28"/>
        </w:rPr>
      </w:pPr>
    </w:p>
    <w:p w14:paraId="665C4FB7" w14:textId="77777777" w:rsidR="0084086F" w:rsidRPr="00134A7C" w:rsidRDefault="0084086F" w:rsidP="00134A7C">
      <w:pPr>
        <w:pStyle w:val="NormalWeb"/>
        <w:ind w:left="480" w:hanging="480"/>
        <w:jc w:val="center"/>
        <w:rPr>
          <w:b/>
          <w:sz w:val="28"/>
          <w:szCs w:val="28"/>
        </w:rPr>
      </w:pPr>
    </w:p>
    <w:p w14:paraId="2F03BEC5" w14:textId="7793E0DB" w:rsidR="00B42538" w:rsidRDefault="0084086F" w:rsidP="00685F62">
      <w:pPr>
        <w:spacing w:line="480" w:lineRule="auto"/>
        <w:jc w:val="center"/>
        <w:rPr>
          <w:rFonts w:ascii="Times New Roman" w:hAnsi="Times New Roman" w:cs="Times New Roman"/>
          <w:b/>
          <w:sz w:val="28"/>
          <w:szCs w:val="24"/>
        </w:rPr>
      </w:pPr>
      <w:r>
        <w:rPr>
          <w:noProof/>
        </w:rPr>
        <w:lastRenderedPageBreak/>
        <w:drawing>
          <wp:inline distT="0" distB="0" distL="0" distR="0" wp14:anchorId="7F26180F" wp14:editId="3AC6B28D">
            <wp:extent cx="3905250" cy="7687410"/>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940349" cy="7756501"/>
                    </a:xfrm>
                    <a:prstGeom prst="rect">
                      <a:avLst/>
                    </a:prstGeom>
                  </pic:spPr>
                </pic:pic>
              </a:graphicData>
            </a:graphic>
          </wp:inline>
        </w:drawing>
      </w:r>
    </w:p>
    <w:p w14:paraId="0398808F" w14:textId="14430219" w:rsidR="00540649" w:rsidRDefault="0084086F" w:rsidP="00685F62">
      <w:pPr>
        <w:spacing w:line="480" w:lineRule="auto"/>
        <w:jc w:val="center"/>
        <w:rPr>
          <w:rFonts w:ascii="Times New Roman" w:hAnsi="Times New Roman" w:cs="Times New Roman"/>
          <w:b/>
          <w:sz w:val="28"/>
          <w:szCs w:val="24"/>
        </w:rPr>
      </w:pPr>
      <w:r>
        <w:rPr>
          <w:noProof/>
        </w:rPr>
        <w:lastRenderedPageBreak/>
        <w:drawing>
          <wp:inline distT="0" distB="0" distL="0" distR="0" wp14:anchorId="69B42523" wp14:editId="3CAE8D17">
            <wp:extent cx="4429125" cy="7696324"/>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436037" cy="7708334"/>
                    </a:xfrm>
                    <a:prstGeom prst="rect">
                      <a:avLst/>
                    </a:prstGeom>
                  </pic:spPr>
                </pic:pic>
              </a:graphicData>
            </a:graphic>
          </wp:inline>
        </w:drawing>
      </w:r>
    </w:p>
    <w:p w14:paraId="61EF7950" w14:textId="6E08E689" w:rsidR="00540649" w:rsidRDefault="0084086F" w:rsidP="00685F62">
      <w:pPr>
        <w:spacing w:line="480" w:lineRule="auto"/>
        <w:jc w:val="center"/>
        <w:rPr>
          <w:rFonts w:ascii="Times New Roman" w:hAnsi="Times New Roman" w:cs="Times New Roman"/>
          <w:b/>
          <w:sz w:val="28"/>
          <w:szCs w:val="24"/>
        </w:rPr>
      </w:pPr>
      <w:r>
        <w:rPr>
          <w:noProof/>
        </w:rPr>
        <w:lastRenderedPageBreak/>
        <w:drawing>
          <wp:inline distT="0" distB="0" distL="0" distR="0" wp14:anchorId="6680FD65" wp14:editId="76D67DF7">
            <wp:extent cx="4095750" cy="8362156"/>
            <wp:effectExtent l="0" t="0" r="0"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102722" cy="8376390"/>
                    </a:xfrm>
                    <a:prstGeom prst="rect">
                      <a:avLst/>
                    </a:prstGeom>
                  </pic:spPr>
                </pic:pic>
              </a:graphicData>
            </a:graphic>
          </wp:inline>
        </w:drawing>
      </w:r>
    </w:p>
    <w:p w14:paraId="4D9AAE29" w14:textId="06C16E7A" w:rsidR="00540649" w:rsidRDefault="0084086F" w:rsidP="0084086F">
      <w:pPr>
        <w:spacing w:line="480" w:lineRule="auto"/>
        <w:jc w:val="center"/>
        <w:rPr>
          <w:rFonts w:ascii="Times New Roman" w:hAnsi="Times New Roman" w:cs="Times New Roman"/>
          <w:b/>
          <w:sz w:val="28"/>
          <w:szCs w:val="24"/>
        </w:rPr>
      </w:pPr>
      <w:r>
        <w:rPr>
          <w:noProof/>
        </w:rPr>
        <w:lastRenderedPageBreak/>
        <w:drawing>
          <wp:inline distT="0" distB="0" distL="0" distR="0" wp14:anchorId="7FA839FC" wp14:editId="3C91D2C8">
            <wp:extent cx="8295958" cy="5147868"/>
            <wp:effectExtent l="0" t="6985" r="3175"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rot="16200000">
                      <a:off x="0" y="0"/>
                      <a:ext cx="8313708" cy="5158882"/>
                    </a:xfrm>
                    <a:prstGeom prst="rect">
                      <a:avLst/>
                    </a:prstGeom>
                  </pic:spPr>
                </pic:pic>
              </a:graphicData>
            </a:graphic>
          </wp:inline>
        </w:drawing>
      </w:r>
    </w:p>
    <w:p w14:paraId="21328982" w14:textId="034264F8" w:rsidR="00540649" w:rsidRDefault="0084086F" w:rsidP="0084086F">
      <w:pPr>
        <w:rPr>
          <w:rFonts w:ascii="Times New Roman" w:hAnsi="Times New Roman" w:cs="Times New Roman"/>
          <w:b/>
          <w:sz w:val="28"/>
          <w:szCs w:val="24"/>
        </w:rPr>
      </w:pPr>
      <w:r>
        <w:rPr>
          <w:noProof/>
        </w:rPr>
        <w:lastRenderedPageBreak/>
        <w:drawing>
          <wp:inline distT="0" distB="0" distL="0" distR="0" wp14:anchorId="72128DC0" wp14:editId="434304CD">
            <wp:extent cx="8359051" cy="5143728"/>
            <wp:effectExtent l="7303"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rot="16200000">
                      <a:off x="0" y="0"/>
                      <a:ext cx="8375764" cy="5154012"/>
                    </a:xfrm>
                    <a:prstGeom prst="rect">
                      <a:avLst/>
                    </a:prstGeom>
                  </pic:spPr>
                </pic:pic>
              </a:graphicData>
            </a:graphic>
          </wp:inline>
        </w:drawing>
      </w:r>
      <w:r w:rsidR="00540649">
        <w:rPr>
          <w:rFonts w:ascii="Times New Roman" w:hAnsi="Times New Roman" w:cs="Times New Roman"/>
          <w:b/>
          <w:sz w:val="28"/>
          <w:szCs w:val="24"/>
        </w:rPr>
        <w:br w:type="page"/>
      </w:r>
    </w:p>
    <w:p w14:paraId="1EF6DFC2" w14:textId="234EF91A" w:rsidR="00540649" w:rsidRDefault="0084086F" w:rsidP="0084086F">
      <w:pPr>
        <w:rPr>
          <w:rFonts w:ascii="Times New Roman" w:hAnsi="Times New Roman" w:cs="Times New Roman"/>
          <w:b/>
          <w:sz w:val="28"/>
          <w:szCs w:val="24"/>
        </w:rPr>
      </w:pPr>
      <w:r>
        <w:rPr>
          <w:noProof/>
        </w:rPr>
        <w:lastRenderedPageBreak/>
        <w:drawing>
          <wp:inline distT="0" distB="0" distL="0" distR="0" wp14:anchorId="4E793D58" wp14:editId="2D52E540">
            <wp:extent cx="8413227" cy="5212715"/>
            <wp:effectExtent l="0" t="0" r="6985" b="698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rot="16200000">
                      <a:off x="0" y="0"/>
                      <a:ext cx="8418844" cy="5216195"/>
                    </a:xfrm>
                    <a:prstGeom prst="rect">
                      <a:avLst/>
                    </a:prstGeom>
                  </pic:spPr>
                </pic:pic>
              </a:graphicData>
            </a:graphic>
          </wp:inline>
        </w:drawing>
      </w:r>
      <w:r w:rsidR="00540649">
        <w:rPr>
          <w:rFonts w:ascii="Times New Roman" w:hAnsi="Times New Roman" w:cs="Times New Roman"/>
          <w:b/>
          <w:sz w:val="28"/>
          <w:szCs w:val="24"/>
        </w:rPr>
        <w:br w:type="page"/>
      </w:r>
    </w:p>
    <w:p w14:paraId="57B45B5A" w14:textId="136703B7" w:rsidR="00540649" w:rsidRDefault="0084086F" w:rsidP="0084086F">
      <w:pPr>
        <w:rPr>
          <w:rFonts w:ascii="Times New Roman" w:hAnsi="Times New Roman" w:cs="Times New Roman"/>
          <w:b/>
          <w:sz w:val="28"/>
          <w:szCs w:val="24"/>
        </w:rPr>
      </w:pPr>
      <w:r>
        <w:rPr>
          <w:noProof/>
        </w:rPr>
        <w:lastRenderedPageBreak/>
        <w:drawing>
          <wp:inline distT="0" distB="0" distL="0" distR="0" wp14:anchorId="66685450" wp14:editId="582AD180">
            <wp:extent cx="8298224" cy="5089695"/>
            <wp:effectExtent l="4127"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rot="16200000">
                      <a:off x="0" y="0"/>
                      <a:ext cx="8322664" cy="5104686"/>
                    </a:xfrm>
                    <a:prstGeom prst="rect">
                      <a:avLst/>
                    </a:prstGeom>
                  </pic:spPr>
                </pic:pic>
              </a:graphicData>
            </a:graphic>
          </wp:inline>
        </w:drawing>
      </w:r>
      <w:r w:rsidR="00540649">
        <w:rPr>
          <w:rFonts w:ascii="Times New Roman" w:hAnsi="Times New Roman" w:cs="Times New Roman"/>
          <w:b/>
          <w:sz w:val="28"/>
          <w:szCs w:val="24"/>
        </w:rPr>
        <w:br w:type="page"/>
      </w:r>
    </w:p>
    <w:p w14:paraId="24B8621A" w14:textId="0A6300EF" w:rsidR="00540649" w:rsidRDefault="0084086F">
      <w:pPr>
        <w:rPr>
          <w:rFonts w:ascii="Times New Roman" w:hAnsi="Times New Roman" w:cs="Times New Roman"/>
          <w:b/>
          <w:sz w:val="28"/>
          <w:szCs w:val="24"/>
        </w:rPr>
      </w:pPr>
      <w:r>
        <w:rPr>
          <w:noProof/>
        </w:rPr>
        <w:lastRenderedPageBreak/>
        <w:drawing>
          <wp:inline distT="0" distB="0" distL="0" distR="0" wp14:anchorId="132777DD" wp14:editId="45D73F74">
            <wp:extent cx="8303260" cy="5115262"/>
            <wp:effectExtent l="0" t="6033"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rot="16200000">
                      <a:off x="0" y="0"/>
                      <a:ext cx="8315631" cy="5122884"/>
                    </a:xfrm>
                    <a:prstGeom prst="rect">
                      <a:avLst/>
                    </a:prstGeom>
                  </pic:spPr>
                </pic:pic>
              </a:graphicData>
            </a:graphic>
          </wp:inline>
        </w:drawing>
      </w:r>
      <w:r w:rsidR="00540649">
        <w:rPr>
          <w:rFonts w:ascii="Times New Roman" w:hAnsi="Times New Roman" w:cs="Times New Roman"/>
          <w:b/>
          <w:sz w:val="28"/>
          <w:szCs w:val="24"/>
        </w:rPr>
        <w:br w:type="page"/>
      </w:r>
    </w:p>
    <w:p w14:paraId="2888CDE0" w14:textId="1B71AF3A" w:rsidR="00540649" w:rsidRDefault="0084086F" w:rsidP="00685F62">
      <w:pPr>
        <w:spacing w:line="480" w:lineRule="auto"/>
        <w:jc w:val="center"/>
        <w:rPr>
          <w:rFonts w:ascii="Times New Roman" w:hAnsi="Times New Roman" w:cs="Times New Roman"/>
          <w:b/>
          <w:sz w:val="28"/>
          <w:szCs w:val="24"/>
        </w:rPr>
      </w:pPr>
      <w:r>
        <w:rPr>
          <w:noProof/>
        </w:rPr>
        <w:lastRenderedPageBreak/>
        <w:drawing>
          <wp:inline distT="0" distB="0" distL="0" distR="0" wp14:anchorId="735BFCA3" wp14:editId="3FF49E1B">
            <wp:extent cx="8008565" cy="4916746"/>
            <wp:effectExtent l="2858"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rot="16200000">
                      <a:off x="0" y="0"/>
                      <a:ext cx="8034168" cy="4932465"/>
                    </a:xfrm>
                    <a:prstGeom prst="rect">
                      <a:avLst/>
                    </a:prstGeom>
                  </pic:spPr>
                </pic:pic>
              </a:graphicData>
            </a:graphic>
          </wp:inline>
        </w:drawing>
      </w:r>
    </w:p>
    <w:p w14:paraId="7DEB6B1B" w14:textId="32F4ACFA" w:rsidR="00540649" w:rsidRDefault="00540649" w:rsidP="006D738C">
      <w:pPr>
        <w:jc w:val="both"/>
        <w:rPr>
          <w:rFonts w:ascii="Times New Roman" w:hAnsi="Times New Roman" w:cs="Times New Roman"/>
          <w:b/>
          <w:sz w:val="28"/>
          <w:szCs w:val="24"/>
        </w:rPr>
      </w:pPr>
      <w:r>
        <w:rPr>
          <w:rFonts w:ascii="Times New Roman" w:hAnsi="Times New Roman" w:cs="Times New Roman"/>
          <w:b/>
          <w:sz w:val="28"/>
          <w:szCs w:val="24"/>
        </w:rPr>
        <w:br w:type="page"/>
      </w:r>
      <w:r w:rsidR="0084086F">
        <w:rPr>
          <w:noProof/>
        </w:rPr>
        <w:lastRenderedPageBreak/>
        <w:drawing>
          <wp:inline distT="0" distB="0" distL="0" distR="0" wp14:anchorId="6F9CC9BC" wp14:editId="0962F066">
            <wp:extent cx="8043272" cy="4934267"/>
            <wp:effectExtent l="0" t="7620" r="762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rot="16200000">
                      <a:off x="0" y="0"/>
                      <a:ext cx="8056278" cy="4942246"/>
                    </a:xfrm>
                    <a:prstGeom prst="rect">
                      <a:avLst/>
                    </a:prstGeom>
                  </pic:spPr>
                </pic:pic>
              </a:graphicData>
            </a:graphic>
          </wp:inline>
        </w:drawing>
      </w:r>
    </w:p>
    <w:p w14:paraId="0B3CAC8A" w14:textId="234AB5D1" w:rsidR="00540649" w:rsidRDefault="00F7759E">
      <w:pPr>
        <w:rPr>
          <w:rFonts w:ascii="Times New Roman" w:hAnsi="Times New Roman" w:cs="Times New Roman"/>
          <w:b/>
          <w:sz w:val="28"/>
          <w:szCs w:val="24"/>
        </w:rPr>
      </w:pPr>
      <w:r>
        <w:rPr>
          <w:noProof/>
        </w:rPr>
        <w:lastRenderedPageBreak/>
        <w:drawing>
          <wp:inline distT="0" distB="0" distL="0" distR="0" wp14:anchorId="042DCF9F" wp14:editId="26736C20">
            <wp:extent cx="8394827" cy="5218112"/>
            <wp:effectExtent l="7302"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rot="16200000">
                      <a:off x="0" y="0"/>
                      <a:ext cx="8409603" cy="5227297"/>
                    </a:xfrm>
                    <a:prstGeom prst="rect">
                      <a:avLst/>
                    </a:prstGeom>
                  </pic:spPr>
                </pic:pic>
              </a:graphicData>
            </a:graphic>
          </wp:inline>
        </w:drawing>
      </w:r>
      <w:r w:rsidR="00540649">
        <w:rPr>
          <w:rFonts w:ascii="Times New Roman" w:hAnsi="Times New Roman" w:cs="Times New Roman"/>
          <w:b/>
          <w:sz w:val="28"/>
          <w:szCs w:val="24"/>
        </w:rPr>
        <w:br w:type="page"/>
      </w:r>
    </w:p>
    <w:p w14:paraId="75586408" w14:textId="67E5BFCD" w:rsidR="006D738C" w:rsidRDefault="00F7759E" w:rsidP="006D738C">
      <w:pPr>
        <w:spacing w:line="480" w:lineRule="auto"/>
        <w:rPr>
          <w:rFonts w:ascii="Times New Roman" w:hAnsi="Times New Roman" w:cs="Times New Roman"/>
          <w:b/>
          <w:sz w:val="28"/>
          <w:szCs w:val="24"/>
        </w:rPr>
      </w:pPr>
      <w:r>
        <w:rPr>
          <w:noProof/>
        </w:rPr>
        <w:lastRenderedPageBreak/>
        <w:drawing>
          <wp:inline distT="0" distB="0" distL="0" distR="0" wp14:anchorId="73FBF77B" wp14:editId="70D8DA45">
            <wp:extent cx="8118509" cy="5036801"/>
            <wp:effectExtent l="0" t="1905"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rot="16200000">
                      <a:off x="0" y="0"/>
                      <a:ext cx="8141937" cy="5051336"/>
                    </a:xfrm>
                    <a:prstGeom prst="rect">
                      <a:avLst/>
                    </a:prstGeom>
                  </pic:spPr>
                </pic:pic>
              </a:graphicData>
            </a:graphic>
          </wp:inline>
        </w:drawing>
      </w:r>
    </w:p>
    <w:p w14:paraId="7E9C46B2" w14:textId="19D2EB79" w:rsidR="006D738C" w:rsidRDefault="006D738C">
      <w:pPr>
        <w:rPr>
          <w:rFonts w:ascii="Times New Roman" w:hAnsi="Times New Roman" w:cs="Times New Roman"/>
          <w:b/>
          <w:sz w:val="28"/>
          <w:szCs w:val="24"/>
        </w:rPr>
      </w:pPr>
      <w:r>
        <w:rPr>
          <w:rFonts w:ascii="Times New Roman" w:hAnsi="Times New Roman" w:cs="Times New Roman"/>
          <w:b/>
          <w:sz w:val="28"/>
          <w:szCs w:val="24"/>
        </w:rPr>
        <w:br w:type="page"/>
      </w:r>
      <w:r w:rsidR="00F7759E">
        <w:rPr>
          <w:noProof/>
        </w:rPr>
        <w:lastRenderedPageBreak/>
        <w:drawing>
          <wp:inline distT="0" distB="0" distL="0" distR="0" wp14:anchorId="4BA0449E" wp14:editId="6171F7ED">
            <wp:extent cx="8427511" cy="5222557"/>
            <wp:effectExtent l="2223"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rot="16200000">
                      <a:off x="0" y="0"/>
                      <a:ext cx="8440357" cy="5230517"/>
                    </a:xfrm>
                    <a:prstGeom prst="rect">
                      <a:avLst/>
                    </a:prstGeom>
                  </pic:spPr>
                </pic:pic>
              </a:graphicData>
            </a:graphic>
          </wp:inline>
        </w:drawing>
      </w:r>
    </w:p>
    <w:p w14:paraId="07DBF289" w14:textId="76313CB0" w:rsidR="006D738C" w:rsidRDefault="00F7759E" w:rsidP="006D738C">
      <w:pPr>
        <w:spacing w:line="480" w:lineRule="auto"/>
        <w:rPr>
          <w:rFonts w:ascii="Times New Roman" w:hAnsi="Times New Roman" w:cs="Times New Roman"/>
          <w:b/>
          <w:sz w:val="28"/>
          <w:szCs w:val="24"/>
        </w:rPr>
      </w:pPr>
      <w:r>
        <w:rPr>
          <w:noProof/>
        </w:rPr>
        <w:lastRenderedPageBreak/>
        <w:drawing>
          <wp:inline distT="0" distB="0" distL="0" distR="0" wp14:anchorId="59F21A9B" wp14:editId="5C1AC87C">
            <wp:extent cx="8200834" cy="5015482"/>
            <wp:effectExtent l="0" t="7620" r="2540"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rot="16200000">
                      <a:off x="0" y="0"/>
                      <a:ext cx="8209415" cy="5020730"/>
                    </a:xfrm>
                    <a:prstGeom prst="rect">
                      <a:avLst/>
                    </a:prstGeom>
                  </pic:spPr>
                </pic:pic>
              </a:graphicData>
            </a:graphic>
          </wp:inline>
        </w:drawing>
      </w:r>
    </w:p>
    <w:p w14:paraId="48A1819D" w14:textId="6154DC38" w:rsidR="006D738C" w:rsidRDefault="006D738C">
      <w:pPr>
        <w:rPr>
          <w:rFonts w:ascii="Times New Roman" w:hAnsi="Times New Roman" w:cs="Times New Roman"/>
          <w:b/>
          <w:sz w:val="28"/>
          <w:szCs w:val="24"/>
        </w:rPr>
      </w:pPr>
      <w:r>
        <w:rPr>
          <w:rFonts w:ascii="Times New Roman" w:hAnsi="Times New Roman" w:cs="Times New Roman"/>
          <w:b/>
          <w:sz w:val="28"/>
          <w:szCs w:val="24"/>
        </w:rPr>
        <w:br w:type="page"/>
      </w:r>
      <w:r w:rsidR="00F7759E">
        <w:rPr>
          <w:noProof/>
        </w:rPr>
        <w:lastRenderedPageBreak/>
        <w:drawing>
          <wp:inline distT="0" distB="0" distL="0" distR="0" wp14:anchorId="0F913C18" wp14:editId="67A2C90F">
            <wp:extent cx="8356781" cy="5299710"/>
            <wp:effectExtent l="4445"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rot="16200000">
                      <a:off x="0" y="0"/>
                      <a:ext cx="8368943" cy="5307423"/>
                    </a:xfrm>
                    <a:prstGeom prst="rect">
                      <a:avLst/>
                    </a:prstGeom>
                  </pic:spPr>
                </pic:pic>
              </a:graphicData>
            </a:graphic>
          </wp:inline>
        </w:drawing>
      </w:r>
    </w:p>
    <w:p w14:paraId="2DF614BE" w14:textId="67558BD8" w:rsidR="00540649" w:rsidRPr="00B42538" w:rsidRDefault="00F7759E" w:rsidP="006D738C">
      <w:pPr>
        <w:spacing w:line="480" w:lineRule="auto"/>
        <w:rPr>
          <w:rFonts w:ascii="Times New Roman" w:hAnsi="Times New Roman" w:cs="Times New Roman"/>
          <w:b/>
          <w:sz w:val="28"/>
          <w:szCs w:val="24"/>
        </w:rPr>
      </w:pPr>
      <w:r>
        <w:rPr>
          <w:noProof/>
        </w:rPr>
        <w:lastRenderedPageBreak/>
        <w:drawing>
          <wp:inline distT="0" distB="0" distL="0" distR="0" wp14:anchorId="57E2D4D4" wp14:editId="50B26AC9">
            <wp:extent cx="8338217" cy="5234940"/>
            <wp:effectExtent l="8573"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rot="16200000">
                      <a:off x="0" y="0"/>
                      <a:ext cx="8351198" cy="5243090"/>
                    </a:xfrm>
                    <a:prstGeom prst="rect">
                      <a:avLst/>
                    </a:prstGeom>
                  </pic:spPr>
                </pic:pic>
              </a:graphicData>
            </a:graphic>
          </wp:inline>
        </w:drawing>
      </w:r>
    </w:p>
    <w:sectPr w:rsidR="00540649" w:rsidRPr="00B42538" w:rsidSect="003D4CF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7D5422" w14:textId="77777777" w:rsidR="006C6E6C" w:rsidRDefault="006C6E6C" w:rsidP="006E3127">
      <w:pPr>
        <w:spacing w:after="0" w:line="240" w:lineRule="auto"/>
      </w:pPr>
      <w:r>
        <w:separator/>
      </w:r>
    </w:p>
  </w:endnote>
  <w:endnote w:type="continuationSeparator" w:id="0">
    <w:p w14:paraId="7052711D" w14:textId="77777777" w:rsidR="006C6E6C" w:rsidRDefault="006C6E6C" w:rsidP="006E3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2AA5E7" w14:textId="49D9E51F" w:rsidR="003B75B3" w:rsidRDefault="003B75B3">
    <w:pPr>
      <w:pStyle w:val="Footer"/>
      <w:jc w:val="right"/>
    </w:pPr>
  </w:p>
  <w:p w14:paraId="36B3EAB8" w14:textId="77777777" w:rsidR="003B75B3" w:rsidRDefault="003B75B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189061"/>
      <w:docPartObj>
        <w:docPartGallery w:val="Page Numbers (Bottom of Page)"/>
        <w:docPartUnique/>
      </w:docPartObj>
    </w:sdtPr>
    <w:sdtEndPr>
      <w:rPr>
        <w:noProof/>
      </w:rPr>
    </w:sdtEndPr>
    <w:sdtContent>
      <w:p w14:paraId="6BA3FE0B" w14:textId="77777777" w:rsidR="008F706D" w:rsidRDefault="008F706D">
        <w:pPr>
          <w:pStyle w:val="Footer"/>
          <w:jc w:val="right"/>
        </w:pPr>
        <w:r>
          <w:fldChar w:fldCharType="begin"/>
        </w:r>
        <w:r>
          <w:instrText xml:space="preserve"> PAGE   \* MERGEFORMAT </w:instrText>
        </w:r>
        <w:r>
          <w:fldChar w:fldCharType="separate"/>
        </w:r>
        <w:r w:rsidR="00AB1B84">
          <w:rPr>
            <w:noProof/>
          </w:rPr>
          <w:t>7</w:t>
        </w:r>
        <w:r>
          <w:rPr>
            <w:noProof/>
          </w:rPr>
          <w:fldChar w:fldCharType="end"/>
        </w:r>
      </w:p>
    </w:sdtContent>
  </w:sdt>
  <w:p w14:paraId="0D55DF77" w14:textId="77777777" w:rsidR="008F706D" w:rsidRDefault="008F70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2AB1A" w14:textId="77777777" w:rsidR="006C6E6C" w:rsidRDefault="006C6E6C" w:rsidP="006E3127">
      <w:pPr>
        <w:spacing w:after="0" w:line="240" w:lineRule="auto"/>
      </w:pPr>
      <w:r>
        <w:separator/>
      </w:r>
    </w:p>
  </w:footnote>
  <w:footnote w:type="continuationSeparator" w:id="0">
    <w:p w14:paraId="6739BE10" w14:textId="77777777" w:rsidR="006C6E6C" w:rsidRDefault="006C6E6C" w:rsidP="006E31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13055"/>
    <w:multiLevelType w:val="hybridMultilevel"/>
    <w:tmpl w:val="BD86391A"/>
    <w:lvl w:ilvl="0" w:tplc="7730D332">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70296F"/>
    <w:multiLevelType w:val="hybridMultilevel"/>
    <w:tmpl w:val="78EEBCD6"/>
    <w:lvl w:ilvl="0" w:tplc="C33A0F76">
      <w:start w:val="7"/>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B27A6"/>
    <w:multiLevelType w:val="hybridMultilevel"/>
    <w:tmpl w:val="F614FC08"/>
    <w:lvl w:ilvl="0" w:tplc="3A4024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7F2615"/>
    <w:multiLevelType w:val="multilevel"/>
    <w:tmpl w:val="177E9BB6"/>
    <w:lvl w:ilvl="0">
      <w:start w:val="2"/>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2E0F25FB"/>
    <w:multiLevelType w:val="hybridMultilevel"/>
    <w:tmpl w:val="B3148E2A"/>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2F435245"/>
    <w:multiLevelType w:val="hybridMultilevel"/>
    <w:tmpl w:val="11147AA8"/>
    <w:lvl w:ilvl="0" w:tplc="1772F5AA">
      <w:start w:val="1"/>
      <w:numFmt w:val="decimal"/>
      <w:lvlText w:val="%1."/>
      <w:lvlJc w:val="left"/>
      <w:pPr>
        <w:ind w:left="432" w:hanging="360"/>
      </w:pPr>
      <w:rPr>
        <w:rFonts w:ascii="Arial" w:hAnsi="Arial" w:cs="Arial" w:hint="default"/>
        <w:b w:val="0"/>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6" w15:restartNumberingAfterBreak="0">
    <w:nsid w:val="4ACD7021"/>
    <w:multiLevelType w:val="hybridMultilevel"/>
    <w:tmpl w:val="6870EFDA"/>
    <w:lvl w:ilvl="0" w:tplc="C086771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9A3DC9"/>
    <w:multiLevelType w:val="multilevel"/>
    <w:tmpl w:val="149E66FC"/>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CFE3B1E"/>
    <w:multiLevelType w:val="hybridMultilevel"/>
    <w:tmpl w:val="522E1E18"/>
    <w:lvl w:ilvl="0" w:tplc="F4DA0F5C">
      <w:start w:val="1"/>
      <w:numFmt w:val="decimal"/>
      <w:lvlText w:val="%1)"/>
      <w:lvlJc w:val="left"/>
      <w:pPr>
        <w:tabs>
          <w:tab w:val="num" w:pos="720"/>
        </w:tabs>
        <w:ind w:left="720" w:hanging="360"/>
      </w:pPr>
    </w:lvl>
    <w:lvl w:ilvl="1" w:tplc="BF303B9E" w:tentative="1">
      <w:start w:val="1"/>
      <w:numFmt w:val="decimal"/>
      <w:lvlText w:val="%2)"/>
      <w:lvlJc w:val="left"/>
      <w:pPr>
        <w:tabs>
          <w:tab w:val="num" w:pos="1440"/>
        </w:tabs>
        <w:ind w:left="1440" w:hanging="360"/>
      </w:pPr>
    </w:lvl>
    <w:lvl w:ilvl="2" w:tplc="6F6C076E" w:tentative="1">
      <w:start w:val="1"/>
      <w:numFmt w:val="decimal"/>
      <w:lvlText w:val="%3)"/>
      <w:lvlJc w:val="left"/>
      <w:pPr>
        <w:tabs>
          <w:tab w:val="num" w:pos="2160"/>
        </w:tabs>
        <w:ind w:left="2160" w:hanging="360"/>
      </w:pPr>
    </w:lvl>
    <w:lvl w:ilvl="3" w:tplc="5F80201C" w:tentative="1">
      <w:start w:val="1"/>
      <w:numFmt w:val="decimal"/>
      <w:lvlText w:val="%4)"/>
      <w:lvlJc w:val="left"/>
      <w:pPr>
        <w:tabs>
          <w:tab w:val="num" w:pos="2880"/>
        </w:tabs>
        <w:ind w:left="2880" w:hanging="360"/>
      </w:pPr>
    </w:lvl>
    <w:lvl w:ilvl="4" w:tplc="141CED48" w:tentative="1">
      <w:start w:val="1"/>
      <w:numFmt w:val="decimal"/>
      <w:lvlText w:val="%5)"/>
      <w:lvlJc w:val="left"/>
      <w:pPr>
        <w:tabs>
          <w:tab w:val="num" w:pos="3600"/>
        </w:tabs>
        <w:ind w:left="3600" w:hanging="360"/>
      </w:pPr>
    </w:lvl>
    <w:lvl w:ilvl="5" w:tplc="6750FC20" w:tentative="1">
      <w:start w:val="1"/>
      <w:numFmt w:val="decimal"/>
      <w:lvlText w:val="%6)"/>
      <w:lvlJc w:val="left"/>
      <w:pPr>
        <w:tabs>
          <w:tab w:val="num" w:pos="4320"/>
        </w:tabs>
        <w:ind w:left="4320" w:hanging="360"/>
      </w:pPr>
    </w:lvl>
    <w:lvl w:ilvl="6" w:tplc="06F40ED6" w:tentative="1">
      <w:start w:val="1"/>
      <w:numFmt w:val="decimal"/>
      <w:lvlText w:val="%7)"/>
      <w:lvlJc w:val="left"/>
      <w:pPr>
        <w:tabs>
          <w:tab w:val="num" w:pos="5040"/>
        </w:tabs>
        <w:ind w:left="5040" w:hanging="360"/>
      </w:pPr>
    </w:lvl>
    <w:lvl w:ilvl="7" w:tplc="7B2813E4" w:tentative="1">
      <w:start w:val="1"/>
      <w:numFmt w:val="decimal"/>
      <w:lvlText w:val="%8)"/>
      <w:lvlJc w:val="left"/>
      <w:pPr>
        <w:tabs>
          <w:tab w:val="num" w:pos="5760"/>
        </w:tabs>
        <w:ind w:left="5760" w:hanging="360"/>
      </w:pPr>
    </w:lvl>
    <w:lvl w:ilvl="8" w:tplc="7EFE64AE" w:tentative="1">
      <w:start w:val="1"/>
      <w:numFmt w:val="decimal"/>
      <w:lvlText w:val="%9)"/>
      <w:lvlJc w:val="left"/>
      <w:pPr>
        <w:tabs>
          <w:tab w:val="num" w:pos="6480"/>
        </w:tabs>
        <w:ind w:left="6480" w:hanging="360"/>
      </w:pPr>
    </w:lvl>
  </w:abstractNum>
  <w:abstractNum w:abstractNumId="9" w15:restartNumberingAfterBreak="0">
    <w:nsid w:val="69594541"/>
    <w:multiLevelType w:val="hybridMultilevel"/>
    <w:tmpl w:val="A9CEDFFC"/>
    <w:lvl w:ilvl="0" w:tplc="3A4024E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A3A78C3"/>
    <w:multiLevelType w:val="multilevel"/>
    <w:tmpl w:val="50A43DBA"/>
    <w:lvl w:ilvl="0">
      <w:start w:val="5"/>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6DE7794E"/>
    <w:multiLevelType w:val="hybridMultilevel"/>
    <w:tmpl w:val="9FFABA26"/>
    <w:lvl w:ilvl="0" w:tplc="04090001">
      <w:start w:val="1"/>
      <w:numFmt w:val="bullet"/>
      <w:lvlText w:val=""/>
      <w:lvlJc w:val="left"/>
      <w:pPr>
        <w:tabs>
          <w:tab w:val="num" w:pos="720"/>
        </w:tabs>
        <w:ind w:left="720" w:hanging="360"/>
      </w:pPr>
      <w:rPr>
        <w:rFonts w:ascii="Symbol" w:hAnsi="Symbol" w:hint="default"/>
      </w:rPr>
    </w:lvl>
    <w:lvl w:ilvl="1" w:tplc="BF303B9E">
      <w:start w:val="1"/>
      <w:numFmt w:val="decimal"/>
      <w:lvlText w:val="%2)"/>
      <w:lvlJc w:val="left"/>
      <w:pPr>
        <w:tabs>
          <w:tab w:val="num" w:pos="1440"/>
        </w:tabs>
        <w:ind w:left="1440" w:hanging="360"/>
      </w:pPr>
    </w:lvl>
    <w:lvl w:ilvl="2" w:tplc="6F6C076E">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141CED48">
      <w:start w:val="1"/>
      <w:numFmt w:val="decimal"/>
      <w:lvlText w:val="%5)"/>
      <w:lvlJc w:val="left"/>
      <w:pPr>
        <w:tabs>
          <w:tab w:val="num" w:pos="3600"/>
        </w:tabs>
        <w:ind w:left="3600" w:hanging="360"/>
      </w:pPr>
    </w:lvl>
    <w:lvl w:ilvl="5" w:tplc="6750FC20">
      <w:start w:val="1"/>
      <w:numFmt w:val="decimal"/>
      <w:lvlText w:val="%6)"/>
      <w:lvlJc w:val="left"/>
      <w:pPr>
        <w:tabs>
          <w:tab w:val="num" w:pos="4320"/>
        </w:tabs>
        <w:ind w:left="4320" w:hanging="360"/>
      </w:pPr>
    </w:lvl>
    <w:lvl w:ilvl="6" w:tplc="06F40ED6">
      <w:start w:val="1"/>
      <w:numFmt w:val="decimal"/>
      <w:lvlText w:val="%7)"/>
      <w:lvlJc w:val="left"/>
      <w:pPr>
        <w:tabs>
          <w:tab w:val="num" w:pos="5040"/>
        </w:tabs>
        <w:ind w:left="5040" w:hanging="360"/>
      </w:pPr>
    </w:lvl>
    <w:lvl w:ilvl="7" w:tplc="7B2813E4">
      <w:start w:val="1"/>
      <w:numFmt w:val="decimal"/>
      <w:lvlText w:val="%8)"/>
      <w:lvlJc w:val="left"/>
      <w:pPr>
        <w:tabs>
          <w:tab w:val="num" w:pos="5760"/>
        </w:tabs>
        <w:ind w:left="5760" w:hanging="360"/>
      </w:pPr>
    </w:lvl>
    <w:lvl w:ilvl="8" w:tplc="7EFE64AE">
      <w:start w:val="1"/>
      <w:numFmt w:val="decimal"/>
      <w:lvlText w:val="%9)"/>
      <w:lvlJc w:val="left"/>
      <w:pPr>
        <w:tabs>
          <w:tab w:val="num" w:pos="6480"/>
        </w:tabs>
        <w:ind w:left="6480" w:hanging="360"/>
      </w:pPr>
    </w:lvl>
  </w:abstractNum>
  <w:abstractNum w:abstractNumId="12" w15:restartNumberingAfterBreak="0">
    <w:nsid w:val="6F0A1539"/>
    <w:multiLevelType w:val="hybridMultilevel"/>
    <w:tmpl w:val="5FFE2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8A614A"/>
    <w:multiLevelType w:val="hybridMultilevel"/>
    <w:tmpl w:val="3A1CD6B4"/>
    <w:lvl w:ilvl="0" w:tplc="5D40F42E">
      <w:start w:val="1"/>
      <w:numFmt w:val="decimal"/>
      <w:lvlText w:val="%1)"/>
      <w:lvlJc w:val="left"/>
      <w:pPr>
        <w:tabs>
          <w:tab w:val="num" w:pos="720"/>
        </w:tabs>
        <w:ind w:left="720" w:hanging="360"/>
      </w:pPr>
    </w:lvl>
    <w:lvl w:ilvl="1" w:tplc="3C945C5A" w:tentative="1">
      <w:start w:val="1"/>
      <w:numFmt w:val="decimal"/>
      <w:lvlText w:val="%2)"/>
      <w:lvlJc w:val="left"/>
      <w:pPr>
        <w:tabs>
          <w:tab w:val="num" w:pos="1440"/>
        </w:tabs>
        <w:ind w:left="1440" w:hanging="360"/>
      </w:pPr>
    </w:lvl>
    <w:lvl w:ilvl="2" w:tplc="782CC8A8" w:tentative="1">
      <w:start w:val="1"/>
      <w:numFmt w:val="decimal"/>
      <w:lvlText w:val="%3)"/>
      <w:lvlJc w:val="left"/>
      <w:pPr>
        <w:tabs>
          <w:tab w:val="num" w:pos="2160"/>
        </w:tabs>
        <w:ind w:left="2160" w:hanging="360"/>
      </w:pPr>
    </w:lvl>
    <w:lvl w:ilvl="3" w:tplc="6220EA32" w:tentative="1">
      <w:start w:val="1"/>
      <w:numFmt w:val="decimal"/>
      <w:lvlText w:val="%4)"/>
      <w:lvlJc w:val="left"/>
      <w:pPr>
        <w:tabs>
          <w:tab w:val="num" w:pos="2880"/>
        </w:tabs>
        <w:ind w:left="2880" w:hanging="360"/>
      </w:pPr>
    </w:lvl>
    <w:lvl w:ilvl="4" w:tplc="3DA672D4" w:tentative="1">
      <w:start w:val="1"/>
      <w:numFmt w:val="decimal"/>
      <w:lvlText w:val="%5)"/>
      <w:lvlJc w:val="left"/>
      <w:pPr>
        <w:tabs>
          <w:tab w:val="num" w:pos="3600"/>
        </w:tabs>
        <w:ind w:left="3600" w:hanging="360"/>
      </w:pPr>
    </w:lvl>
    <w:lvl w:ilvl="5" w:tplc="C9846ADC" w:tentative="1">
      <w:start w:val="1"/>
      <w:numFmt w:val="decimal"/>
      <w:lvlText w:val="%6)"/>
      <w:lvlJc w:val="left"/>
      <w:pPr>
        <w:tabs>
          <w:tab w:val="num" w:pos="4320"/>
        </w:tabs>
        <w:ind w:left="4320" w:hanging="360"/>
      </w:pPr>
    </w:lvl>
    <w:lvl w:ilvl="6" w:tplc="E0E097CA" w:tentative="1">
      <w:start w:val="1"/>
      <w:numFmt w:val="decimal"/>
      <w:lvlText w:val="%7)"/>
      <w:lvlJc w:val="left"/>
      <w:pPr>
        <w:tabs>
          <w:tab w:val="num" w:pos="5040"/>
        </w:tabs>
        <w:ind w:left="5040" w:hanging="360"/>
      </w:pPr>
    </w:lvl>
    <w:lvl w:ilvl="7" w:tplc="BB2C2B82" w:tentative="1">
      <w:start w:val="1"/>
      <w:numFmt w:val="decimal"/>
      <w:lvlText w:val="%8)"/>
      <w:lvlJc w:val="left"/>
      <w:pPr>
        <w:tabs>
          <w:tab w:val="num" w:pos="5760"/>
        </w:tabs>
        <w:ind w:left="5760" w:hanging="360"/>
      </w:pPr>
    </w:lvl>
    <w:lvl w:ilvl="8" w:tplc="9D22943A" w:tentative="1">
      <w:start w:val="1"/>
      <w:numFmt w:val="decimal"/>
      <w:lvlText w:val="%9)"/>
      <w:lvlJc w:val="left"/>
      <w:pPr>
        <w:tabs>
          <w:tab w:val="num" w:pos="6480"/>
        </w:tabs>
        <w:ind w:left="6480" w:hanging="360"/>
      </w:pPr>
    </w:lvl>
  </w:abstractNum>
  <w:abstractNum w:abstractNumId="14" w15:restartNumberingAfterBreak="0">
    <w:nsid w:val="725D37EC"/>
    <w:multiLevelType w:val="hybridMultilevel"/>
    <w:tmpl w:val="36EA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D165D8"/>
    <w:multiLevelType w:val="hybridMultilevel"/>
    <w:tmpl w:val="380C8DE2"/>
    <w:lvl w:ilvl="0" w:tplc="6F6AC9B4">
      <w:start w:val="1"/>
      <w:numFmt w:val="decimal"/>
      <w:lvlText w:val="%1."/>
      <w:lvlJc w:val="left"/>
      <w:pPr>
        <w:ind w:left="432"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6"/>
  </w:num>
  <w:num w:numId="3">
    <w:abstractNumId w:val="0"/>
  </w:num>
  <w:num w:numId="4">
    <w:abstractNumId w:val="3"/>
  </w:num>
  <w:num w:numId="5">
    <w:abstractNumId w:val="13"/>
  </w:num>
  <w:num w:numId="6">
    <w:abstractNumId w:val="10"/>
  </w:num>
  <w:num w:numId="7">
    <w:abstractNumId w:val="7"/>
  </w:num>
  <w:num w:numId="8">
    <w:abstractNumId w:val="8"/>
  </w:num>
  <w:num w:numId="9">
    <w:abstractNumId w:val="11"/>
  </w:num>
  <w:num w:numId="10">
    <w:abstractNumId w:val="1"/>
  </w:num>
  <w:num w:numId="11">
    <w:abstractNumId w:val="2"/>
  </w:num>
  <w:num w:numId="12">
    <w:abstractNumId w:val="9"/>
  </w:num>
  <w:num w:numId="13">
    <w:abstractNumId w:val="4"/>
  </w:num>
  <w:num w:numId="14">
    <w:abstractNumId w:val="5"/>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127"/>
    <w:rsid w:val="00000127"/>
    <w:rsid w:val="00006560"/>
    <w:rsid w:val="00006D89"/>
    <w:rsid w:val="0001021F"/>
    <w:rsid w:val="00013614"/>
    <w:rsid w:val="0001457E"/>
    <w:rsid w:val="00015898"/>
    <w:rsid w:val="00016FF0"/>
    <w:rsid w:val="0002129A"/>
    <w:rsid w:val="00023F04"/>
    <w:rsid w:val="00024B5F"/>
    <w:rsid w:val="00035464"/>
    <w:rsid w:val="00035E48"/>
    <w:rsid w:val="00036C77"/>
    <w:rsid w:val="00036C9F"/>
    <w:rsid w:val="00041062"/>
    <w:rsid w:val="00041A54"/>
    <w:rsid w:val="00044C69"/>
    <w:rsid w:val="00050940"/>
    <w:rsid w:val="00052661"/>
    <w:rsid w:val="00053436"/>
    <w:rsid w:val="00062557"/>
    <w:rsid w:val="00067B74"/>
    <w:rsid w:val="00072DA3"/>
    <w:rsid w:val="00074739"/>
    <w:rsid w:val="0007661B"/>
    <w:rsid w:val="00076901"/>
    <w:rsid w:val="00080D4D"/>
    <w:rsid w:val="0008191B"/>
    <w:rsid w:val="00087BEB"/>
    <w:rsid w:val="00087D2C"/>
    <w:rsid w:val="00094CF2"/>
    <w:rsid w:val="000959B9"/>
    <w:rsid w:val="00095EEA"/>
    <w:rsid w:val="000A4BB7"/>
    <w:rsid w:val="000D0155"/>
    <w:rsid w:val="000D2F35"/>
    <w:rsid w:val="000D31B6"/>
    <w:rsid w:val="000D3A10"/>
    <w:rsid w:val="000D5329"/>
    <w:rsid w:val="000D577B"/>
    <w:rsid w:val="000D6E43"/>
    <w:rsid w:val="000E0140"/>
    <w:rsid w:val="000E1367"/>
    <w:rsid w:val="000E2315"/>
    <w:rsid w:val="000E77F8"/>
    <w:rsid w:val="000E7834"/>
    <w:rsid w:val="000F06D8"/>
    <w:rsid w:val="000F1994"/>
    <w:rsid w:val="000F6744"/>
    <w:rsid w:val="00100A24"/>
    <w:rsid w:val="00100D2D"/>
    <w:rsid w:val="00102F79"/>
    <w:rsid w:val="001046CD"/>
    <w:rsid w:val="00104F6B"/>
    <w:rsid w:val="001066B5"/>
    <w:rsid w:val="00111103"/>
    <w:rsid w:val="001159A3"/>
    <w:rsid w:val="0012052B"/>
    <w:rsid w:val="001209AC"/>
    <w:rsid w:val="00121B42"/>
    <w:rsid w:val="001252E7"/>
    <w:rsid w:val="00127482"/>
    <w:rsid w:val="00127B2D"/>
    <w:rsid w:val="00131205"/>
    <w:rsid w:val="00134418"/>
    <w:rsid w:val="00134A7C"/>
    <w:rsid w:val="00134C6B"/>
    <w:rsid w:val="00134E33"/>
    <w:rsid w:val="00142A49"/>
    <w:rsid w:val="0014349C"/>
    <w:rsid w:val="00144AF9"/>
    <w:rsid w:val="00147395"/>
    <w:rsid w:val="001515DA"/>
    <w:rsid w:val="0015520A"/>
    <w:rsid w:val="00156C71"/>
    <w:rsid w:val="0016080E"/>
    <w:rsid w:val="0016641A"/>
    <w:rsid w:val="00166D17"/>
    <w:rsid w:val="0017232D"/>
    <w:rsid w:val="00174903"/>
    <w:rsid w:val="0017569A"/>
    <w:rsid w:val="0017602C"/>
    <w:rsid w:val="00181142"/>
    <w:rsid w:val="0018202D"/>
    <w:rsid w:val="00182083"/>
    <w:rsid w:val="00182BCC"/>
    <w:rsid w:val="001858B4"/>
    <w:rsid w:val="00186773"/>
    <w:rsid w:val="00194540"/>
    <w:rsid w:val="00197AF5"/>
    <w:rsid w:val="001A08C2"/>
    <w:rsid w:val="001A3973"/>
    <w:rsid w:val="001A45C1"/>
    <w:rsid w:val="001A566B"/>
    <w:rsid w:val="001A77DE"/>
    <w:rsid w:val="001A7FB8"/>
    <w:rsid w:val="001B04D9"/>
    <w:rsid w:val="001B2DD5"/>
    <w:rsid w:val="001B303D"/>
    <w:rsid w:val="001B4ABB"/>
    <w:rsid w:val="001B5237"/>
    <w:rsid w:val="001B5FD1"/>
    <w:rsid w:val="001B662D"/>
    <w:rsid w:val="001B6831"/>
    <w:rsid w:val="001C5879"/>
    <w:rsid w:val="001C64FE"/>
    <w:rsid w:val="001C7629"/>
    <w:rsid w:val="001D113D"/>
    <w:rsid w:val="001D188E"/>
    <w:rsid w:val="001D57C4"/>
    <w:rsid w:val="001D7C7A"/>
    <w:rsid w:val="001E0C3E"/>
    <w:rsid w:val="001E1968"/>
    <w:rsid w:val="001E40BE"/>
    <w:rsid w:val="001E557F"/>
    <w:rsid w:val="001F6242"/>
    <w:rsid w:val="001F6E00"/>
    <w:rsid w:val="00202BFD"/>
    <w:rsid w:val="0020338B"/>
    <w:rsid w:val="00203473"/>
    <w:rsid w:val="00203AD7"/>
    <w:rsid w:val="002120E9"/>
    <w:rsid w:val="00212BDA"/>
    <w:rsid w:val="002204EC"/>
    <w:rsid w:val="002228FC"/>
    <w:rsid w:val="00225F52"/>
    <w:rsid w:val="00227CE4"/>
    <w:rsid w:val="00230306"/>
    <w:rsid w:val="0023087F"/>
    <w:rsid w:val="002308C1"/>
    <w:rsid w:val="00231466"/>
    <w:rsid w:val="002338DE"/>
    <w:rsid w:val="002352D2"/>
    <w:rsid w:val="002370FE"/>
    <w:rsid w:val="00237429"/>
    <w:rsid w:val="002407CF"/>
    <w:rsid w:val="00241FA6"/>
    <w:rsid w:val="002440A6"/>
    <w:rsid w:val="00244175"/>
    <w:rsid w:val="002448AE"/>
    <w:rsid w:val="0025301C"/>
    <w:rsid w:val="00253207"/>
    <w:rsid w:val="00253D62"/>
    <w:rsid w:val="00260DA3"/>
    <w:rsid w:val="00260E9D"/>
    <w:rsid w:val="0026366C"/>
    <w:rsid w:val="00272448"/>
    <w:rsid w:val="00272601"/>
    <w:rsid w:val="0027548B"/>
    <w:rsid w:val="002761C7"/>
    <w:rsid w:val="00276E06"/>
    <w:rsid w:val="00280BA0"/>
    <w:rsid w:val="00284344"/>
    <w:rsid w:val="00284670"/>
    <w:rsid w:val="00286993"/>
    <w:rsid w:val="00287614"/>
    <w:rsid w:val="002900B0"/>
    <w:rsid w:val="00291615"/>
    <w:rsid w:val="002923B1"/>
    <w:rsid w:val="00292D3C"/>
    <w:rsid w:val="00296A7C"/>
    <w:rsid w:val="00297401"/>
    <w:rsid w:val="002A6C92"/>
    <w:rsid w:val="002B09EA"/>
    <w:rsid w:val="002B1A5A"/>
    <w:rsid w:val="002B4496"/>
    <w:rsid w:val="002B5238"/>
    <w:rsid w:val="002B7230"/>
    <w:rsid w:val="002D0669"/>
    <w:rsid w:val="002D1E4D"/>
    <w:rsid w:val="002D29F0"/>
    <w:rsid w:val="002D3C84"/>
    <w:rsid w:val="002D67A4"/>
    <w:rsid w:val="002E0305"/>
    <w:rsid w:val="002E080D"/>
    <w:rsid w:val="002E0D87"/>
    <w:rsid w:val="002E1396"/>
    <w:rsid w:val="002E439F"/>
    <w:rsid w:val="002E5FEA"/>
    <w:rsid w:val="002E6385"/>
    <w:rsid w:val="002F3940"/>
    <w:rsid w:val="002F4313"/>
    <w:rsid w:val="002F6C8D"/>
    <w:rsid w:val="00300A4C"/>
    <w:rsid w:val="003062E1"/>
    <w:rsid w:val="00310FDE"/>
    <w:rsid w:val="00317DDF"/>
    <w:rsid w:val="003236C2"/>
    <w:rsid w:val="00325B5C"/>
    <w:rsid w:val="00327B72"/>
    <w:rsid w:val="00327F00"/>
    <w:rsid w:val="00330F69"/>
    <w:rsid w:val="00331E07"/>
    <w:rsid w:val="00331F9D"/>
    <w:rsid w:val="003320A0"/>
    <w:rsid w:val="00334C12"/>
    <w:rsid w:val="00340C60"/>
    <w:rsid w:val="00341D0C"/>
    <w:rsid w:val="003438F9"/>
    <w:rsid w:val="00347609"/>
    <w:rsid w:val="00355388"/>
    <w:rsid w:val="00360816"/>
    <w:rsid w:val="003614DF"/>
    <w:rsid w:val="00363BA8"/>
    <w:rsid w:val="003647DF"/>
    <w:rsid w:val="00365C5A"/>
    <w:rsid w:val="003660F9"/>
    <w:rsid w:val="0037017E"/>
    <w:rsid w:val="00377A03"/>
    <w:rsid w:val="003820EB"/>
    <w:rsid w:val="00382481"/>
    <w:rsid w:val="00383024"/>
    <w:rsid w:val="00383CC4"/>
    <w:rsid w:val="0038735C"/>
    <w:rsid w:val="00390002"/>
    <w:rsid w:val="003976B3"/>
    <w:rsid w:val="003A3B8F"/>
    <w:rsid w:val="003A3DA9"/>
    <w:rsid w:val="003A498E"/>
    <w:rsid w:val="003A58C2"/>
    <w:rsid w:val="003B1209"/>
    <w:rsid w:val="003B2FA0"/>
    <w:rsid w:val="003B45FA"/>
    <w:rsid w:val="003B69F2"/>
    <w:rsid w:val="003B6FCA"/>
    <w:rsid w:val="003B75A6"/>
    <w:rsid w:val="003B75B3"/>
    <w:rsid w:val="003C064B"/>
    <w:rsid w:val="003C3B88"/>
    <w:rsid w:val="003C6FA8"/>
    <w:rsid w:val="003C7943"/>
    <w:rsid w:val="003D0FD3"/>
    <w:rsid w:val="003D1182"/>
    <w:rsid w:val="003D4CFF"/>
    <w:rsid w:val="003D6AAA"/>
    <w:rsid w:val="003E0ED3"/>
    <w:rsid w:val="003E2100"/>
    <w:rsid w:val="003E3EF5"/>
    <w:rsid w:val="003E56D6"/>
    <w:rsid w:val="003E609A"/>
    <w:rsid w:val="003E75B4"/>
    <w:rsid w:val="003E7CC4"/>
    <w:rsid w:val="003F4E5D"/>
    <w:rsid w:val="003F5658"/>
    <w:rsid w:val="004014F6"/>
    <w:rsid w:val="00401FAD"/>
    <w:rsid w:val="00403DE6"/>
    <w:rsid w:val="00414C81"/>
    <w:rsid w:val="00417014"/>
    <w:rsid w:val="00421C3D"/>
    <w:rsid w:val="00424D6E"/>
    <w:rsid w:val="0042636A"/>
    <w:rsid w:val="00427FF1"/>
    <w:rsid w:val="00441B3B"/>
    <w:rsid w:val="00441F32"/>
    <w:rsid w:val="004446B4"/>
    <w:rsid w:val="00446597"/>
    <w:rsid w:val="00453334"/>
    <w:rsid w:val="004547C8"/>
    <w:rsid w:val="00454A25"/>
    <w:rsid w:val="004554E5"/>
    <w:rsid w:val="00457F8D"/>
    <w:rsid w:val="00461463"/>
    <w:rsid w:val="00465F5A"/>
    <w:rsid w:val="004704AD"/>
    <w:rsid w:val="0047231A"/>
    <w:rsid w:val="0047491B"/>
    <w:rsid w:val="00482F0B"/>
    <w:rsid w:val="004841B4"/>
    <w:rsid w:val="0048606B"/>
    <w:rsid w:val="004877CD"/>
    <w:rsid w:val="00490E4F"/>
    <w:rsid w:val="0049178D"/>
    <w:rsid w:val="00492FD4"/>
    <w:rsid w:val="00494AFD"/>
    <w:rsid w:val="00497B08"/>
    <w:rsid w:val="00497C08"/>
    <w:rsid w:val="004A13D0"/>
    <w:rsid w:val="004A2AB7"/>
    <w:rsid w:val="004A30DB"/>
    <w:rsid w:val="004A3158"/>
    <w:rsid w:val="004A43D3"/>
    <w:rsid w:val="004A5334"/>
    <w:rsid w:val="004B0DB3"/>
    <w:rsid w:val="004B3511"/>
    <w:rsid w:val="004B5936"/>
    <w:rsid w:val="004B6E7B"/>
    <w:rsid w:val="004C04B6"/>
    <w:rsid w:val="004C1516"/>
    <w:rsid w:val="004C2862"/>
    <w:rsid w:val="004C5725"/>
    <w:rsid w:val="004C5D7B"/>
    <w:rsid w:val="004C6121"/>
    <w:rsid w:val="004D370E"/>
    <w:rsid w:val="004D4A45"/>
    <w:rsid w:val="004E64D0"/>
    <w:rsid w:val="004F3364"/>
    <w:rsid w:val="004F4DFB"/>
    <w:rsid w:val="004F7656"/>
    <w:rsid w:val="004F7C4A"/>
    <w:rsid w:val="00500A8A"/>
    <w:rsid w:val="00503734"/>
    <w:rsid w:val="00503EF7"/>
    <w:rsid w:val="00503F3F"/>
    <w:rsid w:val="00504B88"/>
    <w:rsid w:val="00504F23"/>
    <w:rsid w:val="005074F1"/>
    <w:rsid w:val="0051091C"/>
    <w:rsid w:val="005118F8"/>
    <w:rsid w:val="00511F08"/>
    <w:rsid w:val="00514282"/>
    <w:rsid w:val="00517F4D"/>
    <w:rsid w:val="00521846"/>
    <w:rsid w:val="005226DC"/>
    <w:rsid w:val="00522BF8"/>
    <w:rsid w:val="005272B5"/>
    <w:rsid w:val="0053129D"/>
    <w:rsid w:val="005318C0"/>
    <w:rsid w:val="005324BC"/>
    <w:rsid w:val="00532D2B"/>
    <w:rsid w:val="00534101"/>
    <w:rsid w:val="00537564"/>
    <w:rsid w:val="00537A52"/>
    <w:rsid w:val="00540649"/>
    <w:rsid w:val="00540D63"/>
    <w:rsid w:val="005421D0"/>
    <w:rsid w:val="005435CA"/>
    <w:rsid w:val="00543741"/>
    <w:rsid w:val="00544F57"/>
    <w:rsid w:val="005464A4"/>
    <w:rsid w:val="00556823"/>
    <w:rsid w:val="00556D31"/>
    <w:rsid w:val="005630ED"/>
    <w:rsid w:val="005635F2"/>
    <w:rsid w:val="005639C9"/>
    <w:rsid w:val="00566F87"/>
    <w:rsid w:val="00571BAC"/>
    <w:rsid w:val="005720FC"/>
    <w:rsid w:val="00583F4E"/>
    <w:rsid w:val="0058612C"/>
    <w:rsid w:val="005863DA"/>
    <w:rsid w:val="0059327A"/>
    <w:rsid w:val="00595ACC"/>
    <w:rsid w:val="00595B95"/>
    <w:rsid w:val="005A1F2F"/>
    <w:rsid w:val="005A2DF5"/>
    <w:rsid w:val="005A5E1B"/>
    <w:rsid w:val="005B0940"/>
    <w:rsid w:val="005B3481"/>
    <w:rsid w:val="005B5EAB"/>
    <w:rsid w:val="005B5EB8"/>
    <w:rsid w:val="005C07B2"/>
    <w:rsid w:val="005C1B7B"/>
    <w:rsid w:val="005C1C79"/>
    <w:rsid w:val="005D1E8D"/>
    <w:rsid w:val="005D29EA"/>
    <w:rsid w:val="005D3BF7"/>
    <w:rsid w:val="005D6697"/>
    <w:rsid w:val="005E054A"/>
    <w:rsid w:val="005E496A"/>
    <w:rsid w:val="005E5958"/>
    <w:rsid w:val="005E6EEC"/>
    <w:rsid w:val="005E7141"/>
    <w:rsid w:val="005F2941"/>
    <w:rsid w:val="005F6682"/>
    <w:rsid w:val="00600455"/>
    <w:rsid w:val="00601066"/>
    <w:rsid w:val="00602AE2"/>
    <w:rsid w:val="006039B9"/>
    <w:rsid w:val="00603F77"/>
    <w:rsid w:val="006075D1"/>
    <w:rsid w:val="0061158C"/>
    <w:rsid w:val="006135E6"/>
    <w:rsid w:val="00614C1C"/>
    <w:rsid w:val="00614D25"/>
    <w:rsid w:val="006175D2"/>
    <w:rsid w:val="006235A1"/>
    <w:rsid w:val="00630053"/>
    <w:rsid w:val="00631FBA"/>
    <w:rsid w:val="006326B4"/>
    <w:rsid w:val="00634E63"/>
    <w:rsid w:val="00635883"/>
    <w:rsid w:val="00635CD5"/>
    <w:rsid w:val="006400B6"/>
    <w:rsid w:val="0064118E"/>
    <w:rsid w:val="00642FE7"/>
    <w:rsid w:val="006502D8"/>
    <w:rsid w:val="0065133B"/>
    <w:rsid w:val="00657384"/>
    <w:rsid w:val="00661654"/>
    <w:rsid w:val="006617C5"/>
    <w:rsid w:val="00662F86"/>
    <w:rsid w:val="0066430E"/>
    <w:rsid w:val="0066434D"/>
    <w:rsid w:val="006668B6"/>
    <w:rsid w:val="00671DD8"/>
    <w:rsid w:val="006755C6"/>
    <w:rsid w:val="00677D25"/>
    <w:rsid w:val="00682642"/>
    <w:rsid w:val="0068302E"/>
    <w:rsid w:val="00684027"/>
    <w:rsid w:val="00685F62"/>
    <w:rsid w:val="00687950"/>
    <w:rsid w:val="00692FCB"/>
    <w:rsid w:val="006A0A23"/>
    <w:rsid w:val="006A0F5C"/>
    <w:rsid w:val="006A2217"/>
    <w:rsid w:val="006A221C"/>
    <w:rsid w:val="006B36D0"/>
    <w:rsid w:val="006C0A96"/>
    <w:rsid w:val="006C286C"/>
    <w:rsid w:val="006C3540"/>
    <w:rsid w:val="006C5B55"/>
    <w:rsid w:val="006C6E6C"/>
    <w:rsid w:val="006D2D0D"/>
    <w:rsid w:val="006D3C4F"/>
    <w:rsid w:val="006D41E9"/>
    <w:rsid w:val="006D678E"/>
    <w:rsid w:val="006D738C"/>
    <w:rsid w:val="006D7BA9"/>
    <w:rsid w:val="006E01F7"/>
    <w:rsid w:val="006E3127"/>
    <w:rsid w:val="006F336C"/>
    <w:rsid w:val="006F3638"/>
    <w:rsid w:val="006F7D4E"/>
    <w:rsid w:val="0070168A"/>
    <w:rsid w:val="00701EB5"/>
    <w:rsid w:val="00702359"/>
    <w:rsid w:val="007061CA"/>
    <w:rsid w:val="00706A83"/>
    <w:rsid w:val="00712CCF"/>
    <w:rsid w:val="00713178"/>
    <w:rsid w:val="00714E06"/>
    <w:rsid w:val="0071592F"/>
    <w:rsid w:val="0071685C"/>
    <w:rsid w:val="00717F9B"/>
    <w:rsid w:val="00721ED6"/>
    <w:rsid w:val="007247DD"/>
    <w:rsid w:val="007264DA"/>
    <w:rsid w:val="007354B4"/>
    <w:rsid w:val="0073614B"/>
    <w:rsid w:val="00736226"/>
    <w:rsid w:val="00737D28"/>
    <w:rsid w:val="0074108A"/>
    <w:rsid w:val="00741F53"/>
    <w:rsid w:val="00745313"/>
    <w:rsid w:val="007459FF"/>
    <w:rsid w:val="007465AE"/>
    <w:rsid w:val="00751426"/>
    <w:rsid w:val="00752D0A"/>
    <w:rsid w:val="007574EF"/>
    <w:rsid w:val="00762D4A"/>
    <w:rsid w:val="00763B80"/>
    <w:rsid w:val="007802DF"/>
    <w:rsid w:val="007804C6"/>
    <w:rsid w:val="00780517"/>
    <w:rsid w:val="00784E6F"/>
    <w:rsid w:val="00790851"/>
    <w:rsid w:val="007978ED"/>
    <w:rsid w:val="007A028D"/>
    <w:rsid w:val="007A0A7D"/>
    <w:rsid w:val="007A0DFA"/>
    <w:rsid w:val="007A7651"/>
    <w:rsid w:val="007B2F2B"/>
    <w:rsid w:val="007B3D30"/>
    <w:rsid w:val="007B4962"/>
    <w:rsid w:val="007C1261"/>
    <w:rsid w:val="007C6A9F"/>
    <w:rsid w:val="007C7034"/>
    <w:rsid w:val="007C7BF1"/>
    <w:rsid w:val="007D3C43"/>
    <w:rsid w:val="007D6AAC"/>
    <w:rsid w:val="007E0678"/>
    <w:rsid w:val="007E0F12"/>
    <w:rsid w:val="007E4060"/>
    <w:rsid w:val="007F198E"/>
    <w:rsid w:val="007F1E95"/>
    <w:rsid w:val="007F7B84"/>
    <w:rsid w:val="007F7FE0"/>
    <w:rsid w:val="00800C96"/>
    <w:rsid w:val="00812175"/>
    <w:rsid w:val="0081343E"/>
    <w:rsid w:val="00814AF7"/>
    <w:rsid w:val="00814C15"/>
    <w:rsid w:val="00824FF9"/>
    <w:rsid w:val="00826648"/>
    <w:rsid w:val="008272DA"/>
    <w:rsid w:val="0083236F"/>
    <w:rsid w:val="00832B79"/>
    <w:rsid w:val="0083558F"/>
    <w:rsid w:val="00836E52"/>
    <w:rsid w:val="00837FBD"/>
    <w:rsid w:val="0084086F"/>
    <w:rsid w:val="00844EE2"/>
    <w:rsid w:val="00846B51"/>
    <w:rsid w:val="008479FF"/>
    <w:rsid w:val="00850A37"/>
    <w:rsid w:val="0085205D"/>
    <w:rsid w:val="00854A4D"/>
    <w:rsid w:val="00860E3A"/>
    <w:rsid w:val="00864E6D"/>
    <w:rsid w:val="0086627D"/>
    <w:rsid w:val="008663E2"/>
    <w:rsid w:val="00866FBF"/>
    <w:rsid w:val="008714E4"/>
    <w:rsid w:val="00871677"/>
    <w:rsid w:val="00873ABF"/>
    <w:rsid w:val="0087571F"/>
    <w:rsid w:val="008766DA"/>
    <w:rsid w:val="0087672F"/>
    <w:rsid w:val="008807AA"/>
    <w:rsid w:val="00882CF1"/>
    <w:rsid w:val="00883A2F"/>
    <w:rsid w:val="00885B5E"/>
    <w:rsid w:val="008865B8"/>
    <w:rsid w:val="008901BF"/>
    <w:rsid w:val="00891111"/>
    <w:rsid w:val="00893AA9"/>
    <w:rsid w:val="00896AB9"/>
    <w:rsid w:val="008A0FC6"/>
    <w:rsid w:val="008A2C7D"/>
    <w:rsid w:val="008B3023"/>
    <w:rsid w:val="008B37EB"/>
    <w:rsid w:val="008C1910"/>
    <w:rsid w:val="008C360E"/>
    <w:rsid w:val="008C70DE"/>
    <w:rsid w:val="008C7C9E"/>
    <w:rsid w:val="008D0A23"/>
    <w:rsid w:val="008D188F"/>
    <w:rsid w:val="008D4E72"/>
    <w:rsid w:val="008D5AD4"/>
    <w:rsid w:val="008E2CBD"/>
    <w:rsid w:val="008E4294"/>
    <w:rsid w:val="008F0D37"/>
    <w:rsid w:val="008F1E69"/>
    <w:rsid w:val="008F3100"/>
    <w:rsid w:val="008F3C11"/>
    <w:rsid w:val="008F4F62"/>
    <w:rsid w:val="008F53FB"/>
    <w:rsid w:val="008F5480"/>
    <w:rsid w:val="008F599C"/>
    <w:rsid w:val="008F706D"/>
    <w:rsid w:val="008F7631"/>
    <w:rsid w:val="008F7868"/>
    <w:rsid w:val="008F7DED"/>
    <w:rsid w:val="008F7E3B"/>
    <w:rsid w:val="00900A70"/>
    <w:rsid w:val="009011AB"/>
    <w:rsid w:val="00901610"/>
    <w:rsid w:val="00902FE5"/>
    <w:rsid w:val="00904F8C"/>
    <w:rsid w:val="009105C9"/>
    <w:rsid w:val="00915E87"/>
    <w:rsid w:val="00917BB6"/>
    <w:rsid w:val="00917CC4"/>
    <w:rsid w:val="0092092B"/>
    <w:rsid w:val="00921AFE"/>
    <w:rsid w:val="00923957"/>
    <w:rsid w:val="00923DE5"/>
    <w:rsid w:val="00924261"/>
    <w:rsid w:val="00925A2E"/>
    <w:rsid w:val="00925B5C"/>
    <w:rsid w:val="00927685"/>
    <w:rsid w:val="00932155"/>
    <w:rsid w:val="009322FC"/>
    <w:rsid w:val="00932BE2"/>
    <w:rsid w:val="00933FE2"/>
    <w:rsid w:val="009367F4"/>
    <w:rsid w:val="009372F0"/>
    <w:rsid w:val="009410C7"/>
    <w:rsid w:val="00942028"/>
    <w:rsid w:val="00943C69"/>
    <w:rsid w:val="00946CF4"/>
    <w:rsid w:val="009519E7"/>
    <w:rsid w:val="00955991"/>
    <w:rsid w:val="00961815"/>
    <w:rsid w:val="009660A0"/>
    <w:rsid w:val="00966374"/>
    <w:rsid w:val="009669BB"/>
    <w:rsid w:val="00970AF2"/>
    <w:rsid w:val="00970F7B"/>
    <w:rsid w:val="00974A5D"/>
    <w:rsid w:val="00976B15"/>
    <w:rsid w:val="00977B65"/>
    <w:rsid w:val="00982219"/>
    <w:rsid w:val="009874B8"/>
    <w:rsid w:val="009935C0"/>
    <w:rsid w:val="009A2823"/>
    <w:rsid w:val="009A44E1"/>
    <w:rsid w:val="009A4E31"/>
    <w:rsid w:val="009A65D0"/>
    <w:rsid w:val="009A71D7"/>
    <w:rsid w:val="009A7F1C"/>
    <w:rsid w:val="009B0C16"/>
    <w:rsid w:val="009B3E66"/>
    <w:rsid w:val="009B593D"/>
    <w:rsid w:val="009B67C4"/>
    <w:rsid w:val="009B77E8"/>
    <w:rsid w:val="009C1357"/>
    <w:rsid w:val="009C1430"/>
    <w:rsid w:val="009C1791"/>
    <w:rsid w:val="009C7642"/>
    <w:rsid w:val="009C7868"/>
    <w:rsid w:val="009D1689"/>
    <w:rsid w:val="009D20F7"/>
    <w:rsid w:val="009E2364"/>
    <w:rsid w:val="009E3F87"/>
    <w:rsid w:val="009E43CE"/>
    <w:rsid w:val="009E4C2C"/>
    <w:rsid w:val="009E51A8"/>
    <w:rsid w:val="009F036F"/>
    <w:rsid w:val="009F4968"/>
    <w:rsid w:val="009F5DAC"/>
    <w:rsid w:val="00A029E2"/>
    <w:rsid w:val="00A056C0"/>
    <w:rsid w:val="00A07624"/>
    <w:rsid w:val="00A07892"/>
    <w:rsid w:val="00A112F5"/>
    <w:rsid w:val="00A15271"/>
    <w:rsid w:val="00A1641C"/>
    <w:rsid w:val="00A20B2D"/>
    <w:rsid w:val="00A23F48"/>
    <w:rsid w:val="00A25ECF"/>
    <w:rsid w:val="00A27DB2"/>
    <w:rsid w:val="00A33B47"/>
    <w:rsid w:val="00A4061C"/>
    <w:rsid w:val="00A46CC0"/>
    <w:rsid w:val="00A50814"/>
    <w:rsid w:val="00A52CB1"/>
    <w:rsid w:val="00A5398A"/>
    <w:rsid w:val="00A62196"/>
    <w:rsid w:val="00A6325F"/>
    <w:rsid w:val="00A6569A"/>
    <w:rsid w:val="00A6569E"/>
    <w:rsid w:val="00A72824"/>
    <w:rsid w:val="00A7301A"/>
    <w:rsid w:val="00A736C8"/>
    <w:rsid w:val="00A75559"/>
    <w:rsid w:val="00A77805"/>
    <w:rsid w:val="00A8053E"/>
    <w:rsid w:val="00A80EEB"/>
    <w:rsid w:val="00A86EDA"/>
    <w:rsid w:val="00A942D7"/>
    <w:rsid w:val="00A965D3"/>
    <w:rsid w:val="00A968E7"/>
    <w:rsid w:val="00AA39BA"/>
    <w:rsid w:val="00AA57F7"/>
    <w:rsid w:val="00AB0CB4"/>
    <w:rsid w:val="00AB1B84"/>
    <w:rsid w:val="00AB2DEF"/>
    <w:rsid w:val="00AB70AE"/>
    <w:rsid w:val="00AC0194"/>
    <w:rsid w:val="00AC31E1"/>
    <w:rsid w:val="00AC4422"/>
    <w:rsid w:val="00AC4C38"/>
    <w:rsid w:val="00AC63AF"/>
    <w:rsid w:val="00AC7771"/>
    <w:rsid w:val="00AD154B"/>
    <w:rsid w:val="00AD1598"/>
    <w:rsid w:val="00AD548E"/>
    <w:rsid w:val="00AD7C35"/>
    <w:rsid w:val="00AE1257"/>
    <w:rsid w:val="00AE2B03"/>
    <w:rsid w:val="00AE4E90"/>
    <w:rsid w:val="00AE4FD1"/>
    <w:rsid w:val="00AE633E"/>
    <w:rsid w:val="00AF0350"/>
    <w:rsid w:val="00AF0673"/>
    <w:rsid w:val="00AF4C07"/>
    <w:rsid w:val="00AF7635"/>
    <w:rsid w:val="00B01EFF"/>
    <w:rsid w:val="00B037E1"/>
    <w:rsid w:val="00B06FFC"/>
    <w:rsid w:val="00B11816"/>
    <w:rsid w:val="00B1374E"/>
    <w:rsid w:val="00B15CAC"/>
    <w:rsid w:val="00B16DDF"/>
    <w:rsid w:val="00B20F75"/>
    <w:rsid w:val="00B23403"/>
    <w:rsid w:val="00B27DC3"/>
    <w:rsid w:val="00B33DD8"/>
    <w:rsid w:val="00B340E1"/>
    <w:rsid w:val="00B371F8"/>
    <w:rsid w:val="00B406A4"/>
    <w:rsid w:val="00B41F69"/>
    <w:rsid w:val="00B42538"/>
    <w:rsid w:val="00B43221"/>
    <w:rsid w:val="00B44C63"/>
    <w:rsid w:val="00B45230"/>
    <w:rsid w:val="00B47AC3"/>
    <w:rsid w:val="00B50531"/>
    <w:rsid w:val="00B509AC"/>
    <w:rsid w:val="00B51020"/>
    <w:rsid w:val="00B525F1"/>
    <w:rsid w:val="00B5415F"/>
    <w:rsid w:val="00B54836"/>
    <w:rsid w:val="00B56F45"/>
    <w:rsid w:val="00B6064A"/>
    <w:rsid w:val="00B61E48"/>
    <w:rsid w:val="00B61EB3"/>
    <w:rsid w:val="00B62E8D"/>
    <w:rsid w:val="00B64F41"/>
    <w:rsid w:val="00B67DC2"/>
    <w:rsid w:val="00B71342"/>
    <w:rsid w:val="00B720B6"/>
    <w:rsid w:val="00B72190"/>
    <w:rsid w:val="00B74F45"/>
    <w:rsid w:val="00B77F75"/>
    <w:rsid w:val="00B807EB"/>
    <w:rsid w:val="00B84869"/>
    <w:rsid w:val="00B87DB2"/>
    <w:rsid w:val="00B93379"/>
    <w:rsid w:val="00B93F01"/>
    <w:rsid w:val="00B95E27"/>
    <w:rsid w:val="00B96991"/>
    <w:rsid w:val="00B979FC"/>
    <w:rsid w:val="00BA0533"/>
    <w:rsid w:val="00BA182A"/>
    <w:rsid w:val="00BA3211"/>
    <w:rsid w:val="00BA62B6"/>
    <w:rsid w:val="00BA7CAF"/>
    <w:rsid w:val="00BA7FC8"/>
    <w:rsid w:val="00BB33A9"/>
    <w:rsid w:val="00BB7ECF"/>
    <w:rsid w:val="00BC0068"/>
    <w:rsid w:val="00BC50CE"/>
    <w:rsid w:val="00BC571A"/>
    <w:rsid w:val="00BC5E86"/>
    <w:rsid w:val="00BD2485"/>
    <w:rsid w:val="00BE05A0"/>
    <w:rsid w:val="00BE07FE"/>
    <w:rsid w:val="00BE18BE"/>
    <w:rsid w:val="00BE5AF4"/>
    <w:rsid w:val="00BF04E3"/>
    <w:rsid w:val="00BF6794"/>
    <w:rsid w:val="00BF719C"/>
    <w:rsid w:val="00C015F9"/>
    <w:rsid w:val="00C03325"/>
    <w:rsid w:val="00C10312"/>
    <w:rsid w:val="00C11BF0"/>
    <w:rsid w:val="00C1256C"/>
    <w:rsid w:val="00C1630C"/>
    <w:rsid w:val="00C21D0D"/>
    <w:rsid w:val="00C23FB2"/>
    <w:rsid w:val="00C24E70"/>
    <w:rsid w:val="00C25D31"/>
    <w:rsid w:val="00C2742B"/>
    <w:rsid w:val="00C30677"/>
    <w:rsid w:val="00C3660B"/>
    <w:rsid w:val="00C42EBE"/>
    <w:rsid w:val="00C43256"/>
    <w:rsid w:val="00C47D1D"/>
    <w:rsid w:val="00C51197"/>
    <w:rsid w:val="00C52DB1"/>
    <w:rsid w:val="00C53734"/>
    <w:rsid w:val="00C545C8"/>
    <w:rsid w:val="00C570FC"/>
    <w:rsid w:val="00C57202"/>
    <w:rsid w:val="00C57599"/>
    <w:rsid w:val="00C64114"/>
    <w:rsid w:val="00C6520C"/>
    <w:rsid w:val="00C7284F"/>
    <w:rsid w:val="00C82E04"/>
    <w:rsid w:val="00C8462D"/>
    <w:rsid w:val="00C87AE0"/>
    <w:rsid w:val="00C94D77"/>
    <w:rsid w:val="00C9567D"/>
    <w:rsid w:val="00CA07B4"/>
    <w:rsid w:val="00CA19A2"/>
    <w:rsid w:val="00CA3F6C"/>
    <w:rsid w:val="00CB66F0"/>
    <w:rsid w:val="00CC0C68"/>
    <w:rsid w:val="00CC3422"/>
    <w:rsid w:val="00CC456D"/>
    <w:rsid w:val="00CC4DBB"/>
    <w:rsid w:val="00CD0D8A"/>
    <w:rsid w:val="00CD13B5"/>
    <w:rsid w:val="00CD3F27"/>
    <w:rsid w:val="00CD4733"/>
    <w:rsid w:val="00CD6F90"/>
    <w:rsid w:val="00CE11E6"/>
    <w:rsid w:val="00CE41B0"/>
    <w:rsid w:val="00CE5DE2"/>
    <w:rsid w:val="00CE7706"/>
    <w:rsid w:val="00CF4100"/>
    <w:rsid w:val="00CF5282"/>
    <w:rsid w:val="00CF64C4"/>
    <w:rsid w:val="00D04169"/>
    <w:rsid w:val="00D06207"/>
    <w:rsid w:val="00D131C2"/>
    <w:rsid w:val="00D139F6"/>
    <w:rsid w:val="00D15A3C"/>
    <w:rsid w:val="00D21EB0"/>
    <w:rsid w:val="00D22FE4"/>
    <w:rsid w:val="00D2371C"/>
    <w:rsid w:val="00D2467A"/>
    <w:rsid w:val="00D36E47"/>
    <w:rsid w:val="00D42D53"/>
    <w:rsid w:val="00D51448"/>
    <w:rsid w:val="00D525D6"/>
    <w:rsid w:val="00D52B09"/>
    <w:rsid w:val="00D5477E"/>
    <w:rsid w:val="00D549EA"/>
    <w:rsid w:val="00D573C8"/>
    <w:rsid w:val="00D60973"/>
    <w:rsid w:val="00D6107D"/>
    <w:rsid w:val="00D6527C"/>
    <w:rsid w:val="00D67404"/>
    <w:rsid w:val="00D702F8"/>
    <w:rsid w:val="00D81E9D"/>
    <w:rsid w:val="00D85708"/>
    <w:rsid w:val="00D876BC"/>
    <w:rsid w:val="00D93131"/>
    <w:rsid w:val="00DA5C89"/>
    <w:rsid w:val="00DB0020"/>
    <w:rsid w:val="00DB1E6C"/>
    <w:rsid w:val="00DB2335"/>
    <w:rsid w:val="00DB356C"/>
    <w:rsid w:val="00DB4F09"/>
    <w:rsid w:val="00DB6613"/>
    <w:rsid w:val="00DB6F8E"/>
    <w:rsid w:val="00DC004F"/>
    <w:rsid w:val="00DC0FD0"/>
    <w:rsid w:val="00DC1EFE"/>
    <w:rsid w:val="00DC2F8C"/>
    <w:rsid w:val="00DC360A"/>
    <w:rsid w:val="00DC4AB2"/>
    <w:rsid w:val="00DC4BA0"/>
    <w:rsid w:val="00DC6A97"/>
    <w:rsid w:val="00DC6E0E"/>
    <w:rsid w:val="00DC732A"/>
    <w:rsid w:val="00DD0808"/>
    <w:rsid w:val="00DD0D9A"/>
    <w:rsid w:val="00DD2066"/>
    <w:rsid w:val="00DD3720"/>
    <w:rsid w:val="00DD39CA"/>
    <w:rsid w:val="00DD721D"/>
    <w:rsid w:val="00DE18BB"/>
    <w:rsid w:val="00DE3F5F"/>
    <w:rsid w:val="00DF1F48"/>
    <w:rsid w:val="00DF2F44"/>
    <w:rsid w:val="00DF4B6D"/>
    <w:rsid w:val="00DF66A3"/>
    <w:rsid w:val="00E027D2"/>
    <w:rsid w:val="00E122B2"/>
    <w:rsid w:val="00E1273A"/>
    <w:rsid w:val="00E15F46"/>
    <w:rsid w:val="00E24047"/>
    <w:rsid w:val="00E26399"/>
    <w:rsid w:val="00E30EE4"/>
    <w:rsid w:val="00E347B5"/>
    <w:rsid w:val="00E427C7"/>
    <w:rsid w:val="00E42C3F"/>
    <w:rsid w:val="00E4775C"/>
    <w:rsid w:val="00E513BF"/>
    <w:rsid w:val="00E52B8E"/>
    <w:rsid w:val="00E55B32"/>
    <w:rsid w:val="00E716F4"/>
    <w:rsid w:val="00E80BA2"/>
    <w:rsid w:val="00E80FAE"/>
    <w:rsid w:val="00E82D12"/>
    <w:rsid w:val="00E8418E"/>
    <w:rsid w:val="00E8771D"/>
    <w:rsid w:val="00E9128F"/>
    <w:rsid w:val="00E921C3"/>
    <w:rsid w:val="00E925BE"/>
    <w:rsid w:val="00E96795"/>
    <w:rsid w:val="00E96AE2"/>
    <w:rsid w:val="00EA3459"/>
    <w:rsid w:val="00EA6EB7"/>
    <w:rsid w:val="00EB1F9E"/>
    <w:rsid w:val="00EB2607"/>
    <w:rsid w:val="00EB389C"/>
    <w:rsid w:val="00EC32CC"/>
    <w:rsid w:val="00EC46A7"/>
    <w:rsid w:val="00EC719A"/>
    <w:rsid w:val="00EC78ED"/>
    <w:rsid w:val="00EE6AD2"/>
    <w:rsid w:val="00EF136A"/>
    <w:rsid w:val="00EF6F6A"/>
    <w:rsid w:val="00F04DEB"/>
    <w:rsid w:val="00F063EE"/>
    <w:rsid w:val="00F0661B"/>
    <w:rsid w:val="00F06B06"/>
    <w:rsid w:val="00F10577"/>
    <w:rsid w:val="00F11C66"/>
    <w:rsid w:val="00F14A8D"/>
    <w:rsid w:val="00F22EE0"/>
    <w:rsid w:val="00F23669"/>
    <w:rsid w:val="00F25FB8"/>
    <w:rsid w:val="00F30BDE"/>
    <w:rsid w:val="00F312F0"/>
    <w:rsid w:val="00F32252"/>
    <w:rsid w:val="00F3504C"/>
    <w:rsid w:val="00F36A3D"/>
    <w:rsid w:val="00F37117"/>
    <w:rsid w:val="00F403B8"/>
    <w:rsid w:val="00F43183"/>
    <w:rsid w:val="00F46A72"/>
    <w:rsid w:val="00F46FE2"/>
    <w:rsid w:val="00F478F0"/>
    <w:rsid w:val="00F55086"/>
    <w:rsid w:val="00F56E11"/>
    <w:rsid w:val="00F62FEC"/>
    <w:rsid w:val="00F649D4"/>
    <w:rsid w:val="00F65171"/>
    <w:rsid w:val="00F7090B"/>
    <w:rsid w:val="00F72774"/>
    <w:rsid w:val="00F73B1C"/>
    <w:rsid w:val="00F74D84"/>
    <w:rsid w:val="00F759D3"/>
    <w:rsid w:val="00F7759E"/>
    <w:rsid w:val="00F77CA5"/>
    <w:rsid w:val="00F839D6"/>
    <w:rsid w:val="00F841A2"/>
    <w:rsid w:val="00F86B39"/>
    <w:rsid w:val="00F944DC"/>
    <w:rsid w:val="00F9486D"/>
    <w:rsid w:val="00F97032"/>
    <w:rsid w:val="00FA003D"/>
    <w:rsid w:val="00FA2A73"/>
    <w:rsid w:val="00FA6621"/>
    <w:rsid w:val="00FB0811"/>
    <w:rsid w:val="00FB51AB"/>
    <w:rsid w:val="00FC1CBC"/>
    <w:rsid w:val="00FC438E"/>
    <w:rsid w:val="00FD23F3"/>
    <w:rsid w:val="00FD62A0"/>
    <w:rsid w:val="00FD6985"/>
    <w:rsid w:val="00FD7992"/>
    <w:rsid w:val="00FE0993"/>
    <w:rsid w:val="00FE39AD"/>
    <w:rsid w:val="00FE6DCA"/>
    <w:rsid w:val="00FE6E7C"/>
    <w:rsid w:val="00FF27B8"/>
    <w:rsid w:val="00FF3031"/>
    <w:rsid w:val="00FF3961"/>
    <w:rsid w:val="00FF4933"/>
    <w:rsid w:val="00FF4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F37E81"/>
  <w15:chartTrackingRefBased/>
  <w15:docId w15:val="{F2C559E7-491A-47E6-9C69-23D3EA9A5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127"/>
  </w:style>
  <w:style w:type="paragraph" w:styleId="Footer">
    <w:name w:val="footer"/>
    <w:basedOn w:val="Normal"/>
    <w:link w:val="FooterChar"/>
    <w:uiPriority w:val="99"/>
    <w:unhideWhenUsed/>
    <w:rsid w:val="006E3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127"/>
  </w:style>
  <w:style w:type="paragraph" w:styleId="ListParagraph">
    <w:name w:val="List Paragraph"/>
    <w:basedOn w:val="Normal"/>
    <w:uiPriority w:val="34"/>
    <w:qFormat/>
    <w:rsid w:val="006C0A96"/>
    <w:pPr>
      <w:ind w:left="720"/>
      <w:contextualSpacing/>
    </w:pPr>
  </w:style>
  <w:style w:type="character" w:styleId="Hyperlink">
    <w:name w:val="Hyperlink"/>
    <w:basedOn w:val="DefaultParagraphFont"/>
    <w:uiPriority w:val="99"/>
    <w:unhideWhenUsed/>
    <w:rsid w:val="00DB1E6C"/>
    <w:rPr>
      <w:color w:val="0563C1" w:themeColor="hyperlink"/>
      <w:u w:val="single"/>
    </w:rPr>
  </w:style>
  <w:style w:type="character" w:customStyle="1" w:styleId="UnresolvedMention1">
    <w:name w:val="Unresolved Mention1"/>
    <w:basedOn w:val="DefaultParagraphFont"/>
    <w:uiPriority w:val="99"/>
    <w:semiHidden/>
    <w:unhideWhenUsed/>
    <w:rsid w:val="00DB1E6C"/>
    <w:rPr>
      <w:color w:val="605E5C"/>
      <w:shd w:val="clear" w:color="auto" w:fill="E1DFDD"/>
    </w:rPr>
  </w:style>
  <w:style w:type="paragraph" w:customStyle="1" w:styleId="Default">
    <w:name w:val="Default"/>
    <w:rsid w:val="0075142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AE4E9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120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0E9"/>
    <w:rPr>
      <w:rFonts w:ascii="Segoe UI" w:hAnsi="Segoe UI" w:cs="Segoe UI"/>
      <w:sz w:val="18"/>
      <w:szCs w:val="18"/>
    </w:rPr>
  </w:style>
  <w:style w:type="character" w:styleId="PlaceholderText">
    <w:name w:val="Placeholder Text"/>
    <w:basedOn w:val="DefaultParagraphFont"/>
    <w:uiPriority w:val="99"/>
    <w:semiHidden/>
    <w:rsid w:val="00041062"/>
    <w:rPr>
      <w:color w:val="808080"/>
    </w:rPr>
  </w:style>
  <w:style w:type="character" w:styleId="FollowedHyperlink">
    <w:name w:val="FollowedHyperlink"/>
    <w:basedOn w:val="DefaultParagraphFont"/>
    <w:uiPriority w:val="99"/>
    <w:semiHidden/>
    <w:unhideWhenUsed/>
    <w:rsid w:val="00901610"/>
    <w:rPr>
      <w:color w:val="954F72" w:themeColor="followedHyperlink"/>
      <w:u w:val="single"/>
    </w:rPr>
  </w:style>
  <w:style w:type="character" w:customStyle="1" w:styleId="UnresolvedMention2">
    <w:name w:val="Unresolved Mention2"/>
    <w:basedOn w:val="DefaultParagraphFont"/>
    <w:uiPriority w:val="99"/>
    <w:semiHidden/>
    <w:unhideWhenUsed/>
    <w:rsid w:val="005B5E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370501">
      <w:bodyDiv w:val="1"/>
      <w:marLeft w:val="0"/>
      <w:marRight w:val="0"/>
      <w:marTop w:val="0"/>
      <w:marBottom w:val="0"/>
      <w:divBdr>
        <w:top w:val="none" w:sz="0" w:space="0" w:color="auto"/>
        <w:left w:val="none" w:sz="0" w:space="0" w:color="auto"/>
        <w:bottom w:val="none" w:sz="0" w:space="0" w:color="auto"/>
        <w:right w:val="none" w:sz="0" w:space="0" w:color="auto"/>
      </w:divBdr>
    </w:div>
    <w:div w:id="100494612">
      <w:bodyDiv w:val="1"/>
      <w:marLeft w:val="0"/>
      <w:marRight w:val="0"/>
      <w:marTop w:val="0"/>
      <w:marBottom w:val="0"/>
      <w:divBdr>
        <w:top w:val="none" w:sz="0" w:space="0" w:color="auto"/>
        <w:left w:val="none" w:sz="0" w:space="0" w:color="auto"/>
        <w:bottom w:val="none" w:sz="0" w:space="0" w:color="auto"/>
        <w:right w:val="none" w:sz="0" w:space="0" w:color="auto"/>
      </w:divBdr>
    </w:div>
    <w:div w:id="171647726">
      <w:bodyDiv w:val="1"/>
      <w:marLeft w:val="0"/>
      <w:marRight w:val="0"/>
      <w:marTop w:val="0"/>
      <w:marBottom w:val="0"/>
      <w:divBdr>
        <w:top w:val="none" w:sz="0" w:space="0" w:color="auto"/>
        <w:left w:val="none" w:sz="0" w:space="0" w:color="auto"/>
        <w:bottom w:val="none" w:sz="0" w:space="0" w:color="auto"/>
        <w:right w:val="none" w:sz="0" w:space="0" w:color="auto"/>
      </w:divBdr>
    </w:div>
    <w:div w:id="186522805">
      <w:bodyDiv w:val="1"/>
      <w:marLeft w:val="0"/>
      <w:marRight w:val="0"/>
      <w:marTop w:val="0"/>
      <w:marBottom w:val="0"/>
      <w:divBdr>
        <w:top w:val="none" w:sz="0" w:space="0" w:color="auto"/>
        <w:left w:val="none" w:sz="0" w:space="0" w:color="auto"/>
        <w:bottom w:val="none" w:sz="0" w:space="0" w:color="auto"/>
        <w:right w:val="none" w:sz="0" w:space="0" w:color="auto"/>
      </w:divBdr>
    </w:div>
    <w:div w:id="237174985">
      <w:bodyDiv w:val="1"/>
      <w:marLeft w:val="0"/>
      <w:marRight w:val="0"/>
      <w:marTop w:val="0"/>
      <w:marBottom w:val="0"/>
      <w:divBdr>
        <w:top w:val="none" w:sz="0" w:space="0" w:color="auto"/>
        <w:left w:val="none" w:sz="0" w:space="0" w:color="auto"/>
        <w:bottom w:val="none" w:sz="0" w:space="0" w:color="auto"/>
        <w:right w:val="none" w:sz="0" w:space="0" w:color="auto"/>
      </w:divBdr>
    </w:div>
    <w:div w:id="267735955">
      <w:bodyDiv w:val="1"/>
      <w:marLeft w:val="0"/>
      <w:marRight w:val="0"/>
      <w:marTop w:val="0"/>
      <w:marBottom w:val="0"/>
      <w:divBdr>
        <w:top w:val="none" w:sz="0" w:space="0" w:color="auto"/>
        <w:left w:val="none" w:sz="0" w:space="0" w:color="auto"/>
        <w:bottom w:val="none" w:sz="0" w:space="0" w:color="auto"/>
        <w:right w:val="none" w:sz="0" w:space="0" w:color="auto"/>
      </w:divBdr>
    </w:div>
    <w:div w:id="300304933">
      <w:bodyDiv w:val="1"/>
      <w:marLeft w:val="0"/>
      <w:marRight w:val="0"/>
      <w:marTop w:val="0"/>
      <w:marBottom w:val="0"/>
      <w:divBdr>
        <w:top w:val="none" w:sz="0" w:space="0" w:color="auto"/>
        <w:left w:val="none" w:sz="0" w:space="0" w:color="auto"/>
        <w:bottom w:val="none" w:sz="0" w:space="0" w:color="auto"/>
        <w:right w:val="none" w:sz="0" w:space="0" w:color="auto"/>
      </w:divBdr>
    </w:div>
    <w:div w:id="338238372">
      <w:bodyDiv w:val="1"/>
      <w:marLeft w:val="0"/>
      <w:marRight w:val="0"/>
      <w:marTop w:val="0"/>
      <w:marBottom w:val="0"/>
      <w:divBdr>
        <w:top w:val="none" w:sz="0" w:space="0" w:color="auto"/>
        <w:left w:val="none" w:sz="0" w:space="0" w:color="auto"/>
        <w:bottom w:val="none" w:sz="0" w:space="0" w:color="auto"/>
        <w:right w:val="none" w:sz="0" w:space="0" w:color="auto"/>
      </w:divBdr>
    </w:div>
    <w:div w:id="389110498">
      <w:bodyDiv w:val="1"/>
      <w:marLeft w:val="0"/>
      <w:marRight w:val="0"/>
      <w:marTop w:val="0"/>
      <w:marBottom w:val="0"/>
      <w:divBdr>
        <w:top w:val="none" w:sz="0" w:space="0" w:color="auto"/>
        <w:left w:val="none" w:sz="0" w:space="0" w:color="auto"/>
        <w:bottom w:val="none" w:sz="0" w:space="0" w:color="auto"/>
        <w:right w:val="none" w:sz="0" w:space="0" w:color="auto"/>
      </w:divBdr>
    </w:div>
    <w:div w:id="508104950">
      <w:bodyDiv w:val="1"/>
      <w:marLeft w:val="0"/>
      <w:marRight w:val="0"/>
      <w:marTop w:val="0"/>
      <w:marBottom w:val="0"/>
      <w:divBdr>
        <w:top w:val="none" w:sz="0" w:space="0" w:color="auto"/>
        <w:left w:val="none" w:sz="0" w:space="0" w:color="auto"/>
        <w:bottom w:val="none" w:sz="0" w:space="0" w:color="auto"/>
        <w:right w:val="none" w:sz="0" w:space="0" w:color="auto"/>
      </w:divBdr>
    </w:div>
    <w:div w:id="508108212">
      <w:bodyDiv w:val="1"/>
      <w:marLeft w:val="0"/>
      <w:marRight w:val="0"/>
      <w:marTop w:val="0"/>
      <w:marBottom w:val="0"/>
      <w:divBdr>
        <w:top w:val="none" w:sz="0" w:space="0" w:color="auto"/>
        <w:left w:val="none" w:sz="0" w:space="0" w:color="auto"/>
        <w:bottom w:val="none" w:sz="0" w:space="0" w:color="auto"/>
        <w:right w:val="none" w:sz="0" w:space="0" w:color="auto"/>
      </w:divBdr>
    </w:div>
    <w:div w:id="543559126">
      <w:bodyDiv w:val="1"/>
      <w:marLeft w:val="0"/>
      <w:marRight w:val="0"/>
      <w:marTop w:val="0"/>
      <w:marBottom w:val="0"/>
      <w:divBdr>
        <w:top w:val="none" w:sz="0" w:space="0" w:color="auto"/>
        <w:left w:val="none" w:sz="0" w:space="0" w:color="auto"/>
        <w:bottom w:val="none" w:sz="0" w:space="0" w:color="auto"/>
        <w:right w:val="none" w:sz="0" w:space="0" w:color="auto"/>
      </w:divBdr>
    </w:div>
    <w:div w:id="563838007">
      <w:bodyDiv w:val="1"/>
      <w:marLeft w:val="0"/>
      <w:marRight w:val="0"/>
      <w:marTop w:val="0"/>
      <w:marBottom w:val="0"/>
      <w:divBdr>
        <w:top w:val="none" w:sz="0" w:space="0" w:color="auto"/>
        <w:left w:val="none" w:sz="0" w:space="0" w:color="auto"/>
        <w:bottom w:val="none" w:sz="0" w:space="0" w:color="auto"/>
        <w:right w:val="none" w:sz="0" w:space="0" w:color="auto"/>
      </w:divBdr>
    </w:div>
    <w:div w:id="609776143">
      <w:bodyDiv w:val="1"/>
      <w:marLeft w:val="0"/>
      <w:marRight w:val="0"/>
      <w:marTop w:val="0"/>
      <w:marBottom w:val="0"/>
      <w:divBdr>
        <w:top w:val="none" w:sz="0" w:space="0" w:color="auto"/>
        <w:left w:val="none" w:sz="0" w:space="0" w:color="auto"/>
        <w:bottom w:val="none" w:sz="0" w:space="0" w:color="auto"/>
        <w:right w:val="none" w:sz="0" w:space="0" w:color="auto"/>
      </w:divBdr>
    </w:div>
    <w:div w:id="624890891">
      <w:bodyDiv w:val="1"/>
      <w:marLeft w:val="0"/>
      <w:marRight w:val="0"/>
      <w:marTop w:val="0"/>
      <w:marBottom w:val="0"/>
      <w:divBdr>
        <w:top w:val="none" w:sz="0" w:space="0" w:color="auto"/>
        <w:left w:val="none" w:sz="0" w:space="0" w:color="auto"/>
        <w:bottom w:val="none" w:sz="0" w:space="0" w:color="auto"/>
        <w:right w:val="none" w:sz="0" w:space="0" w:color="auto"/>
      </w:divBdr>
    </w:div>
    <w:div w:id="633369979">
      <w:bodyDiv w:val="1"/>
      <w:marLeft w:val="0"/>
      <w:marRight w:val="0"/>
      <w:marTop w:val="0"/>
      <w:marBottom w:val="0"/>
      <w:divBdr>
        <w:top w:val="none" w:sz="0" w:space="0" w:color="auto"/>
        <w:left w:val="none" w:sz="0" w:space="0" w:color="auto"/>
        <w:bottom w:val="none" w:sz="0" w:space="0" w:color="auto"/>
        <w:right w:val="none" w:sz="0" w:space="0" w:color="auto"/>
      </w:divBdr>
    </w:div>
    <w:div w:id="669647337">
      <w:bodyDiv w:val="1"/>
      <w:marLeft w:val="0"/>
      <w:marRight w:val="0"/>
      <w:marTop w:val="0"/>
      <w:marBottom w:val="0"/>
      <w:divBdr>
        <w:top w:val="none" w:sz="0" w:space="0" w:color="auto"/>
        <w:left w:val="none" w:sz="0" w:space="0" w:color="auto"/>
        <w:bottom w:val="none" w:sz="0" w:space="0" w:color="auto"/>
        <w:right w:val="none" w:sz="0" w:space="0" w:color="auto"/>
      </w:divBdr>
    </w:div>
    <w:div w:id="693730250">
      <w:bodyDiv w:val="1"/>
      <w:marLeft w:val="0"/>
      <w:marRight w:val="0"/>
      <w:marTop w:val="0"/>
      <w:marBottom w:val="0"/>
      <w:divBdr>
        <w:top w:val="none" w:sz="0" w:space="0" w:color="auto"/>
        <w:left w:val="none" w:sz="0" w:space="0" w:color="auto"/>
        <w:bottom w:val="none" w:sz="0" w:space="0" w:color="auto"/>
        <w:right w:val="none" w:sz="0" w:space="0" w:color="auto"/>
      </w:divBdr>
    </w:div>
    <w:div w:id="724181322">
      <w:bodyDiv w:val="1"/>
      <w:marLeft w:val="0"/>
      <w:marRight w:val="0"/>
      <w:marTop w:val="0"/>
      <w:marBottom w:val="0"/>
      <w:divBdr>
        <w:top w:val="none" w:sz="0" w:space="0" w:color="auto"/>
        <w:left w:val="none" w:sz="0" w:space="0" w:color="auto"/>
        <w:bottom w:val="none" w:sz="0" w:space="0" w:color="auto"/>
        <w:right w:val="none" w:sz="0" w:space="0" w:color="auto"/>
      </w:divBdr>
    </w:div>
    <w:div w:id="784420354">
      <w:bodyDiv w:val="1"/>
      <w:marLeft w:val="0"/>
      <w:marRight w:val="0"/>
      <w:marTop w:val="0"/>
      <w:marBottom w:val="0"/>
      <w:divBdr>
        <w:top w:val="none" w:sz="0" w:space="0" w:color="auto"/>
        <w:left w:val="none" w:sz="0" w:space="0" w:color="auto"/>
        <w:bottom w:val="none" w:sz="0" w:space="0" w:color="auto"/>
        <w:right w:val="none" w:sz="0" w:space="0" w:color="auto"/>
      </w:divBdr>
    </w:div>
    <w:div w:id="1120950651">
      <w:bodyDiv w:val="1"/>
      <w:marLeft w:val="0"/>
      <w:marRight w:val="0"/>
      <w:marTop w:val="0"/>
      <w:marBottom w:val="0"/>
      <w:divBdr>
        <w:top w:val="none" w:sz="0" w:space="0" w:color="auto"/>
        <w:left w:val="none" w:sz="0" w:space="0" w:color="auto"/>
        <w:bottom w:val="none" w:sz="0" w:space="0" w:color="auto"/>
        <w:right w:val="none" w:sz="0" w:space="0" w:color="auto"/>
      </w:divBdr>
    </w:div>
    <w:div w:id="1123622135">
      <w:bodyDiv w:val="1"/>
      <w:marLeft w:val="0"/>
      <w:marRight w:val="0"/>
      <w:marTop w:val="0"/>
      <w:marBottom w:val="0"/>
      <w:divBdr>
        <w:top w:val="none" w:sz="0" w:space="0" w:color="auto"/>
        <w:left w:val="none" w:sz="0" w:space="0" w:color="auto"/>
        <w:bottom w:val="none" w:sz="0" w:space="0" w:color="auto"/>
        <w:right w:val="none" w:sz="0" w:space="0" w:color="auto"/>
      </w:divBdr>
    </w:div>
    <w:div w:id="1129666216">
      <w:bodyDiv w:val="1"/>
      <w:marLeft w:val="0"/>
      <w:marRight w:val="0"/>
      <w:marTop w:val="0"/>
      <w:marBottom w:val="0"/>
      <w:divBdr>
        <w:top w:val="none" w:sz="0" w:space="0" w:color="auto"/>
        <w:left w:val="none" w:sz="0" w:space="0" w:color="auto"/>
        <w:bottom w:val="none" w:sz="0" w:space="0" w:color="auto"/>
        <w:right w:val="none" w:sz="0" w:space="0" w:color="auto"/>
      </w:divBdr>
      <w:divsChild>
        <w:div w:id="1138499782">
          <w:marLeft w:val="720"/>
          <w:marRight w:val="0"/>
          <w:marTop w:val="0"/>
          <w:marBottom w:val="0"/>
          <w:divBdr>
            <w:top w:val="none" w:sz="0" w:space="0" w:color="auto"/>
            <w:left w:val="none" w:sz="0" w:space="0" w:color="auto"/>
            <w:bottom w:val="none" w:sz="0" w:space="0" w:color="auto"/>
            <w:right w:val="none" w:sz="0" w:space="0" w:color="auto"/>
          </w:divBdr>
        </w:div>
        <w:div w:id="398332974">
          <w:marLeft w:val="720"/>
          <w:marRight w:val="0"/>
          <w:marTop w:val="0"/>
          <w:marBottom w:val="0"/>
          <w:divBdr>
            <w:top w:val="none" w:sz="0" w:space="0" w:color="auto"/>
            <w:left w:val="none" w:sz="0" w:space="0" w:color="auto"/>
            <w:bottom w:val="none" w:sz="0" w:space="0" w:color="auto"/>
            <w:right w:val="none" w:sz="0" w:space="0" w:color="auto"/>
          </w:divBdr>
        </w:div>
        <w:div w:id="436754965">
          <w:marLeft w:val="720"/>
          <w:marRight w:val="0"/>
          <w:marTop w:val="0"/>
          <w:marBottom w:val="0"/>
          <w:divBdr>
            <w:top w:val="none" w:sz="0" w:space="0" w:color="auto"/>
            <w:left w:val="none" w:sz="0" w:space="0" w:color="auto"/>
            <w:bottom w:val="none" w:sz="0" w:space="0" w:color="auto"/>
            <w:right w:val="none" w:sz="0" w:space="0" w:color="auto"/>
          </w:divBdr>
        </w:div>
        <w:div w:id="1915125416">
          <w:marLeft w:val="720"/>
          <w:marRight w:val="0"/>
          <w:marTop w:val="0"/>
          <w:marBottom w:val="0"/>
          <w:divBdr>
            <w:top w:val="none" w:sz="0" w:space="0" w:color="auto"/>
            <w:left w:val="none" w:sz="0" w:space="0" w:color="auto"/>
            <w:bottom w:val="none" w:sz="0" w:space="0" w:color="auto"/>
            <w:right w:val="none" w:sz="0" w:space="0" w:color="auto"/>
          </w:divBdr>
        </w:div>
        <w:div w:id="2097943288">
          <w:marLeft w:val="720"/>
          <w:marRight w:val="0"/>
          <w:marTop w:val="0"/>
          <w:marBottom w:val="0"/>
          <w:divBdr>
            <w:top w:val="none" w:sz="0" w:space="0" w:color="auto"/>
            <w:left w:val="none" w:sz="0" w:space="0" w:color="auto"/>
            <w:bottom w:val="none" w:sz="0" w:space="0" w:color="auto"/>
            <w:right w:val="none" w:sz="0" w:space="0" w:color="auto"/>
          </w:divBdr>
        </w:div>
      </w:divsChild>
    </w:div>
    <w:div w:id="1139034192">
      <w:bodyDiv w:val="1"/>
      <w:marLeft w:val="0"/>
      <w:marRight w:val="0"/>
      <w:marTop w:val="0"/>
      <w:marBottom w:val="0"/>
      <w:divBdr>
        <w:top w:val="none" w:sz="0" w:space="0" w:color="auto"/>
        <w:left w:val="none" w:sz="0" w:space="0" w:color="auto"/>
        <w:bottom w:val="none" w:sz="0" w:space="0" w:color="auto"/>
        <w:right w:val="none" w:sz="0" w:space="0" w:color="auto"/>
      </w:divBdr>
      <w:divsChild>
        <w:div w:id="1889873527">
          <w:marLeft w:val="720"/>
          <w:marRight w:val="0"/>
          <w:marTop w:val="0"/>
          <w:marBottom w:val="0"/>
          <w:divBdr>
            <w:top w:val="none" w:sz="0" w:space="0" w:color="auto"/>
            <w:left w:val="none" w:sz="0" w:space="0" w:color="auto"/>
            <w:bottom w:val="none" w:sz="0" w:space="0" w:color="auto"/>
            <w:right w:val="none" w:sz="0" w:space="0" w:color="auto"/>
          </w:divBdr>
        </w:div>
        <w:div w:id="1739131549">
          <w:marLeft w:val="720"/>
          <w:marRight w:val="0"/>
          <w:marTop w:val="0"/>
          <w:marBottom w:val="0"/>
          <w:divBdr>
            <w:top w:val="none" w:sz="0" w:space="0" w:color="auto"/>
            <w:left w:val="none" w:sz="0" w:space="0" w:color="auto"/>
            <w:bottom w:val="none" w:sz="0" w:space="0" w:color="auto"/>
            <w:right w:val="none" w:sz="0" w:space="0" w:color="auto"/>
          </w:divBdr>
        </w:div>
        <w:div w:id="1178547244">
          <w:marLeft w:val="720"/>
          <w:marRight w:val="0"/>
          <w:marTop w:val="0"/>
          <w:marBottom w:val="0"/>
          <w:divBdr>
            <w:top w:val="none" w:sz="0" w:space="0" w:color="auto"/>
            <w:left w:val="none" w:sz="0" w:space="0" w:color="auto"/>
            <w:bottom w:val="none" w:sz="0" w:space="0" w:color="auto"/>
            <w:right w:val="none" w:sz="0" w:space="0" w:color="auto"/>
          </w:divBdr>
        </w:div>
        <w:div w:id="573398967">
          <w:marLeft w:val="720"/>
          <w:marRight w:val="0"/>
          <w:marTop w:val="0"/>
          <w:marBottom w:val="0"/>
          <w:divBdr>
            <w:top w:val="none" w:sz="0" w:space="0" w:color="auto"/>
            <w:left w:val="none" w:sz="0" w:space="0" w:color="auto"/>
            <w:bottom w:val="none" w:sz="0" w:space="0" w:color="auto"/>
            <w:right w:val="none" w:sz="0" w:space="0" w:color="auto"/>
          </w:divBdr>
        </w:div>
        <w:div w:id="188565210">
          <w:marLeft w:val="720"/>
          <w:marRight w:val="0"/>
          <w:marTop w:val="0"/>
          <w:marBottom w:val="0"/>
          <w:divBdr>
            <w:top w:val="none" w:sz="0" w:space="0" w:color="auto"/>
            <w:left w:val="none" w:sz="0" w:space="0" w:color="auto"/>
            <w:bottom w:val="none" w:sz="0" w:space="0" w:color="auto"/>
            <w:right w:val="none" w:sz="0" w:space="0" w:color="auto"/>
          </w:divBdr>
        </w:div>
      </w:divsChild>
    </w:div>
    <w:div w:id="1142648828">
      <w:bodyDiv w:val="1"/>
      <w:marLeft w:val="0"/>
      <w:marRight w:val="0"/>
      <w:marTop w:val="0"/>
      <w:marBottom w:val="0"/>
      <w:divBdr>
        <w:top w:val="none" w:sz="0" w:space="0" w:color="auto"/>
        <w:left w:val="none" w:sz="0" w:space="0" w:color="auto"/>
        <w:bottom w:val="none" w:sz="0" w:space="0" w:color="auto"/>
        <w:right w:val="none" w:sz="0" w:space="0" w:color="auto"/>
      </w:divBdr>
    </w:div>
    <w:div w:id="1161505886">
      <w:bodyDiv w:val="1"/>
      <w:marLeft w:val="0"/>
      <w:marRight w:val="0"/>
      <w:marTop w:val="0"/>
      <w:marBottom w:val="0"/>
      <w:divBdr>
        <w:top w:val="none" w:sz="0" w:space="0" w:color="auto"/>
        <w:left w:val="none" w:sz="0" w:space="0" w:color="auto"/>
        <w:bottom w:val="none" w:sz="0" w:space="0" w:color="auto"/>
        <w:right w:val="none" w:sz="0" w:space="0" w:color="auto"/>
      </w:divBdr>
    </w:div>
    <w:div w:id="1177967426">
      <w:bodyDiv w:val="1"/>
      <w:marLeft w:val="0"/>
      <w:marRight w:val="0"/>
      <w:marTop w:val="0"/>
      <w:marBottom w:val="0"/>
      <w:divBdr>
        <w:top w:val="none" w:sz="0" w:space="0" w:color="auto"/>
        <w:left w:val="none" w:sz="0" w:space="0" w:color="auto"/>
        <w:bottom w:val="none" w:sz="0" w:space="0" w:color="auto"/>
        <w:right w:val="none" w:sz="0" w:space="0" w:color="auto"/>
      </w:divBdr>
    </w:div>
    <w:div w:id="1248729450">
      <w:bodyDiv w:val="1"/>
      <w:marLeft w:val="0"/>
      <w:marRight w:val="0"/>
      <w:marTop w:val="0"/>
      <w:marBottom w:val="0"/>
      <w:divBdr>
        <w:top w:val="none" w:sz="0" w:space="0" w:color="auto"/>
        <w:left w:val="none" w:sz="0" w:space="0" w:color="auto"/>
        <w:bottom w:val="none" w:sz="0" w:space="0" w:color="auto"/>
        <w:right w:val="none" w:sz="0" w:space="0" w:color="auto"/>
      </w:divBdr>
    </w:div>
    <w:div w:id="1342197621">
      <w:bodyDiv w:val="1"/>
      <w:marLeft w:val="0"/>
      <w:marRight w:val="0"/>
      <w:marTop w:val="0"/>
      <w:marBottom w:val="0"/>
      <w:divBdr>
        <w:top w:val="none" w:sz="0" w:space="0" w:color="auto"/>
        <w:left w:val="none" w:sz="0" w:space="0" w:color="auto"/>
        <w:bottom w:val="none" w:sz="0" w:space="0" w:color="auto"/>
        <w:right w:val="none" w:sz="0" w:space="0" w:color="auto"/>
      </w:divBdr>
    </w:div>
    <w:div w:id="1548294265">
      <w:bodyDiv w:val="1"/>
      <w:marLeft w:val="0"/>
      <w:marRight w:val="0"/>
      <w:marTop w:val="0"/>
      <w:marBottom w:val="0"/>
      <w:divBdr>
        <w:top w:val="none" w:sz="0" w:space="0" w:color="auto"/>
        <w:left w:val="none" w:sz="0" w:space="0" w:color="auto"/>
        <w:bottom w:val="none" w:sz="0" w:space="0" w:color="auto"/>
        <w:right w:val="none" w:sz="0" w:space="0" w:color="auto"/>
      </w:divBdr>
    </w:div>
    <w:div w:id="1579287360">
      <w:bodyDiv w:val="1"/>
      <w:marLeft w:val="0"/>
      <w:marRight w:val="0"/>
      <w:marTop w:val="0"/>
      <w:marBottom w:val="0"/>
      <w:divBdr>
        <w:top w:val="none" w:sz="0" w:space="0" w:color="auto"/>
        <w:left w:val="none" w:sz="0" w:space="0" w:color="auto"/>
        <w:bottom w:val="none" w:sz="0" w:space="0" w:color="auto"/>
        <w:right w:val="none" w:sz="0" w:space="0" w:color="auto"/>
      </w:divBdr>
    </w:div>
    <w:div w:id="1603877054">
      <w:bodyDiv w:val="1"/>
      <w:marLeft w:val="0"/>
      <w:marRight w:val="0"/>
      <w:marTop w:val="0"/>
      <w:marBottom w:val="0"/>
      <w:divBdr>
        <w:top w:val="none" w:sz="0" w:space="0" w:color="auto"/>
        <w:left w:val="none" w:sz="0" w:space="0" w:color="auto"/>
        <w:bottom w:val="none" w:sz="0" w:space="0" w:color="auto"/>
        <w:right w:val="none" w:sz="0" w:space="0" w:color="auto"/>
      </w:divBdr>
    </w:div>
    <w:div w:id="1795632565">
      <w:bodyDiv w:val="1"/>
      <w:marLeft w:val="0"/>
      <w:marRight w:val="0"/>
      <w:marTop w:val="0"/>
      <w:marBottom w:val="0"/>
      <w:divBdr>
        <w:top w:val="none" w:sz="0" w:space="0" w:color="auto"/>
        <w:left w:val="none" w:sz="0" w:space="0" w:color="auto"/>
        <w:bottom w:val="none" w:sz="0" w:space="0" w:color="auto"/>
        <w:right w:val="none" w:sz="0" w:space="0" w:color="auto"/>
      </w:divBdr>
    </w:div>
    <w:div w:id="1852449521">
      <w:bodyDiv w:val="1"/>
      <w:marLeft w:val="0"/>
      <w:marRight w:val="0"/>
      <w:marTop w:val="0"/>
      <w:marBottom w:val="0"/>
      <w:divBdr>
        <w:top w:val="none" w:sz="0" w:space="0" w:color="auto"/>
        <w:left w:val="none" w:sz="0" w:space="0" w:color="auto"/>
        <w:bottom w:val="none" w:sz="0" w:space="0" w:color="auto"/>
        <w:right w:val="none" w:sz="0" w:space="0" w:color="auto"/>
      </w:divBdr>
    </w:div>
    <w:div w:id="1989360445">
      <w:bodyDiv w:val="1"/>
      <w:marLeft w:val="0"/>
      <w:marRight w:val="0"/>
      <w:marTop w:val="0"/>
      <w:marBottom w:val="0"/>
      <w:divBdr>
        <w:top w:val="none" w:sz="0" w:space="0" w:color="auto"/>
        <w:left w:val="none" w:sz="0" w:space="0" w:color="auto"/>
        <w:bottom w:val="none" w:sz="0" w:space="0" w:color="auto"/>
        <w:right w:val="none" w:sz="0" w:space="0" w:color="auto"/>
      </w:divBdr>
      <w:divsChild>
        <w:div w:id="745341297">
          <w:marLeft w:val="720"/>
          <w:marRight w:val="0"/>
          <w:marTop w:val="0"/>
          <w:marBottom w:val="0"/>
          <w:divBdr>
            <w:top w:val="none" w:sz="0" w:space="0" w:color="auto"/>
            <w:left w:val="none" w:sz="0" w:space="0" w:color="auto"/>
            <w:bottom w:val="none" w:sz="0" w:space="0" w:color="auto"/>
            <w:right w:val="none" w:sz="0" w:space="0" w:color="auto"/>
          </w:divBdr>
        </w:div>
        <w:div w:id="1807117344">
          <w:marLeft w:val="720"/>
          <w:marRight w:val="0"/>
          <w:marTop w:val="0"/>
          <w:marBottom w:val="0"/>
          <w:divBdr>
            <w:top w:val="none" w:sz="0" w:space="0" w:color="auto"/>
            <w:left w:val="none" w:sz="0" w:space="0" w:color="auto"/>
            <w:bottom w:val="none" w:sz="0" w:space="0" w:color="auto"/>
            <w:right w:val="none" w:sz="0" w:space="0" w:color="auto"/>
          </w:divBdr>
        </w:div>
        <w:div w:id="1980454561">
          <w:marLeft w:val="720"/>
          <w:marRight w:val="0"/>
          <w:marTop w:val="0"/>
          <w:marBottom w:val="0"/>
          <w:divBdr>
            <w:top w:val="none" w:sz="0" w:space="0" w:color="auto"/>
            <w:left w:val="none" w:sz="0" w:space="0" w:color="auto"/>
            <w:bottom w:val="none" w:sz="0" w:space="0" w:color="auto"/>
            <w:right w:val="none" w:sz="0" w:space="0" w:color="auto"/>
          </w:divBdr>
        </w:div>
        <w:div w:id="1363288220">
          <w:marLeft w:val="720"/>
          <w:marRight w:val="0"/>
          <w:marTop w:val="0"/>
          <w:marBottom w:val="0"/>
          <w:divBdr>
            <w:top w:val="none" w:sz="0" w:space="0" w:color="auto"/>
            <w:left w:val="none" w:sz="0" w:space="0" w:color="auto"/>
            <w:bottom w:val="none" w:sz="0" w:space="0" w:color="auto"/>
            <w:right w:val="none" w:sz="0" w:space="0" w:color="auto"/>
          </w:divBdr>
        </w:div>
        <w:div w:id="1565069273">
          <w:marLeft w:val="720"/>
          <w:marRight w:val="0"/>
          <w:marTop w:val="0"/>
          <w:marBottom w:val="0"/>
          <w:divBdr>
            <w:top w:val="none" w:sz="0" w:space="0" w:color="auto"/>
            <w:left w:val="none" w:sz="0" w:space="0" w:color="auto"/>
            <w:bottom w:val="none" w:sz="0" w:space="0" w:color="auto"/>
            <w:right w:val="none" w:sz="0" w:space="0" w:color="auto"/>
          </w:divBdr>
        </w:div>
      </w:divsChild>
    </w:div>
    <w:div w:id="2001157303">
      <w:bodyDiv w:val="1"/>
      <w:marLeft w:val="0"/>
      <w:marRight w:val="0"/>
      <w:marTop w:val="0"/>
      <w:marBottom w:val="0"/>
      <w:divBdr>
        <w:top w:val="none" w:sz="0" w:space="0" w:color="auto"/>
        <w:left w:val="none" w:sz="0" w:space="0" w:color="auto"/>
        <w:bottom w:val="none" w:sz="0" w:space="0" w:color="auto"/>
        <w:right w:val="none" w:sz="0" w:space="0" w:color="auto"/>
      </w:divBdr>
    </w:div>
    <w:div w:id="2025134189">
      <w:bodyDiv w:val="1"/>
      <w:marLeft w:val="0"/>
      <w:marRight w:val="0"/>
      <w:marTop w:val="0"/>
      <w:marBottom w:val="0"/>
      <w:divBdr>
        <w:top w:val="none" w:sz="0" w:space="0" w:color="auto"/>
        <w:left w:val="none" w:sz="0" w:space="0" w:color="auto"/>
        <w:bottom w:val="none" w:sz="0" w:space="0" w:color="auto"/>
        <w:right w:val="none" w:sz="0" w:space="0" w:color="auto"/>
      </w:divBdr>
    </w:div>
    <w:div w:id="2062824624">
      <w:bodyDiv w:val="1"/>
      <w:marLeft w:val="0"/>
      <w:marRight w:val="0"/>
      <w:marTop w:val="0"/>
      <w:marBottom w:val="0"/>
      <w:divBdr>
        <w:top w:val="none" w:sz="0" w:space="0" w:color="auto"/>
        <w:left w:val="none" w:sz="0" w:space="0" w:color="auto"/>
        <w:bottom w:val="none" w:sz="0" w:space="0" w:color="auto"/>
        <w:right w:val="none" w:sz="0" w:space="0" w:color="auto"/>
      </w:divBdr>
    </w:div>
    <w:div w:id="2063940695">
      <w:bodyDiv w:val="1"/>
      <w:marLeft w:val="0"/>
      <w:marRight w:val="0"/>
      <w:marTop w:val="0"/>
      <w:marBottom w:val="0"/>
      <w:divBdr>
        <w:top w:val="none" w:sz="0" w:space="0" w:color="auto"/>
        <w:left w:val="none" w:sz="0" w:space="0" w:color="auto"/>
        <w:bottom w:val="none" w:sz="0" w:space="0" w:color="auto"/>
        <w:right w:val="none" w:sz="0" w:space="0" w:color="auto"/>
      </w:divBdr>
    </w:div>
    <w:div w:id="2106534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hyperlink" Target="http://www.sepmstrata.org/page.aspx?&amp;pageid=46&amp;3" TargetMode="External"/><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38.png"/><Relationship Id="rId57" Type="http://schemas.openxmlformats.org/officeDocument/2006/relationships/image" Target="media/image46.png"/><Relationship Id="rId61" Type="http://schemas.openxmlformats.org/officeDocument/2006/relationships/image" Target="media/image50.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hyperlink" Target="http://www.sepmstrata.org/page.aspx?&amp;pageid=46&amp;3" TargetMode="External"/><Relationship Id="rId56" Type="http://schemas.openxmlformats.org/officeDocument/2006/relationships/image" Target="media/image45.png"/><Relationship Id="rId64" Type="http://schemas.openxmlformats.org/officeDocument/2006/relationships/image" Target="media/image53.png"/><Relationship Id="rId8" Type="http://schemas.openxmlformats.org/officeDocument/2006/relationships/footer" Target="footer1.xml"/><Relationship Id="rId51" Type="http://schemas.openxmlformats.org/officeDocument/2006/relationships/image" Target="media/image40.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48.png"/><Relationship Id="rId6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3.png"/><Relationship Id="rId62" Type="http://schemas.openxmlformats.org/officeDocument/2006/relationships/image" Target="media/image5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FEE"/>
    <w:rsid w:val="00CA5E40"/>
    <w:rsid w:val="00E87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4FC62A7185C4846AED8280A6798394E">
    <w:name w:val="84FC62A7185C4846AED8280A6798394E"/>
    <w:rsid w:val="00E87F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8A9773-C15B-4615-B9DB-CD599D664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TotalTime>
  <Pages>100</Pages>
  <Words>10804</Words>
  <Characters>61586</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Berg</dc:creator>
  <cp:keywords/>
  <dc:description/>
  <cp:lastModifiedBy>Sam Berg</cp:lastModifiedBy>
  <cp:revision>4</cp:revision>
  <cp:lastPrinted>2019-12-13T22:36:00Z</cp:lastPrinted>
  <dcterms:created xsi:type="dcterms:W3CDTF">2019-12-13T20:16:00Z</dcterms:created>
  <dcterms:modified xsi:type="dcterms:W3CDTF">2019-12-14T00:45:00Z</dcterms:modified>
</cp:coreProperties>
</file>