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002A8"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UNIVERSITY OF OKLAHOMA</w:t>
      </w:r>
    </w:p>
    <w:p w14:paraId="62E2921D"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GRADUATE COLLEGE</w:t>
      </w:r>
    </w:p>
    <w:p w14:paraId="290C4D62" w14:textId="77777777" w:rsidR="002027D2" w:rsidRPr="00986CA5" w:rsidRDefault="002027D2" w:rsidP="002434BD">
      <w:pPr>
        <w:jc w:val="center"/>
        <w:rPr>
          <w:rFonts w:ascii="Arial" w:hAnsi="Arial" w:cs="Arial"/>
          <w:sz w:val="24"/>
          <w:szCs w:val="24"/>
        </w:rPr>
      </w:pPr>
    </w:p>
    <w:p w14:paraId="58018330" w14:textId="77777777" w:rsidR="002027D2" w:rsidRPr="00986CA5" w:rsidRDefault="002027D2" w:rsidP="002434BD">
      <w:pPr>
        <w:jc w:val="center"/>
        <w:rPr>
          <w:rFonts w:ascii="Arial" w:hAnsi="Arial" w:cs="Arial"/>
          <w:sz w:val="24"/>
          <w:szCs w:val="24"/>
        </w:rPr>
      </w:pPr>
    </w:p>
    <w:p w14:paraId="4D12B96E" w14:textId="77777777" w:rsidR="002027D2" w:rsidRPr="00986CA5" w:rsidRDefault="002027D2" w:rsidP="002434BD">
      <w:pPr>
        <w:jc w:val="center"/>
        <w:rPr>
          <w:rFonts w:ascii="Arial" w:hAnsi="Arial" w:cs="Arial"/>
          <w:sz w:val="24"/>
          <w:szCs w:val="24"/>
        </w:rPr>
      </w:pPr>
    </w:p>
    <w:p w14:paraId="62608780" w14:textId="77777777" w:rsidR="002027D2" w:rsidRPr="00986CA5" w:rsidRDefault="002027D2" w:rsidP="002434BD">
      <w:pPr>
        <w:jc w:val="center"/>
        <w:rPr>
          <w:rFonts w:ascii="Arial" w:hAnsi="Arial" w:cs="Arial"/>
          <w:sz w:val="24"/>
          <w:szCs w:val="24"/>
        </w:rPr>
      </w:pPr>
    </w:p>
    <w:p w14:paraId="2C3B31D6" w14:textId="77777777" w:rsidR="002027D2" w:rsidRPr="00986CA5" w:rsidRDefault="002027D2" w:rsidP="002434BD">
      <w:pPr>
        <w:jc w:val="center"/>
        <w:rPr>
          <w:rFonts w:ascii="Arial" w:hAnsi="Arial" w:cs="Arial"/>
          <w:sz w:val="24"/>
          <w:szCs w:val="24"/>
        </w:rPr>
      </w:pPr>
      <w:r>
        <w:rPr>
          <w:rFonts w:ascii="Arial" w:hAnsi="Arial" w:cs="Arial"/>
          <w:sz w:val="24"/>
          <w:szCs w:val="24"/>
        </w:rPr>
        <w:t>DEVELOPMENT OF CONTRAST AGENTS FOR OPTOACOUSTIC IMAGING</w:t>
      </w:r>
    </w:p>
    <w:p w14:paraId="75F3ADA4" w14:textId="77777777" w:rsidR="002027D2" w:rsidRPr="00986CA5" w:rsidRDefault="002027D2" w:rsidP="002434BD">
      <w:pPr>
        <w:jc w:val="center"/>
        <w:rPr>
          <w:rFonts w:ascii="Arial" w:hAnsi="Arial" w:cs="Arial"/>
          <w:sz w:val="24"/>
          <w:szCs w:val="24"/>
        </w:rPr>
      </w:pPr>
    </w:p>
    <w:p w14:paraId="205950AF" w14:textId="77777777" w:rsidR="002027D2" w:rsidRPr="00986CA5" w:rsidRDefault="002027D2" w:rsidP="002434BD">
      <w:pPr>
        <w:jc w:val="center"/>
        <w:rPr>
          <w:rFonts w:ascii="Arial" w:hAnsi="Arial" w:cs="Arial"/>
          <w:sz w:val="24"/>
          <w:szCs w:val="24"/>
        </w:rPr>
      </w:pPr>
    </w:p>
    <w:p w14:paraId="1D7916D4" w14:textId="77777777" w:rsidR="002027D2" w:rsidRPr="00986CA5" w:rsidRDefault="002027D2" w:rsidP="002434BD">
      <w:pPr>
        <w:jc w:val="center"/>
        <w:rPr>
          <w:rFonts w:ascii="Arial" w:hAnsi="Arial" w:cs="Arial"/>
          <w:sz w:val="24"/>
          <w:szCs w:val="24"/>
        </w:rPr>
      </w:pPr>
    </w:p>
    <w:p w14:paraId="496D80E8" w14:textId="77777777" w:rsidR="002027D2" w:rsidRPr="00986CA5" w:rsidRDefault="002027D2" w:rsidP="002434BD">
      <w:pPr>
        <w:jc w:val="center"/>
        <w:rPr>
          <w:rFonts w:ascii="Arial" w:hAnsi="Arial" w:cs="Arial"/>
          <w:sz w:val="24"/>
          <w:szCs w:val="24"/>
        </w:rPr>
      </w:pPr>
    </w:p>
    <w:p w14:paraId="08F71F79"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A DISSERTATION</w:t>
      </w:r>
    </w:p>
    <w:p w14:paraId="0B7F1A9C"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SUBMITTED TO THE GRADUATE FACULTY</w:t>
      </w:r>
    </w:p>
    <w:p w14:paraId="262C883F" w14:textId="77777777" w:rsidR="002027D2" w:rsidRPr="00986CA5" w:rsidRDefault="002027D2" w:rsidP="002434BD">
      <w:pPr>
        <w:jc w:val="center"/>
        <w:rPr>
          <w:rFonts w:ascii="Arial" w:hAnsi="Arial" w:cs="Arial"/>
          <w:sz w:val="24"/>
          <w:szCs w:val="24"/>
        </w:rPr>
      </w:pPr>
      <w:r>
        <w:rPr>
          <w:rFonts w:ascii="Arial" w:hAnsi="Arial" w:cs="Arial"/>
          <w:sz w:val="24"/>
          <w:szCs w:val="24"/>
        </w:rPr>
        <w:t>i</w:t>
      </w:r>
      <w:r w:rsidRPr="00986CA5">
        <w:rPr>
          <w:rFonts w:ascii="Arial" w:hAnsi="Arial" w:cs="Arial"/>
          <w:sz w:val="24"/>
          <w:szCs w:val="24"/>
        </w:rPr>
        <w:t>n partial fulfillment of the requirements for the</w:t>
      </w:r>
    </w:p>
    <w:p w14:paraId="1573ADDC"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Degree of</w:t>
      </w:r>
    </w:p>
    <w:p w14:paraId="11E183A7"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DOCTOR OF PHILOSOPHY</w:t>
      </w:r>
    </w:p>
    <w:p w14:paraId="13845006" w14:textId="77777777" w:rsidR="002027D2" w:rsidRPr="00986CA5" w:rsidRDefault="002027D2" w:rsidP="002434BD">
      <w:pPr>
        <w:jc w:val="center"/>
        <w:rPr>
          <w:rFonts w:ascii="Arial" w:hAnsi="Arial" w:cs="Arial"/>
          <w:sz w:val="24"/>
          <w:szCs w:val="24"/>
        </w:rPr>
      </w:pPr>
    </w:p>
    <w:p w14:paraId="55FEAC0D" w14:textId="77777777" w:rsidR="002027D2" w:rsidRPr="00986CA5" w:rsidRDefault="002027D2" w:rsidP="002434BD">
      <w:pPr>
        <w:jc w:val="center"/>
        <w:rPr>
          <w:rFonts w:ascii="Arial" w:hAnsi="Arial" w:cs="Arial"/>
          <w:sz w:val="24"/>
          <w:szCs w:val="24"/>
        </w:rPr>
      </w:pPr>
    </w:p>
    <w:p w14:paraId="261B5F91" w14:textId="77777777" w:rsidR="002027D2" w:rsidRPr="00986CA5" w:rsidRDefault="002027D2" w:rsidP="002434BD">
      <w:pPr>
        <w:jc w:val="center"/>
        <w:rPr>
          <w:rFonts w:ascii="Arial" w:hAnsi="Arial" w:cs="Arial"/>
          <w:sz w:val="24"/>
          <w:szCs w:val="24"/>
        </w:rPr>
      </w:pPr>
    </w:p>
    <w:p w14:paraId="032E0649" w14:textId="77777777" w:rsidR="002027D2" w:rsidRDefault="002027D2" w:rsidP="00986CA5">
      <w:pPr>
        <w:rPr>
          <w:rFonts w:ascii="Arial" w:hAnsi="Arial" w:cs="Arial"/>
          <w:sz w:val="24"/>
          <w:szCs w:val="24"/>
        </w:rPr>
      </w:pPr>
    </w:p>
    <w:p w14:paraId="17B3D25F" w14:textId="77777777" w:rsidR="002027D2" w:rsidRPr="00986CA5" w:rsidRDefault="002027D2" w:rsidP="00986CA5">
      <w:pPr>
        <w:rPr>
          <w:rFonts w:ascii="Arial" w:hAnsi="Arial" w:cs="Arial"/>
          <w:sz w:val="24"/>
          <w:szCs w:val="24"/>
        </w:rPr>
      </w:pPr>
    </w:p>
    <w:p w14:paraId="689A54AA" w14:textId="77777777" w:rsidR="002027D2" w:rsidRPr="00986CA5" w:rsidRDefault="002027D2" w:rsidP="002434BD">
      <w:pPr>
        <w:jc w:val="center"/>
        <w:rPr>
          <w:rFonts w:ascii="Arial" w:hAnsi="Arial" w:cs="Arial"/>
          <w:sz w:val="24"/>
          <w:szCs w:val="24"/>
        </w:rPr>
      </w:pPr>
    </w:p>
    <w:p w14:paraId="03AED98D" w14:textId="77777777" w:rsidR="002027D2" w:rsidRPr="00986CA5" w:rsidRDefault="002027D2" w:rsidP="002434BD">
      <w:pPr>
        <w:jc w:val="center"/>
        <w:rPr>
          <w:rFonts w:ascii="Arial" w:hAnsi="Arial" w:cs="Arial"/>
          <w:sz w:val="24"/>
          <w:szCs w:val="24"/>
        </w:rPr>
      </w:pPr>
    </w:p>
    <w:p w14:paraId="65DC96E4"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By</w:t>
      </w:r>
    </w:p>
    <w:p w14:paraId="5A958A29" w14:textId="22D256DC" w:rsidR="002027D2" w:rsidRPr="00986CA5" w:rsidRDefault="00AA5B01" w:rsidP="002434BD">
      <w:pPr>
        <w:jc w:val="center"/>
        <w:rPr>
          <w:rFonts w:ascii="Arial" w:hAnsi="Arial" w:cs="Arial"/>
          <w:sz w:val="24"/>
          <w:szCs w:val="24"/>
        </w:rPr>
      </w:pPr>
      <w:r>
        <w:rPr>
          <w:rFonts w:ascii="Arial" w:hAnsi="Arial" w:cs="Arial"/>
          <w:sz w:val="24"/>
          <w:szCs w:val="24"/>
        </w:rPr>
        <w:t>WILLIAM M MACCUAIG</w:t>
      </w:r>
    </w:p>
    <w:p w14:paraId="35E21EDC"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Norman, Oklahoma</w:t>
      </w:r>
    </w:p>
    <w:p w14:paraId="3EC6C134"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2023</w:t>
      </w:r>
    </w:p>
    <w:p w14:paraId="69EEB537" w14:textId="77777777" w:rsidR="002027D2" w:rsidRDefault="002027D2">
      <w:pPr>
        <w:rPr>
          <w:rFonts w:ascii="Arial" w:hAnsi="Arial" w:cs="Arial"/>
          <w:sz w:val="24"/>
          <w:szCs w:val="24"/>
        </w:rPr>
      </w:pPr>
      <w:r>
        <w:rPr>
          <w:rFonts w:ascii="Arial" w:hAnsi="Arial" w:cs="Arial"/>
          <w:sz w:val="24"/>
          <w:szCs w:val="24"/>
        </w:rPr>
        <w:br w:type="page"/>
      </w:r>
    </w:p>
    <w:p w14:paraId="05AAEA35" w14:textId="77777777" w:rsidR="002027D2" w:rsidRPr="00986CA5" w:rsidRDefault="002027D2" w:rsidP="002434BD">
      <w:pPr>
        <w:jc w:val="center"/>
        <w:rPr>
          <w:rFonts w:ascii="Arial" w:hAnsi="Arial" w:cs="Arial"/>
          <w:sz w:val="24"/>
          <w:szCs w:val="24"/>
        </w:rPr>
      </w:pPr>
      <w:r>
        <w:rPr>
          <w:rFonts w:ascii="Arial" w:hAnsi="Arial" w:cs="Arial"/>
          <w:sz w:val="24"/>
          <w:szCs w:val="24"/>
        </w:rPr>
        <w:lastRenderedPageBreak/>
        <w:t>DEVELOPMENT OF CONTRAST AGENTS FOR OPTOACOUSTIC IMAGING</w:t>
      </w:r>
    </w:p>
    <w:p w14:paraId="08E7A3F6" w14:textId="77777777" w:rsidR="002027D2" w:rsidRPr="00986CA5" w:rsidRDefault="002027D2" w:rsidP="002434BD">
      <w:pPr>
        <w:jc w:val="center"/>
        <w:rPr>
          <w:rFonts w:ascii="Arial" w:hAnsi="Arial" w:cs="Arial"/>
          <w:sz w:val="24"/>
          <w:szCs w:val="24"/>
        </w:rPr>
      </w:pPr>
    </w:p>
    <w:p w14:paraId="3989CA64" w14:textId="77777777" w:rsidR="002027D2" w:rsidRPr="00986CA5" w:rsidRDefault="002027D2" w:rsidP="002434BD">
      <w:pPr>
        <w:jc w:val="center"/>
        <w:rPr>
          <w:rFonts w:ascii="Arial" w:hAnsi="Arial" w:cs="Arial"/>
          <w:sz w:val="24"/>
          <w:szCs w:val="24"/>
        </w:rPr>
      </w:pPr>
    </w:p>
    <w:p w14:paraId="762636BE"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A DISSERTATION APPROVED FOR THE</w:t>
      </w:r>
    </w:p>
    <w:p w14:paraId="330EFDC0"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STEPHENSON SCHOOL OF BIOMEDICAL ENGINEERING</w:t>
      </w:r>
    </w:p>
    <w:p w14:paraId="612989C9" w14:textId="77777777" w:rsidR="002027D2" w:rsidRPr="00986CA5" w:rsidRDefault="002027D2" w:rsidP="002434BD">
      <w:pPr>
        <w:jc w:val="center"/>
        <w:rPr>
          <w:rFonts w:ascii="Arial" w:hAnsi="Arial" w:cs="Arial"/>
          <w:sz w:val="24"/>
          <w:szCs w:val="24"/>
        </w:rPr>
      </w:pPr>
    </w:p>
    <w:p w14:paraId="1197D876" w14:textId="77777777" w:rsidR="002027D2" w:rsidRPr="00986CA5" w:rsidRDefault="002027D2" w:rsidP="002434BD">
      <w:pPr>
        <w:jc w:val="center"/>
        <w:rPr>
          <w:rFonts w:ascii="Arial" w:hAnsi="Arial" w:cs="Arial"/>
          <w:sz w:val="24"/>
          <w:szCs w:val="24"/>
        </w:rPr>
      </w:pPr>
    </w:p>
    <w:p w14:paraId="0957E4B0" w14:textId="77777777" w:rsidR="002027D2" w:rsidRPr="00986CA5" w:rsidRDefault="002027D2" w:rsidP="002434BD">
      <w:pPr>
        <w:jc w:val="center"/>
        <w:rPr>
          <w:rFonts w:ascii="Arial" w:hAnsi="Arial" w:cs="Arial"/>
          <w:sz w:val="24"/>
          <w:szCs w:val="24"/>
        </w:rPr>
      </w:pPr>
    </w:p>
    <w:p w14:paraId="0BECE1CC" w14:textId="77777777" w:rsidR="002027D2" w:rsidRPr="00986CA5" w:rsidRDefault="002027D2" w:rsidP="002434BD">
      <w:pPr>
        <w:jc w:val="center"/>
        <w:rPr>
          <w:rFonts w:ascii="Arial" w:hAnsi="Arial" w:cs="Arial"/>
          <w:sz w:val="24"/>
          <w:szCs w:val="24"/>
        </w:rPr>
      </w:pPr>
    </w:p>
    <w:p w14:paraId="199F08E2" w14:textId="77777777" w:rsidR="002027D2" w:rsidRPr="00986CA5" w:rsidRDefault="002027D2" w:rsidP="002434BD">
      <w:pPr>
        <w:jc w:val="center"/>
        <w:rPr>
          <w:rFonts w:ascii="Arial" w:hAnsi="Arial" w:cs="Arial"/>
          <w:sz w:val="24"/>
          <w:szCs w:val="24"/>
        </w:rPr>
      </w:pPr>
      <w:r w:rsidRPr="00986CA5">
        <w:rPr>
          <w:rFonts w:ascii="Arial" w:hAnsi="Arial" w:cs="Arial"/>
          <w:sz w:val="24"/>
          <w:szCs w:val="24"/>
        </w:rPr>
        <w:t>BY THE COMMITTEE CONSISTING OF</w:t>
      </w:r>
    </w:p>
    <w:p w14:paraId="05247B4E" w14:textId="77777777" w:rsidR="002027D2" w:rsidRPr="00986CA5" w:rsidRDefault="002027D2" w:rsidP="002434BD">
      <w:pPr>
        <w:jc w:val="center"/>
        <w:rPr>
          <w:rFonts w:ascii="Arial" w:hAnsi="Arial" w:cs="Arial"/>
          <w:sz w:val="24"/>
          <w:szCs w:val="24"/>
        </w:rPr>
      </w:pPr>
    </w:p>
    <w:p w14:paraId="639B1176" w14:textId="77777777" w:rsidR="002027D2" w:rsidRPr="00986CA5" w:rsidRDefault="002027D2" w:rsidP="002434BD">
      <w:pPr>
        <w:jc w:val="center"/>
        <w:rPr>
          <w:rFonts w:ascii="Arial" w:hAnsi="Arial" w:cs="Arial"/>
          <w:sz w:val="24"/>
          <w:szCs w:val="24"/>
        </w:rPr>
      </w:pPr>
    </w:p>
    <w:p w14:paraId="4EF9C990" w14:textId="77777777" w:rsidR="002027D2" w:rsidRPr="00986CA5" w:rsidRDefault="002027D2" w:rsidP="002434BD">
      <w:pPr>
        <w:jc w:val="center"/>
        <w:rPr>
          <w:rFonts w:ascii="Arial" w:hAnsi="Arial" w:cs="Arial"/>
          <w:sz w:val="24"/>
          <w:szCs w:val="24"/>
        </w:rPr>
      </w:pPr>
    </w:p>
    <w:p w14:paraId="5FB67027" w14:textId="77777777" w:rsidR="002027D2" w:rsidRPr="00986CA5" w:rsidRDefault="002027D2" w:rsidP="002434BD">
      <w:pPr>
        <w:jc w:val="center"/>
        <w:rPr>
          <w:rFonts w:ascii="Arial" w:hAnsi="Arial" w:cs="Arial"/>
          <w:sz w:val="24"/>
          <w:szCs w:val="24"/>
        </w:rPr>
      </w:pPr>
    </w:p>
    <w:p w14:paraId="74F97603" w14:textId="77777777" w:rsidR="002027D2" w:rsidRPr="00986CA5" w:rsidRDefault="002027D2" w:rsidP="002434BD">
      <w:pPr>
        <w:jc w:val="right"/>
        <w:rPr>
          <w:rFonts w:ascii="Arial" w:hAnsi="Arial" w:cs="Arial"/>
          <w:sz w:val="24"/>
          <w:szCs w:val="24"/>
        </w:rPr>
      </w:pPr>
      <w:r w:rsidRPr="00986CA5">
        <w:rPr>
          <w:rFonts w:ascii="Arial" w:hAnsi="Arial" w:cs="Arial"/>
          <w:sz w:val="24"/>
          <w:szCs w:val="24"/>
        </w:rPr>
        <w:t>Dr. Lacey McNally, Chair</w:t>
      </w:r>
    </w:p>
    <w:p w14:paraId="213135DF" w14:textId="77777777" w:rsidR="002027D2" w:rsidRPr="00986CA5" w:rsidRDefault="002027D2" w:rsidP="002434BD">
      <w:pPr>
        <w:jc w:val="right"/>
        <w:rPr>
          <w:rFonts w:ascii="Arial" w:hAnsi="Arial" w:cs="Arial"/>
          <w:sz w:val="24"/>
          <w:szCs w:val="24"/>
        </w:rPr>
      </w:pPr>
      <w:r w:rsidRPr="00986CA5">
        <w:rPr>
          <w:rFonts w:ascii="Arial" w:hAnsi="Arial" w:cs="Arial"/>
          <w:sz w:val="24"/>
          <w:szCs w:val="24"/>
        </w:rPr>
        <w:t>Dr. Edgar O’Rear</w:t>
      </w:r>
    </w:p>
    <w:p w14:paraId="77EC6B53" w14:textId="77777777" w:rsidR="002027D2" w:rsidRPr="00986CA5" w:rsidRDefault="002027D2" w:rsidP="002434BD">
      <w:pPr>
        <w:jc w:val="right"/>
        <w:rPr>
          <w:rFonts w:ascii="Arial" w:hAnsi="Arial" w:cs="Arial"/>
          <w:sz w:val="24"/>
          <w:szCs w:val="24"/>
        </w:rPr>
      </w:pPr>
      <w:r w:rsidRPr="00986CA5">
        <w:rPr>
          <w:rFonts w:ascii="Arial" w:hAnsi="Arial" w:cs="Arial"/>
          <w:sz w:val="24"/>
          <w:szCs w:val="24"/>
        </w:rPr>
        <w:t>Dr. Roger Harrison</w:t>
      </w:r>
    </w:p>
    <w:p w14:paraId="43DE3BA6" w14:textId="77777777" w:rsidR="002027D2" w:rsidRPr="00986CA5" w:rsidRDefault="002027D2" w:rsidP="002434BD">
      <w:pPr>
        <w:jc w:val="right"/>
        <w:rPr>
          <w:rFonts w:ascii="Arial" w:hAnsi="Arial" w:cs="Arial"/>
          <w:sz w:val="24"/>
          <w:szCs w:val="24"/>
        </w:rPr>
      </w:pPr>
      <w:r w:rsidRPr="00986CA5">
        <w:rPr>
          <w:rFonts w:ascii="Arial" w:hAnsi="Arial" w:cs="Arial"/>
          <w:sz w:val="24"/>
          <w:szCs w:val="24"/>
        </w:rPr>
        <w:t>Dr. Sepideh Razavi</w:t>
      </w:r>
    </w:p>
    <w:p w14:paraId="3FA329BE" w14:textId="77777777" w:rsidR="002027D2" w:rsidRPr="00986CA5" w:rsidRDefault="002027D2" w:rsidP="002434BD">
      <w:pPr>
        <w:jc w:val="right"/>
        <w:rPr>
          <w:rFonts w:ascii="Arial" w:hAnsi="Arial" w:cs="Arial"/>
          <w:sz w:val="24"/>
          <w:szCs w:val="24"/>
        </w:rPr>
      </w:pPr>
    </w:p>
    <w:p w14:paraId="71854113" w14:textId="77777777" w:rsidR="002027D2" w:rsidRPr="00986CA5" w:rsidRDefault="002027D2" w:rsidP="002434BD">
      <w:pPr>
        <w:jc w:val="right"/>
        <w:rPr>
          <w:rFonts w:ascii="Arial" w:hAnsi="Arial" w:cs="Arial"/>
          <w:sz w:val="24"/>
          <w:szCs w:val="24"/>
        </w:rPr>
      </w:pPr>
    </w:p>
    <w:p w14:paraId="201E7B0D" w14:textId="77777777" w:rsidR="002027D2" w:rsidRPr="00986CA5" w:rsidRDefault="002027D2" w:rsidP="002434BD">
      <w:pPr>
        <w:jc w:val="right"/>
        <w:rPr>
          <w:rFonts w:ascii="Arial" w:hAnsi="Arial" w:cs="Arial"/>
          <w:sz w:val="24"/>
          <w:szCs w:val="24"/>
        </w:rPr>
      </w:pPr>
    </w:p>
    <w:p w14:paraId="4C637305" w14:textId="77777777" w:rsidR="002027D2" w:rsidRPr="00986CA5" w:rsidRDefault="002027D2" w:rsidP="002434BD">
      <w:pPr>
        <w:jc w:val="right"/>
        <w:rPr>
          <w:rFonts w:ascii="Arial" w:hAnsi="Arial" w:cs="Arial"/>
          <w:sz w:val="24"/>
          <w:szCs w:val="24"/>
        </w:rPr>
      </w:pPr>
    </w:p>
    <w:p w14:paraId="1E4063BB" w14:textId="77777777" w:rsidR="002027D2" w:rsidRPr="00986CA5" w:rsidRDefault="002027D2" w:rsidP="002434BD">
      <w:pPr>
        <w:jc w:val="right"/>
        <w:rPr>
          <w:rFonts w:ascii="Arial" w:hAnsi="Arial" w:cs="Arial"/>
          <w:sz w:val="24"/>
          <w:szCs w:val="24"/>
        </w:rPr>
      </w:pPr>
    </w:p>
    <w:p w14:paraId="273EB967" w14:textId="77777777" w:rsidR="002027D2" w:rsidRPr="00986CA5" w:rsidRDefault="002027D2" w:rsidP="002434BD">
      <w:pPr>
        <w:jc w:val="right"/>
        <w:rPr>
          <w:rFonts w:ascii="Arial" w:hAnsi="Arial" w:cs="Arial"/>
          <w:sz w:val="24"/>
          <w:szCs w:val="24"/>
        </w:rPr>
      </w:pPr>
    </w:p>
    <w:p w14:paraId="2C5B6E4C" w14:textId="77777777" w:rsidR="002027D2" w:rsidRPr="00986CA5" w:rsidRDefault="002027D2" w:rsidP="002434BD">
      <w:pPr>
        <w:jc w:val="right"/>
        <w:rPr>
          <w:rFonts w:ascii="Arial" w:hAnsi="Arial" w:cs="Arial"/>
          <w:sz w:val="24"/>
          <w:szCs w:val="24"/>
        </w:rPr>
      </w:pPr>
    </w:p>
    <w:p w14:paraId="4AA33732" w14:textId="77777777" w:rsidR="002027D2" w:rsidRPr="00986CA5" w:rsidRDefault="002027D2" w:rsidP="002434BD">
      <w:pPr>
        <w:jc w:val="right"/>
        <w:rPr>
          <w:rFonts w:ascii="Arial" w:hAnsi="Arial" w:cs="Arial"/>
          <w:sz w:val="24"/>
          <w:szCs w:val="24"/>
        </w:rPr>
      </w:pPr>
    </w:p>
    <w:p w14:paraId="72894DFB" w14:textId="77777777" w:rsidR="002027D2" w:rsidRPr="00986CA5" w:rsidRDefault="002027D2" w:rsidP="002434BD">
      <w:pPr>
        <w:jc w:val="right"/>
        <w:rPr>
          <w:rFonts w:ascii="Arial" w:hAnsi="Arial" w:cs="Arial"/>
          <w:sz w:val="24"/>
          <w:szCs w:val="24"/>
        </w:rPr>
      </w:pPr>
    </w:p>
    <w:p w14:paraId="188187B4" w14:textId="77777777" w:rsidR="002027D2" w:rsidRDefault="002027D2">
      <w:pPr>
        <w:rPr>
          <w:rFonts w:ascii="Arial" w:hAnsi="Arial" w:cs="Arial"/>
          <w:sz w:val="24"/>
          <w:szCs w:val="24"/>
        </w:rPr>
      </w:pPr>
      <w:r>
        <w:rPr>
          <w:rFonts w:ascii="Arial" w:hAnsi="Arial" w:cs="Arial"/>
          <w:sz w:val="24"/>
          <w:szCs w:val="24"/>
        </w:rPr>
        <w:br w:type="page"/>
      </w:r>
    </w:p>
    <w:p w14:paraId="3C3FBF0F" w14:textId="77777777" w:rsidR="002027D2" w:rsidRPr="00986CA5" w:rsidRDefault="002027D2" w:rsidP="002434BD">
      <w:pPr>
        <w:jc w:val="right"/>
        <w:rPr>
          <w:rFonts w:ascii="Arial" w:hAnsi="Arial" w:cs="Arial"/>
          <w:sz w:val="24"/>
          <w:szCs w:val="24"/>
        </w:rPr>
      </w:pPr>
    </w:p>
    <w:p w14:paraId="749184E7" w14:textId="77777777" w:rsidR="002027D2" w:rsidRPr="00986CA5" w:rsidRDefault="002027D2" w:rsidP="002434BD">
      <w:pPr>
        <w:jc w:val="right"/>
        <w:rPr>
          <w:rFonts w:ascii="Arial" w:hAnsi="Arial" w:cs="Arial"/>
          <w:sz w:val="24"/>
          <w:szCs w:val="24"/>
        </w:rPr>
      </w:pPr>
    </w:p>
    <w:p w14:paraId="0DA485B0" w14:textId="77777777" w:rsidR="002027D2" w:rsidRPr="00986CA5" w:rsidRDefault="002027D2" w:rsidP="002434BD">
      <w:pPr>
        <w:jc w:val="right"/>
        <w:rPr>
          <w:rFonts w:ascii="Arial" w:hAnsi="Arial" w:cs="Arial"/>
          <w:sz w:val="24"/>
          <w:szCs w:val="24"/>
        </w:rPr>
      </w:pPr>
    </w:p>
    <w:p w14:paraId="7BA95679" w14:textId="77777777" w:rsidR="002027D2" w:rsidRPr="00986CA5" w:rsidRDefault="002027D2" w:rsidP="002434BD">
      <w:pPr>
        <w:jc w:val="right"/>
        <w:rPr>
          <w:rFonts w:ascii="Arial" w:hAnsi="Arial" w:cs="Arial"/>
          <w:sz w:val="24"/>
          <w:szCs w:val="24"/>
        </w:rPr>
      </w:pPr>
    </w:p>
    <w:p w14:paraId="2A67603C" w14:textId="77777777" w:rsidR="002027D2" w:rsidRPr="00986CA5" w:rsidRDefault="002027D2" w:rsidP="002434BD">
      <w:pPr>
        <w:jc w:val="right"/>
        <w:rPr>
          <w:rFonts w:ascii="Arial" w:hAnsi="Arial" w:cs="Arial"/>
          <w:sz w:val="24"/>
          <w:szCs w:val="24"/>
        </w:rPr>
      </w:pPr>
    </w:p>
    <w:p w14:paraId="5AE3B670" w14:textId="77777777" w:rsidR="002027D2" w:rsidRPr="00986CA5" w:rsidRDefault="002027D2" w:rsidP="002434BD">
      <w:pPr>
        <w:jc w:val="right"/>
        <w:rPr>
          <w:rFonts w:ascii="Arial" w:hAnsi="Arial" w:cs="Arial"/>
          <w:sz w:val="24"/>
          <w:szCs w:val="24"/>
        </w:rPr>
      </w:pPr>
    </w:p>
    <w:p w14:paraId="6CDABBF4" w14:textId="77777777" w:rsidR="002027D2" w:rsidRPr="00986CA5" w:rsidRDefault="002027D2" w:rsidP="002434BD">
      <w:pPr>
        <w:jc w:val="right"/>
        <w:rPr>
          <w:rFonts w:ascii="Arial" w:hAnsi="Arial" w:cs="Arial"/>
          <w:sz w:val="24"/>
          <w:szCs w:val="24"/>
        </w:rPr>
      </w:pPr>
    </w:p>
    <w:p w14:paraId="1E69749B" w14:textId="77777777" w:rsidR="002027D2" w:rsidRPr="00986CA5" w:rsidRDefault="002027D2" w:rsidP="002434BD">
      <w:pPr>
        <w:jc w:val="right"/>
        <w:rPr>
          <w:rFonts w:ascii="Arial" w:hAnsi="Arial" w:cs="Arial"/>
          <w:sz w:val="24"/>
          <w:szCs w:val="24"/>
        </w:rPr>
      </w:pPr>
    </w:p>
    <w:p w14:paraId="4EAB269D" w14:textId="77777777" w:rsidR="002027D2" w:rsidRPr="00986CA5" w:rsidRDefault="002027D2" w:rsidP="002434BD">
      <w:pPr>
        <w:jc w:val="right"/>
        <w:rPr>
          <w:rFonts w:ascii="Arial" w:hAnsi="Arial" w:cs="Arial"/>
          <w:sz w:val="24"/>
          <w:szCs w:val="24"/>
        </w:rPr>
      </w:pPr>
    </w:p>
    <w:p w14:paraId="16F539BE" w14:textId="77777777" w:rsidR="002027D2" w:rsidRPr="00986CA5" w:rsidRDefault="002027D2" w:rsidP="002434BD">
      <w:pPr>
        <w:jc w:val="right"/>
        <w:rPr>
          <w:rFonts w:ascii="Arial" w:hAnsi="Arial" w:cs="Arial"/>
          <w:sz w:val="24"/>
          <w:szCs w:val="24"/>
        </w:rPr>
      </w:pPr>
    </w:p>
    <w:p w14:paraId="58B4E64B" w14:textId="77777777" w:rsidR="002027D2" w:rsidRPr="00986CA5" w:rsidRDefault="002027D2" w:rsidP="002434BD">
      <w:pPr>
        <w:jc w:val="right"/>
        <w:rPr>
          <w:rFonts w:ascii="Arial" w:hAnsi="Arial" w:cs="Arial"/>
          <w:sz w:val="24"/>
          <w:szCs w:val="24"/>
        </w:rPr>
      </w:pPr>
    </w:p>
    <w:p w14:paraId="2EF3B4E5" w14:textId="77777777" w:rsidR="002027D2" w:rsidRPr="00986CA5" w:rsidRDefault="002027D2" w:rsidP="002434BD">
      <w:pPr>
        <w:jc w:val="right"/>
        <w:rPr>
          <w:rFonts w:ascii="Arial" w:hAnsi="Arial" w:cs="Arial"/>
          <w:sz w:val="24"/>
          <w:szCs w:val="24"/>
        </w:rPr>
      </w:pPr>
    </w:p>
    <w:p w14:paraId="566F9360" w14:textId="77777777" w:rsidR="002027D2" w:rsidRPr="00986CA5" w:rsidRDefault="002027D2" w:rsidP="002434BD">
      <w:pPr>
        <w:jc w:val="right"/>
        <w:rPr>
          <w:rFonts w:ascii="Arial" w:hAnsi="Arial" w:cs="Arial"/>
          <w:sz w:val="24"/>
          <w:szCs w:val="24"/>
        </w:rPr>
      </w:pPr>
    </w:p>
    <w:p w14:paraId="1175B015" w14:textId="77777777" w:rsidR="002027D2" w:rsidRPr="00986CA5" w:rsidRDefault="002027D2" w:rsidP="002434BD">
      <w:pPr>
        <w:jc w:val="right"/>
        <w:rPr>
          <w:rFonts w:ascii="Arial" w:hAnsi="Arial" w:cs="Arial"/>
          <w:sz w:val="24"/>
          <w:szCs w:val="24"/>
        </w:rPr>
      </w:pPr>
    </w:p>
    <w:p w14:paraId="6AF0BFD0" w14:textId="77777777" w:rsidR="002027D2" w:rsidRPr="00986CA5" w:rsidRDefault="002027D2" w:rsidP="002434BD">
      <w:pPr>
        <w:jc w:val="right"/>
        <w:rPr>
          <w:rFonts w:ascii="Arial" w:hAnsi="Arial" w:cs="Arial"/>
          <w:sz w:val="24"/>
          <w:szCs w:val="24"/>
        </w:rPr>
      </w:pPr>
    </w:p>
    <w:p w14:paraId="30FB7285" w14:textId="77777777" w:rsidR="002027D2" w:rsidRPr="00986CA5" w:rsidRDefault="002027D2" w:rsidP="002434BD">
      <w:pPr>
        <w:jc w:val="right"/>
        <w:rPr>
          <w:rFonts w:ascii="Arial" w:hAnsi="Arial" w:cs="Arial"/>
          <w:sz w:val="24"/>
          <w:szCs w:val="24"/>
        </w:rPr>
      </w:pPr>
    </w:p>
    <w:p w14:paraId="396517C8" w14:textId="77777777" w:rsidR="002027D2" w:rsidRPr="00986CA5" w:rsidRDefault="002027D2" w:rsidP="002434BD">
      <w:pPr>
        <w:jc w:val="right"/>
        <w:rPr>
          <w:rFonts w:ascii="Arial" w:hAnsi="Arial" w:cs="Arial"/>
          <w:sz w:val="24"/>
          <w:szCs w:val="24"/>
        </w:rPr>
      </w:pPr>
    </w:p>
    <w:p w14:paraId="764E27B9" w14:textId="77777777" w:rsidR="002027D2" w:rsidRPr="00986CA5" w:rsidRDefault="002027D2" w:rsidP="002434BD">
      <w:pPr>
        <w:jc w:val="right"/>
        <w:rPr>
          <w:rFonts w:ascii="Arial" w:hAnsi="Arial" w:cs="Arial"/>
          <w:sz w:val="24"/>
          <w:szCs w:val="24"/>
        </w:rPr>
      </w:pPr>
    </w:p>
    <w:p w14:paraId="2F56DCC5" w14:textId="77777777" w:rsidR="002027D2" w:rsidRPr="00986CA5" w:rsidRDefault="002027D2" w:rsidP="002434BD">
      <w:pPr>
        <w:jc w:val="right"/>
        <w:rPr>
          <w:rFonts w:ascii="Arial" w:hAnsi="Arial" w:cs="Arial"/>
          <w:sz w:val="24"/>
          <w:szCs w:val="24"/>
        </w:rPr>
      </w:pPr>
    </w:p>
    <w:p w14:paraId="32602F15" w14:textId="77777777" w:rsidR="002027D2" w:rsidRDefault="002027D2" w:rsidP="002434BD">
      <w:pPr>
        <w:jc w:val="right"/>
        <w:rPr>
          <w:rFonts w:ascii="Arial" w:hAnsi="Arial" w:cs="Arial"/>
          <w:sz w:val="24"/>
          <w:szCs w:val="24"/>
        </w:rPr>
      </w:pPr>
    </w:p>
    <w:p w14:paraId="2EFB1757" w14:textId="77777777" w:rsidR="002027D2" w:rsidRDefault="002027D2" w:rsidP="002434BD">
      <w:pPr>
        <w:jc w:val="right"/>
        <w:rPr>
          <w:rFonts w:ascii="Arial" w:hAnsi="Arial" w:cs="Arial"/>
          <w:sz w:val="24"/>
          <w:szCs w:val="24"/>
        </w:rPr>
      </w:pPr>
    </w:p>
    <w:p w14:paraId="71BB2EDB" w14:textId="77777777" w:rsidR="002027D2" w:rsidRDefault="002027D2" w:rsidP="002434BD">
      <w:pPr>
        <w:jc w:val="right"/>
        <w:rPr>
          <w:rFonts w:ascii="Arial" w:hAnsi="Arial" w:cs="Arial"/>
          <w:sz w:val="24"/>
          <w:szCs w:val="24"/>
        </w:rPr>
      </w:pPr>
    </w:p>
    <w:p w14:paraId="350187FD" w14:textId="77777777" w:rsidR="002027D2" w:rsidRPr="00986CA5" w:rsidRDefault="002027D2" w:rsidP="002434BD">
      <w:pPr>
        <w:jc w:val="right"/>
        <w:rPr>
          <w:rFonts w:ascii="Arial" w:hAnsi="Arial" w:cs="Arial"/>
          <w:sz w:val="24"/>
          <w:szCs w:val="24"/>
        </w:rPr>
      </w:pPr>
    </w:p>
    <w:p w14:paraId="16CAB547" w14:textId="77777777" w:rsidR="002027D2" w:rsidRPr="00986CA5" w:rsidRDefault="002027D2" w:rsidP="002434BD">
      <w:pPr>
        <w:jc w:val="right"/>
        <w:rPr>
          <w:rFonts w:ascii="Arial" w:hAnsi="Arial" w:cs="Arial"/>
          <w:sz w:val="24"/>
          <w:szCs w:val="24"/>
        </w:rPr>
      </w:pPr>
    </w:p>
    <w:p w14:paraId="79991964" w14:textId="77777777" w:rsidR="002027D2" w:rsidRPr="00986CA5" w:rsidRDefault="002027D2" w:rsidP="002434BD">
      <w:pPr>
        <w:rPr>
          <w:rFonts w:ascii="Arial" w:hAnsi="Arial" w:cs="Arial"/>
          <w:sz w:val="24"/>
          <w:szCs w:val="24"/>
        </w:rPr>
      </w:pPr>
    </w:p>
    <w:p w14:paraId="016FFECD" w14:textId="77777777" w:rsidR="002027D2" w:rsidRPr="00986CA5" w:rsidRDefault="002027D2" w:rsidP="002434BD">
      <w:pPr>
        <w:jc w:val="right"/>
        <w:rPr>
          <w:rFonts w:ascii="Arial" w:hAnsi="Arial" w:cs="Arial"/>
          <w:sz w:val="24"/>
          <w:szCs w:val="24"/>
        </w:rPr>
      </w:pPr>
    </w:p>
    <w:p w14:paraId="408EC07C" w14:textId="7A5AFDB3" w:rsidR="002027D2" w:rsidRPr="00986CA5" w:rsidRDefault="002027D2" w:rsidP="002434BD">
      <w:pPr>
        <w:jc w:val="center"/>
        <w:rPr>
          <w:rFonts w:ascii="Arial" w:hAnsi="Arial" w:cs="Arial"/>
          <w:sz w:val="24"/>
          <w:szCs w:val="24"/>
        </w:rPr>
      </w:pPr>
      <w:r w:rsidRPr="00986CA5">
        <w:rPr>
          <w:rFonts w:ascii="Arial" w:hAnsi="Arial" w:cs="Arial"/>
          <w:sz w:val="24"/>
          <w:szCs w:val="24"/>
        </w:rPr>
        <w:t>© Copyright by W</w:t>
      </w:r>
      <w:r w:rsidR="00317018">
        <w:rPr>
          <w:rFonts w:ascii="Arial" w:hAnsi="Arial" w:cs="Arial"/>
          <w:sz w:val="24"/>
          <w:szCs w:val="24"/>
        </w:rPr>
        <w:t>ILLIAM</w:t>
      </w:r>
      <w:r w:rsidRPr="00986CA5">
        <w:rPr>
          <w:rFonts w:ascii="Arial" w:hAnsi="Arial" w:cs="Arial"/>
          <w:sz w:val="24"/>
          <w:szCs w:val="24"/>
        </w:rPr>
        <w:t xml:space="preserve"> M M</w:t>
      </w:r>
      <w:r w:rsidR="00317018">
        <w:rPr>
          <w:rFonts w:ascii="Arial" w:hAnsi="Arial" w:cs="Arial"/>
          <w:sz w:val="24"/>
          <w:szCs w:val="24"/>
        </w:rPr>
        <w:t>AC</w:t>
      </w:r>
      <w:r w:rsidRPr="00986CA5">
        <w:rPr>
          <w:rFonts w:ascii="Arial" w:hAnsi="Arial" w:cs="Arial"/>
          <w:sz w:val="24"/>
          <w:szCs w:val="24"/>
        </w:rPr>
        <w:t>C</w:t>
      </w:r>
      <w:r w:rsidR="00317018">
        <w:rPr>
          <w:rFonts w:ascii="Arial" w:hAnsi="Arial" w:cs="Arial"/>
          <w:sz w:val="24"/>
          <w:szCs w:val="24"/>
        </w:rPr>
        <w:t>UAIG</w:t>
      </w:r>
      <w:r w:rsidRPr="00986CA5">
        <w:rPr>
          <w:rFonts w:ascii="Arial" w:hAnsi="Arial" w:cs="Arial"/>
          <w:sz w:val="24"/>
          <w:szCs w:val="24"/>
        </w:rPr>
        <w:t xml:space="preserve"> 2023</w:t>
      </w:r>
    </w:p>
    <w:p w14:paraId="3F7B2FDD" w14:textId="0B6E23DA" w:rsidR="002027D2" w:rsidRDefault="002027D2" w:rsidP="002D58FA">
      <w:pPr>
        <w:jc w:val="center"/>
        <w:rPr>
          <w:rFonts w:ascii="Arial" w:hAnsi="Arial" w:cs="Arial"/>
          <w:sz w:val="24"/>
          <w:szCs w:val="24"/>
        </w:rPr>
        <w:sectPr w:rsidR="002027D2" w:rsidSect="00A4399A">
          <w:footerReference w:type="default" r:id="rId11"/>
          <w:pgSz w:w="12240" w:h="15840"/>
          <w:pgMar w:top="1440" w:right="1440" w:bottom="1440" w:left="1440" w:header="720" w:footer="720" w:gutter="0"/>
          <w:cols w:space="720"/>
          <w:docGrid w:linePitch="360"/>
        </w:sectPr>
      </w:pPr>
      <w:r w:rsidRPr="00986CA5">
        <w:rPr>
          <w:rFonts w:ascii="Arial" w:hAnsi="Arial" w:cs="Arial"/>
          <w:sz w:val="24"/>
          <w:szCs w:val="24"/>
        </w:rPr>
        <w:t>All Rights Reserved</w:t>
      </w:r>
      <w:r w:rsidR="00317018">
        <w:rPr>
          <w:rFonts w:ascii="Arial" w:hAnsi="Arial" w:cs="Arial"/>
          <w:sz w:val="24"/>
          <w:szCs w:val="24"/>
        </w:rPr>
        <w:t>.</w:t>
      </w:r>
    </w:p>
    <w:p w14:paraId="73E7F5EB" w14:textId="77777777" w:rsidR="002027D2" w:rsidRPr="002027D2" w:rsidRDefault="002027D2" w:rsidP="00164EC8">
      <w:pPr>
        <w:pStyle w:val="Style3"/>
        <w:spacing w:after="120"/>
        <w:rPr>
          <w:color w:val="auto"/>
        </w:rPr>
      </w:pPr>
      <w:bookmarkStart w:id="0" w:name="_Toc152874253"/>
      <w:r w:rsidRPr="002027D2">
        <w:rPr>
          <w:color w:val="auto"/>
        </w:rPr>
        <w:lastRenderedPageBreak/>
        <w:t>Acknowledgements</w:t>
      </w:r>
      <w:bookmarkEnd w:id="0"/>
    </w:p>
    <w:p w14:paraId="24D220E6" w14:textId="77777777" w:rsidR="002027D2" w:rsidRPr="00F2524B" w:rsidRDefault="002027D2" w:rsidP="00E53342">
      <w:pPr>
        <w:spacing w:line="480" w:lineRule="auto"/>
        <w:jc w:val="both"/>
        <w:rPr>
          <w:rFonts w:ascii="Arial" w:hAnsi="Arial" w:cs="Arial"/>
          <w:sz w:val="24"/>
          <w:szCs w:val="24"/>
        </w:rPr>
      </w:pPr>
      <w:r w:rsidRPr="00F2524B">
        <w:rPr>
          <w:rFonts w:ascii="Arial" w:hAnsi="Arial" w:cs="Arial"/>
          <w:sz w:val="24"/>
          <w:szCs w:val="24"/>
        </w:rPr>
        <w:t>I would like to begin by thanking my Ph.D. adviser, Dr. McNally for her guidance, support, and confidence throughout my studies. In the McNally lab, I’ve been able to improve my skills in conducting science, writing, communication, among a myriad of others. Her aid throughout the length of my Ph.D. has allowed me to grow as a student, a scientist, a professional, and a person. Thank you for all the support over the years.</w:t>
      </w:r>
    </w:p>
    <w:p w14:paraId="2C44DA05" w14:textId="77777777" w:rsidR="002027D2" w:rsidRPr="00F2524B" w:rsidRDefault="002027D2" w:rsidP="00E53342">
      <w:pPr>
        <w:spacing w:line="480" w:lineRule="auto"/>
        <w:jc w:val="both"/>
        <w:rPr>
          <w:rFonts w:ascii="Arial" w:hAnsi="Arial" w:cs="Arial"/>
          <w:sz w:val="24"/>
          <w:szCs w:val="24"/>
        </w:rPr>
      </w:pPr>
      <w:r w:rsidRPr="00F2524B">
        <w:rPr>
          <w:rFonts w:ascii="Arial" w:hAnsi="Arial" w:cs="Arial"/>
          <w:sz w:val="24"/>
          <w:szCs w:val="24"/>
        </w:rPr>
        <w:t>I would like to thank each of the members of my thesis committee: Dr. Edgar O’Rear, Dr. Roger Harrison, and Dr. Sepideh Razavi. Their help, support, and suggestions have been greatly appreciated and have helped lead me to this point. In addition, I’d like to thank the faculty and staff of the Stephenson School of Biomedical Engineering.</w:t>
      </w:r>
    </w:p>
    <w:p w14:paraId="686CA9B6" w14:textId="2768197E" w:rsidR="002027D2" w:rsidRPr="00F2524B" w:rsidRDefault="002027D2" w:rsidP="00E53342">
      <w:pPr>
        <w:spacing w:line="480" w:lineRule="auto"/>
        <w:jc w:val="both"/>
        <w:rPr>
          <w:rFonts w:ascii="Arial" w:hAnsi="Arial" w:cs="Arial"/>
          <w:sz w:val="24"/>
          <w:szCs w:val="24"/>
        </w:rPr>
      </w:pPr>
      <w:r w:rsidRPr="00F2524B">
        <w:rPr>
          <w:rFonts w:ascii="Arial" w:hAnsi="Arial" w:cs="Arial"/>
          <w:sz w:val="24"/>
          <w:szCs w:val="24"/>
        </w:rPr>
        <w:t xml:space="preserve">I would also like to thank </w:t>
      </w:r>
      <w:r w:rsidR="004B4BA2">
        <w:rPr>
          <w:rFonts w:ascii="Arial" w:hAnsi="Arial" w:cs="Arial"/>
          <w:sz w:val="24"/>
          <w:szCs w:val="24"/>
        </w:rPr>
        <w:t xml:space="preserve">my friends and lab mates at OU </w:t>
      </w:r>
      <w:r w:rsidRPr="00F2524B">
        <w:rPr>
          <w:rFonts w:ascii="Arial" w:hAnsi="Arial" w:cs="Arial"/>
          <w:sz w:val="24"/>
          <w:szCs w:val="24"/>
        </w:rPr>
        <w:t xml:space="preserve">that I’ve had the pleasure </w:t>
      </w:r>
      <w:r w:rsidR="004B4BA2">
        <w:rPr>
          <w:rFonts w:ascii="Arial" w:hAnsi="Arial" w:cs="Arial"/>
          <w:sz w:val="24"/>
          <w:szCs w:val="24"/>
        </w:rPr>
        <w:t xml:space="preserve">of meeting </w:t>
      </w:r>
      <w:r w:rsidRPr="00F2524B">
        <w:rPr>
          <w:rFonts w:ascii="Arial" w:hAnsi="Arial" w:cs="Arial"/>
          <w:sz w:val="24"/>
          <w:szCs w:val="24"/>
        </w:rPr>
        <w:t>over the years</w:t>
      </w:r>
      <w:r w:rsidR="004B4BA2">
        <w:rPr>
          <w:rFonts w:ascii="Arial" w:hAnsi="Arial" w:cs="Arial"/>
          <w:sz w:val="24"/>
          <w:szCs w:val="24"/>
        </w:rPr>
        <w:t xml:space="preserve">. </w:t>
      </w:r>
      <w:r w:rsidRPr="00F2524B">
        <w:rPr>
          <w:rFonts w:ascii="Arial" w:hAnsi="Arial" w:cs="Arial"/>
          <w:sz w:val="24"/>
          <w:szCs w:val="24"/>
        </w:rPr>
        <w:t>I’ve been able to learn something from each of you and I sincerely appreciate it. M</w:t>
      </w:r>
      <w:r w:rsidR="004B4BA2">
        <w:rPr>
          <w:rFonts w:ascii="Arial" w:hAnsi="Arial" w:cs="Arial"/>
          <w:sz w:val="24"/>
          <w:szCs w:val="24"/>
        </w:rPr>
        <w:t>eredith Jones</w:t>
      </w:r>
      <w:r w:rsidRPr="00F2524B">
        <w:rPr>
          <w:rFonts w:ascii="Arial" w:hAnsi="Arial" w:cs="Arial"/>
          <w:sz w:val="24"/>
          <w:szCs w:val="24"/>
        </w:rPr>
        <w:t>, B.F, M.M, A.S, A.F, B.R, J.H, Z.H, B.H, K.H, A.A, M.S, K.H, L.P, S.C, K.M, T.H, E.S, E.N, K.V, R.B, I.D, H.A, N.S. I’d also like to thank all collaborators of the McNally lab, both at the University of Oklahoma and outside, for their valuable input and help on various parts of this document.</w:t>
      </w:r>
    </w:p>
    <w:p w14:paraId="2BB7984A" w14:textId="77777777" w:rsidR="002027D2" w:rsidRDefault="002027D2" w:rsidP="000A3BF5">
      <w:pPr>
        <w:spacing w:line="480" w:lineRule="auto"/>
        <w:jc w:val="both"/>
        <w:rPr>
          <w:rFonts w:ascii="Arial" w:hAnsi="Arial" w:cs="Arial"/>
          <w:sz w:val="24"/>
          <w:szCs w:val="24"/>
        </w:rPr>
      </w:pPr>
      <w:r w:rsidRPr="00F2524B">
        <w:rPr>
          <w:rFonts w:ascii="Arial" w:hAnsi="Arial" w:cs="Arial"/>
          <w:sz w:val="24"/>
          <w:szCs w:val="24"/>
        </w:rPr>
        <w:t>Finally, I’d like to thank my family. To my partner Nicole, thank you for always being there for me. You provided inspiration, wisdom, and love when I found myself needing it the most; I can’t thank you enough. To my parents, Bill and Shannon, and sister, Katie, thank you for the unwavering and unconditional support and confidence. I wouldn’t be where I am today without your guiding presence. And to the rest of my extended family and friends; thank you for your constant love and support, I appreciate all of you.</w:t>
      </w:r>
    </w:p>
    <w:p w14:paraId="3D5A1B4F" w14:textId="77777777" w:rsidR="002027D2" w:rsidRPr="002027D2" w:rsidRDefault="002027D2" w:rsidP="00164EC8">
      <w:pPr>
        <w:pStyle w:val="Style3"/>
        <w:spacing w:after="240" w:line="276" w:lineRule="auto"/>
        <w:rPr>
          <w:color w:val="auto"/>
        </w:rPr>
      </w:pPr>
      <w:bookmarkStart w:id="1" w:name="_Toc152874254"/>
      <w:r w:rsidRPr="002027D2">
        <w:rPr>
          <w:bCs/>
          <w:color w:val="auto"/>
        </w:rPr>
        <w:lastRenderedPageBreak/>
        <w:t>Table of</w:t>
      </w:r>
      <w:r w:rsidRPr="002027D2">
        <w:rPr>
          <w:color w:val="auto"/>
        </w:rPr>
        <w:t xml:space="preserve"> Contents</w:t>
      </w:r>
      <w:bookmarkEnd w:id="1"/>
    </w:p>
    <w:p w14:paraId="60276A1C" w14:textId="1A10184A" w:rsidR="00C20C72" w:rsidRDefault="002027D2">
      <w:pPr>
        <w:pStyle w:val="TOC1"/>
        <w:tabs>
          <w:tab w:val="right" w:leader="dot" w:pos="9350"/>
        </w:tabs>
        <w:rPr>
          <w:rFonts w:asciiTheme="minorHAnsi" w:eastAsiaTheme="minorEastAsia" w:hAnsiTheme="minorHAnsi" w:cstheme="minorBidi"/>
          <w:bCs w:val="0"/>
          <w:noProof/>
          <w:sz w:val="22"/>
          <w:szCs w:val="22"/>
        </w:rPr>
      </w:pPr>
      <w:r>
        <w:rPr>
          <w:bCs w:val="0"/>
        </w:rPr>
        <w:fldChar w:fldCharType="begin"/>
      </w:r>
      <w:r>
        <w:rPr>
          <w:bCs w:val="0"/>
        </w:rPr>
        <w:instrText xml:space="preserve"> TOC \o "1-2" \h \z \u </w:instrText>
      </w:r>
      <w:r>
        <w:rPr>
          <w:bCs w:val="0"/>
        </w:rPr>
        <w:fldChar w:fldCharType="separate"/>
      </w:r>
      <w:hyperlink w:anchor="_Toc152874253" w:history="1">
        <w:r w:rsidR="00C20C72" w:rsidRPr="008D6A5A">
          <w:rPr>
            <w:rStyle w:val="Hyperlink"/>
            <w:noProof/>
          </w:rPr>
          <w:t>Acknowledgements</w:t>
        </w:r>
        <w:r w:rsidR="00C20C72">
          <w:rPr>
            <w:noProof/>
            <w:webHidden/>
          </w:rPr>
          <w:tab/>
        </w:r>
        <w:r w:rsidR="00C20C72">
          <w:rPr>
            <w:noProof/>
            <w:webHidden/>
          </w:rPr>
          <w:fldChar w:fldCharType="begin"/>
        </w:r>
        <w:r w:rsidR="00C20C72">
          <w:rPr>
            <w:noProof/>
            <w:webHidden/>
          </w:rPr>
          <w:instrText xml:space="preserve"> PAGEREF _Toc152874253 \h </w:instrText>
        </w:r>
        <w:r w:rsidR="00C20C72">
          <w:rPr>
            <w:noProof/>
            <w:webHidden/>
          </w:rPr>
        </w:r>
        <w:r w:rsidR="00C20C72">
          <w:rPr>
            <w:noProof/>
            <w:webHidden/>
          </w:rPr>
          <w:fldChar w:fldCharType="separate"/>
        </w:r>
        <w:r w:rsidR="00061F19">
          <w:rPr>
            <w:noProof/>
            <w:webHidden/>
          </w:rPr>
          <w:t>iv</w:t>
        </w:r>
        <w:r w:rsidR="00C20C72">
          <w:rPr>
            <w:noProof/>
            <w:webHidden/>
          </w:rPr>
          <w:fldChar w:fldCharType="end"/>
        </w:r>
      </w:hyperlink>
    </w:p>
    <w:p w14:paraId="631E8ED5" w14:textId="2BAB733B"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54" w:history="1">
        <w:r w:rsidR="00C20C72" w:rsidRPr="008D6A5A">
          <w:rPr>
            <w:rStyle w:val="Hyperlink"/>
            <w:noProof/>
          </w:rPr>
          <w:t>Table of Contents</w:t>
        </w:r>
        <w:r w:rsidR="00C20C72">
          <w:rPr>
            <w:noProof/>
            <w:webHidden/>
          </w:rPr>
          <w:tab/>
        </w:r>
        <w:r w:rsidR="00C20C72">
          <w:rPr>
            <w:noProof/>
            <w:webHidden/>
          </w:rPr>
          <w:fldChar w:fldCharType="begin"/>
        </w:r>
        <w:r w:rsidR="00C20C72">
          <w:rPr>
            <w:noProof/>
            <w:webHidden/>
          </w:rPr>
          <w:instrText xml:space="preserve"> PAGEREF _Toc152874254 \h </w:instrText>
        </w:r>
        <w:r w:rsidR="00C20C72">
          <w:rPr>
            <w:noProof/>
            <w:webHidden/>
          </w:rPr>
        </w:r>
        <w:r w:rsidR="00C20C72">
          <w:rPr>
            <w:noProof/>
            <w:webHidden/>
          </w:rPr>
          <w:fldChar w:fldCharType="separate"/>
        </w:r>
        <w:r w:rsidR="00061F19">
          <w:rPr>
            <w:noProof/>
            <w:webHidden/>
          </w:rPr>
          <w:t>v</w:t>
        </w:r>
        <w:r w:rsidR="00C20C72">
          <w:rPr>
            <w:noProof/>
            <w:webHidden/>
          </w:rPr>
          <w:fldChar w:fldCharType="end"/>
        </w:r>
      </w:hyperlink>
    </w:p>
    <w:p w14:paraId="265A7957" w14:textId="51BDA9E4"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55" w:history="1">
        <w:r w:rsidR="00C20C72" w:rsidRPr="008D6A5A">
          <w:rPr>
            <w:rStyle w:val="Hyperlink"/>
            <w:noProof/>
          </w:rPr>
          <w:t>List of Figures</w:t>
        </w:r>
        <w:r w:rsidR="00C20C72">
          <w:rPr>
            <w:noProof/>
            <w:webHidden/>
          </w:rPr>
          <w:tab/>
        </w:r>
        <w:r w:rsidR="00C20C72">
          <w:rPr>
            <w:noProof/>
            <w:webHidden/>
          </w:rPr>
          <w:fldChar w:fldCharType="begin"/>
        </w:r>
        <w:r w:rsidR="00C20C72">
          <w:rPr>
            <w:noProof/>
            <w:webHidden/>
          </w:rPr>
          <w:instrText xml:space="preserve"> PAGEREF _Toc152874255 \h </w:instrText>
        </w:r>
        <w:r w:rsidR="00C20C72">
          <w:rPr>
            <w:noProof/>
            <w:webHidden/>
          </w:rPr>
        </w:r>
        <w:r w:rsidR="00C20C72">
          <w:rPr>
            <w:noProof/>
            <w:webHidden/>
          </w:rPr>
          <w:fldChar w:fldCharType="separate"/>
        </w:r>
        <w:r w:rsidR="00061F19">
          <w:rPr>
            <w:noProof/>
            <w:webHidden/>
          </w:rPr>
          <w:t>vii</w:t>
        </w:r>
        <w:r w:rsidR="00C20C72">
          <w:rPr>
            <w:noProof/>
            <w:webHidden/>
          </w:rPr>
          <w:fldChar w:fldCharType="end"/>
        </w:r>
      </w:hyperlink>
    </w:p>
    <w:p w14:paraId="77EDD106" w14:textId="3FDADE4B"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56" w:history="1">
        <w:r w:rsidR="00C20C72" w:rsidRPr="008D6A5A">
          <w:rPr>
            <w:rStyle w:val="Hyperlink"/>
            <w:noProof/>
          </w:rPr>
          <w:t>List of Tables</w:t>
        </w:r>
        <w:r w:rsidR="00C20C72">
          <w:rPr>
            <w:noProof/>
            <w:webHidden/>
          </w:rPr>
          <w:tab/>
        </w:r>
        <w:r w:rsidR="00C20C72">
          <w:rPr>
            <w:noProof/>
            <w:webHidden/>
          </w:rPr>
          <w:fldChar w:fldCharType="begin"/>
        </w:r>
        <w:r w:rsidR="00C20C72">
          <w:rPr>
            <w:noProof/>
            <w:webHidden/>
          </w:rPr>
          <w:instrText xml:space="preserve"> PAGEREF _Toc152874256 \h </w:instrText>
        </w:r>
        <w:r w:rsidR="00C20C72">
          <w:rPr>
            <w:noProof/>
            <w:webHidden/>
          </w:rPr>
        </w:r>
        <w:r w:rsidR="00C20C72">
          <w:rPr>
            <w:noProof/>
            <w:webHidden/>
          </w:rPr>
          <w:fldChar w:fldCharType="separate"/>
        </w:r>
        <w:r w:rsidR="00061F19">
          <w:rPr>
            <w:noProof/>
            <w:webHidden/>
          </w:rPr>
          <w:t>ix</w:t>
        </w:r>
        <w:r w:rsidR="00C20C72">
          <w:rPr>
            <w:noProof/>
            <w:webHidden/>
          </w:rPr>
          <w:fldChar w:fldCharType="end"/>
        </w:r>
      </w:hyperlink>
    </w:p>
    <w:p w14:paraId="7978CBE3" w14:textId="623AB82E"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57" w:history="1">
        <w:r w:rsidR="00C20C72" w:rsidRPr="008D6A5A">
          <w:rPr>
            <w:rStyle w:val="Hyperlink"/>
            <w:noProof/>
          </w:rPr>
          <w:t>Abstract</w:t>
        </w:r>
        <w:r w:rsidR="00C20C72">
          <w:rPr>
            <w:noProof/>
            <w:webHidden/>
          </w:rPr>
          <w:tab/>
        </w:r>
        <w:r w:rsidR="00C20C72">
          <w:rPr>
            <w:noProof/>
            <w:webHidden/>
          </w:rPr>
          <w:fldChar w:fldCharType="begin"/>
        </w:r>
        <w:r w:rsidR="00C20C72">
          <w:rPr>
            <w:noProof/>
            <w:webHidden/>
          </w:rPr>
          <w:instrText xml:space="preserve"> PAGEREF _Toc152874257 \h </w:instrText>
        </w:r>
        <w:r w:rsidR="00C20C72">
          <w:rPr>
            <w:noProof/>
            <w:webHidden/>
          </w:rPr>
        </w:r>
        <w:r w:rsidR="00C20C72">
          <w:rPr>
            <w:noProof/>
            <w:webHidden/>
          </w:rPr>
          <w:fldChar w:fldCharType="separate"/>
        </w:r>
        <w:r w:rsidR="00061F19">
          <w:rPr>
            <w:noProof/>
            <w:webHidden/>
          </w:rPr>
          <w:t>x</w:t>
        </w:r>
        <w:r w:rsidR="00C20C72">
          <w:rPr>
            <w:noProof/>
            <w:webHidden/>
          </w:rPr>
          <w:fldChar w:fldCharType="end"/>
        </w:r>
      </w:hyperlink>
    </w:p>
    <w:p w14:paraId="2A32B548" w14:textId="213533BE"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58" w:history="1">
        <w:r w:rsidR="00C20C72" w:rsidRPr="008D6A5A">
          <w:rPr>
            <w:rStyle w:val="Hyperlink"/>
            <w:noProof/>
          </w:rPr>
          <w:t>Chapter 1 – Introduction</w:t>
        </w:r>
        <w:r w:rsidR="00C20C72">
          <w:rPr>
            <w:noProof/>
            <w:webHidden/>
          </w:rPr>
          <w:tab/>
        </w:r>
        <w:r w:rsidR="00C20C72">
          <w:rPr>
            <w:noProof/>
            <w:webHidden/>
          </w:rPr>
          <w:fldChar w:fldCharType="begin"/>
        </w:r>
        <w:r w:rsidR="00C20C72">
          <w:rPr>
            <w:noProof/>
            <w:webHidden/>
          </w:rPr>
          <w:instrText xml:space="preserve"> PAGEREF _Toc152874258 \h </w:instrText>
        </w:r>
        <w:r w:rsidR="00C20C72">
          <w:rPr>
            <w:noProof/>
            <w:webHidden/>
          </w:rPr>
        </w:r>
        <w:r w:rsidR="00C20C72">
          <w:rPr>
            <w:noProof/>
            <w:webHidden/>
          </w:rPr>
          <w:fldChar w:fldCharType="separate"/>
        </w:r>
        <w:r w:rsidR="00061F19">
          <w:rPr>
            <w:noProof/>
            <w:webHidden/>
          </w:rPr>
          <w:t>1</w:t>
        </w:r>
        <w:r w:rsidR="00C20C72">
          <w:rPr>
            <w:noProof/>
            <w:webHidden/>
          </w:rPr>
          <w:fldChar w:fldCharType="end"/>
        </w:r>
      </w:hyperlink>
    </w:p>
    <w:p w14:paraId="766161B2" w14:textId="7E0E86E5"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59" w:history="1">
        <w:r w:rsidR="00C20C72" w:rsidRPr="008D6A5A">
          <w:rPr>
            <w:rStyle w:val="Hyperlink"/>
            <w:noProof/>
          </w:rPr>
          <w:t>Chapter 2 – Influence of Structural Moieties in Squaraine Dyes on Optoacoustic Signal Shape and Intensity</w:t>
        </w:r>
        <w:r w:rsidR="00C20C72">
          <w:rPr>
            <w:noProof/>
            <w:webHidden/>
          </w:rPr>
          <w:tab/>
        </w:r>
        <w:r w:rsidR="00C20C72">
          <w:rPr>
            <w:noProof/>
            <w:webHidden/>
          </w:rPr>
          <w:fldChar w:fldCharType="begin"/>
        </w:r>
        <w:r w:rsidR="00C20C72">
          <w:rPr>
            <w:noProof/>
            <w:webHidden/>
          </w:rPr>
          <w:instrText xml:space="preserve"> PAGEREF _Toc152874259 \h </w:instrText>
        </w:r>
        <w:r w:rsidR="00C20C72">
          <w:rPr>
            <w:noProof/>
            <w:webHidden/>
          </w:rPr>
        </w:r>
        <w:r w:rsidR="00C20C72">
          <w:rPr>
            <w:noProof/>
            <w:webHidden/>
          </w:rPr>
          <w:fldChar w:fldCharType="separate"/>
        </w:r>
        <w:r w:rsidR="00061F19">
          <w:rPr>
            <w:noProof/>
            <w:webHidden/>
          </w:rPr>
          <w:t>14</w:t>
        </w:r>
        <w:r w:rsidR="00C20C72">
          <w:rPr>
            <w:noProof/>
            <w:webHidden/>
          </w:rPr>
          <w:fldChar w:fldCharType="end"/>
        </w:r>
      </w:hyperlink>
    </w:p>
    <w:p w14:paraId="10EDE201" w14:textId="2A4C1E09"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60" w:history="1">
        <w:r w:rsidR="00C20C72" w:rsidRPr="008D6A5A">
          <w:rPr>
            <w:rStyle w:val="Hyperlink"/>
            <w:noProof/>
          </w:rPr>
          <w:t>2.1 Abstract:</w:t>
        </w:r>
        <w:r w:rsidR="00C20C72">
          <w:rPr>
            <w:noProof/>
            <w:webHidden/>
          </w:rPr>
          <w:tab/>
        </w:r>
        <w:r w:rsidR="00C20C72">
          <w:rPr>
            <w:noProof/>
            <w:webHidden/>
          </w:rPr>
          <w:fldChar w:fldCharType="begin"/>
        </w:r>
        <w:r w:rsidR="00C20C72">
          <w:rPr>
            <w:noProof/>
            <w:webHidden/>
          </w:rPr>
          <w:instrText xml:space="preserve"> PAGEREF _Toc152874260 \h </w:instrText>
        </w:r>
        <w:r w:rsidR="00C20C72">
          <w:rPr>
            <w:noProof/>
            <w:webHidden/>
          </w:rPr>
        </w:r>
        <w:r w:rsidR="00C20C72">
          <w:rPr>
            <w:noProof/>
            <w:webHidden/>
          </w:rPr>
          <w:fldChar w:fldCharType="separate"/>
        </w:r>
        <w:r w:rsidR="00061F19">
          <w:rPr>
            <w:noProof/>
            <w:webHidden/>
          </w:rPr>
          <w:t>14</w:t>
        </w:r>
        <w:r w:rsidR="00C20C72">
          <w:rPr>
            <w:noProof/>
            <w:webHidden/>
          </w:rPr>
          <w:fldChar w:fldCharType="end"/>
        </w:r>
      </w:hyperlink>
    </w:p>
    <w:p w14:paraId="1103E90D" w14:textId="4F9373F2"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61" w:history="1">
        <w:r w:rsidR="00C20C72" w:rsidRPr="008D6A5A">
          <w:rPr>
            <w:rStyle w:val="Hyperlink"/>
            <w:noProof/>
          </w:rPr>
          <w:t>2.2 Introduction:</w:t>
        </w:r>
        <w:r w:rsidR="00C20C72">
          <w:rPr>
            <w:noProof/>
            <w:webHidden/>
          </w:rPr>
          <w:tab/>
        </w:r>
        <w:r w:rsidR="00C20C72">
          <w:rPr>
            <w:noProof/>
            <w:webHidden/>
          </w:rPr>
          <w:fldChar w:fldCharType="begin"/>
        </w:r>
        <w:r w:rsidR="00C20C72">
          <w:rPr>
            <w:noProof/>
            <w:webHidden/>
          </w:rPr>
          <w:instrText xml:space="preserve"> PAGEREF _Toc152874261 \h </w:instrText>
        </w:r>
        <w:r w:rsidR="00C20C72">
          <w:rPr>
            <w:noProof/>
            <w:webHidden/>
          </w:rPr>
        </w:r>
        <w:r w:rsidR="00C20C72">
          <w:rPr>
            <w:noProof/>
            <w:webHidden/>
          </w:rPr>
          <w:fldChar w:fldCharType="separate"/>
        </w:r>
        <w:r w:rsidR="00061F19">
          <w:rPr>
            <w:noProof/>
            <w:webHidden/>
          </w:rPr>
          <w:t>14</w:t>
        </w:r>
        <w:r w:rsidR="00C20C72">
          <w:rPr>
            <w:noProof/>
            <w:webHidden/>
          </w:rPr>
          <w:fldChar w:fldCharType="end"/>
        </w:r>
      </w:hyperlink>
    </w:p>
    <w:p w14:paraId="5E106366" w14:textId="6A716C7B"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62" w:history="1">
        <w:r w:rsidR="00C20C72" w:rsidRPr="008D6A5A">
          <w:rPr>
            <w:rStyle w:val="Hyperlink"/>
            <w:noProof/>
          </w:rPr>
          <w:t>2.3 Materials and Methods:</w:t>
        </w:r>
        <w:r w:rsidR="00C20C72">
          <w:rPr>
            <w:noProof/>
            <w:webHidden/>
          </w:rPr>
          <w:tab/>
        </w:r>
        <w:r w:rsidR="00C20C72">
          <w:rPr>
            <w:noProof/>
            <w:webHidden/>
          </w:rPr>
          <w:fldChar w:fldCharType="begin"/>
        </w:r>
        <w:r w:rsidR="00C20C72">
          <w:rPr>
            <w:noProof/>
            <w:webHidden/>
          </w:rPr>
          <w:instrText xml:space="preserve"> PAGEREF _Toc152874262 \h </w:instrText>
        </w:r>
        <w:r w:rsidR="00C20C72">
          <w:rPr>
            <w:noProof/>
            <w:webHidden/>
          </w:rPr>
        </w:r>
        <w:r w:rsidR="00C20C72">
          <w:rPr>
            <w:noProof/>
            <w:webHidden/>
          </w:rPr>
          <w:fldChar w:fldCharType="separate"/>
        </w:r>
        <w:r w:rsidR="00061F19">
          <w:rPr>
            <w:noProof/>
            <w:webHidden/>
          </w:rPr>
          <w:t>17</w:t>
        </w:r>
        <w:r w:rsidR="00C20C72">
          <w:rPr>
            <w:noProof/>
            <w:webHidden/>
          </w:rPr>
          <w:fldChar w:fldCharType="end"/>
        </w:r>
      </w:hyperlink>
    </w:p>
    <w:p w14:paraId="35C22B6E" w14:textId="015353B0"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63" w:history="1">
        <w:r w:rsidR="00C20C72" w:rsidRPr="008D6A5A">
          <w:rPr>
            <w:rStyle w:val="Hyperlink"/>
            <w:noProof/>
          </w:rPr>
          <w:t>2.4 Results and Discussion:</w:t>
        </w:r>
        <w:r w:rsidR="00C20C72">
          <w:rPr>
            <w:noProof/>
            <w:webHidden/>
          </w:rPr>
          <w:tab/>
        </w:r>
        <w:r w:rsidR="00C20C72">
          <w:rPr>
            <w:noProof/>
            <w:webHidden/>
          </w:rPr>
          <w:fldChar w:fldCharType="begin"/>
        </w:r>
        <w:r w:rsidR="00C20C72">
          <w:rPr>
            <w:noProof/>
            <w:webHidden/>
          </w:rPr>
          <w:instrText xml:space="preserve"> PAGEREF _Toc152874263 \h </w:instrText>
        </w:r>
        <w:r w:rsidR="00C20C72">
          <w:rPr>
            <w:noProof/>
            <w:webHidden/>
          </w:rPr>
        </w:r>
        <w:r w:rsidR="00C20C72">
          <w:rPr>
            <w:noProof/>
            <w:webHidden/>
          </w:rPr>
          <w:fldChar w:fldCharType="separate"/>
        </w:r>
        <w:r w:rsidR="00061F19">
          <w:rPr>
            <w:noProof/>
            <w:webHidden/>
          </w:rPr>
          <w:t>22</w:t>
        </w:r>
        <w:r w:rsidR="00C20C72">
          <w:rPr>
            <w:noProof/>
            <w:webHidden/>
          </w:rPr>
          <w:fldChar w:fldCharType="end"/>
        </w:r>
      </w:hyperlink>
    </w:p>
    <w:p w14:paraId="7508D999" w14:textId="40132ED9"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64" w:history="1">
        <w:r w:rsidR="00C20C72" w:rsidRPr="008D6A5A">
          <w:rPr>
            <w:rStyle w:val="Hyperlink"/>
            <w:noProof/>
          </w:rPr>
          <w:t>2.5 Conclusions:</w:t>
        </w:r>
        <w:r w:rsidR="00C20C72">
          <w:rPr>
            <w:noProof/>
            <w:webHidden/>
          </w:rPr>
          <w:tab/>
        </w:r>
        <w:r w:rsidR="00C20C72">
          <w:rPr>
            <w:noProof/>
            <w:webHidden/>
          </w:rPr>
          <w:fldChar w:fldCharType="begin"/>
        </w:r>
        <w:r w:rsidR="00C20C72">
          <w:rPr>
            <w:noProof/>
            <w:webHidden/>
          </w:rPr>
          <w:instrText xml:space="preserve"> PAGEREF _Toc152874264 \h </w:instrText>
        </w:r>
        <w:r w:rsidR="00C20C72">
          <w:rPr>
            <w:noProof/>
            <w:webHidden/>
          </w:rPr>
        </w:r>
        <w:r w:rsidR="00C20C72">
          <w:rPr>
            <w:noProof/>
            <w:webHidden/>
          </w:rPr>
          <w:fldChar w:fldCharType="separate"/>
        </w:r>
        <w:r w:rsidR="00061F19">
          <w:rPr>
            <w:noProof/>
            <w:webHidden/>
          </w:rPr>
          <w:t>43</w:t>
        </w:r>
        <w:r w:rsidR="00C20C72">
          <w:rPr>
            <w:noProof/>
            <w:webHidden/>
          </w:rPr>
          <w:fldChar w:fldCharType="end"/>
        </w:r>
      </w:hyperlink>
    </w:p>
    <w:p w14:paraId="6F90BD16" w14:textId="7DA9BE09"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65" w:history="1">
        <w:r w:rsidR="00C20C72" w:rsidRPr="008D6A5A">
          <w:rPr>
            <w:rStyle w:val="Hyperlink"/>
            <w:noProof/>
          </w:rPr>
          <w:t>2.6 Acknowledgements and Funding:</w:t>
        </w:r>
        <w:r w:rsidR="00C20C72">
          <w:rPr>
            <w:noProof/>
            <w:webHidden/>
          </w:rPr>
          <w:tab/>
        </w:r>
        <w:r w:rsidR="00C20C72">
          <w:rPr>
            <w:noProof/>
            <w:webHidden/>
          </w:rPr>
          <w:fldChar w:fldCharType="begin"/>
        </w:r>
        <w:r w:rsidR="00C20C72">
          <w:rPr>
            <w:noProof/>
            <w:webHidden/>
          </w:rPr>
          <w:instrText xml:space="preserve"> PAGEREF _Toc152874265 \h </w:instrText>
        </w:r>
        <w:r w:rsidR="00C20C72">
          <w:rPr>
            <w:noProof/>
            <w:webHidden/>
          </w:rPr>
        </w:r>
        <w:r w:rsidR="00C20C72">
          <w:rPr>
            <w:noProof/>
            <w:webHidden/>
          </w:rPr>
          <w:fldChar w:fldCharType="separate"/>
        </w:r>
        <w:r w:rsidR="00061F19">
          <w:rPr>
            <w:noProof/>
            <w:webHidden/>
          </w:rPr>
          <w:t>44</w:t>
        </w:r>
        <w:r w:rsidR="00C20C72">
          <w:rPr>
            <w:noProof/>
            <w:webHidden/>
          </w:rPr>
          <w:fldChar w:fldCharType="end"/>
        </w:r>
      </w:hyperlink>
    </w:p>
    <w:p w14:paraId="1EB2F499" w14:textId="4EDAEDE9"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66" w:history="1">
        <w:r w:rsidR="00C20C72" w:rsidRPr="008D6A5A">
          <w:rPr>
            <w:rStyle w:val="Hyperlink"/>
            <w:noProof/>
          </w:rPr>
          <w:t>Chapter 3 – Optimization of Optoacoustic Contrast Agents through Twisted Intramolecular Charge Transfer</w:t>
        </w:r>
        <w:r w:rsidR="00C20C72">
          <w:rPr>
            <w:noProof/>
            <w:webHidden/>
          </w:rPr>
          <w:tab/>
        </w:r>
        <w:r w:rsidR="00C20C72">
          <w:rPr>
            <w:noProof/>
            <w:webHidden/>
          </w:rPr>
          <w:fldChar w:fldCharType="begin"/>
        </w:r>
        <w:r w:rsidR="00C20C72">
          <w:rPr>
            <w:noProof/>
            <w:webHidden/>
          </w:rPr>
          <w:instrText xml:space="preserve"> PAGEREF _Toc152874266 \h </w:instrText>
        </w:r>
        <w:r w:rsidR="00C20C72">
          <w:rPr>
            <w:noProof/>
            <w:webHidden/>
          </w:rPr>
        </w:r>
        <w:r w:rsidR="00C20C72">
          <w:rPr>
            <w:noProof/>
            <w:webHidden/>
          </w:rPr>
          <w:fldChar w:fldCharType="separate"/>
        </w:r>
        <w:r w:rsidR="00061F19">
          <w:rPr>
            <w:noProof/>
            <w:webHidden/>
          </w:rPr>
          <w:t>45</w:t>
        </w:r>
        <w:r w:rsidR="00C20C72">
          <w:rPr>
            <w:noProof/>
            <w:webHidden/>
          </w:rPr>
          <w:fldChar w:fldCharType="end"/>
        </w:r>
      </w:hyperlink>
    </w:p>
    <w:p w14:paraId="525E51F2" w14:textId="6FAB3883"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67" w:history="1">
        <w:r w:rsidR="00C20C72" w:rsidRPr="008D6A5A">
          <w:rPr>
            <w:rStyle w:val="Hyperlink"/>
            <w:noProof/>
          </w:rPr>
          <w:t>3.1 Abstract:</w:t>
        </w:r>
        <w:r w:rsidR="00C20C72">
          <w:rPr>
            <w:noProof/>
            <w:webHidden/>
          </w:rPr>
          <w:tab/>
        </w:r>
        <w:r w:rsidR="00C20C72">
          <w:rPr>
            <w:noProof/>
            <w:webHidden/>
          </w:rPr>
          <w:fldChar w:fldCharType="begin"/>
        </w:r>
        <w:r w:rsidR="00C20C72">
          <w:rPr>
            <w:noProof/>
            <w:webHidden/>
          </w:rPr>
          <w:instrText xml:space="preserve"> PAGEREF _Toc152874267 \h </w:instrText>
        </w:r>
        <w:r w:rsidR="00C20C72">
          <w:rPr>
            <w:noProof/>
            <w:webHidden/>
          </w:rPr>
        </w:r>
        <w:r w:rsidR="00C20C72">
          <w:rPr>
            <w:noProof/>
            <w:webHidden/>
          </w:rPr>
          <w:fldChar w:fldCharType="separate"/>
        </w:r>
        <w:r w:rsidR="00061F19">
          <w:rPr>
            <w:noProof/>
            <w:webHidden/>
          </w:rPr>
          <w:t>45</w:t>
        </w:r>
        <w:r w:rsidR="00C20C72">
          <w:rPr>
            <w:noProof/>
            <w:webHidden/>
          </w:rPr>
          <w:fldChar w:fldCharType="end"/>
        </w:r>
      </w:hyperlink>
    </w:p>
    <w:p w14:paraId="077A8BE1" w14:textId="27A22150"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68" w:history="1">
        <w:r w:rsidR="00C20C72" w:rsidRPr="008D6A5A">
          <w:rPr>
            <w:rStyle w:val="Hyperlink"/>
            <w:noProof/>
          </w:rPr>
          <w:t>3.2 Introduction:</w:t>
        </w:r>
        <w:r w:rsidR="00C20C72">
          <w:rPr>
            <w:noProof/>
            <w:webHidden/>
          </w:rPr>
          <w:tab/>
        </w:r>
        <w:r w:rsidR="00C20C72">
          <w:rPr>
            <w:noProof/>
            <w:webHidden/>
          </w:rPr>
          <w:fldChar w:fldCharType="begin"/>
        </w:r>
        <w:r w:rsidR="00C20C72">
          <w:rPr>
            <w:noProof/>
            <w:webHidden/>
          </w:rPr>
          <w:instrText xml:space="preserve"> PAGEREF _Toc152874268 \h </w:instrText>
        </w:r>
        <w:r w:rsidR="00C20C72">
          <w:rPr>
            <w:noProof/>
            <w:webHidden/>
          </w:rPr>
        </w:r>
        <w:r w:rsidR="00C20C72">
          <w:rPr>
            <w:noProof/>
            <w:webHidden/>
          </w:rPr>
          <w:fldChar w:fldCharType="separate"/>
        </w:r>
        <w:r w:rsidR="00061F19">
          <w:rPr>
            <w:noProof/>
            <w:webHidden/>
          </w:rPr>
          <w:t>45</w:t>
        </w:r>
        <w:r w:rsidR="00C20C72">
          <w:rPr>
            <w:noProof/>
            <w:webHidden/>
          </w:rPr>
          <w:fldChar w:fldCharType="end"/>
        </w:r>
      </w:hyperlink>
    </w:p>
    <w:p w14:paraId="0354FDD9" w14:textId="0D35B50F"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69" w:history="1">
        <w:r w:rsidR="00C20C72" w:rsidRPr="008D6A5A">
          <w:rPr>
            <w:rStyle w:val="Hyperlink"/>
            <w:noProof/>
          </w:rPr>
          <w:t>3.3 Materials and Methods:</w:t>
        </w:r>
        <w:r w:rsidR="00C20C72">
          <w:rPr>
            <w:noProof/>
            <w:webHidden/>
          </w:rPr>
          <w:tab/>
        </w:r>
        <w:r w:rsidR="00C20C72">
          <w:rPr>
            <w:noProof/>
            <w:webHidden/>
          </w:rPr>
          <w:fldChar w:fldCharType="begin"/>
        </w:r>
        <w:r w:rsidR="00C20C72">
          <w:rPr>
            <w:noProof/>
            <w:webHidden/>
          </w:rPr>
          <w:instrText xml:space="preserve"> PAGEREF _Toc152874269 \h </w:instrText>
        </w:r>
        <w:r w:rsidR="00C20C72">
          <w:rPr>
            <w:noProof/>
            <w:webHidden/>
          </w:rPr>
        </w:r>
        <w:r w:rsidR="00C20C72">
          <w:rPr>
            <w:noProof/>
            <w:webHidden/>
          </w:rPr>
          <w:fldChar w:fldCharType="separate"/>
        </w:r>
        <w:r w:rsidR="00061F19">
          <w:rPr>
            <w:noProof/>
            <w:webHidden/>
          </w:rPr>
          <w:t>49</w:t>
        </w:r>
        <w:r w:rsidR="00C20C72">
          <w:rPr>
            <w:noProof/>
            <w:webHidden/>
          </w:rPr>
          <w:fldChar w:fldCharType="end"/>
        </w:r>
      </w:hyperlink>
    </w:p>
    <w:p w14:paraId="6E9B2FC4" w14:textId="379B852D"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70" w:history="1">
        <w:r w:rsidR="00C20C72" w:rsidRPr="008D6A5A">
          <w:rPr>
            <w:rStyle w:val="Hyperlink"/>
            <w:noProof/>
          </w:rPr>
          <w:t>3.4 Results and Discussion:</w:t>
        </w:r>
        <w:r w:rsidR="00C20C72">
          <w:rPr>
            <w:noProof/>
            <w:webHidden/>
          </w:rPr>
          <w:tab/>
        </w:r>
        <w:r w:rsidR="00C20C72">
          <w:rPr>
            <w:noProof/>
            <w:webHidden/>
          </w:rPr>
          <w:fldChar w:fldCharType="begin"/>
        </w:r>
        <w:r w:rsidR="00C20C72">
          <w:rPr>
            <w:noProof/>
            <w:webHidden/>
          </w:rPr>
          <w:instrText xml:space="preserve"> PAGEREF _Toc152874270 \h </w:instrText>
        </w:r>
        <w:r w:rsidR="00C20C72">
          <w:rPr>
            <w:noProof/>
            <w:webHidden/>
          </w:rPr>
        </w:r>
        <w:r w:rsidR="00C20C72">
          <w:rPr>
            <w:noProof/>
            <w:webHidden/>
          </w:rPr>
          <w:fldChar w:fldCharType="separate"/>
        </w:r>
        <w:r w:rsidR="00061F19">
          <w:rPr>
            <w:noProof/>
            <w:webHidden/>
          </w:rPr>
          <w:t>55</w:t>
        </w:r>
        <w:r w:rsidR="00C20C72">
          <w:rPr>
            <w:noProof/>
            <w:webHidden/>
          </w:rPr>
          <w:fldChar w:fldCharType="end"/>
        </w:r>
      </w:hyperlink>
    </w:p>
    <w:p w14:paraId="52846C6A" w14:textId="0EE38A0D"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71" w:history="1">
        <w:r w:rsidR="00C20C72" w:rsidRPr="008D6A5A">
          <w:rPr>
            <w:rStyle w:val="Hyperlink"/>
            <w:noProof/>
          </w:rPr>
          <w:t>3.5 Conclusions:</w:t>
        </w:r>
        <w:r w:rsidR="00C20C72">
          <w:rPr>
            <w:noProof/>
            <w:webHidden/>
          </w:rPr>
          <w:tab/>
        </w:r>
        <w:r w:rsidR="00C20C72">
          <w:rPr>
            <w:noProof/>
            <w:webHidden/>
          </w:rPr>
          <w:fldChar w:fldCharType="begin"/>
        </w:r>
        <w:r w:rsidR="00C20C72">
          <w:rPr>
            <w:noProof/>
            <w:webHidden/>
          </w:rPr>
          <w:instrText xml:space="preserve"> PAGEREF _Toc152874271 \h </w:instrText>
        </w:r>
        <w:r w:rsidR="00C20C72">
          <w:rPr>
            <w:noProof/>
            <w:webHidden/>
          </w:rPr>
        </w:r>
        <w:r w:rsidR="00C20C72">
          <w:rPr>
            <w:noProof/>
            <w:webHidden/>
          </w:rPr>
          <w:fldChar w:fldCharType="separate"/>
        </w:r>
        <w:r w:rsidR="00061F19">
          <w:rPr>
            <w:noProof/>
            <w:webHidden/>
          </w:rPr>
          <w:t>69</w:t>
        </w:r>
        <w:r w:rsidR="00C20C72">
          <w:rPr>
            <w:noProof/>
            <w:webHidden/>
          </w:rPr>
          <w:fldChar w:fldCharType="end"/>
        </w:r>
      </w:hyperlink>
    </w:p>
    <w:p w14:paraId="3D3FF2CD" w14:textId="4306967F"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72" w:history="1">
        <w:r w:rsidR="00C20C72" w:rsidRPr="008D6A5A">
          <w:rPr>
            <w:rStyle w:val="Hyperlink"/>
            <w:noProof/>
          </w:rPr>
          <w:t>3.6 Acknowledgement and Funding:</w:t>
        </w:r>
        <w:r w:rsidR="00C20C72">
          <w:rPr>
            <w:noProof/>
            <w:webHidden/>
          </w:rPr>
          <w:tab/>
        </w:r>
        <w:r w:rsidR="00C20C72">
          <w:rPr>
            <w:noProof/>
            <w:webHidden/>
          </w:rPr>
          <w:fldChar w:fldCharType="begin"/>
        </w:r>
        <w:r w:rsidR="00C20C72">
          <w:rPr>
            <w:noProof/>
            <w:webHidden/>
          </w:rPr>
          <w:instrText xml:space="preserve"> PAGEREF _Toc152874272 \h </w:instrText>
        </w:r>
        <w:r w:rsidR="00C20C72">
          <w:rPr>
            <w:noProof/>
            <w:webHidden/>
          </w:rPr>
        </w:r>
        <w:r w:rsidR="00C20C72">
          <w:rPr>
            <w:noProof/>
            <w:webHidden/>
          </w:rPr>
          <w:fldChar w:fldCharType="separate"/>
        </w:r>
        <w:r w:rsidR="00061F19">
          <w:rPr>
            <w:noProof/>
            <w:webHidden/>
          </w:rPr>
          <w:t>69</w:t>
        </w:r>
        <w:r w:rsidR="00C20C72">
          <w:rPr>
            <w:noProof/>
            <w:webHidden/>
          </w:rPr>
          <w:fldChar w:fldCharType="end"/>
        </w:r>
      </w:hyperlink>
    </w:p>
    <w:p w14:paraId="59528993" w14:textId="18252AD9"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73" w:history="1">
        <w:r w:rsidR="00C20C72" w:rsidRPr="008D6A5A">
          <w:rPr>
            <w:rStyle w:val="Hyperlink"/>
            <w:noProof/>
          </w:rPr>
          <w:t>Chapter 4 – Toxicity Assessment of Mesoporous Silica Nanoparticles upon Intravenous Injection in Mice: Implications for Drug Delivery</w:t>
        </w:r>
        <w:r w:rsidR="00C20C72">
          <w:rPr>
            <w:noProof/>
            <w:webHidden/>
          </w:rPr>
          <w:tab/>
        </w:r>
        <w:r w:rsidR="00C20C72">
          <w:rPr>
            <w:noProof/>
            <w:webHidden/>
          </w:rPr>
          <w:fldChar w:fldCharType="begin"/>
        </w:r>
        <w:r w:rsidR="00C20C72">
          <w:rPr>
            <w:noProof/>
            <w:webHidden/>
          </w:rPr>
          <w:instrText xml:space="preserve"> PAGEREF _Toc152874273 \h </w:instrText>
        </w:r>
        <w:r w:rsidR="00C20C72">
          <w:rPr>
            <w:noProof/>
            <w:webHidden/>
          </w:rPr>
        </w:r>
        <w:r w:rsidR="00C20C72">
          <w:rPr>
            <w:noProof/>
            <w:webHidden/>
          </w:rPr>
          <w:fldChar w:fldCharType="separate"/>
        </w:r>
        <w:r w:rsidR="00061F19">
          <w:rPr>
            <w:noProof/>
            <w:webHidden/>
          </w:rPr>
          <w:t>70</w:t>
        </w:r>
        <w:r w:rsidR="00C20C72">
          <w:rPr>
            <w:noProof/>
            <w:webHidden/>
          </w:rPr>
          <w:fldChar w:fldCharType="end"/>
        </w:r>
      </w:hyperlink>
    </w:p>
    <w:p w14:paraId="4E74A3D8" w14:textId="6EA0DC5D"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74" w:history="1">
        <w:r w:rsidR="00C20C72" w:rsidRPr="008D6A5A">
          <w:rPr>
            <w:rStyle w:val="Hyperlink"/>
            <w:noProof/>
          </w:rPr>
          <w:t>4.1 Abstract:</w:t>
        </w:r>
        <w:r w:rsidR="00C20C72">
          <w:rPr>
            <w:noProof/>
            <w:webHidden/>
          </w:rPr>
          <w:tab/>
        </w:r>
        <w:r w:rsidR="00C20C72">
          <w:rPr>
            <w:noProof/>
            <w:webHidden/>
          </w:rPr>
          <w:fldChar w:fldCharType="begin"/>
        </w:r>
        <w:r w:rsidR="00C20C72">
          <w:rPr>
            <w:noProof/>
            <w:webHidden/>
          </w:rPr>
          <w:instrText xml:space="preserve"> PAGEREF _Toc152874274 \h </w:instrText>
        </w:r>
        <w:r w:rsidR="00C20C72">
          <w:rPr>
            <w:noProof/>
            <w:webHidden/>
          </w:rPr>
        </w:r>
        <w:r w:rsidR="00C20C72">
          <w:rPr>
            <w:noProof/>
            <w:webHidden/>
          </w:rPr>
          <w:fldChar w:fldCharType="separate"/>
        </w:r>
        <w:r w:rsidR="00061F19">
          <w:rPr>
            <w:noProof/>
            <w:webHidden/>
          </w:rPr>
          <w:t>70</w:t>
        </w:r>
        <w:r w:rsidR="00C20C72">
          <w:rPr>
            <w:noProof/>
            <w:webHidden/>
          </w:rPr>
          <w:fldChar w:fldCharType="end"/>
        </w:r>
      </w:hyperlink>
    </w:p>
    <w:p w14:paraId="6BBE6E55" w14:textId="36900643"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75" w:history="1">
        <w:r w:rsidR="00C20C72" w:rsidRPr="008D6A5A">
          <w:rPr>
            <w:rStyle w:val="Hyperlink"/>
            <w:noProof/>
          </w:rPr>
          <w:t>4.2 Introduction:</w:t>
        </w:r>
        <w:r w:rsidR="00C20C72">
          <w:rPr>
            <w:noProof/>
            <w:webHidden/>
          </w:rPr>
          <w:tab/>
        </w:r>
        <w:r w:rsidR="00C20C72">
          <w:rPr>
            <w:noProof/>
            <w:webHidden/>
          </w:rPr>
          <w:fldChar w:fldCharType="begin"/>
        </w:r>
        <w:r w:rsidR="00C20C72">
          <w:rPr>
            <w:noProof/>
            <w:webHidden/>
          </w:rPr>
          <w:instrText xml:space="preserve"> PAGEREF _Toc152874275 \h </w:instrText>
        </w:r>
        <w:r w:rsidR="00C20C72">
          <w:rPr>
            <w:noProof/>
            <w:webHidden/>
          </w:rPr>
        </w:r>
        <w:r w:rsidR="00C20C72">
          <w:rPr>
            <w:noProof/>
            <w:webHidden/>
          </w:rPr>
          <w:fldChar w:fldCharType="separate"/>
        </w:r>
        <w:r w:rsidR="00061F19">
          <w:rPr>
            <w:noProof/>
            <w:webHidden/>
          </w:rPr>
          <w:t>71</w:t>
        </w:r>
        <w:r w:rsidR="00C20C72">
          <w:rPr>
            <w:noProof/>
            <w:webHidden/>
          </w:rPr>
          <w:fldChar w:fldCharType="end"/>
        </w:r>
      </w:hyperlink>
    </w:p>
    <w:p w14:paraId="039B9D0E" w14:textId="7AF94053"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76" w:history="1">
        <w:r w:rsidR="00C20C72" w:rsidRPr="008D6A5A">
          <w:rPr>
            <w:rStyle w:val="Hyperlink"/>
            <w:noProof/>
          </w:rPr>
          <w:t>4.3 Materials and Methods:</w:t>
        </w:r>
        <w:r w:rsidR="00C20C72">
          <w:rPr>
            <w:noProof/>
            <w:webHidden/>
          </w:rPr>
          <w:tab/>
        </w:r>
        <w:r w:rsidR="00C20C72">
          <w:rPr>
            <w:noProof/>
            <w:webHidden/>
          </w:rPr>
          <w:fldChar w:fldCharType="begin"/>
        </w:r>
        <w:r w:rsidR="00C20C72">
          <w:rPr>
            <w:noProof/>
            <w:webHidden/>
          </w:rPr>
          <w:instrText xml:space="preserve"> PAGEREF _Toc152874276 \h </w:instrText>
        </w:r>
        <w:r w:rsidR="00C20C72">
          <w:rPr>
            <w:noProof/>
            <w:webHidden/>
          </w:rPr>
        </w:r>
        <w:r w:rsidR="00C20C72">
          <w:rPr>
            <w:noProof/>
            <w:webHidden/>
          </w:rPr>
          <w:fldChar w:fldCharType="separate"/>
        </w:r>
        <w:r w:rsidR="00061F19">
          <w:rPr>
            <w:noProof/>
            <w:webHidden/>
          </w:rPr>
          <w:t>74</w:t>
        </w:r>
        <w:r w:rsidR="00C20C72">
          <w:rPr>
            <w:noProof/>
            <w:webHidden/>
          </w:rPr>
          <w:fldChar w:fldCharType="end"/>
        </w:r>
      </w:hyperlink>
    </w:p>
    <w:p w14:paraId="03E4E467" w14:textId="092B2492"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77" w:history="1">
        <w:r w:rsidR="00C20C72" w:rsidRPr="008D6A5A">
          <w:rPr>
            <w:rStyle w:val="Hyperlink"/>
            <w:noProof/>
          </w:rPr>
          <w:t>4.4 Results and Discussion:</w:t>
        </w:r>
        <w:r w:rsidR="00C20C72">
          <w:rPr>
            <w:noProof/>
            <w:webHidden/>
          </w:rPr>
          <w:tab/>
        </w:r>
        <w:r w:rsidR="00C20C72">
          <w:rPr>
            <w:noProof/>
            <w:webHidden/>
          </w:rPr>
          <w:fldChar w:fldCharType="begin"/>
        </w:r>
        <w:r w:rsidR="00C20C72">
          <w:rPr>
            <w:noProof/>
            <w:webHidden/>
          </w:rPr>
          <w:instrText xml:space="preserve"> PAGEREF _Toc152874277 \h </w:instrText>
        </w:r>
        <w:r w:rsidR="00C20C72">
          <w:rPr>
            <w:noProof/>
            <w:webHidden/>
          </w:rPr>
        </w:r>
        <w:r w:rsidR="00C20C72">
          <w:rPr>
            <w:noProof/>
            <w:webHidden/>
          </w:rPr>
          <w:fldChar w:fldCharType="separate"/>
        </w:r>
        <w:r w:rsidR="00061F19">
          <w:rPr>
            <w:noProof/>
            <w:webHidden/>
          </w:rPr>
          <w:t>79</w:t>
        </w:r>
        <w:r w:rsidR="00C20C72">
          <w:rPr>
            <w:noProof/>
            <w:webHidden/>
          </w:rPr>
          <w:fldChar w:fldCharType="end"/>
        </w:r>
      </w:hyperlink>
    </w:p>
    <w:p w14:paraId="7F1AED60" w14:textId="7F35D77A"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78" w:history="1">
        <w:r w:rsidR="00C20C72" w:rsidRPr="008D6A5A">
          <w:rPr>
            <w:rStyle w:val="Hyperlink"/>
            <w:noProof/>
          </w:rPr>
          <w:t>4.5 Conclusions:</w:t>
        </w:r>
        <w:r w:rsidR="00C20C72">
          <w:rPr>
            <w:noProof/>
            <w:webHidden/>
          </w:rPr>
          <w:tab/>
        </w:r>
        <w:r w:rsidR="00C20C72">
          <w:rPr>
            <w:noProof/>
            <w:webHidden/>
          </w:rPr>
          <w:fldChar w:fldCharType="begin"/>
        </w:r>
        <w:r w:rsidR="00C20C72">
          <w:rPr>
            <w:noProof/>
            <w:webHidden/>
          </w:rPr>
          <w:instrText xml:space="preserve"> PAGEREF _Toc152874278 \h </w:instrText>
        </w:r>
        <w:r w:rsidR="00C20C72">
          <w:rPr>
            <w:noProof/>
            <w:webHidden/>
          </w:rPr>
        </w:r>
        <w:r w:rsidR="00C20C72">
          <w:rPr>
            <w:noProof/>
            <w:webHidden/>
          </w:rPr>
          <w:fldChar w:fldCharType="separate"/>
        </w:r>
        <w:r w:rsidR="00061F19">
          <w:rPr>
            <w:noProof/>
            <w:webHidden/>
          </w:rPr>
          <w:t>91</w:t>
        </w:r>
        <w:r w:rsidR="00C20C72">
          <w:rPr>
            <w:noProof/>
            <w:webHidden/>
          </w:rPr>
          <w:fldChar w:fldCharType="end"/>
        </w:r>
      </w:hyperlink>
    </w:p>
    <w:p w14:paraId="4711714A" w14:textId="2500B3EA"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79" w:history="1">
        <w:r w:rsidR="00C20C72" w:rsidRPr="008D6A5A">
          <w:rPr>
            <w:rStyle w:val="Hyperlink"/>
            <w:noProof/>
          </w:rPr>
          <w:t>4.6 Acknowledgements and Funding:</w:t>
        </w:r>
        <w:r w:rsidR="00C20C72">
          <w:rPr>
            <w:noProof/>
            <w:webHidden/>
          </w:rPr>
          <w:tab/>
        </w:r>
        <w:r w:rsidR="00C20C72">
          <w:rPr>
            <w:noProof/>
            <w:webHidden/>
          </w:rPr>
          <w:fldChar w:fldCharType="begin"/>
        </w:r>
        <w:r w:rsidR="00C20C72">
          <w:rPr>
            <w:noProof/>
            <w:webHidden/>
          </w:rPr>
          <w:instrText xml:space="preserve"> PAGEREF _Toc152874279 \h </w:instrText>
        </w:r>
        <w:r w:rsidR="00C20C72">
          <w:rPr>
            <w:noProof/>
            <w:webHidden/>
          </w:rPr>
        </w:r>
        <w:r w:rsidR="00C20C72">
          <w:rPr>
            <w:noProof/>
            <w:webHidden/>
          </w:rPr>
          <w:fldChar w:fldCharType="separate"/>
        </w:r>
        <w:r w:rsidR="00061F19">
          <w:rPr>
            <w:noProof/>
            <w:webHidden/>
          </w:rPr>
          <w:t>93</w:t>
        </w:r>
        <w:r w:rsidR="00C20C72">
          <w:rPr>
            <w:noProof/>
            <w:webHidden/>
          </w:rPr>
          <w:fldChar w:fldCharType="end"/>
        </w:r>
      </w:hyperlink>
    </w:p>
    <w:p w14:paraId="0333EFA4" w14:textId="321CBC05"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80" w:history="1">
        <w:r w:rsidR="00C20C72" w:rsidRPr="008D6A5A">
          <w:rPr>
            <w:rStyle w:val="Hyperlink"/>
            <w:noProof/>
          </w:rPr>
          <w:t>Chapter 5 – Active Targeting Significantly Outperforms Nanoparticle Size in Facilitating Tumor-Specific Uptake in Orthotopic Pancreatic Cancer</w:t>
        </w:r>
        <w:r w:rsidR="00C20C72">
          <w:rPr>
            <w:noProof/>
            <w:webHidden/>
          </w:rPr>
          <w:tab/>
        </w:r>
        <w:r w:rsidR="00C20C72">
          <w:rPr>
            <w:noProof/>
            <w:webHidden/>
          </w:rPr>
          <w:fldChar w:fldCharType="begin"/>
        </w:r>
        <w:r w:rsidR="00C20C72">
          <w:rPr>
            <w:noProof/>
            <w:webHidden/>
          </w:rPr>
          <w:instrText xml:space="preserve"> PAGEREF _Toc152874280 \h </w:instrText>
        </w:r>
        <w:r w:rsidR="00C20C72">
          <w:rPr>
            <w:noProof/>
            <w:webHidden/>
          </w:rPr>
        </w:r>
        <w:r w:rsidR="00C20C72">
          <w:rPr>
            <w:noProof/>
            <w:webHidden/>
          </w:rPr>
          <w:fldChar w:fldCharType="separate"/>
        </w:r>
        <w:r w:rsidR="00061F19">
          <w:rPr>
            <w:noProof/>
            <w:webHidden/>
          </w:rPr>
          <w:t>94</w:t>
        </w:r>
        <w:r w:rsidR="00C20C72">
          <w:rPr>
            <w:noProof/>
            <w:webHidden/>
          </w:rPr>
          <w:fldChar w:fldCharType="end"/>
        </w:r>
      </w:hyperlink>
    </w:p>
    <w:p w14:paraId="7A7D0C30" w14:textId="46C3943B"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81" w:history="1">
        <w:r w:rsidR="00C20C72" w:rsidRPr="008D6A5A">
          <w:rPr>
            <w:rStyle w:val="Hyperlink"/>
            <w:noProof/>
          </w:rPr>
          <w:t>5.1 Abstract:</w:t>
        </w:r>
        <w:r w:rsidR="00C20C72">
          <w:rPr>
            <w:noProof/>
            <w:webHidden/>
          </w:rPr>
          <w:tab/>
        </w:r>
        <w:r w:rsidR="00C20C72">
          <w:rPr>
            <w:noProof/>
            <w:webHidden/>
          </w:rPr>
          <w:fldChar w:fldCharType="begin"/>
        </w:r>
        <w:r w:rsidR="00C20C72">
          <w:rPr>
            <w:noProof/>
            <w:webHidden/>
          </w:rPr>
          <w:instrText xml:space="preserve"> PAGEREF _Toc152874281 \h </w:instrText>
        </w:r>
        <w:r w:rsidR="00C20C72">
          <w:rPr>
            <w:noProof/>
            <w:webHidden/>
          </w:rPr>
        </w:r>
        <w:r w:rsidR="00C20C72">
          <w:rPr>
            <w:noProof/>
            <w:webHidden/>
          </w:rPr>
          <w:fldChar w:fldCharType="separate"/>
        </w:r>
        <w:r w:rsidR="00061F19">
          <w:rPr>
            <w:noProof/>
            <w:webHidden/>
          </w:rPr>
          <w:t>94</w:t>
        </w:r>
        <w:r w:rsidR="00C20C72">
          <w:rPr>
            <w:noProof/>
            <w:webHidden/>
          </w:rPr>
          <w:fldChar w:fldCharType="end"/>
        </w:r>
      </w:hyperlink>
    </w:p>
    <w:p w14:paraId="2A4994B0" w14:textId="089F00CA"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82" w:history="1">
        <w:r w:rsidR="00C20C72" w:rsidRPr="008D6A5A">
          <w:rPr>
            <w:rStyle w:val="Hyperlink"/>
            <w:noProof/>
          </w:rPr>
          <w:t>5.2 Introduction:</w:t>
        </w:r>
        <w:r w:rsidR="00C20C72">
          <w:rPr>
            <w:noProof/>
            <w:webHidden/>
          </w:rPr>
          <w:tab/>
        </w:r>
        <w:r w:rsidR="00C20C72">
          <w:rPr>
            <w:noProof/>
            <w:webHidden/>
          </w:rPr>
          <w:fldChar w:fldCharType="begin"/>
        </w:r>
        <w:r w:rsidR="00C20C72">
          <w:rPr>
            <w:noProof/>
            <w:webHidden/>
          </w:rPr>
          <w:instrText xml:space="preserve"> PAGEREF _Toc152874282 \h </w:instrText>
        </w:r>
        <w:r w:rsidR="00C20C72">
          <w:rPr>
            <w:noProof/>
            <w:webHidden/>
          </w:rPr>
        </w:r>
        <w:r w:rsidR="00C20C72">
          <w:rPr>
            <w:noProof/>
            <w:webHidden/>
          </w:rPr>
          <w:fldChar w:fldCharType="separate"/>
        </w:r>
        <w:r w:rsidR="00061F19">
          <w:rPr>
            <w:noProof/>
            <w:webHidden/>
          </w:rPr>
          <w:t>94</w:t>
        </w:r>
        <w:r w:rsidR="00C20C72">
          <w:rPr>
            <w:noProof/>
            <w:webHidden/>
          </w:rPr>
          <w:fldChar w:fldCharType="end"/>
        </w:r>
      </w:hyperlink>
    </w:p>
    <w:p w14:paraId="63D9E918" w14:textId="018DCBD1"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83" w:history="1">
        <w:r w:rsidR="00C20C72" w:rsidRPr="008D6A5A">
          <w:rPr>
            <w:rStyle w:val="Hyperlink"/>
            <w:noProof/>
          </w:rPr>
          <w:t>5.3 Materials and Methods:</w:t>
        </w:r>
        <w:r w:rsidR="00C20C72">
          <w:rPr>
            <w:noProof/>
            <w:webHidden/>
          </w:rPr>
          <w:tab/>
        </w:r>
        <w:r w:rsidR="00C20C72">
          <w:rPr>
            <w:noProof/>
            <w:webHidden/>
          </w:rPr>
          <w:fldChar w:fldCharType="begin"/>
        </w:r>
        <w:r w:rsidR="00C20C72">
          <w:rPr>
            <w:noProof/>
            <w:webHidden/>
          </w:rPr>
          <w:instrText xml:space="preserve"> PAGEREF _Toc152874283 \h </w:instrText>
        </w:r>
        <w:r w:rsidR="00C20C72">
          <w:rPr>
            <w:noProof/>
            <w:webHidden/>
          </w:rPr>
        </w:r>
        <w:r w:rsidR="00C20C72">
          <w:rPr>
            <w:noProof/>
            <w:webHidden/>
          </w:rPr>
          <w:fldChar w:fldCharType="separate"/>
        </w:r>
        <w:r w:rsidR="00061F19">
          <w:rPr>
            <w:noProof/>
            <w:webHidden/>
          </w:rPr>
          <w:t>101</w:t>
        </w:r>
        <w:r w:rsidR="00C20C72">
          <w:rPr>
            <w:noProof/>
            <w:webHidden/>
          </w:rPr>
          <w:fldChar w:fldCharType="end"/>
        </w:r>
      </w:hyperlink>
    </w:p>
    <w:p w14:paraId="39D030A9" w14:textId="5C0637E1"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84" w:history="1">
        <w:r w:rsidR="00C20C72" w:rsidRPr="008D6A5A">
          <w:rPr>
            <w:rStyle w:val="Hyperlink"/>
            <w:noProof/>
          </w:rPr>
          <w:t>5.4 Results and Discussion:</w:t>
        </w:r>
        <w:r w:rsidR="00C20C72">
          <w:rPr>
            <w:noProof/>
            <w:webHidden/>
          </w:rPr>
          <w:tab/>
        </w:r>
        <w:r w:rsidR="00C20C72">
          <w:rPr>
            <w:noProof/>
            <w:webHidden/>
          </w:rPr>
          <w:fldChar w:fldCharType="begin"/>
        </w:r>
        <w:r w:rsidR="00C20C72">
          <w:rPr>
            <w:noProof/>
            <w:webHidden/>
          </w:rPr>
          <w:instrText xml:space="preserve"> PAGEREF _Toc152874284 \h </w:instrText>
        </w:r>
        <w:r w:rsidR="00C20C72">
          <w:rPr>
            <w:noProof/>
            <w:webHidden/>
          </w:rPr>
        </w:r>
        <w:r w:rsidR="00C20C72">
          <w:rPr>
            <w:noProof/>
            <w:webHidden/>
          </w:rPr>
          <w:fldChar w:fldCharType="separate"/>
        </w:r>
        <w:r w:rsidR="00061F19">
          <w:rPr>
            <w:noProof/>
            <w:webHidden/>
          </w:rPr>
          <w:t>113</w:t>
        </w:r>
        <w:r w:rsidR="00C20C72">
          <w:rPr>
            <w:noProof/>
            <w:webHidden/>
          </w:rPr>
          <w:fldChar w:fldCharType="end"/>
        </w:r>
      </w:hyperlink>
    </w:p>
    <w:p w14:paraId="02E78F4D" w14:textId="461E0F48"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85" w:history="1">
        <w:r w:rsidR="00C20C72" w:rsidRPr="008D6A5A">
          <w:rPr>
            <w:rStyle w:val="Hyperlink"/>
            <w:noProof/>
          </w:rPr>
          <w:t>5.5 Conclusions:</w:t>
        </w:r>
        <w:r w:rsidR="00C20C72">
          <w:rPr>
            <w:noProof/>
            <w:webHidden/>
          </w:rPr>
          <w:tab/>
        </w:r>
        <w:r w:rsidR="00C20C72">
          <w:rPr>
            <w:noProof/>
            <w:webHidden/>
          </w:rPr>
          <w:fldChar w:fldCharType="begin"/>
        </w:r>
        <w:r w:rsidR="00C20C72">
          <w:rPr>
            <w:noProof/>
            <w:webHidden/>
          </w:rPr>
          <w:instrText xml:space="preserve"> PAGEREF _Toc152874285 \h </w:instrText>
        </w:r>
        <w:r w:rsidR="00C20C72">
          <w:rPr>
            <w:noProof/>
            <w:webHidden/>
          </w:rPr>
        </w:r>
        <w:r w:rsidR="00C20C72">
          <w:rPr>
            <w:noProof/>
            <w:webHidden/>
          </w:rPr>
          <w:fldChar w:fldCharType="separate"/>
        </w:r>
        <w:r w:rsidR="00061F19">
          <w:rPr>
            <w:noProof/>
            <w:webHidden/>
          </w:rPr>
          <w:t>132</w:t>
        </w:r>
        <w:r w:rsidR="00C20C72">
          <w:rPr>
            <w:noProof/>
            <w:webHidden/>
          </w:rPr>
          <w:fldChar w:fldCharType="end"/>
        </w:r>
      </w:hyperlink>
    </w:p>
    <w:p w14:paraId="08713087" w14:textId="64070D8D" w:rsidR="00C20C72" w:rsidRDefault="00000000">
      <w:pPr>
        <w:pStyle w:val="TOC2"/>
        <w:tabs>
          <w:tab w:val="right" w:leader="dot" w:pos="9350"/>
        </w:tabs>
        <w:rPr>
          <w:rFonts w:asciiTheme="minorHAnsi" w:eastAsiaTheme="minorEastAsia" w:hAnsiTheme="minorHAnsi" w:cstheme="minorBidi"/>
          <w:bCs w:val="0"/>
          <w:noProof/>
          <w:sz w:val="22"/>
          <w:szCs w:val="22"/>
        </w:rPr>
      </w:pPr>
      <w:hyperlink w:anchor="_Toc152874286" w:history="1">
        <w:r w:rsidR="00C20C72" w:rsidRPr="008D6A5A">
          <w:rPr>
            <w:rStyle w:val="Hyperlink"/>
            <w:noProof/>
          </w:rPr>
          <w:t>5.6 Acknowledgements and Funding:</w:t>
        </w:r>
        <w:r w:rsidR="00C20C72">
          <w:rPr>
            <w:noProof/>
            <w:webHidden/>
          </w:rPr>
          <w:tab/>
        </w:r>
        <w:r w:rsidR="00C20C72">
          <w:rPr>
            <w:noProof/>
            <w:webHidden/>
          </w:rPr>
          <w:fldChar w:fldCharType="begin"/>
        </w:r>
        <w:r w:rsidR="00C20C72">
          <w:rPr>
            <w:noProof/>
            <w:webHidden/>
          </w:rPr>
          <w:instrText xml:space="preserve"> PAGEREF _Toc152874286 \h </w:instrText>
        </w:r>
        <w:r w:rsidR="00C20C72">
          <w:rPr>
            <w:noProof/>
            <w:webHidden/>
          </w:rPr>
        </w:r>
        <w:r w:rsidR="00C20C72">
          <w:rPr>
            <w:noProof/>
            <w:webHidden/>
          </w:rPr>
          <w:fldChar w:fldCharType="separate"/>
        </w:r>
        <w:r w:rsidR="00061F19">
          <w:rPr>
            <w:noProof/>
            <w:webHidden/>
          </w:rPr>
          <w:t>133</w:t>
        </w:r>
        <w:r w:rsidR="00C20C72">
          <w:rPr>
            <w:noProof/>
            <w:webHidden/>
          </w:rPr>
          <w:fldChar w:fldCharType="end"/>
        </w:r>
      </w:hyperlink>
    </w:p>
    <w:p w14:paraId="795F5D52" w14:textId="72D15B39"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87" w:history="1">
        <w:r w:rsidR="00C20C72" w:rsidRPr="008D6A5A">
          <w:rPr>
            <w:rStyle w:val="Hyperlink"/>
            <w:noProof/>
          </w:rPr>
          <w:t>Chapter 6 – Conclusions and Future Directions</w:t>
        </w:r>
        <w:r w:rsidR="00C20C72">
          <w:rPr>
            <w:noProof/>
            <w:webHidden/>
          </w:rPr>
          <w:tab/>
        </w:r>
        <w:r w:rsidR="00C20C72">
          <w:rPr>
            <w:noProof/>
            <w:webHidden/>
          </w:rPr>
          <w:fldChar w:fldCharType="begin"/>
        </w:r>
        <w:r w:rsidR="00C20C72">
          <w:rPr>
            <w:noProof/>
            <w:webHidden/>
          </w:rPr>
          <w:instrText xml:space="preserve"> PAGEREF _Toc152874287 \h </w:instrText>
        </w:r>
        <w:r w:rsidR="00C20C72">
          <w:rPr>
            <w:noProof/>
            <w:webHidden/>
          </w:rPr>
        </w:r>
        <w:r w:rsidR="00C20C72">
          <w:rPr>
            <w:noProof/>
            <w:webHidden/>
          </w:rPr>
          <w:fldChar w:fldCharType="separate"/>
        </w:r>
        <w:r w:rsidR="00061F19">
          <w:rPr>
            <w:noProof/>
            <w:webHidden/>
          </w:rPr>
          <w:t>134</w:t>
        </w:r>
        <w:r w:rsidR="00C20C72">
          <w:rPr>
            <w:noProof/>
            <w:webHidden/>
          </w:rPr>
          <w:fldChar w:fldCharType="end"/>
        </w:r>
      </w:hyperlink>
    </w:p>
    <w:p w14:paraId="5A8BFF0D" w14:textId="3EC0E065"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88" w:history="1">
        <w:r w:rsidR="00C20C72" w:rsidRPr="008D6A5A">
          <w:rPr>
            <w:rStyle w:val="Hyperlink"/>
            <w:noProof/>
          </w:rPr>
          <w:t>References:</w:t>
        </w:r>
        <w:r w:rsidR="00C20C72">
          <w:rPr>
            <w:noProof/>
            <w:webHidden/>
          </w:rPr>
          <w:tab/>
        </w:r>
        <w:r w:rsidR="00C20C72">
          <w:rPr>
            <w:noProof/>
            <w:webHidden/>
          </w:rPr>
          <w:fldChar w:fldCharType="begin"/>
        </w:r>
        <w:r w:rsidR="00C20C72">
          <w:rPr>
            <w:noProof/>
            <w:webHidden/>
          </w:rPr>
          <w:instrText xml:space="preserve"> PAGEREF _Toc152874288 \h </w:instrText>
        </w:r>
        <w:r w:rsidR="00C20C72">
          <w:rPr>
            <w:noProof/>
            <w:webHidden/>
          </w:rPr>
        </w:r>
        <w:r w:rsidR="00C20C72">
          <w:rPr>
            <w:noProof/>
            <w:webHidden/>
          </w:rPr>
          <w:fldChar w:fldCharType="separate"/>
        </w:r>
        <w:r w:rsidR="00061F19">
          <w:rPr>
            <w:noProof/>
            <w:webHidden/>
          </w:rPr>
          <w:t>138</w:t>
        </w:r>
        <w:r w:rsidR="00C20C72">
          <w:rPr>
            <w:noProof/>
            <w:webHidden/>
          </w:rPr>
          <w:fldChar w:fldCharType="end"/>
        </w:r>
      </w:hyperlink>
    </w:p>
    <w:p w14:paraId="47C47269" w14:textId="64645785"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89" w:history="1">
        <w:r w:rsidR="00C20C72" w:rsidRPr="008D6A5A">
          <w:rPr>
            <w:rStyle w:val="Hyperlink"/>
            <w:noProof/>
          </w:rPr>
          <w:t>Appendix A – Abbreviations:</w:t>
        </w:r>
        <w:r w:rsidR="00C20C72">
          <w:rPr>
            <w:noProof/>
            <w:webHidden/>
          </w:rPr>
          <w:tab/>
        </w:r>
        <w:r w:rsidR="00C20C72">
          <w:rPr>
            <w:noProof/>
            <w:webHidden/>
          </w:rPr>
          <w:fldChar w:fldCharType="begin"/>
        </w:r>
        <w:r w:rsidR="00C20C72">
          <w:rPr>
            <w:noProof/>
            <w:webHidden/>
          </w:rPr>
          <w:instrText xml:space="preserve"> PAGEREF _Toc152874289 \h </w:instrText>
        </w:r>
        <w:r w:rsidR="00C20C72">
          <w:rPr>
            <w:noProof/>
            <w:webHidden/>
          </w:rPr>
        </w:r>
        <w:r w:rsidR="00C20C72">
          <w:rPr>
            <w:noProof/>
            <w:webHidden/>
          </w:rPr>
          <w:fldChar w:fldCharType="separate"/>
        </w:r>
        <w:r w:rsidR="00061F19">
          <w:rPr>
            <w:noProof/>
            <w:webHidden/>
          </w:rPr>
          <w:t>156</w:t>
        </w:r>
        <w:r w:rsidR="00C20C72">
          <w:rPr>
            <w:noProof/>
            <w:webHidden/>
          </w:rPr>
          <w:fldChar w:fldCharType="end"/>
        </w:r>
      </w:hyperlink>
    </w:p>
    <w:p w14:paraId="5665F412" w14:textId="255B13EF" w:rsidR="00C20C72" w:rsidRDefault="00000000">
      <w:pPr>
        <w:pStyle w:val="TOC1"/>
        <w:tabs>
          <w:tab w:val="right" w:leader="dot" w:pos="9350"/>
        </w:tabs>
        <w:rPr>
          <w:rFonts w:asciiTheme="minorHAnsi" w:eastAsiaTheme="minorEastAsia" w:hAnsiTheme="minorHAnsi" w:cstheme="minorBidi"/>
          <w:bCs w:val="0"/>
          <w:noProof/>
          <w:sz w:val="22"/>
          <w:szCs w:val="22"/>
        </w:rPr>
      </w:pPr>
      <w:hyperlink w:anchor="_Toc152874290" w:history="1">
        <w:r w:rsidR="00C20C72" w:rsidRPr="008D6A5A">
          <w:rPr>
            <w:rStyle w:val="Hyperlink"/>
            <w:noProof/>
          </w:rPr>
          <w:t>Appendix B – Supporting Information:</w:t>
        </w:r>
        <w:r w:rsidR="00C20C72">
          <w:rPr>
            <w:noProof/>
            <w:webHidden/>
          </w:rPr>
          <w:tab/>
        </w:r>
        <w:r w:rsidR="00C20C72">
          <w:rPr>
            <w:noProof/>
            <w:webHidden/>
          </w:rPr>
          <w:fldChar w:fldCharType="begin"/>
        </w:r>
        <w:r w:rsidR="00C20C72">
          <w:rPr>
            <w:noProof/>
            <w:webHidden/>
          </w:rPr>
          <w:instrText xml:space="preserve"> PAGEREF _Toc152874290 \h </w:instrText>
        </w:r>
        <w:r w:rsidR="00C20C72">
          <w:rPr>
            <w:noProof/>
            <w:webHidden/>
          </w:rPr>
        </w:r>
        <w:r w:rsidR="00C20C72">
          <w:rPr>
            <w:noProof/>
            <w:webHidden/>
          </w:rPr>
          <w:fldChar w:fldCharType="separate"/>
        </w:r>
        <w:r w:rsidR="00061F19">
          <w:rPr>
            <w:noProof/>
            <w:webHidden/>
          </w:rPr>
          <w:t>158</w:t>
        </w:r>
        <w:r w:rsidR="00C20C72">
          <w:rPr>
            <w:noProof/>
            <w:webHidden/>
          </w:rPr>
          <w:fldChar w:fldCharType="end"/>
        </w:r>
      </w:hyperlink>
    </w:p>
    <w:p w14:paraId="7B25F8AE" w14:textId="20512CC9" w:rsidR="002027D2" w:rsidRDefault="002027D2" w:rsidP="00164EC8">
      <w:pPr>
        <w:tabs>
          <w:tab w:val="right" w:pos="9360"/>
        </w:tabs>
        <w:spacing w:line="276" w:lineRule="auto"/>
        <w:rPr>
          <w:rFonts w:ascii="Arial" w:hAnsi="Arial" w:cs="Arial"/>
          <w:sz w:val="24"/>
          <w:szCs w:val="24"/>
        </w:rPr>
      </w:pPr>
      <w:r>
        <w:rPr>
          <w:rFonts w:ascii="Arial" w:hAnsi="Arial" w:cs="Arial"/>
          <w:bCs/>
          <w:sz w:val="24"/>
          <w:szCs w:val="24"/>
        </w:rPr>
        <w:fldChar w:fldCharType="end"/>
      </w:r>
    </w:p>
    <w:p w14:paraId="7AC23500" w14:textId="77777777" w:rsidR="002027D2" w:rsidRDefault="002027D2" w:rsidP="000660A2">
      <w:pPr>
        <w:tabs>
          <w:tab w:val="right" w:pos="9360"/>
        </w:tabs>
        <w:rPr>
          <w:rFonts w:ascii="Arial" w:hAnsi="Arial" w:cs="Arial"/>
          <w:sz w:val="24"/>
          <w:szCs w:val="24"/>
        </w:rPr>
      </w:pPr>
    </w:p>
    <w:p w14:paraId="077842B4" w14:textId="77777777" w:rsidR="002027D2" w:rsidRPr="00F2524B" w:rsidRDefault="002027D2" w:rsidP="00356F32">
      <w:pPr>
        <w:rPr>
          <w:rFonts w:ascii="Arial" w:hAnsi="Arial" w:cs="Arial"/>
          <w:sz w:val="24"/>
          <w:szCs w:val="24"/>
        </w:rPr>
      </w:pPr>
    </w:p>
    <w:p w14:paraId="2BA3B70D" w14:textId="77777777" w:rsidR="002027D2" w:rsidRPr="00F2524B" w:rsidRDefault="002027D2" w:rsidP="00356F32">
      <w:pPr>
        <w:rPr>
          <w:rFonts w:ascii="Arial" w:hAnsi="Arial" w:cs="Arial"/>
          <w:sz w:val="24"/>
          <w:szCs w:val="24"/>
        </w:rPr>
      </w:pPr>
    </w:p>
    <w:p w14:paraId="42B24863" w14:textId="77777777" w:rsidR="002027D2" w:rsidRPr="00F2524B" w:rsidRDefault="002027D2" w:rsidP="00356F32">
      <w:pPr>
        <w:rPr>
          <w:rFonts w:ascii="Arial" w:hAnsi="Arial" w:cs="Arial"/>
          <w:sz w:val="24"/>
          <w:szCs w:val="24"/>
        </w:rPr>
      </w:pPr>
    </w:p>
    <w:p w14:paraId="4C8FCF90" w14:textId="77777777" w:rsidR="002027D2" w:rsidRPr="00F2524B" w:rsidRDefault="002027D2" w:rsidP="00356F32">
      <w:pPr>
        <w:rPr>
          <w:rFonts w:ascii="Arial" w:hAnsi="Arial" w:cs="Arial"/>
          <w:sz w:val="24"/>
          <w:szCs w:val="24"/>
        </w:rPr>
      </w:pPr>
    </w:p>
    <w:p w14:paraId="441A99BC" w14:textId="77777777" w:rsidR="002027D2" w:rsidRDefault="002027D2" w:rsidP="00356F32">
      <w:pPr>
        <w:rPr>
          <w:rFonts w:ascii="Arial" w:hAnsi="Arial" w:cs="Arial"/>
          <w:sz w:val="24"/>
          <w:szCs w:val="24"/>
        </w:rPr>
      </w:pPr>
    </w:p>
    <w:p w14:paraId="4B8893A5" w14:textId="77777777" w:rsidR="002027D2" w:rsidRDefault="002027D2" w:rsidP="00356F32">
      <w:pPr>
        <w:rPr>
          <w:rFonts w:ascii="Arial" w:hAnsi="Arial" w:cs="Arial"/>
          <w:sz w:val="24"/>
          <w:szCs w:val="24"/>
        </w:rPr>
      </w:pPr>
    </w:p>
    <w:p w14:paraId="5194EC52" w14:textId="77777777" w:rsidR="002027D2" w:rsidRDefault="002027D2" w:rsidP="00356F32">
      <w:pPr>
        <w:rPr>
          <w:rFonts w:ascii="Arial" w:hAnsi="Arial" w:cs="Arial"/>
          <w:sz w:val="24"/>
          <w:szCs w:val="24"/>
        </w:rPr>
      </w:pPr>
    </w:p>
    <w:p w14:paraId="593AD549" w14:textId="77777777" w:rsidR="002027D2" w:rsidRDefault="002027D2" w:rsidP="00356F32">
      <w:pPr>
        <w:rPr>
          <w:rFonts w:ascii="Arial" w:hAnsi="Arial" w:cs="Arial"/>
          <w:sz w:val="24"/>
          <w:szCs w:val="24"/>
        </w:rPr>
      </w:pPr>
    </w:p>
    <w:p w14:paraId="41154702" w14:textId="77777777" w:rsidR="002027D2" w:rsidRDefault="002027D2" w:rsidP="00356F32">
      <w:pPr>
        <w:rPr>
          <w:rFonts w:ascii="Arial" w:hAnsi="Arial" w:cs="Arial"/>
          <w:sz w:val="24"/>
          <w:szCs w:val="24"/>
        </w:rPr>
      </w:pPr>
    </w:p>
    <w:p w14:paraId="6851EA5F" w14:textId="77777777" w:rsidR="002027D2" w:rsidRDefault="002027D2" w:rsidP="00356F32">
      <w:pPr>
        <w:rPr>
          <w:rFonts w:ascii="Arial" w:hAnsi="Arial" w:cs="Arial"/>
          <w:sz w:val="24"/>
          <w:szCs w:val="24"/>
        </w:rPr>
      </w:pPr>
    </w:p>
    <w:p w14:paraId="299925C4" w14:textId="77777777" w:rsidR="002027D2" w:rsidRDefault="002027D2" w:rsidP="00356F32">
      <w:pPr>
        <w:rPr>
          <w:rFonts w:ascii="Arial" w:hAnsi="Arial" w:cs="Arial"/>
          <w:sz w:val="24"/>
          <w:szCs w:val="24"/>
        </w:rPr>
      </w:pPr>
    </w:p>
    <w:p w14:paraId="734A8F37" w14:textId="77777777" w:rsidR="002027D2" w:rsidRDefault="002027D2" w:rsidP="00356F32">
      <w:pPr>
        <w:rPr>
          <w:rFonts w:ascii="Arial" w:hAnsi="Arial" w:cs="Arial"/>
          <w:sz w:val="24"/>
          <w:szCs w:val="24"/>
        </w:rPr>
      </w:pPr>
    </w:p>
    <w:p w14:paraId="0E6527F8" w14:textId="77777777" w:rsidR="002027D2" w:rsidRDefault="002027D2" w:rsidP="00356F32">
      <w:pPr>
        <w:rPr>
          <w:rFonts w:ascii="Arial" w:hAnsi="Arial" w:cs="Arial"/>
          <w:sz w:val="24"/>
          <w:szCs w:val="24"/>
        </w:rPr>
      </w:pPr>
    </w:p>
    <w:p w14:paraId="59BB19A7" w14:textId="77777777" w:rsidR="002027D2" w:rsidRDefault="002027D2" w:rsidP="00356F32">
      <w:pPr>
        <w:rPr>
          <w:rFonts w:ascii="Arial" w:hAnsi="Arial" w:cs="Arial"/>
          <w:sz w:val="24"/>
          <w:szCs w:val="24"/>
        </w:rPr>
      </w:pPr>
    </w:p>
    <w:p w14:paraId="79D3FD39" w14:textId="77777777" w:rsidR="002027D2" w:rsidRDefault="002027D2" w:rsidP="00356F32">
      <w:pPr>
        <w:rPr>
          <w:rFonts w:ascii="Arial" w:hAnsi="Arial" w:cs="Arial"/>
          <w:sz w:val="24"/>
          <w:szCs w:val="24"/>
        </w:rPr>
      </w:pPr>
    </w:p>
    <w:p w14:paraId="54A66094" w14:textId="77777777" w:rsidR="002027D2" w:rsidRPr="00F2524B" w:rsidRDefault="002027D2" w:rsidP="00356F32">
      <w:pPr>
        <w:rPr>
          <w:rFonts w:ascii="Arial" w:hAnsi="Arial" w:cs="Arial"/>
          <w:sz w:val="24"/>
          <w:szCs w:val="24"/>
        </w:rPr>
      </w:pPr>
    </w:p>
    <w:p w14:paraId="0DD3E4C3" w14:textId="77777777" w:rsidR="002027D2" w:rsidRPr="002027D2" w:rsidRDefault="002027D2" w:rsidP="00F73DFD">
      <w:pPr>
        <w:pStyle w:val="Style3"/>
        <w:spacing w:after="240"/>
        <w:rPr>
          <w:color w:val="auto"/>
        </w:rPr>
      </w:pPr>
      <w:bookmarkStart w:id="2" w:name="_Toc152874255"/>
      <w:r w:rsidRPr="002027D2">
        <w:rPr>
          <w:color w:val="auto"/>
        </w:rPr>
        <w:lastRenderedPageBreak/>
        <w:t>List of Figures</w:t>
      </w:r>
      <w:bookmarkEnd w:id="2"/>
    </w:p>
    <w:p w14:paraId="14FBBBE6" w14:textId="77777777" w:rsidR="002027D2" w:rsidRPr="00F2524B" w:rsidRDefault="002027D2" w:rsidP="009F70CE">
      <w:pPr>
        <w:jc w:val="both"/>
        <w:rPr>
          <w:rFonts w:ascii="Arial" w:hAnsi="Arial" w:cs="Arial"/>
          <w:b/>
          <w:bCs/>
          <w:sz w:val="24"/>
          <w:szCs w:val="24"/>
        </w:rPr>
      </w:pPr>
      <w:r w:rsidRPr="00F2524B">
        <w:rPr>
          <w:rFonts w:ascii="Arial" w:hAnsi="Arial" w:cs="Arial"/>
          <w:b/>
          <w:bCs/>
          <w:sz w:val="24"/>
          <w:szCs w:val="24"/>
        </w:rPr>
        <w:t>Chapter 1:</w:t>
      </w:r>
    </w:p>
    <w:p w14:paraId="18641CBB"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1.1: Common optoacoustic tomography imaging setups for clinical and preclinical applications.</w:t>
      </w:r>
    </w:p>
    <w:p w14:paraId="53AEF1EC" w14:textId="03462FC9" w:rsidR="002027D2" w:rsidRPr="00F2524B" w:rsidRDefault="002027D2" w:rsidP="009F70CE">
      <w:pPr>
        <w:jc w:val="both"/>
        <w:rPr>
          <w:rFonts w:ascii="Arial" w:hAnsi="Arial" w:cs="Arial"/>
          <w:sz w:val="24"/>
          <w:szCs w:val="24"/>
        </w:rPr>
      </w:pPr>
      <w:r w:rsidRPr="00F2524B">
        <w:rPr>
          <w:rFonts w:ascii="Arial" w:hAnsi="Arial" w:cs="Arial"/>
          <w:sz w:val="24"/>
          <w:szCs w:val="24"/>
        </w:rPr>
        <w:t>Figure 1.2: Visualization of human fingers using multispectral optoacoustic tomography</w:t>
      </w:r>
      <w:r w:rsidR="00E67763">
        <w:rPr>
          <w:rFonts w:ascii="Arial" w:hAnsi="Arial" w:cs="Arial"/>
          <w:sz w:val="24"/>
          <w:szCs w:val="24"/>
        </w:rPr>
        <w:t>.</w:t>
      </w:r>
    </w:p>
    <w:p w14:paraId="7983C937" w14:textId="77777777" w:rsidR="002027D2" w:rsidRPr="00F2524B" w:rsidRDefault="002027D2" w:rsidP="009F70CE">
      <w:pPr>
        <w:jc w:val="both"/>
        <w:rPr>
          <w:rFonts w:ascii="Arial" w:hAnsi="Arial" w:cs="Arial"/>
          <w:sz w:val="24"/>
          <w:szCs w:val="24"/>
        </w:rPr>
      </w:pPr>
    </w:p>
    <w:p w14:paraId="4FCB450E" w14:textId="77777777" w:rsidR="002027D2" w:rsidRPr="00F2524B" w:rsidRDefault="002027D2" w:rsidP="009F70CE">
      <w:pPr>
        <w:jc w:val="both"/>
        <w:rPr>
          <w:rFonts w:ascii="Arial" w:hAnsi="Arial" w:cs="Arial"/>
          <w:b/>
          <w:bCs/>
          <w:sz w:val="24"/>
          <w:szCs w:val="24"/>
        </w:rPr>
      </w:pPr>
      <w:r w:rsidRPr="00F2524B">
        <w:rPr>
          <w:rFonts w:ascii="Arial" w:hAnsi="Arial" w:cs="Arial"/>
          <w:b/>
          <w:bCs/>
          <w:sz w:val="24"/>
          <w:szCs w:val="24"/>
        </w:rPr>
        <w:t>Chapter 2:</w:t>
      </w:r>
    </w:p>
    <w:p w14:paraId="44251083" w14:textId="39B1D095" w:rsidR="002027D2" w:rsidRPr="00F2524B" w:rsidRDefault="002027D2" w:rsidP="009F70CE">
      <w:pPr>
        <w:jc w:val="both"/>
        <w:rPr>
          <w:rFonts w:ascii="Arial" w:hAnsi="Arial" w:cs="Arial"/>
          <w:sz w:val="24"/>
          <w:szCs w:val="24"/>
        </w:rPr>
      </w:pPr>
      <w:r w:rsidRPr="00F2524B">
        <w:rPr>
          <w:rFonts w:ascii="Arial" w:hAnsi="Arial" w:cs="Arial"/>
          <w:sz w:val="24"/>
          <w:szCs w:val="24"/>
        </w:rPr>
        <w:t xml:space="preserve">Figure 2.1: Synthetic </w:t>
      </w:r>
      <w:r w:rsidR="00E67763">
        <w:rPr>
          <w:rFonts w:ascii="Arial" w:hAnsi="Arial" w:cs="Arial"/>
          <w:sz w:val="24"/>
          <w:szCs w:val="24"/>
        </w:rPr>
        <w:t>steps</w:t>
      </w:r>
      <w:r w:rsidRPr="00F2524B">
        <w:rPr>
          <w:rFonts w:ascii="Arial" w:hAnsi="Arial" w:cs="Arial"/>
          <w:sz w:val="24"/>
          <w:szCs w:val="24"/>
        </w:rPr>
        <w:t xml:space="preserve"> for squaraine optoacoustic probes.</w:t>
      </w:r>
    </w:p>
    <w:p w14:paraId="5CF7570B"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2.2: Photothermal, optical, and molecular properties of squaraine compounds.</w:t>
      </w:r>
    </w:p>
    <w:p w14:paraId="17D31897"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2.3: Optoacoustic, absorbance, and fluorescence spectra and quantification of squaraine compounds.</w:t>
      </w:r>
    </w:p>
    <w:p w14:paraId="1863194C" w14:textId="15E77CB8" w:rsidR="002027D2" w:rsidRPr="00F2524B" w:rsidRDefault="002027D2" w:rsidP="009F70CE">
      <w:pPr>
        <w:jc w:val="both"/>
        <w:rPr>
          <w:rFonts w:ascii="Arial" w:hAnsi="Arial" w:cs="Arial"/>
          <w:sz w:val="24"/>
          <w:szCs w:val="24"/>
        </w:rPr>
      </w:pPr>
      <w:r w:rsidRPr="00F2524B">
        <w:rPr>
          <w:rFonts w:ascii="Arial" w:hAnsi="Arial" w:cs="Arial"/>
          <w:sz w:val="24"/>
          <w:szCs w:val="24"/>
        </w:rPr>
        <w:t>Figure 2.4: Computational modeling of squaraine compounds.</w:t>
      </w:r>
    </w:p>
    <w:p w14:paraId="2CCE342E"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2.5: Full time-dependent density functional theory derived absorption peaks of squaraine compounds.</w:t>
      </w:r>
    </w:p>
    <w:p w14:paraId="7DB48BB2"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2.6: Molecular orbital computational modeling from density functional theory calculations.</w:t>
      </w:r>
    </w:p>
    <w:p w14:paraId="12601458"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2.7: Cellular viability following treatment with squaraine compounds.</w:t>
      </w:r>
    </w:p>
    <w:p w14:paraId="0AF91E02"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 xml:space="preserve">Figure 2.8: </w:t>
      </w:r>
      <w:r w:rsidRPr="00F2524B">
        <w:rPr>
          <w:rFonts w:ascii="Arial" w:hAnsi="Arial" w:cs="Arial"/>
          <w:i/>
          <w:iCs/>
          <w:sz w:val="24"/>
          <w:szCs w:val="24"/>
        </w:rPr>
        <w:t xml:space="preserve">In vivo </w:t>
      </w:r>
      <w:r w:rsidRPr="00F2524B">
        <w:rPr>
          <w:rFonts w:ascii="Arial" w:hAnsi="Arial" w:cs="Arial"/>
          <w:sz w:val="24"/>
          <w:szCs w:val="24"/>
        </w:rPr>
        <w:t>visualization of optoacoustic and near infrared fluorescence of squaraine compounds.</w:t>
      </w:r>
    </w:p>
    <w:p w14:paraId="1200E262"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 xml:space="preserve">Figure 2.9: </w:t>
      </w:r>
      <w:r w:rsidRPr="00F2524B">
        <w:rPr>
          <w:rFonts w:ascii="Arial" w:hAnsi="Arial" w:cs="Arial"/>
          <w:i/>
          <w:iCs/>
          <w:sz w:val="24"/>
          <w:szCs w:val="24"/>
        </w:rPr>
        <w:t xml:space="preserve">Ex vivo </w:t>
      </w:r>
      <w:r w:rsidRPr="00F2524B">
        <w:rPr>
          <w:rFonts w:ascii="Arial" w:hAnsi="Arial" w:cs="Arial"/>
          <w:sz w:val="24"/>
          <w:szCs w:val="24"/>
        </w:rPr>
        <w:t>visualization and histology of squaraine compounds.</w:t>
      </w:r>
    </w:p>
    <w:p w14:paraId="46F99128" w14:textId="77777777" w:rsidR="002027D2" w:rsidRPr="00F2524B" w:rsidRDefault="002027D2" w:rsidP="009F70CE">
      <w:pPr>
        <w:jc w:val="both"/>
        <w:rPr>
          <w:rFonts w:ascii="Arial" w:hAnsi="Arial" w:cs="Arial"/>
          <w:sz w:val="24"/>
          <w:szCs w:val="24"/>
        </w:rPr>
      </w:pPr>
    </w:p>
    <w:p w14:paraId="6F429747" w14:textId="77777777" w:rsidR="002027D2" w:rsidRPr="00F2524B" w:rsidRDefault="002027D2" w:rsidP="009F70CE">
      <w:pPr>
        <w:jc w:val="both"/>
        <w:rPr>
          <w:rFonts w:ascii="Arial" w:hAnsi="Arial" w:cs="Arial"/>
          <w:b/>
          <w:bCs/>
          <w:sz w:val="24"/>
          <w:szCs w:val="24"/>
        </w:rPr>
      </w:pPr>
      <w:r w:rsidRPr="00F2524B">
        <w:rPr>
          <w:rFonts w:ascii="Arial" w:hAnsi="Arial" w:cs="Arial"/>
          <w:b/>
          <w:bCs/>
          <w:sz w:val="24"/>
          <w:szCs w:val="24"/>
        </w:rPr>
        <w:t>Chapter 3:</w:t>
      </w:r>
    </w:p>
    <w:p w14:paraId="68B26046" w14:textId="77777777" w:rsidR="002027D2" w:rsidRPr="00F2524B" w:rsidRDefault="002027D2" w:rsidP="000B4F1C">
      <w:pPr>
        <w:jc w:val="both"/>
        <w:rPr>
          <w:rFonts w:ascii="Arial" w:hAnsi="Arial" w:cs="Arial"/>
          <w:sz w:val="24"/>
          <w:szCs w:val="24"/>
        </w:rPr>
      </w:pPr>
      <w:r w:rsidRPr="00F2524B">
        <w:rPr>
          <w:rFonts w:ascii="Arial" w:hAnsi="Arial" w:cs="Arial"/>
          <w:sz w:val="24"/>
          <w:szCs w:val="24"/>
        </w:rPr>
        <w:t>Figure 3.1: Diagrams of relevant energy systems for imaging, including fluorescence and optoacoustics.</w:t>
      </w:r>
    </w:p>
    <w:p w14:paraId="1E244369" w14:textId="77777777" w:rsidR="002027D2" w:rsidRPr="00F2524B" w:rsidRDefault="002027D2" w:rsidP="000B4F1C">
      <w:pPr>
        <w:jc w:val="both"/>
        <w:rPr>
          <w:rFonts w:ascii="Arial" w:hAnsi="Arial" w:cs="Arial"/>
          <w:sz w:val="24"/>
          <w:szCs w:val="24"/>
        </w:rPr>
      </w:pPr>
      <w:r w:rsidRPr="00F2524B">
        <w:rPr>
          <w:rFonts w:ascii="Arial" w:hAnsi="Arial" w:cs="Arial"/>
          <w:sz w:val="24"/>
          <w:szCs w:val="24"/>
        </w:rPr>
        <w:t>Figure 3.2: Synthetic route for hemicyanine compounds with modified xanthene donor units.</w:t>
      </w:r>
    </w:p>
    <w:p w14:paraId="703ACEC9" w14:textId="77777777" w:rsidR="002027D2" w:rsidRPr="00F2524B" w:rsidRDefault="002027D2" w:rsidP="000B4F1C">
      <w:pPr>
        <w:jc w:val="both"/>
        <w:rPr>
          <w:rFonts w:ascii="Arial" w:hAnsi="Arial" w:cs="Arial"/>
          <w:sz w:val="24"/>
          <w:szCs w:val="24"/>
        </w:rPr>
      </w:pPr>
      <w:r w:rsidRPr="00F2524B">
        <w:rPr>
          <w:rFonts w:ascii="Arial" w:hAnsi="Arial" w:cs="Arial"/>
          <w:sz w:val="24"/>
          <w:szCs w:val="24"/>
        </w:rPr>
        <w:t>Figure 3.3: Absorbance spectra of compounds 11A-14B in 50% ethanol and acetic acid.</w:t>
      </w:r>
    </w:p>
    <w:p w14:paraId="1B1BE557" w14:textId="77777777" w:rsidR="002027D2" w:rsidRPr="00F2524B" w:rsidRDefault="002027D2" w:rsidP="000B4F1C">
      <w:pPr>
        <w:jc w:val="both"/>
        <w:rPr>
          <w:rFonts w:ascii="Arial" w:hAnsi="Arial" w:cs="Arial"/>
          <w:sz w:val="24"/>
          <w:szCs w:val="24"/>
        </w:rPr>
      </w:pPr>
      <w:r w:rsidRPr="00F2524B">
        <w:rPr>
          <w:rFonts w:ascii="Arial" w:hAnsi="Arial" w:cs="Arial"/>
          <w:sz w:val="24"/>
          <w:szCs w:val="24"/>
        </w:rPr>
        <w:t>Figure 3.4: Optoacoustic spectra of compounds 11A-14B at concentrations between 1 mM and 1 μM.</w:t>
      </w:r>
    </w:p>
    <w:p w14:paraId="1839F8E0" w14:textId="77777777" w:rsidR="002027D2" w:rsidRPr="00F2524B" w:rsidRDefault="002027D2" w:rsidP="000B4F1C">
      <w:pPr>
        <w:jc w:val="both"/>
        <w:rPr>
          <w:rFonts w:ascii="Arial" w:hAnsi="Arial" w:cs="Arial"/>
          <w:sz w:val="24"/>
          <w:szCs w:val="24"/>
        </w:rPr>
      </w:pPr>
      <w:r w:rsidRPr="00F2524B">
        <w:rPr>
          <w:rFonts w:ascii="Arial" w:hAnsi="Arial" w:cs="Arial"/>
          <w:sz w:val="24"/>
          <w:szCs w:val="24"/>
        </w:rPr>
        <w:t>Figure 3.5: Optoacoustic spectra of compounds 11A-14B while dissolved in a variety of polar and nonpolar solvents.</w:t>
      </w:r>
    </w:p>
    <w:p w14:paraId="030D5AAF" w14:textId="77777777" w:rsidR="002027D2" w:rsidRPr="00F2524B" w:rsidRDefault="002027D2" w:rsidP="000B4F1C">
      <w:pPr>
        <w:jc w:val="both"/>
        <w:rPr>
          <w:rFonts w:ascii="Arial" w:hAnsi="Arial" w:cs="Arial"/>
          <w:sz w:val="24"/>
          <w:szCs w:val="24"/>
        </w:rPr>
      </w:pPr>
      <w:r w:rsidRPr="00F2524B">
        <w:rPr>
          <w:rFonts w:ascii="Arial" w:hAnsi="Arial" w:cs="Arial"/>
          <w:sz w:val="24"/>
          <w:szCs w:val="24"/>
        </w:rPr>
        <w:lastRenderedPageBreak/>
        <w:t>Figure 3.6: Cellular viability following treatment with hemicyanine compounds 11A-14B.</w:t>
      </w:r>
    </w:p>
    <w:p w14:paraId="325C8C9E" w14:textId="77777777" w:rsidR="002027D2" w:rsidRPr="00F2524B" w:rsidRDefault="002027D2" w:rsidP="000B4F1C">
      <w:pPr>
        <w:jc w:val="both"/>
        <w:rPr>
          <w:rFonts w:ascii="Arial" w:hAnsi="Arial" w:cs="Arial"/>
          <w:sz w:val="24"/>
          <w:szCs w:val="24"/>
        </w:rPr>
      </w:pPr>
      <w:r w:rsidRPr="00F2524B">
        <w:rPr>
          <w:rFonts w:ascii="Arial" w:hAnsi="Arial" w:cs="Arial"/>
          <w:sz w:val="24"/>
          <w:szCs w:val="24"/>
        </w:rPr>
        <w:t xml:space="preserve">Figure 3.7: </w:t>
      </w:r>
      <w:r w:rsidRPr="00F2524B">
        <w:rPr>
          <w:rFonts w:ascii="Arial" w:hAnsi="Arial" w:cs="Arial"/>
          <w:i/>
          <w:iCs/>
          <w:sz w:val="24"/>
          <w:szCs w:val="24"/>
        </w:rPr>
        <w:t xml:space="preserve">In vivo </w:t>
      </w:r>
      <w:r w:rsidRPr="00F2524B">
        <w:rPr>
          <w:rFonts w:ascii="Arial" w:hAnsi="Arial" w:cs="Arial"/>
          <w:sz w:val="24"/>
          <w:szCs w:val="24"/>
        </w:rPr>
        <w:t>visualization of optoacoustic and near infrared fluorescence of hemicyanine compounds.</w:t>
      </w:r>
    </w:p>
    <w:p w14:paraId="238B6737" w14:textId="77777777" w:rsidR="002027D2" w:rsidRPr="00F2524B" w:rsidRDefault="002027D2" w:rsidP="000B4F1C">
      <w:pPr>
        <w:jc w:val="both"/>
        <w:rPr>
          <w:rFonts w:ascii="Arial" w:hAnsi="Arial" w:cs="Arial"/>
          <w:sz w:val="24"/>
          <w:szCs w:val="24"/>
        </w:rPr>
      </w:pPr>
      <w:r w:rsidRPr="00F2524B">
        <w:rPr>
          <w:rFonts w:ascii="Arial" w:hAnsi="Arial" w:cs="Arial"/>
          <w:sz w:val="24"/>
          <w:szCs w:val="24"/>
        </w:rPr>
        <w:t xml:space="preserve">Figure 3.8: </w:t>
      </w:r>
      <w:r w:rsidRPr="00F2524B">
        <w:rPr>
          <w:rFonts w:ascii="Arial" w:hAnsi="Arial" w:cs="Arial"/>
          <w:i/>
          <w:iCs/>
          <w:sz w:val="24"/>
          <w:szCs w:val="24"/>
        </w:rPr>
        <w:t xml:space="preserve">Ex vivo </w:t>
      </w:r>
      <w:r w:rsidRPr="00F2524B">
        <w:rPr>
          <w:rFonts w:ascii="Arial" w:hAnsi="Arial" w:cs="Arial"/>
          <w:sz w:val="24"/>
          <w:szCs w:val="24"/>
        </w:rPr>
        <w:t>visualization and confirmation of signal with near-infrared fluorescence.</w:t>
      </w:r>
    </w:p>
    <w:p w14:paraId="36035CFB" w14:textId="77777777" w:rsidR="002027D2" w:rsidRPr="00F2524B" w:rsidRDefault="002027D2" w:rsidP="009F70CE">
      <w:pPr>
        <w:jc w:val="both"/>
        <w:rPr>
          <w:rFonts w:ascii="Arial" w:hAnsi="Arial" w:cs="Arial"/>
          <w:sz w:val="24"/>
          <w:szCs w:val="24"/>
        </w:rPr>
      </w:pPr>
    </w:p>
    <w:p w14:paraId="3A12E545" w14:textId="77777777" w:rsidR="002027D2" w:rsidRPr="00F2524B" w:rsidRDefault="002027D2" w:rsidP="009F70CE">
      <w:pPr>
        <w:jc w:val="both"/>
        <w:rPr>
          <w:rFonts w:ascii="Arial" w:hAnsi="Arial" w:cs="Arial"/>
          <w:b/>
          <w:bCs/>
          <w:sz w:val="24"/>
          <w:szCs w:val="24"/>
        </w:rPr>
      </w:pPr>
      <w:r w:rsidRPr="00F2524B">
        <w:rPr>
          <w:rFonts w:ascii="Arial" w:hAnsi="Arial" w:cs="Arial"/>
          <w:b/>
          <w:bCs/>
          <w:sz w:val="24"/>
          <w:szCs w:val="24"/>
        </w:rPr>
        <w:t>Chapter 4:</w:t>
      </w:r>
    </w:p>
    <w:p w14:paraId="01F26AFA"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4.1: Schematic illustration of coated MSN preparation.</w:t>
      </w:r>
    </w:p>
    <w:p w14:paraId="4BFEA34E"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 xml:space="preserve">Figure 4.2: Timing schematic of </w:t>
      </w:r>
      <w:r w:rsidRPr="00F2524B">
        <w:rPr>
          <w:rFonts w:ascii="Arial" w:hAnsi="Arial" w:cs="Arial"/>
          <w:i/>
          <w:iCs/>
          <w:sz w:val="24"/>
          <w:szCs w:val="24"/>
        </w:rPr>
        <w:t>in vivo</w:t>
      </w:r>
      <w:r w:rsidRPr="00F2524B">
        <w:rPr>
          <w:rFonts w:ascii="Arial" w:hAnsi="Arial" w:cs="Arial"/>
          <w:sz w:val="24"/>
          <w:szCs w:val="24"/>
        </w:rPr>
        <w:t xml:space="preserve"> toxicity studies with coated MSNs.</w:t>
      </w:r>
    </w:p>
    <w:p w14:paraId="02CBC0CF"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4.3: Characterization of coated MSN size and charge.</w:t>
      </w:r>
    </w:p>
    <w:p w14:paraId="5DB064AB"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4.4: H&amp;E-stained histological evaluation of vital organs following acute treatment with coated MSNs.</w:t>
      </w:r>
    </w:p>
    <w:p w14:paraId="5312D90D"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4.5: H&amp;E-stained histological evaluation of vital organs following chronic treatment with coated MSNS.</w:t>
      </w:r>
    </w:p>
    <w:p w14:paraId="151DABE8" w14:textId="77777777" w:rsidR="002027D2" w:rsidRPr="00F2524B" w:rsidRDefault="002027D2" w:rsidP="009F70CE">
      <w:pPr>
        <w:jc w:val="both"/>
        <w:rPr>
          <w:rFonts w:ascii="Arial" w:hAnsi="Arial" w:cs="Arial"/>
          <w:sz w:val="24"/>
          <w:szCs w:val="24"/>
        </w:rPr>
      </w:pPr>
    </w:p>
    <w:p w14:paraId="2E589124" w14:textId="77777777" w:rsidR="002027D2" w:rsidRPr="00F2524B" w:rsidRDefault="002027D2" w:rsidP="009F70CE">
      <w:pPr>
        <w:jc w:val="both"/>
        <w:rPr>
          <w:rFonts w:ascii="Arial" w:hAnsi="Arial" w:cs="Arial"/>
          <w:b/>
          <w:bCs/>
          <w:sz w:val="24"/>
          <w:szCs w:val="24"/>
        </w:rPr>
      </w:pPr>
      <w:r w:rsidRPr="00F2524B">
        <w:rPr>
          <w:rFonts w:ascii="Arial" w:hAnsi="Arial" w:cs="Arial"/>
          <w:b/>
          <w:bCs/>
          <w:sz w:val="24"/>
          <w:szCs w:val="24"/>
        </w:rPr>
        <w:t>Chapter 5:</w:t>
      </w:r>
    </w:p>
    <w:p w14:paraId="16C4CBDA"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5.1: Schematic illustration of V7-TROS formation.</w:t>
      </w:r>
    </w:p>
    <w:p w14:paraId="16CD1F66"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5.2: Characterization of TROS MSN size, pore volume, and surface area.</w:t>
      </w:r>
    </w:p>
    <w:p w14:paraId="563A3E2E"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5.3: Characterization of TROS MSN charge, cargo encapsulation, and pH-specific cargo release.</w:t>
      </w:r>
    </w:p>
    <w:p w14:paraId="13705869"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5.4: NIR fluorescence and MSOT confirmation of v7-TROS MSNs pH-specific cell uptake and cargo release.</w:t>
      </w:r>
    </w:p>
    <w:p w14:paraId="57FC649F"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5.5: Cell internalization of V7-TROS and TROS in acidic, cancerous environments through detection of propidium iodide in pancreatic cancer cell line S2VP10.</w:t>
      </w:r>
    </w:p>
    <w:p w14:paraId="08AD159C"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 xml:space="preserve">Figure 5.6: </w:t>
      </w:r>
      <w:r w:rsidRPr="00F2524B">
        <w:rPr>
          <w:rFonts w:ascii="Arial" w:hAnsi="Arial" w:cs="Arial"/>
          <w:i/>
          <w:iCs/>
          <w:sz w:val="24"/>
          <w:szCs w:val="24"/>
        </w:rPr>
        <w:t>In vivo</w:t>
      </w:r>
      <w:r w:rsidRPr="00F2524B">
        <w:rPr>
          <w:rFonts w:ascii="Arial" w:hAnsi="Arial" w:cs="Arial"/>
          <w:sz w:val="24"/>
          <w:szCs w:val="24"/>
        </w:rPr>
        <w:t xml:space="preserve"> biodistribution measurements of V7-TROS and TROS MSNs with optoacoustic imaging in orthotopic tumor-bearing mice.</w:t>
      </w:r>
    </w:p>
    <w:p w14:paraId="7322C016"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 xml:space="preserve">Figure 5.7: </w:t>
      </w:r>
      <w:r w:rsidRPr="00F2524B">
        <w:rPr>
          <w:rFonts w:ascii="Arial" w:hAnsi="Arial" w:cs="Arial"/>
          <w:i/>
          <w:iCs/>
          <w:sz w:val="24"/>
          <w:szCs w:val="24"/>
        </w:rPr>
        <w:t>In vivo</w:t>
      </w:r>
      <w:r w:rsidRPr="00F2524B">
        <w:rPr>
          <w:rFonts w:ascii="Arial" w:hAnsi="Arial" w:cs="Arial"/>
          <w:sz w:val="24"/>
          <w:szCs w:val="24"/>
        </w:rPr>
        <w:t xml:space="preserve"> biodistribution measurements of V7-TROS and TROS MSNs with NIR fluorescence in orthotopic tumor-bearing mice. </w:t>
      </w:r>
      <w:r w:rsidRPr="00F2524B">
        <w:rPr>
          <w:rFonts w:ascii="Arial" w:hAnsi="Arial" w:cs="Arial"/>
          <w:i/>
          <w:iCs/>
          <w:sz w:val="24"/>
          <w:szCs w:val="24"/>
        </w:rPr>
        <w:t>Ex vivo</w:t>
      </w:r>
      <w:r w:rsidRPr="00F2524B">
        <w:rPr>
          <w:rFonts w:ascii="Arial" w:hAnsi="Arial" w:cs="Arial"/>
          <w:sz w:val="24"/>
          <w:szCs w:val="24"/>
        </w:rPr>
        <w:t xml:space="preserve"> confirmation of NIR fluorescence signal in organs.</w:t>
      </w:r>
    </w:p>
    <w:p w14:paraId="172FF199"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Figure 5.8: Histological evaluation of liver and kidney of mice treated with V7-TROS MSNs.</w:t>
      </w:r>
    </w:p>
    <w:p w14:paraId="255439C0" w14:textId="77777777" w:rsidR="002027D2" w:rsidRPr="00F2524B" w:rsidRDefault="002027D2" w:rsidP="009F70CE">
      <w:pPr>
        <w:jc w:val="both"/>
        <w:rPr>
          <w:rFonts w:ascii="Arial" w:hAnsi="Arial" w:cs="Arial"/>
          <w:sz w:val="24"/>
          <w:szCs w:val="24"/>
        </w:rPr>
      </w:pPr>
    </w:p>
    <w:p w14:paraId="2B3832F3" w14:textId="77777777" w:rsidR="002027D2" w:rsidRPr="002027D2" w:rsidRDefault="002027D2" w:rsidP="00F73DFD">
      <w:pPr>
        <w:pStyle w:val="Style3"/>
        <w:spacing w:after="240"/>
        <w:rPr>
          <w:color w:val="auto"/>
        </w:rPr>
      </w:pPr>
      <w:bookmarkStart w:id="3" w:name="_Toc152874256"/>
      <w:r w:rsidRPr="002027D2">
        <w:rPr>
          <w:color w:val="auto"/>
        </w:rPr>
        <w:lastRenderedPageBreak/>
        <w:t>List of Tables</w:t>
      </w:r>
      <w:bookmarkEnd w:id="3"/>
    </w:p>
    <w:p w14:paraId="26075099" w14:textId="77777777" w:rsidR="002027D2" w:rsidRPr="00F2524B" w:rsidRDefault="002027D2" w:rsidP="009F70CE">
      <w:pPr>
        <w:jc w:val="both"/>
        <w:rPr>
          <w:rFonts w:ascii="Arial" w:hAnsi="Arial" w:cs="Arial"/>
          <w:b/>
          <w:bCs/>
          <w:sz w:val="24"/>
          <w:szCs w:val="24"/>
        </w:rPr>
      </w:pPr>
      <w:r w:rsidRPr="00F2524B">
        <w:rPr>
          <w:rFonts w:ascii="Arial" w:hAnsi="Arial" w:cs="Arial"/>
          <w:b/>
          <w:bCs/>
          <w:sz w:val="24"/>
          <w:szCs w:val="24"/>
        </w:rPr>
        <w:t>Chapter 1:</w:t>
      </w:r>
    </w:p>
    <w:p w14:paraId="01ABB987"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Table 1.1: Current clinical applications of optoacoustic imaging and multispectral optoacoustic imaging.</w:t>
      </w:r>
    </w:p>
    <w:p w14:paraId="33F92F82" w14:textId="77777777" w:rsidR="002027D2" w:rsidRPr="00F2524B" w:rsidRDefault="002027D2" w:rsidP="009F70CE">
      <w:pPr>
        <w:jc w:val="both"/>
        <w:rPr>
          <w:rFonts w:ascii="Arial" w:hAnsi="Arial" w:cs="Arial"/>
          <w:b/>
          <w:bCs/>
          <w:sz w:val="24"/>
          <w:szCs w:val="24"/>
        </w:rPr>
      </w:pPr>
      <w:r w:rsidRPr="00F2524B">
        <w:rPr>
          <w:rFonts w:ascii="Arial" w:hAnsi="Arial" w:cs="Arial"/>
          <w:b/>
          <w:bCs/>
          <w:sz w:val="24"/>
          <w:szCs w:val="24"/>
        </w:rPr>
        <w:t>Chapter 3:</w:t>
      </w:r>
    </w:p>
    <w:p w14:paraId="79A0624C"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Table 3.1: Molecular properties of compounds 11A-14B.</w:t>
      </w:r>
    </w:p>
    <w:p w14:paraId="18E7E6D0" w14:textId="77777777" w:rsidR="002027D2" w:rsidRPr="00F2524B" w:rsidRDefault="002027D2" w:rsidP="009F70CE">
      <w:pPr>
        <w:jc w:val="both"/>
        <w:rPr>
          <w:rFonts w:ascii="Arial" w:hAnsi="Arial" w:cs="Arial"/>
          <w:b/>
          <w:bCs/>
          <w:sz w:val="24"/>
          <w:szCs w:val="24"/>
        </w:rPr>
      </w:pPr>
      <w:r w:rsidRPr="00F2524B">
        <w:rPr>
          <w:rFonts w:ascii="Arial" w:hAnsi="Arial" w:cs="Arial"/>
          <w:b/>
          <w:bCs/>
          <w:sz w:val="24"/>
          <w:szCs w:val="24"/>
        </w:rPr>
        <w:t>Chapter 4:</w:t>
      </w:r>
    </w:p>
    <w:p w14:paraId="138E6DF1"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Table 4.1: Size and charge characteristics of MSNs and coated MSNs following 24 h exposure to 10% FBS in cell growth media.</w:t>
      </w:r>
    </w:p>
    <w:p w14:paraId="5A1C68C0" w14:textId="77777777" w:rsidR="002027D2" w:rsidRPr="00F2524B" w:rsidRDefault="002027D2" w:rsidP="009F70CE">
      <w:pPr>
        <w:jc w:val="both"/>
        <w:rPr>
          <w:rFonts w:ascii="Arial" w:hAnsi="Arial" w:cs="Arial"/>
          <w:sz w:val="24"/>
          <w:szCs w:val="24"/>
        </w:rPr>
      </w:pPr>
      <w:r w:rsidRPr="00F2524B">
        <w:rPr>
          <w:rFonts w:ascii="Arial" w:hAnsi="Arial" w:cs="Arial"/>
          <w:sz w:val="24"/>
          <w:szCs w:val="24"/>
        </w:rPr>
        <w:t>Table 4.2: Blood chemistry and complete blood count values as reported from acute and chronic coated MSN treatment groups.</w:t>
      </w:r>
    </w:p>
    <w:p w14:paraId="0EEB826B" w14:textId="77777777" w:rsidR="002027D2" w:rsidRPr="00F2524B" w:rsidRDefault="002027D2" w:rsidP="00356F32">
      <w:pPr>
        <w:rPr>
          <w:rFonts w:ascii="Arial" w:hAnsi="Arial" w:cs="Arial"/>
          <w:sz w:val="24"/>
          <w:szCs w:val="24"/>
        </w:rPr>
      </w:pPr>
    </w:p>
    <w:p w14:paraId="7BF6EF3A" w14:textId="77777777" w:rsidR="002027D2" w:rsidRPr="00F2524B" w:rsidRDefault="002027D2" w:rsidP="00356F32">
      <w:pPr>
        <w:rPr>
          <w:rFonts w:ascii="Arial" w:hAnsi="Arial" w:cs="Arial"/>
          <w:sz w:val="24"/>
          <w:szCs w:val="24"/>
        </w:rPr>
      </w:pPr>
    </w:p>
    <w:p w14:paraId="4B44724A" w14:textId="77777777" w:rsidR="002027D2" w:rsidRPr="00F2524B" w:rsidRDefault="002027D2" w:rsidP="00356F32">
      <w:pPr>
        <w:rPr>
          <w:rFonts w:ascii="Arial" w:hAnsi="Arial" w:cs="Arial"/>
          <w:sz w:val="24"/>
          <w:szCs w:val="24"/>
        </w:rPr>
      </w:pPr>
    </w:p>
    <w:p w14:paraId="1BE16238" w14:textId="77777777" w:rsidR="002027D2" w:rsidRPr="00F2524B" w:rsidRDefault="002027D2" w:rsidP="00356F32">
      <w:pPr>
        <w:rPr>
          <w:rFonts w:ascii="Arial" w:hAnsi="Arial" w:cs="Arial"/>
          <w:sz w:val="24"/>
          <w:szCs w:val="24"/>
        </w:rPr>
      </w:pPr>
    </w:p>
    <w:p w14:paraId="3081AFF3" w14:textId="77777777" w:rsidR="002027D2" w:rsidRPr="00F2524B" w:rsidRDefault="002027D2" w:rsidP="00356F32">
      <w:pPr>
        <w:rPr>
          <w:rFonts w:ascii="Arial" w:hAnsi="Arial" w:cs="Arial"/>
          <w:sz w:val="24"/>
          <w:szCs w:val="24"/>
        </w:rPr>
      </w:pPr>
    </w:p>
    <w:p w14:paraId="7A47BA31" w14:textId="77777777" w:rsidR="002027D2" w:rsidRPr="00F2524B" w:rsidRDefault="002027D2" w:rsidP="00356F32">
      <w:pPr>
        <w:rPr>
          <w:rFonts w:ascii="Arial" w:hAnsi="Arial" w:cs="Arial"/>
          <w:sz w:val="24"/>
          <w:szCs w:val="24"/>
        </w:rPr>
      </w:pPr>
    </w:p>
    <w:p w14:paraId="2CBEDD7E" w14:textId="77777777" w:rsidR="002027D2" w:rsidRPr="00F2524B" w:rsidRDefault="002027D2" w:rsidP="00356F32">
      <w:pPr>
        <w:rPr>
          <w:rFonts w:ascii="Arial" w:hAnsi="Arial" w:cs="Arial"/>
          <w:sz w:val="24"/>
          <w:szCs w:val="24"/>
        </w:rPr>
      </w:pPr>
    </w:p>
    <w:p w14:paraId="3143EFA2" w14:textId="77777777" w:rsidR="002027D2" w:rsidRDefault="002027D2" w:rsidP="00356F32">
      <w:pPr>
        <w:rPr>
          <w:rFonts w:ascii="Arial" w:hAnsi="Arial" w:cs="Arial"/>
          <w:sz w:val="24"/>
          <w:szCs w:val="24"/>
        </w:rPr>
      </w:pPr>
    </w:p>
    <w:p w14:paraId="164CF0EC" w14:textId="77777777" w:rsidR="002027D2" w:rsidRDefault="002027D2" w:rsidP="00356F32">
      <w:pPr>
        <w:rPr>
          <w:rFonts w:ascii="Arial" w:hAnsi="Arial" w:cs="Arial"/>
          <w:sz w:val="24"/>
          <w:szCs w:val="24"/>
        </w:rPr>
      </w:pPr>
    </w:p>
    <w:p w14:paraId="20C343C3" w14:textId="77777777" w:rsidR="002027D2" w:rsidRDefault="002027D2" w:rsidP="00356F32">
      <w:pPr>
        <w:rPr>
          <w:rFonts w:ascii="Arial" w:hAnsi="Arial" w:cs="Arial"/>
          <w:sz w:val="24"/>
          <w:szCs w:val="24"/>
        </w:rPr>
      </w:pPr>
    </w:p>
    <w:p w14:paraId="7E0B41E3" w14:textId="77777777" w:rsidR="002027D2" w:rsidRDefault="002027D2" w:rsidP="00356F32">
      <w:pPr>
        <w:rPr>
          <w:rFonts w:ascii="Arial" w:hAnsi="Arial" w:cs="Arial"/>
          <w:sz w:val="24"/>
          <w:szCs w:val="24"/>
        </w:rPr>
      </w:pPr>
    </w:p>
    <w:p w14:paraId="10EBAE8F" w14:textId="77777777" w:rsidR="002027D2" w:rsidRDefault="002027D2" w:rsidP="00356F32">
      <w:pPr>
        <w:rPr>
          <w:rFonts w:ascii="Arial" w:hAnsi="Arial" w:cs="Arial"/>
          <w:sz w:val="24"/>
          <w:szCs w:val="24"/>
        </w:rPr>
      </w:pPr>
    </w:p>
    <w:p w14:paraId="3C9458A0" w14:textId="77777777" w:rsidR="002027D2" w:rsidRPr="00F2524B" w:rsidRDefault="002027D2" w:rsidP="00356F32">
      <w:pPr>
        <w:rPr>
          <w:rFonts w:ascii="Arial" w:hAnsi="Arial" w:cs="Arial"/>
          <w:sz w:val="24"/>
          <w:szCs w:val="24"/>
        </w:rPr>
      </w:pPr>
    </w:p>
    <w:p w14:paraId="2218C034" w14:textId="77777777" w:rsidR="002027D2" w:rsidRPr="00F2524B" w:rsidRDefault="002027D2" w:rsidP="00356F32">
      <w:pPr>
        <w:rPr>
          <w:rFonts w:ascii="Arial" w:hAnsi="Arial" w:cs="Arial"/>
          <w:sz w:val="24"/>
          <w:szCs w:val="24"/>
        </w:rPr>
      </w:pPr>
    </w:p>
    <w:p w14:paraId="2A9248B5" w14:textId="77777777" w:rsidR="002027D2" w:rsidRPr="00F2524B" w:rsidRDefault="002027D2" w:rsidP="00F60FE4">
      <w:pPr>
        <w:spacing w:line="276" w:lineRule="auto"/>
        <w:rPr>
          <w:rFonts w:ascii="Arial" w:hAnsi="Arial" w:cs="Arial"/>
          <w:sz w:val="24"/>
          <w:szCs w:val="24"/>
        </w:rPr>
      </w:pPr>
    </w:p>
    <w:p w14:paraId="48FC1BF9" w14:textId="77777777" w:rsidR="002027D2" w:rsidRPr="00282F47" w:rsidRDefault="002027D2" w:rsidP="00F73DFD">
      <w:pPr>
        <w:pStyle w:val="Style3"/>
        <w:spacing w:after="240"/>
        <w:rPr>
          <w:color w:val="auto"/>
        </w:rPr>
      </w:pPr>
      <w:bookmarkStart w:id="4" w:name="_Toc152874257"/>
      <w:r w:rsidRPr="00282F47">
        <w:rPr>
          <w:color w:val="auto"/>
        </w:rPr>
        <w:lastRenderedPageBreak/>
        <w:t>Abstract</w:t>
      </w:r>
      <w:bookmarkEnd w:id="4"/>
    </w:p>
    <w:p w14:paraId="0AC9FF98" w14:textId="63D229E3" w:rsidR="002027D2" w:rsidRPr="00282F47" w:rsidRDefault="002027D2" w:rsidP="0030757C">
      <w:pPr>
        <w:spacing w:line="480" w:lineRule="auto"/>
        <w:jc w:val="both"/>
        <w:rPr>
          <w:rFonts w:ascii="Arial" w:hAnsi="Arial" w:cs="Arial"/>
          <w:sz w:val="24"/>
          <w:szCs w:val="24"/>
        </w:rPr>
      </w:pPr>
      <w:r w:rsidRPr="00282F47">
        <w:rPr>
          <w:rFonts w:ascii="Arial" w:hAnsi="Arial" w:cs="Arial"/>
          <w:sz w:val="24"/>
          <w:szCs w:val="24"/>
        </w:rPr>
        <w:t xml:space="preserve">Optoacoustic imaging is an emerging modality with inherent advantages relevant for clinical use. Following excitation of optoacoustic contrast agents with ultrashort (~10 ns) pulses of near-infrared light, thermoelastic contractions and expansions of the molecule are produced and detected as acoustic waves. As the pathlength of light is reduced by half, and since near-infrared light penetrates efficiently in biological tissue, the influence of the imaging depth/spatial resolution tradeoff is significantly diminished; an unavoidable phenomenon in traditional optical imaging. Multiwavelength illumination allows for understanding of optoacoustic signal as a function of excitation wavelength, which can be utilized in unmixing algorithms, a feature that is unavailable with conventional ultrasound. Such unmixing algorithms have the ability to separate and determine the location and concentration of multiple optoacoustic agents in an unknown sample. There is a need for developing improved optoacoustic contrast agents and delivery mechanisms to further increase the applications of optoacoustic imaging. In this dissertation, newly synthesized squaraine and cyanine compounds are extensively characterized to determine how molecular structure directly impacts the ability to generate optoacoustic signal. Specifically, which molecular features result in changes </w:t>
      </w:r>
      <w:r w:rsidR="0083124A">
        <w:rPr>
          <w:rFonts w:ascii="Arial" w:hAnsi="Arial" w:cs="Arial"/>
          <w:sz w:val="24"/>
          <w:szCs w:val="24"/>
        </w:rPr>
        <w:t>to</w:t>
      </w:r>
      <w:r w:rsidRPr="00282F47">
        <w:rPr>
          <w:rFonts w:ascii="Arial" w:hAnsi="Arial" w:cs="Arial"/>
          <w:sz w:val="24"/>
          <w:szCs w:val="24"/>
        </w:rPr>
        <w:t xml:space="preserve"> optoacoustic intensity and spectral shape, e.g., optoacoustic signal vs. wavelength. </w:t>
      </w:r>
      <w:r w:rsidR="0083124A">
        <w:rPr>
          <w:rFonts w:ascii="Arial" w:hAnsi="Arial" w:cs="Arial"/>
          <w:sz w:val="24"/>
          <w:szCs w:val="24"/>
        </w:rPr>
        <w:t>These</w:t>
      </w:r>
      <w:r w:rsidRPr="00282F47">
        <w:rPr>
          <w:rFonts w:ascii="Arial" w:hAnsi="Arial" w:cs="Arial"/>
          <w:sz w:val="24"/>
          <w:szCs w:val="24"/>
        </w:rPr>
        <w:t xml:space="preserve"> studies show th</w:t>
      </w:r>
      <w:r w:rsidR="0083124A">
        <w:rPr>
          <w:rFonts w:ascii="Arial" w:hAnsi="Arial" w:cs="Arial"/>
          <w:sz w:val="24"/>
          <w:szCs w:val="24"/>
        </w:rPr>
        <w:t>at</w:t>
      </w:r>
      <w:r w:rsidRPr="00282F47">
        <w:rPr>
          <w:rFonts w:ascii="Arial" w:hAnsi="Arial" w:cs="Arial"/>
          <w:sz w:val="24"/>
          <w:szCs w:val="24"/>
        </w:rPr>
        <w:t xml:space="preserve"> through heavy halogenation, addition of rotatable bonds, and functionalization with diethylamino groups positively impact the strength of the contrast agents and may result in bathochromic shifts. Further, mesoporous silica nanoparticles have shown potential for inert, high cargo, and tunable delivery agents, that will not impact optoacoustic imaging due to </w:t>
      </w:r>
      <w:r w:rsidR="0083124A">
        <w:rPr>
          <w:rFonts w:ascii="Arial" w:hAnsi="Arial" w:cs="Arial"/>
          <w:sz w:val="24"/>
          <w:szCs w:val="24"/>
        </w:rPr>
        <w:t xml:space="preserve">the </w:t>
      </w:r>
      <w:r w:rsidRPr="00282F47">
        <w:rPr>
          <w:rFonts w:ascii="Arial" w:hAnsi="Arial" w:cs="Arial"/>
          <w:sz w:val="24"/>
          <w:szCs w:val="24"/>
        </w:rPr>
        <w:t>silica base. However, silica nanoparticles have previously been linked to toxicity, along with commonly used silica gatekeeping coating</w:t>
      </w:r>
      <w:r w:rsidR="0083124A">
        <w:rPr>
          <w:rFonts w:ascii="Arial" w:hAnsi="Arial" w:cs="Arial"/>
          <w:sz w:val="24"/>
          <w:szCs w:val="24"/>
        </w:rPr>
        <w:t>s</w:t>
      </w:r>
      <w:r w:rsidRPr="00282F47">
        <w:rPr>
          <w:rFonts w:ascii="Arial" w:hAnsi="Arial" w:cs="Arial"/>
          <w:sz w:val="24"/>
          <w:szCs w:val="24"/>
        </w:rPr>
        <w:t xml:space="preserve">. After toxicity evaluation </w:t>
      </w:r>
      <w:r w:rsidRPr="00282F47">
        <w:rPr>
          <w:rFonts w:ascii="Arial" w:hAnsi="Arial" w:cs="Arial"/>
          <w:sz w:val="24"/>
          <w:szCs w:val="24"/>
        </w:rPr>
        <w:lastRenderedPageBreak/>
        <w:t>of commonly used coatings on silica nanoparticles, chitosan was deemed nontoxic and shows potential as a pH-responsive coating on silica nanoparticles. Overall, nanoparticles have struggled in clinical settings such as cancer, due to poor understanding on how to improve tumor specificity. Optoacoustic imaging was utilized to visualize actively and passively targeted mesoporous silica nanoparticles of various size. Our results strongly suggest that 25-50 nm silica nanoparticles coated with chitosan and actively targeted with pH low insertion peptides significantly improve tumor specificity in an orthotopic model of pancreatic cancer. This data represents tools and guidelines to follow in the creation of optoacoustic contrast agents and delivery mechanisms to specifically target biological processes, such as pancreatic cancer. In addition, these results suggest future opportunities to improve optoacoustic imaging applications.</w:t>
      </w:r>
    </w:p>
    <w:p w14:paraId="025F1F6C" w14:textId="77777777" w:rsidR="002027D2" w:rsidRPr="00282F47" w:rsidRDefault="002027D2" w:rsidP="00356F32">
      <w:pPr>
        <w:rPr>
          <w:rFonts w:ascii="Arial" w:hAnsi="Arial" w:cs="Arial"/>
          <w:sz w:val="24"/>
          <w:szCs w:val="24"/>
        </w:rPr>
      </w:pPr>
    </w:p>
    <w:p w14:paraId="1645245D" w14:textId="77777777" w:rsidR="002027D2" w:rsidRPr="00282F47" w:rsidRDefault="002027D2" w:rsidP="00356F32">
      <w:pPr>
        <w:rPr>
          <w:rFonts w:ascii="Arial" w:hAnsi="Arial" w:cs="Arial"/>
          <w:sz w:val="24"/>
          <w:szCs w:val="24"/>
        </w:rPr>
      </w:pPr>
    </w:p>
    <w:p w14:paraId="7590CB1E" w14:textId="77777777" w:rsidR="002027D2" w:rsidRPr="00282F47" w:rsidRDefault="002027D2" w:rsidP="00356F32">
      <w:pPr>
        <w:rPr>
          <w:rFonts w:ascii="Arial" w:hAnsi="Arial" w:cs="Arial"/>
          <w:sz w:val="24"/>
          <w:szCs w:val="24"/>
        </w:rPr>
      </w:pPr>
    </w:p>
    <w:p w14:paraId="4ECD2BBE" w14:textId="77777777" w:rsidR="002027D2" w:rsidRPr="00282F47" w:rsidRDefault="002027D2" w:rsidP="00356F32">
      <w:pPr>
        <w:rPr>
          <w:rFonts w:ascii="Arial" w:hAnsi="Arial" w:cs="Arial"/>
          <w:sz w:val="24"/>
          <w:szCs w:val="24"/>
        </w:rPr>
      </w:pPr>
    </w:p>
    <w:p w14:paraId="3013FCF4" w14:textId="77777777" w:rsidR="002027D2" w:rsidRPr="00282F47" w:rsidRDefault="002027D2" w:rsidP="00356F32">
      <w:pPr>
        <w:rPr>
          <w:rFonts w:ascii="Arial" w:hAnsi="Arial" w:cs="Arial"/>
          <w:sz w:val="24"/>
          <w:szCs w:val="24"/>
        </w:rPr>
      </w:pPr>
    </w:p>
    <w:p w14:paraId="09DBE9D2" w14:textId="77777777" w:rsidR="002027D2" w:rsidRPr="00282F47" w:rsidRDefault="002027D2" w:rsidP="00356F32">
      <w:pPr>
        <w:rPr>
          <w:rFonts w:ascii="Arial" w:hAnsi="Arial" w:cs="Arial"/>
          <w:sz w:val="24"/>
          <w:szCs w:val="24"/>
        </w:rPr>
      </w:pPr>
    </w:p>
    <w:p w14:paraId="54A5D436" w14:textId="77777777" w:rsidR="002027D2" w:rsidRPr="00282F47" w:rsidRDefault="002027D2" w:rsidP="00356F32">
      <w:pPr>
        <w:rPr>
          <w:rFonts w:ascii="Arial" w:hAnsi="Arial" w:cs="Arial"/>
          <w:sz w:val="24"/>
          <w:szCs w:val="24"/>
        </w:rPr>
      </w:pPr>
    </w:p>
    <w:p w14:paraId="78CAFAEC" w14:textId="77777777" w:rsidR="002027D2" w:rsidRPr="00282F47" w:rsidRDefault="002027D2" w:rsidP="00356F32">
      <w:pPr>
        <w:rPr>
          <w:rFonts w:ascii="Arial" w:hAnsi="Arial" w:cs="Arial"/>
          <w:sz w:val="24"/>
          <w:szCs w:val="24"/>
        </w:rPr>
      </w:pPr>
    </w:p>
    <w:p w14:paraId="1E0931BD" w14:textId="77777777" w:rsidR="002027D2" w:rsidRPr="00282F47" w:rsidRDefault="002027D2" w:rsidP="00356F32">
      <w:pPr>
        <w:rPr>
          <w:rFonts w:ascii="Arial" w:hAnsi="Arial" w:cs="Arial"/>
          <w:sz w:val="24"/>
          <w:szCs w:val="24"/>
        </w:rPr>
      </w:pPr>
    </w:p>
    <w:p w14:paraId="61C5D8D4" w14:textId="77777777" w:rsidR="002027D2" w:rsidRPr="00282F47" w:rsidRDefault="002027D2" w:rsidP="00356F32">
      <w:pPr>
        <w:rPr>
          <w:rFonts w:ascii="Arial" w:hAnsi="Arial" w:cs="Arial"/>
          <w:sz w:val="24"/>
          <w:szCs w:val="24"/>
        </w:rPr>
      </w:pPr>
    </w:p>
    <w:p w14:paraId="7E1C2D8E" w14:textId="77777777" w:rsidR="002027D2" w:rsidRPr="00282F47" w:rsidRDefault="002027D2" w:rsidP="00356F32">
      <w:pPr>
        <w:rPr>
          <w:rFonts w:ascii="Arial" w:hAnsi="Arial" w:cs="Arial"/>
          <w:sz w:val="24"/>
          <w:szCs w:val="24"/>
        </w:rPr>
      </w:pPr>
    </w:p>
    <w:p w14:paraId="1A0C9A0C" w14:textId="77777777" w:rsidR="002027D2" w:rsidRPr="00282F47" w:rsidRDefault="002027D2" w:rsidP="00356F32">
      <w:pPr>
        <w:rPr>
          <w:rFonts w:ascii="Arial" w:hAnsi="Arial" w:cs="Arial"/>
          <w:sz w:val="24"/>
          <w:szCs w:val="24"/>
        </w:rPr>
      </w:pPr>
    </w:p>
    <w:p w14:paraId="707E82C4" w14:textId="77777777" w:rsidR="002027D2" w:rsidRPr="00282F47" w:rsidRDefault="002027D2" w:rsidP="00356F32">
      <w:pPr>
        <w:rPr>
          <w:rFonts w:ascii="Arial" w:hAnsi="Arial" w:cs="Arial"/>
          <w:sz w:val="24"/>
          <w:szCs w:val="24"/>
        </w:rPr>
      </w:pPr>
    </w:p>
    <w:p w14:paraId="406B9330" w14:textId="77777777" w:rsidR="002027D2" w:rsidRPr="00282F47" w:rsidRDefault="002027D2" w:rsidP="00356F32">
      <w:pPr>
        <w:rPr>
          <w:rFonts w:ascii="Arial" w:hAnsi="Arial" w:cs="Arial"/>
          <w:sz w:val="24"/>
          <w:szCs w:val="24"/>
        </w:rPr>
      </w:pPr>
    </w:p>
    <w:p w14:paraId="79FA672F" w14:textId="77777777" w:rsidR="002027D2" w:rsidRPr="00282F47" w:rsidRDefault="002027D2" w:rsidP="00356F32">
      <w:pPr>
        <w:rPr>
          <w:rFonts w:ascii="Arial" w:hAnsi="Arial" w:cs="Arial"/>
          <w:sz w:val="24"/>
          <w:szCs w:val="24"/>
        </w:rPr>
        <w:sectPr w:rsidR="002027D2" w:rsidRPr="00282F47" w:rsidSect="00773EDA">
          <w:footerReference w:type="default" r:id="rId12"/>
          <w:pgSz w:w="12240" w:h="15840"/>
          <w:pgMar w:top="1440" w:right="1440" w:bottom="1440" w:left="1440" w:header="720" w:footer="720" w:gutter="0"/>
          <w:pgNumType w:fmt="lowerRoman" w:start="4"/>
          <w:cols w:space="720"/>
          <w:docGrid w:linePitch="360"/>
        </w:sectPr>
      </w:pPr>
    </w:p>
    <w:p w14:paraId="1655729C" w14:textId="77777777" w:rsidR="002027D2" w:rsidRPr="00282F47" w:rsidRDefault="002027D2" w:rsidP="00F73DFD">
      <w:pPr>
        <w:pStyle w:val="Style3"/>
        <w:spacing w:after="240"/>
        <w:rPr>
          <w:color w:val="auto"/>
        </w:rPr>
      </w:pPr>
      <w:bookmarkStart w:id="5" w:name="_Toc152874258"/>
      <w:r w:rsidRPr="00282F47">
        <w:rPr>
          <w:color w:val="auto"/>
        </w:rPr>
        <w:lastRenderedPageBreak/>
        <w:t>Chapter 1 – Introduction</w:t>
      </w:r>
      <w:bookmarkEnd w:id="5"/>
    </w:p>
    <w:p w14:paraId="671A79F3" w14:textId="77777777" w:rsidR="002027D2" w:rsidRPr="00282F47" w:rsidRDefault="002027D2" w:rsidP="00CD11D6">
      <w:pPr>
        <w:jc w:val="both"/>
        <w:rPr>
          <w:rFonts w:ascii="Arial" w:hAnsi="Arial" w:cs="Arial"/>
          <w:sz w:val="24"/>
          <w:szCs w:val="24"/>
        </w:rPr>
      </w:pPr>
      <w:r w:rsidRPr="00282F47">
        <w:rPr>
          <w:rFonts w:ascii="Arial" w:hAnsi="Arial" w:cs="Arial"/>
          <w:sz w:val="24"/>
          <w:szCs w:val="24"/>
        </w:rPr>
        <w:t xml:space="preserve">Sections of this chapter have been published as review manuscripts in </w:t>
      </w:r>
      <w:r w:rsidRPr="00282F47">
        <w:rPr>
          <w:rFonts w:ascii="Arial" w:hAnsi="Arial" w:cs="Arial"/>
          <w:i/>
          <w:iCs/>
          <w:sz w:val="24"/>
          <w:szCs w:val="24"/>
        </w:rPr>
        <w:t xml:space="preserve">Radiology: Imaging Cancer </w:t>
      </w:r>
      <w:r w:rsidRPr="00282F47">
        <w:rPr>
          <w:rFonts w:ascii="Arial" w:hAnsi="Arial" w:cs="Arial"/>
          <w:sz w:val="24"/>
          <w:szCs w:val="24"/>
        </w:rPr>
        <w:t xml:space="preserve">and </w:t>
      </w:r>
      <w:r w:rsidRPr="00282F47">
        <w:rPr>
          <w:rFonts w:ascii="Arial" w:hAnsi="Arial" w:cs="Arial"/>
          <w:i/>
          <w:iCs/>
          <w:sz w:val="24"/>
          <w:szCs w:val="24"/>
        </w:rPr>
        <w:t>ACS Bioconjugate Chemistry</w:t>
      </w:r>
      <w:r w:rsidRPr="00282F47">
        <w:rPr>
          <w:rFonts w:ascii="Arial" w:hAnsi="Arial" w:cs="Arial"/>
          <w:sz w:val="24"/>
          <w:szCs w:val="24"/>
        </w:rPr>
        <w:t>:</w:t>
      </w:r>
    </w:p>
    <w:p w14:paraId="7DC550B7" w14:textId="77777777" w:rsidR="002027D2" w:rsidRPr="00282F47" w:rsidRDefault="002027D2" w:rsidP="00CD11D6">
      <w:pPr>
        <w:jc w:val="both"/>
        <w:rPr>
          <w:rFonts w:ascii="Arial" w:hAnsi="Arial" w:cs="Arial"/>
          <w:sz w:val="24"/>
          <w:szCs w:val="24"/>
        </w:rPr>
      </w:pPr>
      <w:r w:rsidRPr="00282F47">
        <w:rPr>
          <w:rFonts w:ascii="Arial" w:hAnsi="Arial" w:cs="Arial"/>
          <w:b/>
          <w:bCs/>
          <w:sz w:val="24"/>
          <w:szCs w:val="24"/>
        </w:rPr>
        <w:t>William M MacCuaig*</w:t>
      </w:r>
      <w:r w:rsidRPr="00282F47">
        <w:rPr>
          <w:rFonts w:ascii="Arial" w:hAnsi="Arial" w:cs="Arial"/>
          <w:sz w:val="24"/>
          <w:szCs w:val="24"/>
        </w:rPr>
        <w:t xml:space="preserve">, Meredith A Jones*, Oshaani Abeyakoon, Lacey R McNally. “Development of Multispectral Optoacoustic Tomography as a Clinically Translatable Modality for Cancer Imaging” </w:t>
      </w:r>
      <w:r w:rsidRPr="00282F47">
        <w:rPr>
          <w:rFonts w:ascii="Arial" w:hAnsi="Arial" w:cs="Arial"/>
          <w:i/>
          <w:iCs/>
          <w:sz w:val="24"/>
          <w:szCs w:val="24"/>
        </w:rPr>
        <w:t xml:space="preserve">Radiol Imaging Cancer </w:t>
      </w:r>
      <w:r w:rsidRPr="00282F47">
        <w:rPr>
          <w:rFonts w:ascii="Arial" w:hAnsi="Arial" w:cs="Arial"/>
          <w:sz w:val="24"/>
          <w:szCs w:val="24"/>
        </w:rPr>
        <w:t>2020 Nov 20; 2(6): e200066. doi: 10.1148/rycan.2020200066</w:t>
      </w:r>
    </w:p>
    <w:p w14:paraId="15B67CD6" w14:textId="77777777" w:rsidR="002027D2" w:rsidRPr="00282F47" w:rsidRDefault="002027D2" w:rsidP="00CD11D6">
      <w:pPr>
        <w:jc w:val="both"/>
        <w:rPr>
          <w:rFonts w:ascii="Arial" w:hAnsi="Arial" w:cs="Arial"/>
          <w:sz w:val="24"/>
          <w:szCs w:val="24"/>
        </w:rPr>
      </w:pPr>
      <w:r w:rsidRPr="00282F47">
        <w:rPr>
          <w:rFonts w:ascii="Arial" w:hAnsi="Arial" w:cs="Arial"/>
          <w:sz w:val="24"/>
          <w:szCs w:val="24"/>
        </w:rPr>
        <w:t xml:space="preserve">Kristina Ilina*, </w:t>
      </w:r>
      <w:r w:rsidRPr="00282F47">
        <w:rPr>
          <w:rFonts w:ascii="Arial" w:hAnsi="Arial" w:cs="Arial"/>
          <w:b/>
          <w:bCs/>
          <w:sz w:val="24"/>
          <w:szCs w:val="24"/>
        </w:rPr>
        <w:t>William M MacCuaig*</w:t>
      </w:r>
      <w:r w:rsidRPr="00282F47">
        <w:rPr>
          <w:rFonts w:ascii="Arial" w:hAnsi="Arial" w:cs="Arial"/>
          <w:sz w:val="24"/>
          <w:szCs w:val="24"/>
        </w:rPr>
        <w:t xml:space="preserve">, Matthew Laramie*, Jannatun N. Jeouty, Lacey R. McNally, Maged Henary. “Squaraine Dyes: Molecular Design for Different Applications and Remaining Challenges” </w:t>
      </w:r>
      <w:r w:rsidRPr="00282F47">
        <w:rPr>
          <w:rFonts w:ascii="Arial" w:hAnsi="Arial" w:cs="Arial"/>
          <w:i/>
          <w:iCs/>
          <w:sz w:val="24"/>
          <w:szCs w:val="24"/>
        </w:rPr>
        <w:t xml:space="preserve">Bioconjugate Chem. </w:t>
      </w:r>
      <w:r w:rsidRPr="00282F47">
        <w:rPr>
          <w:rFonts w:ascii="Arial" w:hAnsi="Arial" w:cs="Arial"/>
          <w:sz w:val="24"/>
          <w:szCs w:val="24"/>
        </w:rPr>
        <w:t>2019 July 31; 31(2):194-213. doi: 10.1021/acs.bioconjchem.9b00482</w:t>
      </w:r>
    </w:p>
    <w:p w14:paraId="14DFD711" w14:textId="77777777" w:rsidR="002027D2" w:rsidRPr="00282F47" w:rsidRDefault="002027D2" w:rsidP="00AF1E5A">
      <w:pPr>
        <w:spacing w:line="480" w:lineRule="auto"/>
        <w:jc w:val="both"/>
        <w:rPr>
          <w:rFonts w:ascii="Arial" w:hAnsi="Arial" w:cs="Arial"/>
          <w:sz w:val="24"/>
          <w:szCs w:val="24"/>
        </w:rPr>
      </w:pPr>
    </w:p>
    <w:p w14:paraId="6A4A58ED" w14:textId="1AABFB58" w:rsidR="002027D2" w:rsidRPr="00282F47" w:rsidRDefault="002027D2" w:rsidP="00AF1E5A">
      <w:pPr>
        <w:spacing w:line="480" w:lineRule="auto"/>
        <w:jc w:val="both"/>
        <w:rPr>
          <w:rFonts w:ascii="Arial" w:hAnsi="Arial" w:cs="Arial"/>
          <w:sz w:val="24"/>
          <w:szCs w:val="24"/>
        </w:rPr>
      </w:pPr>
      <w:r w:rsidRPr="00282F47">
        <w:rPr>
          <w:rFonts w:ascii="Arial" w:hAnsi="Arial" w:cs="Arial"/>
          <w:sz w:val="24"/>
          <w:szCs w:val="24"/>
        </w:rPr>
        <w:t>The goal of the work detailed herein is to expand the relevance of optoacoustic tomography through improving optoacoustic signatures and the delivery of contrast agents. Optoacoustic imaging is an emerging</w:t>
      </w:r>
      <w:r w:rsidR="0083124A">
        <w:rPr>
          <w:rFonts w:ascii="Arial" w:hAnsi="Arial" w:cs="Arial"/>
          <w:sz w:val="24"/>
          <w:szCs w:val="24"/>
        </w:rPr>
        <w:t xml:space="preserve"> modality</w:t>
      </w:r>
      <w:r w:rsidRPr="00282F47">
        <w:rPr>
          <w:rFonts w:ascii="Arial" w:hAnsi="Arial" w:cs="Arial"/>
          <w:sz w:val="24"/>
          <w:szCs w:val="24"/>
        </w:rPr>
        <w:t xml:space="preserve"> that has recently gained popularity as a clinically translatable technique. Optoacoustic imaging exploits the photoacoustic effect, which is the generation of mechanical pressure waves as a result of light absorption of chromophores and subsequent thermoelastic contractions. Advantageous to conventional and optical imaging techniques, optoacoustic imaging uses near-infrared (NIR) light, which penetrates efficiently in biologic tissue. The high-transparency characteristics of NIR light in biological tissue mitigate the issue of photon scatter and therefore allow for increased</w:t>
      </w:r>
      <w:r w:rsidR="0083124A">
        <w:rPr>
          <w:rFonts w:ascii="Arial" w:hAnsi="Arial" w:cs="Arial"/>
          <w:sz w:val="24"/>
          <w:szCs w:val="24"/>
        </w:rPr>
        <w:t xml:space="preserve"> </w:t>
      </w:r>
      <w:r w:rsidRPr="00282F47">
        <w:rPr>
          <w:rFonts w:ascii="Arial" w:hAnsi="Arial" w:cs="Arial"/>
          <w:sz w:val="24"/>
          <w:szCs w:val="24"/>
        </w:rPr>
        <w:t>depth penetration into tissue with reduced sacrifice to resolution</w:t>
      </w:r>
      <w:r w:rsidRPr="00282F47">
        <w:rPr>
          <w:rFonts w:ascii="Arial" w:hAnsi="Arial" w:cs="Arial"/>
          <w:noProof/>
          <w:sz w:val="24"/>
          <w:szCs w:val="24"/>
          <w:vertAlign w:val="superscript"/>
        </w:rPr>
        <w:t>1,2</w:t>
      </w:r>
      <w:r w:rsidRPr="00282F47">
        <w:rPr>
          <w:rFonts w:ascii="Arial" w:hAnsi="Arial" w:cs="Arial"/>
          <w:sz w:val="24"/>
          <w:szCs w:val="24"/>
        </w:rPr>
        <w:t>. In essence, high spatiotemporal and spectral resolution from light-based illumination imaging is merged with excellent depth penetration of ultrasound (US) imaging to result in a clinically relevant tool for noninvasive imaging</w:t>
      </w:r>
      <w:r w:rsidRPr="00282F47">
        <w:rPr>
          <w:rFonts w:ascii="Arial" w:hAnsi="Arial" w:cs="Arial"/>
          <w:noProof/>
          <w:sz w:val="24"/>
          <w:szCs w:val="24"/>
          <w:vertAlign w:val="superscript"/>
        </w:rPr>
        <w:t>3,4</w:t>
      </w:r>
      <w:r w:rsidRPr="00282F47">
        <w:rPr>
          <w:rFonts w:ascii="Arial" w:hAnsi="Arial" w:cs="Arial"/>
          <w:sz w:val="24"/>
          <w:szCs w:val="24"/>
        </w:rPr>
        <w:t>.</w:t>
      </w:r>
    </w:p>
    <w:p w14:paraId="41426D51" w14:textId="77777777" w:rsidR="002027D2" w:rsidRPr="00282F47" w:rsidRDefault="002027D2" w:rsidP="00AF1E5A">
      <w:pPr>
        <w:spacing w:line="480" w:lineRule="auto"/>
        <w:jc w:val="both"/>
        <w:rPr>
          <w:rFonts w:ascii="Arial" w:hAnsi="Arial" w:cs="Arial"/>
          <w:sz w:val="24"/>
          <w:szCs w:val="24"/>
        </w:rPr>
      </w:pPr>
      <w:r w:rsidRPr="00282F47">
        <w:rPr>
          <w:rFonts w:ascii="Arial" w:hAnsi="Arial" w:cs="Arial"/>
          <w:sz w:val="24"/>
          <w:szCs w:val="24"/>
        </w:rPr>
        <w:t>While optoacoustic imaging techniques range from macroscopic purposes (optoacoustic computed tomography) to microscopic purposes (optoacoustic microscopy)</w:t>
      </w:r>
      <w:r w:rsidRPr="00282F47">
        <w:rPr>
          <w:rFonts w:ascii="Arial" w:hAnsi="Arial" w:cs="Arial"/>
          <w:noProof/>
          <w:sz w:val="24"/>
          <w:szCs w:val="24"/>
          <w:vertAlign w:val="superscript"/>
        </w:rPr>
        <w:t>5</w:t>
      </w:r>
      <w:r w:rsidRPr="00282F47">
        <w:rPr>
          <w:rFonts w:ascii="Arial" w:hAnsi="Arial" w:cs="Arial"/>
          <w:sz w:val="24"/>
          <w:szCs w:val="24"/>
        </w:rPr>
        <w:t xml:space="preserve">, this work </w:t>
      </w:r>
      <w:r w:rsidRPr="00282F47">
        <w:rPr>
          <w:rFonts w:ascii="Arial" w:hAnsi="Arial" w:cs="Arial"/>
          <w:sz w:val="24"/>
          <w:szCs w:val="24"/>
        </w:rPr>
        <w:lastRenderedPageBreak/>
        <w:t>will be focused on optoacoustic tomography. Optoacoustic tomography can image at depths up to 5 cm, allowing for noninvasive organ imaging in a clinical setting</w:t>
      </w:r>
      <w:r w:rsidRPr="00282F47">
        <w:rPr>
          <w:rFonts w:ascii="Arial" w:hAnsi="Arial" w:cs="Arial"/>
          <w:noProof/>
          <w:sz w:val="24"/>
          <w:szCs w:val="24"/>
          <w:vertAlign w:val="superscript"/>
        </w:rPr>
        <w:t>2,6</w:t>
      </w:r>
      <w:r w:rsidRPr="00282F47">
        <w:rPr>
          <w:rFonts w:ascii="Arial" w:hAnsi="Arial" w:cs="Arial"/>
          <w:sz w:val="24"/>
          <w:szCs w:val="24"/>
        </w:rPr>
        <w:t>. Typically, optoacoustic tomographic systems use large-field illumination and capture generated ultrasonic waves with a 2D (</w:t>
      </w:r>
      <w:r w:rsidRPr="00282F47">
        <w:rPr>
          <w:rFonts w:ascii="Arial" w:hAnsi="Arial" w:cs="Arial"/>
          <w:b/>
          <w:bCs/>
          <w:sz w:val="24"/>
          <w:szCs w:val="24"/>
        </w:rPr>
        <w:t>Figure 1.1A-B</w:t>
      </w:r>
      <w:r w:rsidRPr="00282F47">
        <w:rPr>
          <w:rFonts w:ascii="Arial" w:hAnsi="Arial" w:cs="Arial"/>
          <w:sz w:val="24"/>
          <w:szCs w:val="24"/>
        </w:rPr>
        <w:t>) or 3D array (</w:t>
      </w:r>
      <w:r w:rsidRPr="00282F47">
        <w:rPr>
          <w:rFonts w:ascii="Arial" w:hAnsi="Arial" w:cs="Arial"/>
          <w:b/>
          <w:bCs/>
          <w:sz w:val="24"/>
          <w:szCs w:val="24"/>
        </w:rPr>
        <w:t>Figure 1.1C-D</w:t>
      </w:r>
      <w:r w:rsidRPr="00282F47">
        <w:rPr>
          <w:rFonts w:ascii="Arial" w:hAnsi="Arial" w:cs="Arial"/>
          <w:sz w:val="24"/>
          <w:szCs w:val="24"/>
        </w:rPr>
        <w:t xml:space="preserve">) of transducers. When acquiring images, samples are placed perpendicular to the excitation laser bundle. In the case of preclinical imaging specifically, </w:t>
      </w:r>
      <w:r w:rsidRPr="00282F47">
        <w:rPr>
          <w:rFonts w:ascii="Arial" w:hAnsi="Arial" w:cs="Arial"/>
          <w:i/>
          <w:iCs/>
          <w:sz w:val="24"/>
          <w:szCs w:val="24"/>
        </w:rPr>
        <w:t xml:space="preserve">in vitro </w:t>
      </w:r>
      <w:r w:rsidRPr="00282F47">
        <w:rPr>
          <w:rFonts w:ascii="Arial" w:hAnsi="Arial" w:cs="Arial"/>
          <w:sz w:val="24"/>
          <w:szCs w:val="24"/>
        </w:rPr>
        <w:t>testing is performed using tissue mimicking phantoms. The phantoms, fabricated from polymerized agar and intralipid to simulate human tissue imaging properties, are loaded with contrast agents and rotated to be consistent with the geometry of the transducer (</w:t>
      </w:r>
      <w:r w:rsidRPr="00282F47">
        <w:rPr>
          <w:rFonts w:ascii="Arial" w:hAnsi="Arial" w:cs="Arial"/>
          <w:b/>
          <w:bCs/>
          <w:sz w:val="24"/>
          <w:szCs w:val="24"/>
        </w:rPr>
        <w:t>Supporting Figure S1.1A-D)</w:t>
      </w:r>
      <w:r w:rsidRPr="00282F47">
        <w:rPr>
          <w:rFonts w:ascii="Arial" w:hAnsi="Arial" w:cs="Arial"/>
          <w:sz w:val="24"/>
          <w:szCs w:val="24"/>
        </w:rPr>
        <w:t xml:space="preserve">. </w:t>
      </w:r>
      <w:r w:rsidRPr="00282F47">
        <w:rPr>
          <w:rFonts w:ascii="Arial" w:hAnsi="Arial" w:cs="Arial"/>
          <w:i/>
          <w:iCs/>
          <w:sz w:val="24"/>
          <w:szCs w:val="24"/>
        </w:rPr>
        <w:t xml:space="preserve">In vivo </w:t>
      </w:r>
      <w:r w:rsidRPr="00282F47">
        <w:rPr>
          <w:rFonts w:ascii="Arial" w:hAnsi="Arial" w:cs="Arial"/>
          <w:sz w:val="24"/>
          <w:szCs w:val="24"/>
        </w:rPr>
        <w:t xml:space="preserve">testing with small animal models is performed similarly to the </w:t>
      </w:r>
      <w:r w:rsidRPr="00282F47">
        <w:rPr>
          <w:rFonts w:ascii="Arial" w:hAnsi="Arial" w:cs="Arial"/>
          <w:i/>
          <w:iCs/>
          <w:sz w:val="24"/>
          <w:szCs w:val="24"/>
        </w:rPr>
        <w:t xml:space="preserve">in vitro </w:t>
      </w:r>
      <w:r w:rsidRPr="00282F47">
        <w:rPr>
          <w:rFonts w:ascii="Arial" w:hAnsi="Arial" w:cs="Arial"/>
          <w:sz w:val="24"/>
          <w:szCs w:val="24"/>
        </w:rPr>
        <w:t>evaluation; serial cross-section slices of animals are acquired by movement of the animals through the transducer array (</w:t>
      </w:r>
      <w:r w:rsidRPr="00282F47">
        <w:rPr>
          <w:rFonts w:ascii="Arial" w:hAnsi="Arial" w:cs="Arial"/>
          <w:b/>
          <w:bCs/>
          <w:sz w:val="24"/>
          <w:szCs w:val="24"/>
        </w:rPr>
        <w:t>Supporting Figure S1.1E-F)</w:t>
      </w:r>
      <w:r w:rsidRPr="00282F47">
        <w:rPr>
          <w:rFonts w:ascii="Arial" w:hAnsi="Arial" w:cs="Arial"/>
          <w:sz w:val="24"/>
          <w:szCs w:val="24"/>
        </w:rPr>
        <w:t>.</w:t>
      </w:r>
    </w:p>
    <w:p w14:paraId="2C688183" w14:textId="77777777" w:rsidR="002027D2" w:rsidRPr="00282F47" w:rsidRDefault="002027D2" w:rsidP="00AF1E5A">
      <w:pPr>
        <w:spacing w:line="480" w:lineRule="auto"/>
        <w:jc w:val="both"/>
        <w:rPr>
          <w:rFonts w:ascii="Arial" w:hAnsi="Arial" w:cs="Arial"/>
          <w:sz w:val="24"/>
          <w:szCs w:val="24"/>
        </w:rPr>
      </w:pPr>
      <w:r w:rsidRPr="00282F47">
        <w:rPr>
          <w:rFonts w:ascii="Arial" w:hAnsi="Arial" w:cs="Arial"/>
          <w:sz w:val="24"/>
          <w:szCs w:val="24"/>
        </w:rPr>
        <w:t>Improvements in optoacoustic detection systems have allowed for real-time image visualization, a valuable feature in the clinic. Addition of multiwavelength illumination and spectral processing to optoacoustic tomography creates the ability to separate individual optoacoustic agents from the total signal; a feature that is not possible with single wavelength illumination</w:t>
      </w:r>
      <w:r w:rsidRPr="00282F47">
        <w:rPr>
          <w:rFonts w:ascii="Arial" w:hAnsi="Arial" w:cs="Arial"/>
          <w:noProof/>
          <w:sz w:val="24"/>
          <w:szCs w:val="24"/>
          <w:vertAlign w:val="superscript"/>
        </w:rPr>
        <w:t>5,7</w:t>
      </w:r>
      <w:r w:rsidRPr="00282F47">
        <w:rPr>
          <w:rFonts w:ascii="Arial" w:hAnsi="Arial" w:cs="Arial"/>
          <w:sz w:val="24"/>
          <w:szCs w:val="24"/>
        </w:rPr>
        <w:t>. Together, optoacoustic tomography coupled with multispectral processing creates a powerful imaging tool that allows for a noninvasive and spectrally enhanced clinical method of tracking multiple agents within the body, known as multispectral optoacoustic tomography (MSOT)</w:t>
      </w:r>
      <w:r w:rsidRPr="00282F47">
        <w:rPr>
          <w:rFonts w:ascii="Arial" w:hAnsi="Arial" w:cs="Arial"/>
          <w:noProof/>
          <w:sz w:val="24"/>
          <w:szCs w:val="24"/>
          <w:vertAlign w:val="superscript"/>
        </w:rPr>
        <w:t>5,7</w:t>
      </w:r>
      <w:r w:rsidRPr="00282F47">
        <w:rPr>
          <w:rFonts w:ascii="Arial" w:hAnsi="Arial" w:cs="Arial"/>
          <w:sz w:val="24"/>
          <w:szCs w:val="24"/>
        </w:rPr>
        <w:t>.</w:t>
      </w:r>
    </w:p>
    <w:p w14:paraId="403D4433" w14:textId="77777777" w:rsidR="002027D2" w:rsidRPr="00282F47" w:rsidRDefault="002027D2" w:rsidP="00D505A1">
      <w:pPr>
        <w:spacing w:line="480" w:lineRule="auto"/>
        <w:jc w:val="center"/>
        <w:rPr>
          <w:rFonts w:ascii="Arial" w:hAnsi="Arial" w:cs="Arial"/>
          <w:sz w:val="24"/>
          <w:szCs w:val="24"/>
        </w:rPr>
      </w:pPr>
      <w:r w:rsidRPr="00282F47">
        <w:rPr>
          <w:rFonts w:ascii="Arial" w:hAnsi="Arial" w:cs="Arial"/>
          <w:noProof/>
          <w:sz w:val="24"/>
          <w:szCs w:val="24"/>
        </w:rPr>
        <w:lastRenderedPageBreak/>
        <w:t xml:space="preserve"> </w:t>
      </w:r>
      <w:r w:rsidRPr="00282F47">
        <w:rPr>
          <w:rFonts w:ascii="Arial" w:hAnsi="Arial" w:cs="Arial"/>
          <w:noProof/>
          <w:sz w:val="24"/>
          <w:szCs w:val="24"/>
        </w:rPr>
        <w:drawing>
          <wp:inline distT="0" distB="0" distL="0" distR="0" wp14:anchorId="20696499" wp14:editId="386FDD95">
            <wp:extent cx="5774709" cy="2832288"/>
            <wp:effectExtent l="0" t="0" r="0" b="6350"/>
            <wp:docPr id="1331590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5126" cy="2852111"/>
                    </a:xfrm>
                    <a:prstGeom prst="rect">
                      <a:avLst/>
                    </a:prstGeom>
                    <a:noFill/>
                  </pic:spPr>
                </pic:pic>
              </a:graphicData>
            </a:graphic>
          </wp:inline>
        </w:drawing>
      </w:r>
    </w:p>
    <w:p w14:paraId="621682C3" w14:textId="50A29EEA"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 xml:space="preserve">Figure 1.1: </w:t>
      </w:r>
      <w:bookmarkStart w:id="6" w:name="_Hlk145935717"/>
      <w:r w:rsidRPr="00282F47">
        <w:rPr>
          <w:rFonts w:ascii="Arial" w:hAnsi="Arial" w:cs="Arial"/>
          <w:sz w:val="24"/>
          <w:szCs w:val="24"/>
        </w:rPr>
        <w:t>Common optoacoustic tomography imaging setups. A) Clinical probes emit pulsed NIR light to excite contrast agents and B) contains a 2D linear transducer array to acquire resultant ultrasonic waves. C) Preclinical system emits NIR light from a near-full ring inside of a water bath to excite contrast agents and D) acquire ultrasonic waves through the same 3D curvilinear transducer array.</w:t>
      </w:r>
      <w:bookmarkEnd w:id="6"/>
    </w:p>
    <w:p w14:paraId="5812CD19" w14:textId="77777777" w:rsidR="004B4BA2" w:rsidRPr="00282F47" w:rsidRDefault="004B4BA2" w:rsidP="004B4BA2">
      <w:pPr>
        <w:spacing w:line="276" w:lineRule="auto"/>
        <w:jc w:val="both"/>
        <w:rPr>
          <w:rFonts w:ascii="Arial" w:hAnsi="Arial" w:cs="Arial"/>
          <w:sz w:val="24"/>
          <w:szCs w:val="24"/>
        </w:rPr>
      </w:pPr>
    </w:p>
    <w:p w14:paraId="14A34F01" w14:textId="4EE3C06A" w:rsidR="002027D2" w:rsidRPr="00282F47" w:rsidRDefault="002027D2" w:rsidP="000F74FE">
      <w:pPr>
        <w:spacing w:line="480" w:lineRule="auto"/>
        <w:jc w:val="both"/>
        <w:rPr>
          <w:rFonts w:ascii="Arial" w:hAnsi="Arial" w:cs="Arial"/>
          <w:sz w:val="24"/>
          <w:szCs w:val="24"/>
        </w:rPr>
      </w:pPr>
      <w:r w:rsidRPr="00282F47">
        <w:rPr>
          <w:rFonts w:ascii="Arial" w:hAnsi="Arial" w:cs="Arial"/>
          <w:sz w:val="24"/>
          <w:szCs w:val="24"/>
        </w:rPr>
        <w:t>MSOT uses multiple wavelengths to acquire optoacoustic images, allowing for the identification of multiple distinct chromophores based on unique spectral identifiers</w:t>
      </w:r>
      <w:r w:rsidRPr="00282F47">
        <w:rPr>
          <w:rFonts w:ascii="Arial" w:hAnsi="Arial" w:cs="Arial"/>
          <w:noProof/>
          <w:sz w:val="24"/>
          <w:szCs w:val="24"/>
          <w:vertAlign w:val="superscript"/>
        </w:rPr>
        <w:t>5,7</w:t>
      </w:r>
      <w:r w:rsidRPr="00282F47">
        <w:rPr>
          <w:rFonts w:ascii="Arial" w:hAnsi="Arial" w:cs="Arial"/>
          <w:sz w:val="24"/>
          <w:szCs w:val="24"/>
        </w:rPr>
        <w:t>. In particular, most MSOT setups are equipped with tunable (1 nm accuracy) lasers with working ranges from approximately 680 nm to 1200 nm. By utilization of nanosecond pulsed near-infrared light, instantaneous temperature increases are assumed, negating thermal diffusion effects.</w:t>
      </w:r>
      <w:r w:rsidRPr="00282F47">
        <w:rPr>
          <w:rFonts w:ascii="Arial" w:hAnsi="Arial" w:cs="Arial"/>
          <w:noProof/>
          <w:sz w:val="24"/>
          <w:szCs w:val="24"/>
          <w:vertAlign w:val="superscript"/>
        </w:rPr>
        <w:t>8</w:t>
      </w:r>
      <w:r w:rsidRPr="00282F47">
        <w:rPr>
          <w:rFonts w:ascii="Arial" w:hAnsi="Arial" w:cs="Arial"/>
          <w:sz w:val="24"/>
          <w:szCs w:val="24"/>
        </w:rPr>
        <w:t xml:space="preserve"> This allows for the assumption that the amplitude of the generated optoacoustic waves is proportional to the incident light intensity and the absorption/thermoelastic properties of the absorber.</w:t>
      </w:r>
      <w:r w:rsidRPr="00282F47">
        <w:rPr>
          <w:rFonts w:ascii="Arial" w:hAnsi="Arial" w:cs="Arial"/>
          <w:noProof/>
          <w:sz w:val="24"/>
          <w:szCs w:val="24"/>
          <w:vertAlign w:val="superscript"/>
        </w:rPr>
        <w:t>9</w:t>
      </w:r>
      <w:r w:rsidRPr="00282F47">
        <w:rPr>
          <w:rFonts w:ascii="Arial" w:hAnsi="Arial" w:cs="Arial"/>
          <w:sz w:val="24"/>
          <w:szCs w:val="24"/>
        </w:rPr>
        <w:t xml:space="preserve"> Following</w:t>
      </w:r>
      <w:r w:rsidR="00971B91">
        <w:rPr>
          <w:rFonts w:ascii="Arial" w:hAnsi="Arial" w:cs="Arial"/>
          <w:sz w:val="24"/>
          <w:szCs w:val="24"/>
        </w:rPr>
        <w:t xml:space="preserve"> molecular contractions and expansions as a result of temperature increases,</w:t>
      </w:r>
      <w:r w:rsidRPr="00282F47">
        <w:rPr>
          <w:rFonts w:ascii="Arial" w:hAnsi="Arial" w:cs="Arial"/>
          <w:sz w:val="24"/>
          <w:szCs w:val="24"/>
        </w:rPr>
        <w:t xml:space="preserve"> </w:t>
      </w:r>
      <w:r w:rsidR="00971B91">
        <w:rPr>
          <w:rFonts w:ascii="Arial" w:hAnsi="Arial" w:cs="Arial"/>
          <w:sz w:val="24"/>
          <w:szCs w:val="24"/>
        </w:rPr>
        <w:t>res</w:t>
      </w:r>
      <w:r w:rsidRPr="00282F47">
        <w:rPr>
          <w:rFonts w:ascii="Arial" w:hAnsi="Arial" w:cs="Arial"/>
          <w:sz w:val="24"/>
          <w:szCs w:val="24"/>
        </w:rPr>
        <w:t>ultant ultrasonic</w:t>
      </w:r>
      <w:r w:rsidR="00971B91">
        <w:rPr>
          <w:rFonts w:ascii="Arial" w:hAnsi="Arial" w:cs="Arial"/>
          <w:sz w:val="24"/>
          <w:szCs w:val="24"/>
        </w:rPr>
        <w:t xml:space="preserve"> waves are created with</w:t>
      </w:r>
      <w:r w:rsidRPr="00282F47">
        <w:rPr>
          <w:rFonts w:ascii="Arial" w:hAnsi="Arial" w:cs="Arial"/>
          <w:sz w:val="24"/>
          <w:szCs w:val="24"/>
        </w:rPr>
        <w:t xml:space="preserve"> </w:t>
      </w:r>
      <w:r w:rsidR="00971B91">
        <w:rPr>
          <w:rFonts w:ascii="Arial" w:hAnsi="Arial" w:cs="Arial"/>
          <w:sz w:val="24"/>
          <w:szCs w:val="24"/>
        </w:rPr>
        <w:t xml:space="preserve">broadband </w:t>
      </w:r>
      <w:r w:rsidRPr="00282F47">
        <w:rPr>
          <w:rFonts w:ascii="Arial" w:hAnsi="Arial" w:cs="Arial"/>
          <w:sz w:val="24"/>
          <w:szCs w:val="24"/>
        </w:rPr>
        <w:t xml:space="preserve">frequency </w:t>
      </w:r>
      <w:r w:rsidR="00971B91">
        <w:rPr>
          <w:rFonts w:ascii="Arial" w:hAnsi="Arial" w:cs="Arial"/>
          <w:sz w:val="24"/>
          <w:szCs w:val="24"/>
        </w:rPr>
        <w:t>that c</w:t>
      </w:r>
      <w:r w:rsidRPr="00282F47">
        <w:rPr>
          <w:rFonts w:ascii="Arial" w:hAnsi="Arial" w:cs="Arial"/>
          <w:sz w:val="24"/>
          <w:szCs w:val="24"/>
        </w:rPr>
        <w:t>an range from less than 1 MHz to several hundred MHz.</w:t>
      </w:r>
      <w:r w:rsidRPr="00282F47">
        <w:rPr>
          <w:rFonts w:ascii="Arial" w:hAnsi="Arial" w:cs="Arial"/>
          <w:noProof/>
          <w:sz w:val="24"/>
          <w:szCs w:val="24"/>
          <w:vertAlign w:val="superscript"/>
        </w:rPr>
        <w:t>10</w:t>
      </w:r>
      <w:r w:rsidRPr="00282F47">
        <w:rPr>
          <w:rFonts w:ascii="Arial" w:hAnsi="Arial" w:cs="Arial"/>
          <w:sz w:val="24"/>
          <w:szCs w:val="24"/>
        </w:rPr>
        <w:t xml:space="preserve"> The ultrasonic frequency is largely a result of the size of the absorber; </w:t>
      </w:r>
      <w:r w:rsidRPr="00282F47">
        <w:rPr>
          <w:rFonts w:ascii="Arial" w:hAnsi="Arial" w:cs="Arial"/>
          <w:sz w:val="24"/>
          <w:szCs w:val="24"/>
        </w:rPr>
        <w:lastRenderedPageBreak/>
        <w:t>larger absorbers generate lower frequency components.</w:t>
      </w:r>
      <w:r w:rsidRPr="00282F47">
        <w:rPr>
          <w:rFonts w:ascii="Arial" w:hAnsi="Arial" w:cs="Arial"/>
          <w:noProof/>
          <w:sz w:val="24"/>
          <w:szCs w:val="24"/>
          <w:vertAlign w:val="superscript"/>
        </w:rPr>
        <w:t>9</w:t>
      </w:r>
      <w:r w:rsidRPr="00282F47">
        <w:rPr>
          <w:rFonts w:ascii="Arial" w:hAnsi="Arial" w:cs="Arial"/>
          <w:sz w:val="24"/>
          <w:szCs w:val="24"/>
        </w:rPr>
        <w:t xml:space="preserve"> For optoacoustic tomography, detection of the acoustic waves at each transducer element is required to merge data and formulate an image. Since high-frequency ultrasound waves are attenuated at a higher rate, central frequencies of transducers used in optoacoustic tomography are typically between 5 and 20 MHz to maximize imaging depth.</w:t>
      </w:r>
      <w:r w:rsidRPr="00282F47">
        <w:rPr>
          <w:rFonts w:ascii="Arial" w:hAnsi="Arial" w:cs="Arial"/>
          <w:noProof/>
          <w:sz w:val="24"/>
          <w:szCs w:val="24"/>
          <w:vertAlign w:val="superscript"/>
        </w:rPr>
        <w:t>11</w:t>
      </w:r>
    </w:p>
    <w:p w14:paraId="581A9CDF" w14:textId="64D46F7F" w:rsidR="002027D2" w:rsidRPr="00282F47" w:rsidRDefault="002027D2" w:rsidP="000F74FE">
      <w:pPr>
        <w:spacing w:line="480" w:lineRule="auto"/>
        <w:jc w:val="both"/>
        <w:rPr>
          <w:rFonts w:ascii="Arial" w:hAnsi="Arial" w:cs="Arial"/>
          <w:sz w:val="24"/>
          <w:szCs w:val="24"/>
        </w:rPr>
      </w:pPr>
      <w:r w:rsidRPr="00282F47">
        <w:rPr>
          <w:rFonts w:ascii="Arial" w:hAnsi="Arial" w:cs="Arial"/>
          <w:sz w:val="24"/>
          <w:szCs w:val="24"/>
        </w:rPr>
        <w:t>Signal reconstruction follows image acquisition. If the image needs to be reconstructed in real time, a back projection reconstruction can be used. Although sufficient, back projection places a higher emphasis on high-frequency signals and may produce negative optical-absorption values in the images, of which have no physical interpretation</w:t>
      </w:r>
      <w:r w:rsidRPr="00282F47">
        <w:rPr>
          <w:rFonts w:ascii="Arial" w:hAnsi="Arial" w:cs="Arial"/>
          <w:noProof/>
          <w:sz w:val="24"/>
          <w:szCs w:val="24"/>
          <w:vertAlign w:val="superscript"/>
        </w:rPr>
        <w:t>12</w:t>
      </w:r>
      <w:r w:rsidRPr="00282F47">
        <w:rPr>
          <w:rFonts w:ascii="Arial" w:hAnsi="Arial" w:cs="Arial"/>
          <w:sz w:val="24"/>
          <w:szCs w:val="24"/>
        </w:rPr>
        <w:t>. MSOT software allows the user to modify the bandpass filter to adjust the low and high</w:t>
      </w:r>
      <w:r w:rsidR="00241657">
        <w:rPr>
          <w:rFonts w:ascii="Arial" w:hAnsi="Arial" w:cs="Arial"/>
          <w:sz w:val="24"/>
          <w:szCs w:val="24"/>
        </w:rPr>
        <w:t xml:space="preserve"> </w:t>
      </w:r>
      <w:r w:rsidRPr="00282F47">
        <w:rPr>
          <w:rFonts w:ascii="Arial" w:hAnsi="Arial" w:cs="Arial"/>
          <w:sz w:val="24"/>
          <w:szCs w:val="24"/>
        </w:rPr>
        <w:t xml:space="preserve">frequency cutoffs </w:t>
      </w:r>
      <w:r w:rsidR="00241657">
        <w:rPr>
          <w:rFonts w:ascii="Arial" w:hAnsi="Arial" w:cs="Arial"/>
          <w:sz w:val="24"/>
          <w:szCs w:val="24"/>
        </w:rPr>
        <w:t>to</w:t>
      </w:r>
      <w:r w:rsidRPr="00282F47">
        <w:rPr>
          <w:rFonts w:ascii="Arial" w:hAnsi="Arial" w:cs="Arial"/>
          <w:sz w:val="24"/>
          <w:szCs w:val="24"/>
        </w:rPr>
        <w:t xml:space="preserve"> remove the negative values and deconvolute with the electrical impulse response of the transducer before back projection reconstruction. A more accurate reconstruction algorithm is a model-based approach. This approach factors in the geometry of the transducer, yielding a more accurate image, but this is at the cost of computational performance time. Model-based reconstructions are favorable and frequently used to reconstruct offline</w:t>
      </w:r>
      <w:r w:rsidRPr="00282F47">
        <w:rPr>
          <w:rFonts w:ascii="Arial" w:hAnsi="Arial" w:cs="Arial"/>
          <w:noProof/>
          <w:sz w:val="24"/>
          <w:szCs w:val="24"/>
          <w:vertAlign w:val="superscript"/>
        </w:rPr>
        <w:t>12</w:t>
      </w:r>
      <w:r w:rsidRPr="00282F47">
        <w:rPr>
          <w:rFonts w:ascii="Arial" w:hAnsi="Arial" w:cs="Arial"/>
          <w:sz w:val="24"/>
          <w:szCs w:val="24"/>
        </w:rPr>
        <w:t>.</w:t>
      </w:r>
    </w:p>
    <w:p w14:paraId="12ED614A" w14:textId="59E1C413" w:rsidR="002027D2" w:rsidRPr="00282F47" w:rsidRDefault="002027D2" w:rsidP="000F74FE">
      <w:pPr>
        <w:spacing w:line="480" w:lineRule="auto"/>
        <w:jc w:val="both"/>
        <w:rPr>
          <w:rFonts w:ascii="Arial" w:hAnsi="Arial" w:cs="Arial"/>
          <w:sz w:val="24"/>
          <w:szCs w:val="24"/>
        </w:rPr>
      </w:pPr>
      <w:r w:rsidRPr="00282F47">
        <w:rPr>
          <w:rFonts w:ascii="Arial" w:hAnsi="Arial" w:cs="Arial"/>
          <w:sz w:val="24"/>
          <w:szCs w:val="24"/>
        </w:rPr>
        <w:t>After successful reconstruction, the spectral shapes of these chromophores must be unmixed from each other and the background to identify respective origins. The process of spectral unmixing requires subpixel detection in that the signal produced from each individual pixel can be a composite signal from one or more chromophores in different concentrations. High heterogeneity of human tissue also has a substantial effect on the acoustic properties of the tissue, resulting in wavelength and position</w:t>
      </w:r>
      <w:r w:rsidR="00241657">
        <w:rPr>
          <w:rFonts w:ascii="Arial" w:hAnsi="Arial" w:cs="Arial"/>
          <w:sz w:val="24"/>
          <w:szCs w:val="24"/>
        </w:rPr>
        <w:t xml:space="preserve"> </w:t>
      </w:r>
      <w:r w:rsidRPr="00282F47">
        <w:rPr>
          <w:rFonts w:ascii="Arial" w:hAnsi="Arial" w:cs="Arial"/>
          <w:sz w:val="24"/>
          <w:szCs w:val="24"/>
        </w:rPr>
        <w:t xml:space="preserve">dependent optical fluence problems that affect the spectral signature produced. This phenomenon is </w:t>
      </w:r>
      <w:r w:rsidRPr="00282F47">
        <w:rPr>
          <w:rFonts w:ascii="Arial" w:hAnsi="Arial" w:cs="Arial"/>
          <w:sz w:val="24"/>
          <w:szCs w:val="24"/>
        </w:rPr>
        <w:lastRenderedPageBreak/>
        <w:t>commonly termed spectral coloring</w:t>
      </w:r>
      <w:r w:rsidRPr="00282F47">
        <w:rPr>
          <w:rFonts w:ascii="Arial" w:hAnsi="Arial" w:cs="Arial"/>
          <w:noProof/>
          <w:sz w:val="24"/>
          <w:szCs w:val="24"/>
          <w:vertAlign w:val="superscript"/>
        </w:rPr>
        <w:t>7,13</w:t>
      </w:r>
      <w:r w:rsidRPr="00282F47">
        <w:rPr>
          <w:rFonts w:ascii="Arial" w:hAnsi="Arial" w:cs="Arial"/>
          <w:sz w:val="24"/>
          <w:szCs w:val="24"/>
        </w:rPr>
        <w:t>. The nonuniformity of human tissue poses a challenge for characterizing the optical properties of tissues; however, complex nonlinear mathematic formulations can be used to account for the spectral coloring</w:t>
      </w:r>
      <w:r w:rsidRPr="00282F47">
        <w:rPr>
          <w:rFonts w:ascii="Arial" w:hAnsi="Arial" w:cs="Arial"/>
          <w:noProof/>
          <w:sz w:val="24"/>
          <w:szCs w:val="24"/>
          <w:vertAlign w:val="superscript"/>
        </w:rPr>
        <w:t>7,14</w:t>
      </w:r>
      <w:r w:rsidRPr="00282F47">
        <w:rPr>
          <w:rFonts w:ascii="Arial" w:hAnsi="Arial" w:cs="Arial"/>
          <w:sz w:val="24"/>
          <w:szCs w:val="24"/>
        </w:rPr>
        <w:t>.</w:t>
      </w:r>
      <w:r w:rsidR="00241657">
        <w:rPr>
          <w:rFonts w:ascii="Arial" w:hAnsi="Arial" w:cs="Arial"/>
          <w:sz w:val="24"/>
          <w:szCs w:val="24"/>
        </w:rPr>
        <w:t xml:space="preserve"> </w:t>
      </w:r>
      <w:r w:rsidRPr="00282F47">
        <w:rPr>
          <w:rFonts w:ascii="Arial" w:hAnsi="Arial" w:cs="Arial"/>
          <w:sz w:val="24"/>
          <w:szCs w:val="24"/>
        </w:rPr>
        <w:t xml:space="preserve">When using MSOT </w:t>
      </w:r>
      <w:r w:rsidRPr="00282F47">
        <w:rPr>
          <w:rFonts w:ascii="Arial" w:hAnsi="Arial" w:cs="Arial"/>
          <w:i/>
          <w:iCs/>
          <w:sz w:val="24"/>
          <w:szCs w:val="24"/>
        </w:rPr>
        <w:t>in vivo</w:t>
      </w:r>
      <w:r w:rsidRPr="00282F47">
        <w:rPr>
          <w:rFonts w:ascii="Arial" w:hAnsi="Arial" w:cs="Arial"/>
          <w:sz w:val="24"/>
          <w:szCs w:val="24"/>
        </w:rPr>
        <w:t>, a linear regression is used to unmix the spectral signatures in real time. To use a linear-regression unmixing method, the spectra of interest must be predefined, usually as oxyhemoglobin, deoxyhemoglobin, and other agents of interest. Although linear unmixing models are most commonly used, these models assume that wavelength- and depth-dependent fluence issues are uniform and therefore can be neglected</w:t>
      </w:r>
      <w:r w:rsidRPr="00282F47">
        <w:rPr>
          <w:rFonts w:ascii="Arial" w:hAnsi="Arial" w:cs="Arial"/>
          <w:noProof/>
          <w:sz w:val="24"/>
          <w:szCs w:val="24"/>
          <w:vertAlign w:val="superscript"/>
        </w:rPr>
        <w:t>15</w:t>
      </w:r>
      <w:r w:rsidRPr="00282F47">
        <w:rPr>
          <w:rFonts w:ascii="Arial" w:hAnsi="Arial" w:cs="Arial"/>
          <w:sz w:val="24"/>
          <w:szCs w:val="24"/>
        </w:rPr>
        <w:t>. Many different unmixing algorithms have been successfully developed to obtain information of interest, but there is no reference standard. The unmixing algorithms include statistical detection methods such as adaptive match filters, adaptive cosine estimators, principal component analysis, and independent component analysis. These statistical methods model the background as a multivariate distribution, in which statistical outliers are then defined as locations of positive targets</w:t>
      </w:r>
      <w:r w:rsidRPr="00282F47">
        <w:rPr>
          <w:rFonts w:ascii="Arial" w:hAnsi="Arial" w:cs="Arial"/>
          <w:noProof/>
          <w:sz w:val="24"/>
          <w:szCs w:val="24"/>
          <w:vertAlign w:val="superscript"/>
        </w:rPr>
        <w:t>7,13</w:t>
      </w:r>
      <w:r w:rsidRPr="00282F47">
        <w:rPr>
          <w:rFonts w:ascii="Arial" w:hAnsi="Arial" w:cs="Arial"/>
          <w:sz w:val="24"/>
          <w:szCs w:val="24"/>
        </w:rPr>
        <w:t>. Modeling the background as a statistical distribution handles spectral coloring by accounting for spectral fluctuations. Statistical methods are successful for small, spatially constrained targets, such as solid tumors or tissue metastases, but would fail in cancers in which the target is spread throughout the blood or background tissue. Principal and independent component analyses are unique in that they can be used blindly, with no prior knowledge of the target spectra. Although seemingly advantageous, these blind methods introduce uncertainty and are often not reproducible</w:t>
      </w:r>
      <w:r w:rsidRPr="00282F47">
        <w:rPr>
          <w:rFonts w:ascii="Arial" w:hAnsi="Arial" w:cs="Arial"/>
          <w:noProof/>
          <w:sz w:val="24"/>
          <w:szCs w:val="24"/>
          <w:vertAlign w:val="superscript"/>
        </w:rPr>
        <w:t>7</w:t>
      </w:r>
      <w:r w:rsidRPr="00282F47">
        <w:rPr>
          <w:rFonts w:ascii="Arial" w:hAnsi="Arial" w:cs="Arial"/>
          <w:sz w:val="24"/>
          <w:szCs w:val="24"/>
        </w:rPr>
        <w:t>.</w:t>
      </w:r>
    </w:p>
    <w:p w14:paraId="37B9FF31" w14:textId="77777777" w:rsidR="002027D2" w:rsidRPr="00282F47" w:rsidRDefault="002027D2" w:rsidP="00AF1E5A">
      <w:pPr>
        <w:spacing w:line="480" w:lineRule="auto"/>
        <w:jc w:val="both"/>
        <w:rPr>
          <w:rFonts w:ascii="Arial" w:hAnsi="Arial" w:cs="Arial"/>
          <w:sz w:val="24"/>
          <w:szCs w:val="24"/>
        </w:rPr>
      </w:pPr>
      <w:r w:rsidRPr="00282F47">
        <w:rPr>
          <w:rFonts w:ascii="Arial" w:hAnsi="Arial" w:cs="Arial"/>
          <w:sz w:val="24"/>
          <w:szCs w:val="24"/>
        </w:rPr>
        <w:t xml:space="preserve">After successful unmixing, the image can be visualized where signal from each optoacoustic agent is layered on a grayscale background image. The wavelength of the </w:t>
      </w:r>
      <w:r w:rsidRPr="00282F47">
        <w:rPr>
          <w:rFonts w:ascii="Arial" w:hAnsi="Arial" w:cs="Arial"/>
          <w:sz w:val="24"/>
          <w:szCs w:val="24"/>
        </w:rPr>
        <w:lastRenderedPageBreak/>
        <w:t>background image can be chosen on the basis of the experimental needs. Choosing a wavelength around 900 nm for the background image will highlight anatomic features while minimizing background contributions from the strongly emitting chromophores, oxyhemoglobin, and deoxyhemoglobin. The background image can be modified offline at any point in the image processing. Preclinically, it is possible to visualize multiple chromophores on the same background image in real time. However, clinical MSOT imaging in real time requires each agent of interest to be in a different panel. Offline, the different agents can be merged and layered to visualize their interactions</w:t>
      </w:r>
      <w:r w:rsidRPr="00282F47">
        <w:rPr>
          <w:rFonts w:ascii="Arial" w:hAnsi="Arial" w:cs="Arial"/>
          <w:noProof/>
          <w:sz w:val="24"/>
          <w:szCs w:val="24"/>
          <w:vertAlign w:val="superscript"/>
        </w:rPr>
        <w:t>16</w:t>
      </w:r>
      <w:r w:rsidRPr="00282F47">
        <w:rPr>
          <w:rFonts w:ascii="Arial" w:hAnsi="Arial" w:cs="Arial"/>
          <w:sz w:val="24"/>
          <w:szCs w:val="24"/>
        </w:rPr>
        <w:t xml:space="preserve"> (</w:t>
      </w:r>
      <w:r w:rsidRPr="00282F47">
        <w:rPr>
          <w:rFonts w:ascii="Arial" w:hAnsi="Arial" w:cs="Arial"/>
          <w:b/>
          <w:bCs/>
          <w:sz w:val="24"/>
          <w:szCs w:val="24"/>
        </w:rPr>
        <w:t>Figure 1.2</w:t>
      </w:r>
      <w:r w:rsidRPr="00282F47">
        <w:rPr>
          <w:rFonts w:ascii="Arial" w:hAnsi="Arial" w:cs="Arial"/>
          <w:sz w:val="24"/>
          <w:szCs w:val="24"/>
        </w:rPr>
        <w:t>).</w:t>
      </w:r>
    </w:p>
    <w:p w14:paraId="757FD430" w14:textId="77777777" w:rsidR="002027D2" w:rsidRPr="00282F47" w:rsidRDefault="002027D2" w:rsidP="004B4BA2">
      <w:pPr>
        <w:spacing w:after="0" w:line="48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1F268A5D" wp14:editId="2496DA18">
            <wp:extent cx="4634630" cy="5889428"/>
            <wp:effectExtent l="0" t="0" r="0" b="0"/>
            <wp:docPr id="1922180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2577" cy="5899526"/>
                    </a:xfrm>
                    <a:prstGeom prst="rect">
                      <a:avLst/>
                    </a:prstGeom>
                    <a:noFill/>
                  </pic:spPr>
                </pic:pic>
              </a:graphicData>
            </a:graphic>
          </wp:inline>
        </w:drawing>
      </w:r>
    </w:p>
    <w:p w14:paraId="3BE51A4C" w14:textId="45DB0816"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 xml:space="preserve">Figure 1.2: </w:t>
      </w:r>
      <w:r w:rsidRPr="00282F47">
        <w:rPr>
          <w:rFonts w:ascii="Arial" w:hAnsi="Arial" w:cs="Arial"/>
          <w:sz w:val="24"/>
          <w:szCs w:val="24"/>
        </w:rPr>
        <w:t>Multispectral optoacoustic tomography of a human finger. A) Backprojection reconstructed, mixed optoacoustic image B) Multispectral processed oxygenated hemoglobin map. C) Multispectral processed deoxygenated hemoglobin map. D) Oxygenated and deoxygenated hemoglobin maps overlaid on background image (900 nm signal) of a human finger.</w:t>
      </w:r>
    </w:p>
    <w:p w14:paraId="59304FA8" w14:textId="77777777" w:rsidR="004B4BA2" w:rsidRPr="00282F47" w:rsidRDefault="004B4BA2" w:rsidP="004B4BA2">
      <w:pPr>
        <w:spacing w:line="276" w:lineRule="auto"/>
        <w:jc w:val="both"/>
        <w:rPr>
          <w:rFonts w:ascii="Arial" w:hAnsi="Arial" w:cs="Arial"/>
          <w:sz w:val="24"/>
          <w:szCs w:val="24"/>
        </w:rPr>
      </w:pPr>
    </w:p>
    <w:p w14:paraId="5F2EA196" w14:textId="404CFCCE" w:rsidR="002027D2" w:rsidRPr="00282F47" w:rsidRDefault="002027D2" w:rsidP="00AF1E5A">
      <w:pPr>
        <w:spacing w:line="480" w:lineRule="auto"/>
        <w:jc w:val="both"/>
        <w:rPr>
          <w:rFonts w:ascii="Arial" w:hAnsi="Arial" w:cs="Arial"/>
          <w:sz w:val="24"/>
          <w:szCs w:val="24"/>
        </w:rPr>
      </w:pPr>
      <w:r w:rsidRPr="00282F47">
        <w:rPr>
          <w:rFonts w:ascii="Arial" w:hAnsi="Arial" w:cs="Arial"/>
          <w:sz w:val="24"/>
          <w:szCs w:val="24"/>
        </w:rPr>
        <w:t>The potential value of optoacoustic imaging, namely MSOT, in the clinic has been recognized, but successful clinical translation is currently in preliminary stages</w:t>
      </w:r>
      <w:r w:rsidRPr="00282F47">
        <w:rPr>
          <w:rFonts w:ascii="Arial" w:hAnsi="Arial" w:cs="Arial"/>
          <w:noProof/>
          <w:sz w:val="24"/>
          <w:szCs w:val="24"/>
          <w:vertAlign w:val="superscript"/>
        </w:rPr>
        <w:t>17</w:t>
      </w:r>
      <w:r w:rsidRPr="00282F47">
        <w:rPr>
          <w:rFonts w:ascii="Arial" w:hAnsi="Arial" w:cs="Arial"/>
          <w:sz w:val="24"/>
          <w:szCs w:val="24"/>
        </w:rPr>
        <w:t xml:space="preserve"> (</w:t>
      </w:r>
      <w:r w:rsidRPr="00282F47">
        <w:rPr>
          <w:rFonts w:ascii="Arial" w:hAnsi="Arial" w:cs="Arial"/>
          <w:b/>
          <w:bCs/>
          <w:sz w:val="24"/>
          <w:szCs w:val="24"/>
        </w:rPr>
        <w:t xml:space="preserve">Table </w:t>
      </w:r>
      <w:r w:rsidRPr="00282F47">
        <w:rPr>
          <w:rFonts w:ascii="Arial" w:hAnsi="Arial" w:cs="Arial"/>
          <w:b/>
          <w:bCs/>
          <w:sz w:val="24"/>
          <w:szCs w:val="24"/>
        </w:rPr>
        <w:lastRenderedPageBreak/>
        <w:t>1.1</w:t>
      </w:r>
      <w:r w:rsidRPr="00282F47">
        <w:rPr>
          <w:rFonts w:ascii="Arial" w:hAnsi="Arial" w:cs="Arial"/>
          <w:sz w:val="24"/>
          <w:szCs w:val="24"/>
        </w:rPr>
        <w:t xml:space="preserve">). Availability of optimized optoacoustic contrast agents is among the largest limiters of optoacoustic imaging currently. Similar to other imaging techniques, MSOT and other optoacoustic </w:t>
      </w:r>
      <w:r w:rsidR="00241657">
        <w:rPr>
          <w:rFonts w:ascii="Arial" w:hAnsi="Arial" w:cs="Arial"/>
          <w:sz w:val="24"/>
          <w:szCs w:val="24"/>
        </w:rPr>
        <w:t>modalities</w:t>
      </w:r>
      <w:r w:rsidRPr="00282F47">
        <w:rPr>
          <w:rFonts w:ascii="Arial" w:hAnsi="Arial" w:cs="Arial"/>
          <w:sz w:val="24"/>
          <w:szCs w:val="24"/>
        </w:rPr>
        <w:t xml:space="preserve"> employ reporter agents, whether endogenous to the body or exogenous, to enhance contrast for identification of disease. Most diseases tend to result in overexpression or alteration of various molecules in the body, some of which are optoacoustic by nature and are therefore detectable directly by using MSOT</w:t>
      </w:r>
      <w:r w:rsidRPr="00282F47">
        <w:rPr>
          <w:rFonts w:ascii="Arial" w:hAnsi="Arial" w:cs="Arial"/>
          <w:noProof/>
          <w:sz w:val="24"/>
          <w:szCs w:val="24"/>
          <w:vertAlign w:val="superscript"/>
        </w:rPr>
        <w:t>6,16,18</w:t>
      </w:r>
      <w:r w:rsidRPr="00282F47">
        <w:rPr>
          <w:rFonts w:ascii="Arial" w:hAnsi="Arial" w:cs="Arial"/>
          <w:sz w:val="24"/>
          <w:szCs w:val="24"/>
        </w:rPr>
        <w:t>. Oxygenated and deoxygenated hemoglobin are the two most popular contrast agents; due to differences in spectral signatures of the two molecules, applications that involve differences in oxygenated blood can be monitored with optoacoustic imaging (</w:t>
      </w:r>
      <w:r w:rsidRPr="00282F47">
        <w:rPr>
          <w:rFonts w:ascii="Arial" w:hAnsi="Arial" w:cs="Arial"/>
          <w:b/>
          <w:bCs/>
          <w:sz w:val="24"/>
          <w:szCs w:val="24"/>
        </w:rPr>
        <w:t>Figure 1.2</w:t>
      </w:r>
      <w:r w:rsidRPr="00282F47">
        <w:rPr>
          <w:rFonts w:ascii="Arial" w:hAnsi="Arial" w:cs="Arial"/>
          <w:sz w:val="24"/>
          <w:szCs w:val="24"/>
        </w:rPr>
        <w:t>)</w:t>
      </w:r>
      <w:r w:rsidR="00241657">
        <w:rPr>
          <w:rFonts w:ascii="Arial" w:hAnsi="Arial" w:cs="Arial"/>
          <w:sz w:val="24"/>
          <w:szCs w:val="24"/>
        </w:rPr>
        <w:t>.</w:t>
      </w:r>
      <w:r w:rsidRPr="00282F47">
        <w:rPr>
          <w:rFonts w:ascii="Arial" w:hAnsi="Arial" w:cs="Arial"/>
          <w:sz w:val="24"/>
          <w:szCs w:val="24"/>
        </w:rPr>
        <w:t xml:space="preserve"> Such applications can include gastrointestinal disease and cancer as well as symptoms such as hypoxia and angiogenesis. The use of these endogenous agents eliminates the need for unnecessary risk associated with introduction of a drug into the body, while still providing structural and functional information. However, endogenous agents are often weak reporting agents in terms of specificity and intensity. In fact, the small group of optoacoustic agents represents a substantial bottleneck for optoacoustic imaging techniques. Although these agents have been under focus recently, the approval process is rather lengthy, hindering adoption of optoacoustic imaging in the clinic. To this end, a wide range of exogenous agents have been under development to mitigate this issue of sensitivity and be used in detection and tracking of the progression of various diseases. Some of these exogenous agents include NIR small organic dyes</w:t>
      </w:r>
      <w:r w:rsidRPr="00282F47">
        <w:rPr>
          <w:rFonts w:ascii="Arial" w:hAnsi="Arial" w:cs="Arial"/>
          <w:noProof/>
          <w:sz w:val="24"/>
          <w:szCs w:val="24"/>
          <w:vertAlign w:val="superscript"/>
        </w:rPr>
        <w:t>19,20</w:t>
      </w:r>
      <w:r w:rsidRPr="00282F47">
        <w:rPr>
          <w:rFonts w:ascii="Arial" w:hAnsi="Arial" w:cs="Arial"/>
          <w:sz w:val="24"/>
          <w:szCs w:val="24"/>
        </w:rPr>
        <w:t xml:space="preserve"> and nanoparticles</w:t>
      </w:r>
      <w:r w:rsidRPr="00282F47">
        <w:rPr>
          <w:rFonts w:ascii="Arial" w:hAnsi="Arial" w:cs="Arial"/>
          <w:noProof/>
          <w:sz w:val="24"/>
          <w:szCs w:val="24"/>
          <w:vertAlign w:val="superscript"/>
        </w:rPr>
        <w:t>21,22</w:t>
      </w:r>
      <w:r w:rsidRPr="00282F47">
        <w:rPr>
          <w:rFonts w:ascii="Arial" w:hAnsi="Arial" w:cs="Arial"/>
          <w:sz w:val="24"/>
          <w:szCs w:val="24"/>
        </w:rPr>
        <w:t>.</w:t>
      </w:r>
    </w:p>
    <w:p w14:paraId="1AF9D861" w14:textId="77777777" w:rsidR="002027D2" w:rsidRPr="00282F47" w:rsidRDefault="002027D2" w:rsidP="00AF1E5A">
      <w:pPr>
        <w:spacing w:line="480" w:lineRule="auto"/>
        <w:jc w:val="both"/>
        <w:rPr>
          <w:rFonts w:ascii="Arial" w:hAnsi="Arial" w:cs="Arial"/>
          <w:sz w:val="24"/>
          <w:szCs w:val="24"/>
        </w:rPr>
      </w:pPr>
    </w:p>
    <w:p w14:paraId="7DEEAF64" w14:textId="77777777" w:rsidR="002027D2" w:rsidRPr="00282F47" w:rsidRDefault="002027D2" w:rsidP="008F24D5">
      <w:pPr>
        <w:spacing w:line="276" w:lineRule="auto"/>
        <w:jc w:val="both"/>
        <w:rPr>
          <w:rFonts w:ascii="Arial" w:hAnsi="Arial" w:cs="Arial"/>
          <w:sz w:val="24"/>
          <w:szCs w:val="24"/>
        </w:rPr>
      </w:pPr>
      <w:r w:rsidRPr="00282F47">
        <w:rPr>
          <w:rFonts w:ascii="Arial" w:hAnsi="Arial" w:cs="Arial"/>
          <w:b/>
          <w:bCs/>
          <w:sz w:val="24"/>
          <w:szCs w:val="24"/>
        </w:rPr>
        <w:lastRenderedPageBreak/>
        <w:t xml:space="preserve">Table 1.1: </w:t>
      </w:r>
      <w:r w:rsidRPr="00282F47">
        <w:rPr>
          <w:rFonts w:ascii="Arial" w:hAnsi="Arial" w:cs="Arial"/>
          <w:sz w:val="24"/>
          <w:szCs w:val="24"/>
        </w:rPr>
        <w:t>Current clinical applications of optoacoustic imaging and multispectral optoacoustic imaging.</w:t>
      </w:r>
    </w:p>
    <w:tbl>
      <w:tblPr>
        <w:tblStyle w:val="TableGrid"/>
        <w:tblW w:w="9350" w:type="dxa"/>
        <w:jc w:val="center"/>
        <w:tblLook w:val="04A0" w:firstRow="1" w:lastRow="0" w:firstColumn="1" w:lastColumn="0" w:noHBand="0" w:noVBand="1"/>
      </w:tblPr>
      <w:tblGrid>
        <w:gridCol w:w="1690"/>
        <w:gridCol w:w="1827"/>
        <w:gridCol w:w="1446"/>
        <w:gridCol w:w="1581"/>
        <w:gridCol w:w="1483"/>
        <w:gridCol w:w="1323"/>
      </w:tblGrid>
      <w:tr w:rsidR="002027D2" w:rsidRPr="00282F47" w14:paraId="79D6C6DB" w14:textId="77777777" w:rsidTr="00107F33">
        <w:trPr>
          <w:trHeight w:val="233"/>
          <w:jc w:val="center"/>
        </w:trPr>
        <w:tc>
          <w:tcPr>
            <w:tcW w:w="1690" w:type="dxa"/>
          </w:tcPr>
          <w:p w14:paraId="48CB8B56" w14:textId="77777777" w:rsidR="002027D2" w:rsidRPr="00282F47" w:rsidRDefault="002027D2" w:rsidP="00EC65C3">
            <w:pPr>
              <w:jc w:val="center"/>
              <w:rPr>
                <w:rFonts w:ascii="Arial" w:hAnsi="Arial" w:cs="Arial"/>
                <w:b/>
              </w:rPr>
            </w:pPr>
            <w:r w:rsidRPr="00282F47">
              <w:rPr>
                <w:rFonts w:ascii="Arial" w:hAnsi="Arial" w:cs="Arial"/>
                <w:b/>
              </w:rPr>
              <w:t>Application</w:t>
            </w:r>
          </w:p>
        </w:tc>
        <w:tc>
          <w:tcPr>
            <w:tcW w:w="1827" w:type="dxa"/>
          </w:tcPr>
          <w:p w14:paraId="43AD2D65" w14:textId="77777777" w:rsidR="002027D2" w:rsidRPr="00282F47" w:rsidRDefault="002027D2" w:rsidP="00EC65C3">
            <w:pPr>
              <w:jc w:val="center"/>
              <w:rPr>
                <w:rFonts w:ascii="Arial" w:hAnsi="Arial" w:cs="Arial"/>
                <w:b/>
              </w:rPr>
            </w:pPr>
            <w:r w:rsidRPr="00282F47">
              <w:rPr>
                <w:rFonts w:ascii="Arial" w:hAnsi="Arial" w:cs="Arial"/>
                <w:b/>
              </w:rPr>
              <w:t>Type</w:t>
            </w:r>
          </w:p>
        </w:tc>
        <w:tc>
          <w:tcPr>
            <w:tcW w:w="1446" w:type="dxa"/>
          </w:tcPr>
          <w:p w14:paraId="65B35CA6" w14:textId="77777777" w:rsidR="002027D2" w:rsidRPr="00282F47" w:rsidRDefault="002027D2" w:rsidP="00EC65C3">
            <w:pPr>
              <w:jc w:val="center"/>
              <w:rPr>
                <w:rFonts w:ascii="Arial" w:hAnsi="Arial" w:cs="Arial"/>
                <w:b/>
              </w:rPr>
            </w:pPr>
            <w:r w:rsidRPr="00282F47">
              <w:rPr>
                <w:rFonts w:ascii="Arial" w:hAnsi="Arial" w:cs="Arial"/>
                <w:b/>
              </w:rPr>
              <w:t>Laser</w:t>
            </w:r>
          </w:p>
        </w:tc>
        <w:tc>
          <w:tcPr>
            <w:tcW w:w="1692" w:type="dxa"/>
          </w:tcPr>
          <w:p w14:paraId="2CF627CB" w14:textId="77777777" w:rsidR="002027D2" w:rsidRPr="00282F47" w:rsidRDefault="002027D2" w:rsidP="00EC65C3">
            <w:pPr>
              <w:jc w:val="center"/>
              <w:rPr>
                <w:rFonts w:ascii="Arial" w:hAnsi="Arial" w:cs="Arial"/>
                <w:b/>
              </w:rPr>
            </w:pPr>
            <w:r w:rsidRPr="00282F47">
              <w:rPr>
                <w:rFonts w:ascii="Arial" w:hAnsi="Arial" w:cs="Arial"/>
                <w:b/>
              </w:rPr>
              <w:t>Detector</w:t>
            </w:r>
          </w:p>
        </w:tc>
        <w:tc>
          <w:tcPr>
            <w:tcW w:w="1372" w:type="dxa"/>
          </w:tcPr>
          <w:p w14:paraId="7A616844" w14:textId="77777777" w:rsidR="002027D2" w:rsidRPr="00282F47" w:rsidRDefault="002027D2" w:rsidP="00EC65C3">
            <w:pPr>
              <w:jc w:val="center"/>
              <w:rPr>
                <w:rFonts w:ascii="Arial" w:hAnsi="Arial" w:cs="Arial"/>
                <w:b/>
              </w:rPr>
            </w:pPr>
            <w:r w:rsidRPr="00282F47">
              <w:rPr>
                <w:rFonts w:ascii="Arial" w:hAnsi="Arial" w:cs="Arial"/>
                <w:b/>
              </w:rPr>
              <w:t>Patients</w:t>
            </w:r>
          </w:p>
        </w:tc>
        <w:tc>
          <w:tcPr>
            <w:tcW w:w="1323" w:type="dxa"/>
          </w:tcPr>
          <w:p w14:paraId="05E9EA86" w14:textId="77777777" w:rsidR="002027D2" w:rsidRPr="00282F47" w:rsidRDefault="002027D2" w:rsidP="00EC65C3">
            <w:pPr>
              <w:jc w:val="center"/>
              <w:rPr>
                <w:rFonts w:ascii="Arial" w:hAnsi="Arial" w:cs="Arial"/>
                <w:b/>
              </w:rPr>
            </w:pPr>
            <w:r w:rsidRPr="00282F47">
              <w:rPr>
                <w:rFonts w:ascii="Arial" w:hAnsi="Arial" w:cs="Arial"/>
                <w:b/>
              </w:rPr>
              <w:t>Study</w:t>
            </w:r>
          </w:p>
        </w:tc>
      </w:tr>
      <w:tr w:rsidR="002027D2" w:rsidRPr="00282F47" w14:paraId="355251C6" w14:textId="77777777" w:rsidTr="00107F33">
        <w:trPr>
          <w:jc w:val="center"/>
        </w:trPr>
        <w:tc>
          <w:tcPr>
            <w:tcW w:w="1690" w:type="dxa"/>
          </w:tcPr>
          <w:p w14:paraId="3F97B7E5" w14:textId="77777777" w:rsidR="002027D2" w:rsidRPr="00282F47" w:rsidRDefault="002027D2" w:rsidP="00EC65C3">
            <w:pPr>
              <w:jc w:val="center"/>
              <w:rPr>
                <w:rFonts w:ascii="Arial" w:hAnsi="Arial" w:cs="Arial"/>
              </w:rPr>
            </w:pPr>
            <w:r w:rsidRPr="00282F47">
              <w:rPr>
                <w:rFonts w:ascii="Arial" w:hAnsi="Arial" w:cs="Arial"/>
              </w:rPr>
              <w:t>Breast Imaging</w:t>
            </w:r>
          </w:p>
        </w:tc>
        <w:tc>
          <w:tcPr>
            <w:tcW w:w="1827" w:type="dxa"/>
          </w:tcPr>
          <w:p w14:paraId="3A769B3E" w14:textId="77777777" w:rsidR="002027D2" w:rsidRPr="00282F47" w:rsidRDefault="002027D2" w:rsidP="00EC65C3">
            <w:pPr>
              <w:jc w:val="center"/>
              <w:rPr>
                <w:rFonts w:ascii="Arial" w:hAnsi="Arial" w:cs="Arial"/>
                <w:b/>
                <w:bCs/>
              </w:rPr>
            </w:pPr>
            <w:r w:rsidRPr="00282F47">
              <w:rPr>
                <w:rFonts w:ascii="Arial" w:hAnsi="Arial" w:cs="Arial"/>
              </w:rPr>
              <w:t>Volumetric handheld probe</w:t>
            </w:r>
          </w:p>
        </w:tc>
        <w:tc>
          <w:tcPr>
            <w:tcW w:w="1446" w:type="dxa"/>
          </w:tcPr>
          <w:p w14:paraId="732E6533" w14:textId="77777777" w:rsidR="002027D2" w:rsidRPr="00282F47" w:rsidRDefault="002027D2" w:rsidP="00EC65C3">
            <w:pPr>
              <w:jc w:val="center"/>
              <w:rPr>
                <w:rFonts w:ascii="Arial" w:hAnsi="Arial" w:cs="Arial"/>
                <w:b/>
                <w:bCs/>
              </w:rPr>
            </w:pPr>
            <w:r w:rsidRPr="00282F47">
              <w:rPr>
                <w:rFonts w:ascii="Arial" w:hAnsi="Arial" w:cs="Arial"/>
              </w:rPr>
              <w:t>Q-switched OPO laser at 730, 760, 800, 850 nm</w:t>
            </w:r>
          </w:p>
        </w:tc>
        <w:tc>
          <w:tcPr>
            <w:tcW w:w="1692" w:type="dxa"/>
          </w:tcPr>
          <w:p w14:paraId="55ED40E6" w14:textId="77777777" w:rsidR="002027D2" w:rsidRPr="00282F47" w:rsidRDefault="002027D2" w:rsidP="00EC65C3">
            <w:pPr>
              <w:jc w:val="center"/>
              <w:rPr>
                <w:rFonts w:ascii="Arial" w:hAnsi="Arial" w:cs="Arial"/>
                <w:b/>
                <w:bCs/>
              </w:rPr>
            </w:pPr>
            <w:r w:rsidRPr="00282F47">
              <w:rPr>
                <w:rFonts w:ascii="Arial" w:hAnsi="Arial" w:cs="Arial"/>
              </w:rPr>
              <w:t>256 element, 4 MHz, spherical transducer array</w:t>
            </w:r>
          </w:p>
        </w:tc>
        <w:tc>
          <w:tcPr>
            <w:tcW w:w="1372" w:type="dxa"/>
          </w:tcPr>
          <w:p w14:paraId="09DF9CA3" w14:textId="77777777" w:rsidR="002027D2" w:rsidRPr="00282F47" w:rsidRDefault="002027D2" w:rsidP="00EC65C3">
            <w:pPr>
              <w:jc w:val="center"/>
              <w:rPr>
                <w:rFonts w:ascii="Arial" w:hAnsi="Arial" w:cs="Arial"/>
                <w:b/>
                <w:bCs/>
              </w:rPr>
            </w:pPr>
            <w:r w:rsidRPr="00282F47">
              <w:rPr>
                <w:rFonts w:ascii="Arial" w:hAnsi="Arial" w:cs="Arial"/>
              </w:rPr>
              <w:t>2 women with dense fibro glandular breast tissue</w:t>
            </w:r>
          </w:p>
        </w:tc>
        <w:tc>
          <w:tcPr>
            <w:tcW w:w="1323" w:type="dxa"/>
          </w:tcPr>
          <w:p w14:paraId="6288CDF6" w14:textId="77777777" w:rsidR="002027D2" w:rsidRPr="00282F47" w:rsidRDefault="002027D2" w:rsidP="00EC65C3">
            <w:pPr>
              <w:jc w:val="center"/>
              <w:rPr>
                <w:rFonts w:ascii="Arial" w:hAnsi="Arial" w:cs="Arial"/>
              </w:rPr>
            </w:pPr>
            <w:r w:rsidRPr="00282F47">
              <w:rPr>
                <w:rFonts w:ascii="Arial" w:hAnsi="Arial" w:cs="Arial"/>
              </w:rPr>
              <w:t>Dean-Ben et al</w:t>
            </w:r>
            <w:r w:rsidRPr="00282F47">
              <w:rPr>
                <w:rFonts w:ascii="Arial" w:hAnsi="Arial" w:cs="Arial"/>
                <w:noProof/>
                <w:vertAlign w:val="superscript"/>
              </w:rPr>
              <w:t>23</w:t>
            </w:r>
          </w:p>
        </w:tc>
      </w:tr>
      <w:tr w:rsidR="002027D2" w:rsidRPr="00282F47" w14:paraId="0982DA0D" w14:textId="77777777" w:rsidTr="00107F33">
        <w:trPr>
          <w:jc w:val="center"/>
        </w:trPr>
        <w:tc>
          <w:tcPr>
            <w:tcW w:w="1690" w:type="dxa"/>
          </w:tcPr>
          <w:p w14:paraId="3217F8FD" w14:textId="77777777" w:rsidR="002027D2" w:rsidRPr="00282F47" w:rsidRDefault="002027D2" w:rsidP="00EC65C3">
            <w:pPr>
              <w:jc w:val="center"/>
              <w:rPr>
                <w:rFonts w:ascii="Arial" w:hAnsi="Arial" w:cs="Arial"/>
                <w:b/>
                <w:bCs/>
              </w:rPr>
            </w:pPr>
            <w:r w:rsidRPr="00282F47">
              <w:rPr>
                <w:rFonts w:ascii="Arial" w:hAnsi="Arial" w:cs="Arial"/>
              </w:rPr>
              <w:t>Breast Imaging</w:t>
            </w:r>
          </w:p>
        </w:tc>
        <w:tc>
          <w:tcPr>
            <w:tcW w:w="1827" w:type="dxa"/>
          </w:tcPr>
          <w:p w14:paraId="5CB7D681" w14:textId="77777777" w:rsidR="002027D2" w:rsidRPr="00282F47" w:rsidRDefault="002027D2" w:rsidP="00EC65C3">
            <w:pPr>
              <w:jc w:val="center"/>
              <w:rPr>
                <w:rFonts w:ascii="Arial" w:hAnsi="Arial" w:cs="Arial"/>
                <w:b/>
                <w:bCs/>
              </w:rPr>
            </w:pPr>
            <w:r w:rsidRPr="00282F47">
              <w:rPr>
                <w:rFonts w:ascii="Arial" w:hAnsi="Arial" w:cs="Arial"/>
              </w:rPr>
              <w:t>Optoacoustic microscopy</w:t>
            </w:r>
          </w:p>
        </w:tc>
        <w:tc>
          <w:tcPr>
            <w:tcW w:w="1446" w:type="dxa"/>
          </w:tcPr>
          <w:p w14:paraId="13ACEF7A" w14:textId="77777777" w:rsidR="002027D2" w:rsidRPr="00282F47" w:rsidRDefault="002027D2" w:rsidP="00EC65C3">
            <w:pPr>
              <w:jc w:val="center"/>
              <w:rPr>
                <w:rFonts w:ascii="Arial" w:hAnsi="Arial" w:cs="Arial"/>
                <w:b/>
                <w:bCs/>
              </w:rPr>
            </w:pPr>
            <w:r w:rsidRPr="00282F47">
              <w:rPr>
                <w:rFonts w:ascii="Arial" w:hAnsi="Arial" w:cs="Arial"/>
              </w:rPr>
              <w:t>Q-switched alexandrite laser at 755 and 795 nm</w:t>
            </w:r>
          </w:p>
        </w:tc>
        <w:tc>
          <w:tcPr>
            <w:tcW w:w="1692" w:type="dxa"/>
          </w:tcPr>
          <w:p w14:paraId="6C6BE246" w14:textId="77777777" w:rsidR="002027D2" w:rsidRPr="00282F47" w:rsidRDefault="002027D2" w:rsidP="00EC65C3">
            <w:pPr>
              <w:jc w:val="center"/>
              <w:rPr>
                <w:rFonts w:ascii="Arial" w:hAnsi="Arial" w:cs="Arial"/>
                <w:b/>
                <w:bCs/>
              </w:rPr>
            </w:pPr>
            <w:r w:rsidRPr="00282F47">
              <w:rPr>
                <w:rFonts w:ascii="Arial" w:hAnsi="Arial" w:cs="Arial"/>
              </w:rPr>
              <w:t>512 element, 2 MHz, hemispherical transducer array</w:t>
            </w:r>
          </w:p>
        </w:tc>
        <w:tc>
          <w:tcPr>
            <w:tcW w:w="1372" w:type="dxa"/>
          </w:tcPr>
          <w:p w14:paraId="01D49829" w14:textId="77777777" w:rsidR="002027D2" w:rsidRPr="00282F47" w:rsidRDefault="002027D2" w:rsidP="00EC65C3">
            <w:pPr>
              <w:jc w:val="center"/>
              <w:rPr>
                <w:rFonts w:ascii="Arial" w:hAnsi="Arial" w:cs="Arial"/>
                <w:b/>
                <w:bCs/>
              </w:rPr>
            </w:pPr>
            <w:r w:rsidRPr="00282F47">
              <w:rPr>
                <w:rFonts w:ascii="Arial" w:hAnsi="Arial" w:cs="Arial"/>
              </w:rPr>
              <w:t>30 patients with known breast tumors</w:t>
            </w:r>
          </w:p>
        </w:tc>
        <w:tc>
          <w:tcPr>
            <w:tcW w:w="1323" w:type="dxa"/>
          </w:tcPr>
          <w:p w14:paraId="53DE12C4" w14:textId="77777777" w:rsidR="002027D2" w:rsidRPr="00282F47" w:rsidRDefault="002027D2" w:rsidP="00EC65C3">
            <w:pPr>
              <w:jc w:val="center"/>
              <w:rPr>
                <w:rFonts w:ascii="Arial" w:hAnsi="Arial" w:cs="Arial"/>
                <w:b/>
                <w:bCs/>
              </w:rPr>
            </w:pPr>
            <w:r w:rsidRPr="00282F47">
              <w:rPr>
                <w:rFonts w:ascii="Arial" w:hAnsi="Arial" w:cs="Arial"/>
              </w:rPr>
              <w:t>Toi et al</w:t>
            </w:r>
            <w:r w:rsidRPr="00282F47">
              <w:rPr>
                <w:rFonts w:ascii="Arial" w:hAnsi="Arial" w:cs="Arial"/>
                <w:noProof/>
                <w:vertAlign w:val="superscript"/>
              </w:rPr>
              <w:t>24</w:t>
            </w:r>
          </w:p>
        </w:tc>
      </w:tr>
      <w:tr w:rsidR="002027D2" w:rsidRPr="00282F47" w14:paraId="68AA387C" w14:textId="77777777" w:rsidTr="00107F33">
        <w:trPr>
          <w:trHeight w:val="521"/>
          <w:jc w:val="center"/>
        </w:trPr>
        <w:tc>
          <w:tcPr>
            <w:tcW w:w="1690" w:type="dxa"/>
          </w:tcPr>
          <w:p w14:paraId="7BF3DDF7" w14:textId="77777777" w:rsidR="002027D2" w:rsidRPr="00282F47" w:rsidRDefault="002027D2" w:rsidP="00EC65C3">
            <w:pPr>
              <w:jc w:val="center"/>
              <w:rPr>
                <w:rFonts w:ascii="Arial" w:hAnsi="Arial" w:cs="Arial"/>
                <w:b/>
                <w:bCs/>
              </w:rPr>
            </w:pPr>
            <w:r w:rsidRPr="00282F47">
              <w:rPr>
                <w:rFonts w:ascii="Arial" w:hAnsi="Arial" w:cs="Arial"/>
              </w:rPr>
              <w:t>Breast Imaging</w:t>
            </w:r>
          </w:p>
        </w:tc>
        <w:tc>
          <w:tcPr>
            <w:tcW w:w="1827" w:type="dxa"/>
          </w:tcPr>
          <w:p w14:paraId="5597443D" w14:textId="77777777" w:rsidR="002027D2" w:rsidRPr="00282F47" w:rsidRDefault="002027D2" w:rsidP="00EC65C3">
            <w:pPr>
              <w:jc w:val="center"/>
              <w:rPr>
                <w:rFonts w:ascii="Arial" w:hAnsi="Arial" w:cs="Arial"/>
                <w:b/>
                <w:bCs/>
              </w:rPr>
            </w:pPr>
            <w:r w:rsidRPr="00282F47">
              <w:rPr>
                <w:rFonts w:ascii="Arial" w:hAnsi="Arial" w:cs="Arial"/>
              </w:rPr>
              <w:t>MSOT</w:t>
            </w:r>
          </w:p>
        </w:tc>
        <w:tc>
          <w:tcPr>
            <w:tcW w:w="1446" w:type="dxa"/>
          </w:tcPr>
          <w:p w14:paraId="2721CD93" w14:textId="77777777" w:rsidR="002027D2" w:rsidRPr="00282F47" w:rsidRDefault="002027D2" w:rsidP="00EC65C3">
            <w:pPr>
              <w:jc w:val="center"/>
              <w:rPr>
                <w:rFonts w:ascii="Arial" w:hAnsi="Arial" w:cs="Arial"/>
                <w:b/>
                <w:bCs/>
              </w:rPr>
            </w:pPr>
            <w:r w:rsidRPr="00282F47">
              <w:rPr>
                <w:rFonts w:ascii="Arial" w:hAnsi="Arial" w:cs="Arial"/>
              </w:rPr>
              <w:t>NIR laser at 28 wavelengths from 700 nm-970 nm</w:t>
            </w:r>
          </w:p>
        </w:tc>
        <w:tc>
          <w:tcPr>
            <w:tcW w:w="1692" w:type="dxa"/>
          </w:tcPr>
          <w:p w14:paraId="56D84C14" w14:textId="77777777" w:rsidR="002027D2" w:rsidRPr="00282F47" w:rsidRDefault="002027D2" w:rsidP="00EC65C3">
            <w:pPr>
              <w:jc w:val="center"/>
              <w:rPr>
                <w:rFonts w:ascii="Arial" w:hAnsi="Arial" w:cs="Arial"/>
                <w:b/>
                <w:bCs/>
              </w:rPr>
            </w:pPr>
            <w:r w:rsidRPr="00282F47">
              <w:rPr>
                <w:rFonts w:ascii="Arial" w:hAnsi="Arial" w:cs="Arial"/>
              </w:rPr>
              <w:t>256 element, 5 MHz, arc transducer array</w:t>
            </w:r>
          </w:p>
        </w:tc>
        <w:tc>
          <w:tcPr>
            <w:tcW w:w="1372" w:type="dxa"/>
          </w:tcPr>
          <w:p w14:paraId="42EB86A3" w14:textId="77777777" w:rsidR="002027D2" w:rsidRPr="00282F47" w:rsidRDefault="002027D2" w:rsidP="00EC65C3">
            <w:pPr>
              <w:jc w:val="center"/>
              <w:rPr>
                <w:rFonts w:ascii="Arial" w:hAnsi="Arial" w:cs="Arial"/>
                <w:b/>
                <w:bCs/>
              </w:rPr>
            </w:pPr>
            <w:r w:rsidRPr="00282F47">
              <w:rPr>
                <w:rFonts w:ascii="Arial" w:hAnsi="Arial" w:cs="Arial"/>
              </w:rPr>
              <w:t>10 patients with breast cancer, 3 healthy volunteers</w:t>
            </w:r>
          </w:p>
        </w:tc>
        <w:tc>
          <w:tcPr>
            <w:tcW w:w="1323" w:type="dxa"/>
          </w:tcPr>
          <w:p w14:paraId="60990037" w14:textId="77777777" w:rsidR="002027D2" w:rsidRPr="00282F47" w:rsidRDefault="002027D2" w:rsidP="00EC65C3">
            <w:pPr>
              <w:jc w:val="center"/>
              <w:rPr>
                <w:rFonts w:ascii="Arial" w:hAnsi="Arial" w:cs="Arial"/>
                <w:b/>
                <w:bCs/>
              </w:rPr>
            </w:pPr>
            <w:r w:rsidRPr="00282F47">
              <w:rPr>
                <w:rFonts w:ascii="Arial" w:hAnsi="Arial" w:cs="Arial"/>
              </w:rPr>
              <w:t>Diot et al</w:t>
            </w:r>
            <w:r w:rsidRPr="00282F47">
              <w:rPr>
                <w:rFonts w:ascii="Arial" w:hAnsi="Arial" w:cs="Arial"/>
                <w:noProof/>
                <w:vertAlign w:val="superscript"/>
              </w:rPr>
              <w:t>16</w:t>
            </w:r>
          </w:p>
        </w:tc>
      </w:tr>
      <w:tr w:rsidR="002027D2" w:rsidRPr="00282F47" w14:paraId="4EF0722E" w14:textId="77777777" w:rsidTr="00107F33">
        <w:trPr>
          <w:trHeight w:val="521"/>
          <w:jc w:val="center"/>
        </w:trPr>
        <w:tc>
          <w:tcPr>
            <w:tcW w:w="1690" w:type="dxa"/>
          </w:tcPr>
          <w:p w14:paraId="6545EC93" w14:textId="77777777" w:rsidR="002027D2" w:rsidRPr="00282F47" w:rsidRDefault="002027D2" w:rsidP="00EC65C3">
            <w:pPr>
              <w:jc w:val="center"/>
              <w:rPr>
                <w:rFonts w:ascii="Arial" w:hAnsi="Arial" w:cs="Arial"/>
              </w:rPr>
            </w:pPr>
            <w:r w:rsidRPr="00282F47">
              <w:rPr>
                <w:rFonts w:ascii="Arial" w:hAnsi="Arial" w:cs="Arial"/>
              </w:rPr>
              <w:t>Breast Imaging</w:t>
            </w:r>
          </w:p>
        </w:tc>
        <w:tc>
          <w:tcPr>
            <w:tcW w:w="1827" w:type="dxa"/>
          </w:tcPr>
          <w:p w14:paraId="4691A316" w14:textId="77777777" w:rsidR="002027D2" w:rsidRPr="00282F47" w:rsidRDefault="002027D2" w:rsidP="00EC65C3">
            <w:pPr>
              <w:jc w:val="center"/>
              <w:rPr>
                <w:rFonts w:ascii="Arial" w:hAnsi="Arial" w:cs="Arial"/>
              </w:rPr>
            </w:pPr>
            <w:r w:rsidRPr="00282F47">
              <w:rPr>
                <w:rFonts w:ascii="Arial" w:hAnsi="Arial" w:cs="Arial"/>
              </w:rPr>
              <w:t>MSOT+US</w:t>
            </w:r>
          </w:p>
        </w:tc>
        <w:tc>
          <w:tcPr>
            <w:tcW w:w="1446" w:type="dxa"/>
          </w:tcPr>
          <w:p w14:paraId="5C2A5B1B" w14:textId="77777777" w:rsidR="002027D2" w:rsidRPr="00282F47" w:rsidRDefault="002027D2" w:rsidP="00EC65C3">
            <w:pPr>
              <w:jc w:val="center"/>
              <w:rPr>
                <w:rFonts w:ascii="Arial" w:hAnsi="Arial" w:cs="Arial"/>
              </w:rPr>
            </w:pPr>
            <w:r w:rsidRPr="00282F47">
              <w:rPr>
                <w:rFonts w:ascii="Arial" w:hAnsi="Arial" w:cs="Arial"/>
              </w:rPr>
              <w:t>NIR laser at 800 nm</w:t>
            </w:r>
          </w:p>
        </w:tc>
        <w:tc>
          <w:tcPr>
            <w:tcW w:w="1692" w:type="dxa"/>
          </w:tcPr>
          <w:p w14:paraId="5FF60C06" w14:textId="77777777" w:rsidR="002027D2" w:rsidRPr="00282F47" w:rsidRDefault="002027D2" w:rsidP="00EC65C3">
            <w:pPr>
              <w:jc w:val="center"/>
              <w:rPr>
                <w:rFonts w:ascii="Arial" w:hAnsi="Arial" w:cs="Arial"/>
              </w:rPr>
            </w:pPr>
            <w:r w:rsidRPr="00282F47">
              <w:rPr>
                <w:rFonts w:ascii="Arial" w:hAnsi="Arial" w:cs="Arial"/>
              </w:rPr>
              <w:t>256 element, 4 MHz, arc transducer array</w:t>
            </w:r>
          </w:p>
        </w:tc>
        <w:tc>
          <w:tcPr>
            <w:tcW w:w="1372" w:type="dxa"/>
          </w:tcPr>
          <w:p w14:paraId="7D382DA0" w14:textId="77777777" w:rsidR="002027D2" w:rsidRPr="00282F47" w:rsidRDefault="002027D2" w:rsidP="00EC65C3">
            <w:pPr>
              <w:jc w:val="center"/>
              <w:rPr>
                <w:rFonts w:ascii="Arial" w:hAnsi="Arial" w:cs="Arial"/>
              </w:rPr>
            </w:pPr>
            <w:r w:rsidRPr="00282F47">
              <w:rPr>
                <w:rFonts w:ascii="Arial" w:hAnsi="Arial" w:cs="Arial"/>
              </w:rPr>
              <w:t>94 patients between the ages of 24-88</w:t>
            </w:r>
          </w:p>
        </w:tc>
        <w:tc>
          <w:tcPr>
            <w:tcW w:w="1323" w:type="dxa"/>
          </w:tcPr>
          <w:p w14:paraId="6F3B3F18" w14:textId="77777777" w:rsidR="002027D2" w:rsidRPr="00282F47" w:rsidRDefault="002027D2" w:rsidP="00EC65C3">
            <w:pPr>
              <w:jc w:val="center"/>
              <w:rPr>
                <w:rFonts w:ascii="Arial" w:hAnsi="Arial" w:cs="Arial"/>
              </w:rPr>
            </w:pPr>
            <w:r w:rsidRPr="00282F47">
              <w:rPr>
                <w:rFonts w:ascii="Arial" w:hAnsi="Arial" w:cs="Arial"/>
              </w:rPr>
              <w:t>Abeyakoon et al</w:t>
            </w:r>
            <w:r w:rsidRPr="00282F47">
              <w:rPr>
                <w:rFonts w:ascii="Arial" w:hAnsi="Arial" w:cs="Arial"/>
                <w:noProof/>
                <w:vertAlign w:val="superscript"/>
              </w:rPr>
              <w:t>25</w:t>
            </w:r>
          </w:p>
        </w:tc>
      </w:tr>
      <w:tr w:rsidR="002027D2" w:rsidRPr="00282F47" w14:paraId="2C536C32" w14:textId="77777777" w:rsidTr="00107F33">
        <w:trPr>
          <w:trHeight w:val="521"/>
          <w:jc w:val="center"/>
        </w:trPr>
        <w:tc>
          <w:tcPr>
            <w:tcW w:w="1690" w:type="dxa"/>
          </w:tcPr>
          <w:p w14:paraId="79592F4A" w14:textId="77777777" w:rsidR="002027D2" w:rsidRPr="00282F47" w:rsidRDefault="002027D2" w:rsidP="00EC65C3">
            <w:pPr>
              <w:jc w:val="center"/>
              <w:rPr>
                <w:rFonts w:ascii="Arial" w:hAnsi="Arial" w:cs="Arial"/>
              </w:rPr>
            </w:pPr>
            <w:r w:rsidRPr="00282F47">
              <w:rPr>
                <w:rFonts w:ascii="Arial" w:hAnsi="Arial" w:cs="Arial"/>
              </w:rPr>
              <w:t>Breast Imaging</w:t>
            </w:r>
          </w:p>
        </w:tc>
        <w:tc>
          <w:tcPr>
            <w:tcW w:w="1827" w:type="dxa"/>
          </w:tcPr>
          <w:p w14:paraId="6D782F41" w14:textId="77777777" w:rsidR="002027D2" w:rsidRPr="00282F47" w:rsidRDefault="002027D2" w:rsidP="00EC65C3">
            <w:pPr>
              <w:jc w:val="center"/>
              <w:rPr>
                <w:rFonts w:ascii="Arial" w:hAnsi="Arial" w:cs="Arial"/>
              </w:rPr>
            </w:pPr>
            <w:r w:rsidRPr="00282F47">
              <w:rPr>
                <w:rFonts w:ascii="Arial" w:hAnsi="Arial" w:cs="Arial"/>
              </w:rPr>
              <w:t>Handheld OA/US transducer</w:t>
            </w:r>
          </w:p>
        </w:tc>
        <w:tc>
          <w:tcPr>
            <w:tcW w:w="1446" w:type="dxa"/>
          </w:tcPr>
          <w:p w14:paraId="36B9B6BE" w14:textId="77777777" w:rsidR="002027D2" w:rsidRPr="00282F47" w:rsidRDefault="002027D2" w:rsidP="00EC65C3">
            <w:pPr>
              <w:jc w:val="center"/>
              <w:rPr>
                <w:rFonts w:ascii="Arial" w:hAnsi="Arial" w:cs="Arial"/>
              </w:rPr>
            </w:pPr>
            <w:r w:rsidRPr="00282F47">
              <w:rPr>
                <w:rFonts w:ascii="Arial" w:hAnsi="Arial" w:cs="Arial"/>
              </w:rPr>
              <w:t>NIR laser at wavelengths of 757 and 1064 nm</w:t>
            </w:r>
          </w:p>
        </w:tc>
        <w:tc>
          <w:tcPr>
            <w:tcW w:w="1692" w:type="dxa"/>
          </w:tcPr>
          <w:p w14:paraId="0DA460AE" w14:textId="77777777" w:rsidR="002027D2" w:rsidRPr="00282F47" w:rsidRDefault="002027D2" w:rsidP="00EC65C3">
            <w:pPr>
              <w:jc w:val="center"/>
              <w:rPr>
                <w:rFonts w:ascii="Arial" w:hAnsi="Arial" w:cs="Arial"/>
              </w:rPr>
            </w:pPr>
            <w:r w:rsidRPr="00282F47">
              <w:rPr>
                <w:rFonts w:ascii="Arial" w:hAnsi="Arial" w:cs="Arial"/>
              </w:rPr>
              <w:t>128 element, 4-16 MHz, linear array</w:t>
            </w:r>
          </w:p>
        </w:tc>
        <w:tc>
          <w:tcPr>
            <w:tcW w:w="1372" w:type="dxa"/>
          </w:tcPr>
          <w:p w14:paraId="761DBBE3" w14:textId="77777777" w:rsidR="002027D2" w:rsidRPr="00282F47" w:rsidRDefault="002027D2" w:rsidP="00EC65C3">
            <w:pPr>
              <w:jc w:val="center"/>
              <w:rPr>
                <w:rFonts w:ascii="Arial" w:hAnsi="Arial" w:cs="Arial"/>
              </w:rPr>
            </w:pPr>
            <w:r w:rsidRPr="00282F47">
              <w:rPr>
                <w:rFonts w:ascii="Arial" w:hAnsi="Arial" w:cs="Arial"/>
              </w:rPr>
              <w:t>2105 patients from 16 different sites</w:t>
            </w:r>
          </w:p>
        </w:tc>
        <w:tc>
          <w:tcPr>
            <w:tcW w:w="1323" w:type="dxa"/>
          </w:tcPr>
          <w:p w14:paraId="6DBDFB02" w14:textId="77777777" w:rsidR="002027D2" w:rsidRPr="00282F47" w:rsidRDefault="002027D2" w:rsidP="00EC65C3">
            <w:pPr>
              <w:jc w:val="center"/>
              <w:rPr>
                <w:rFonts w:ascii="Arial" w:hAnsi="Arial" w:cs="Arial"/>
              </w:rPr>
            </w:pPr>
            <w:r w:rsidRPr="00282F47">
              <w:rPr>
                <w:rFonts w:ascii="Arial" w:hAnsi="Arial" w:cs="Arial"/>
              </w:rPr>
              <w:t>Neuschler et al</w:t>
            </w:r>
            <w:r w:rsidRPr="00282F47">
              <w:rPr>
                <w:rFonts w:ascii="Arial" w:hAnsi="Arial" w:cs="Arial"/>
                <w:noProof/>
                <w:vertAlign w:val="superscript"/>
              </w:rPr>
              <w:t>26</w:t>
            </w:r>
          </w:p>
        </w:tc>
      </w:tr>
      <w:tr w:rsidR="002027D2" w:rsidRPr="00282F47" w14:paraId="2ED36A54" w14:textId="77777777" w:rsidTr="00107F33">
        <w:trPr>
          <w:trHeight w:val="521"/>
          <w:jc w:val="center"/>
        </w:trPr>
        <w:tc>
          <w:tcPr>
            <w:tcW w:w="1690" w:type="dxa"/>
          </w:tcPr>
          <w:p w14:paraId="176A865E" w14:textId="77777777" w:rsidR="002027D2" w:rsidRPr="00282F47" w:rsidRDefault="002027D2" w:rsidP="00EC65C3">
            <w:pPr>
              <w:jc w:val="center"/>
              <w:rPr>
                <w:rFonts w:ascii="Arial" w:hAnsi="Arial" w:cs="Arial"/>
              </w:rPr>
            </w:pPr>
            <w:r w:rsidRPr="00282F47">
              <w:rPr>
                <w:rFonts w:ascii="Arial" w:hAnsi="Arial" w:cs="Arial"/>
              </w:rPr>
              <w:t>Breast Imaging</w:t>
            </w:r>
          </w:p>
        </w:tc>
        <w:tc>
          <w:tcPr>
            <w:tcW w:w="1827" w:type="dxa"/>
          </w:tcPr>
          <w:p w14:paraId="6CB19392" w14:textId="77777777" w:rsidR="002027D2" w:rsidRPr="00282F47" w:rsidRDefault="002027D2" w:rsidP="00EC65C3">
            <w:pPr>
              <w:jc w:val="center"/>
              <w:rPr>
                <w:rFonts w:ascii="Arial" w:hAnsi="Arial" w:cs="Arial"/>
              </w:rPr>
            </w:pPr>
            <w:r w:rsidRPr="00282F47">
              <w:rPr>
                <w:rFonts w:ascii="Arial" w:hAnsi="Arial" w:cs="Arial"/>
              </w:rPr>
              <w:t>Handheld OA/US transducer</w:t>
            </w:r>
          </w:p>
        </w:tc>
        <w:tc>
          <w:tcPr>
            <w:tcW w:w="1446" w:type="dxa"/>
          </w:tcPr>
          <w:p w14:paraId="7377368E" w14:textId="77777777" w:rsidR="002027D2" w:rsidRPr="00282F47" w:rsidRDefault="002027D2" w:rsidP="00EC65C3">
            <w:pPr>
              <w:jc w:val="center"/>
              <w:rPr>
                <w:rFonts w:ascii="Arial" w:hAnsi="Arial" w:cs="Arial"/>
              </w:rPr>
            </w:pPr>
            <w:r w:rsidRPr="00282F47">
              <w:rPr>
                <w:rFonts w:ascii="Arial" w:hAnsi="Arial" w:cs="Arial"/>
              </w:rPr>
              <w:t>NIR laser at wavelengths of 757 and 1064 nm</w:t>
            </w:r>
          </w:p>
        </w:tc>
        <w:tc>
          <w:tcPr>
            <w:tcW w:w="1692" w:type="dxa"/>
          </w:tcPr>
          <w:p w14:paraId="3F74E2CB" w14:textId="77777777" w:rsidR="002027D2" w:rsidRPr="00282F47" w:rsidRDefault="002027D2" w:rsidP="00EC65C3">
            <w:pPr>
              <w:jc w:val="center"/>
              <w:rPr>
                <w:rFonts w:ascii="Arial" w:hAnsi="Arial" w:cs="Arial"/>
              </w:rPr>
            </w:pPr>
            <w:r w:rsidRPr="00282F47">
              <w:rPr>
                <w:rFonts w:ascii="Arial" w:hAnsi="Arial" w:cs="Arial"/>
              </w:rPr>
              <w:t>Four conventional US diagnostic transducers</w:t>
            </w:r>
          </w:p>
        </w:tc>
        <w:tc>
          <w:tcPr>
            <w:tcW w:w="1372" w:type="dxa"/>
          </w:tcPr>
          <w:p w14:paraId="022D4D4F" w14:textId="77777777" w:rsidR="002027D2" w:rsidRPr="00282F47" w:rsidRDefault="002027D2" w:rsidP="00EC65C3">
            <w:pPr>
              <w:jc w:val="center"/>
              <w:rPr>
                <w:rFonts w:ascii="Arial" w:hAnsi="Arial" w:cs="Arial"/>
              </w:rPr>
            </w:pPr>
            <w:r w:rsidRPr="00282F47">
              <w:rPr>
                <w:rFonts w:ascii="Arial" w:hAnsi="Arial" w:cs="Arial"/>
              </w:rPr>
              <w:t>209 patients from 5 different sites</w:t>
            </w:r>
          </w:p>
        </w:tc>
        <w:tc>
          <w:tcPr>
            <w:tcW w:w="1323" w:type="dxa"/>
          </w:tcPr>
          <w:p w14:paraId="1EFB6EB9" w14:textId="77777777" w:rsidR="002027D2" w:rsidRPr="00282F47" w:rsidRDefault="002027D2" w:rsidP="00EC65C3">
            <w:pPr>
              <w:jc w:val="center"/>
              <w:rPr>
                <w:rFonts w:ascii="Arial" w:hAnsi="Arial" w:cs="Arial"/>
              </w:rPr>
            </w:pPr>
            <w:r w:rsidRPr="00282F47">
              <w:rPr>
                <w:rFonts w:ascii="Arial" w:hAnsi="Arial" w:cs="Arial"/>
              </w:rPr>
              <w:t>Menezes et. al.</w:t>
            </w:r>
            <w:r w:rsidRPr="00282F47">
              <w:rPr>
                <w:rFonts w:ascii="Arial" w:hAnsi="Arial" w:cs="Arial"/>
                <w:noProof/>
                <w:vertAlign w:val="superscript"/>
              </w:rPr>
              <w:t>27</w:t>
            </w:r>
          </w:p>
        </w:tc>
      </w:tr>
      <w:tr w:rsidR="002027D2" w:rsidRPr="00282F47" w14:paraId="372B1EDB" w14:textId="77777777" w:rsidTr="00107F33">
        <w:trPr>
          <w:jc w:val="center"/>
        </w:trPr>
        <w:tc>
          <w:tcPr>
            <w:tcW w:w="1690" w:type="dxa"/>
          </w:tcPr>
          <w:p w14:paraId="7FA2EF0E" w14:textId="77777777" w:rsidR="002027D2" w:rsidRPr="00282F47" w:rsidRDefault="002027D2" w:rsidP="00EC65C3">
            <w:pPr>
              <w:jc w:val="center"/>
              <w:rPr>
                <w:rFonts w:ascii="Arial" w:hAnsi="Arial" w:cs="Arial"/>
                <w:b/>
                <w:bCs/>
              </w:rPr>
            </w:pPr>
            <w:r w:rsidRPr="00282F47">
              <w:rPr>
                <w:rFonts w:ascii="Arial" w:hAnsi="Arial" w:cs="Arial"/>
              </w:rPr>
              <w:t>Prostate Imaging</w:t>
            </w:r>
          </w:p>
        </w:tc>
        <w:tc>
          <w:tcPr>
            <w:tcW w:w="1827" w:type="dxa"/>
          </w:tcPr>
          <w:p w14:paraId="28B9E46C" w14:textId="77777777" w:rsidR="002027D2" w:rsidRPr="00282F47" w:rsidRDefault="002027D2" w:rsidP="00EC65C3">
            <w:pPr>
              <w:jc w:val="center"/>
              <w:rPr>
                <w:rFonts w:ascii="Arial" w:hAnsi="Arial" w:cs="Arial"/>
                <w:b/>
                <w:bCs/>
              </w:rPr>
            </w:pPr>
            <w:r w:rsidRPr="00282F47">
              <w:rPr>
                <w:rFonts w:ascii="Arial" w:hAnsi="Arial" w:cs="Arial"/>
              </w:rPr>
              <w:t>TRUSPA</w:t>
            </w:r>
          </w:p>
        </w:tc>
        <w:tc>
          <w:tcPr>
            <w:tcW w:w="1446" w:type="dxa"/>
          </w:tcPr>
          <w:p w14:paraId="7E7CD248" w14:textId="77777777" w:rsidR="002027D2" w:rsidRPr="00282F47" w:rsidRDefault="002027D2" w:rsidP="00EC65C3">
            <w:pPr>
              <w:jc w:val="center"/>
              <w:rPr>
                <w:rFonts w:ascii="Arial" w:hAnsi="Arial" w:cs="Arial"/>
                <w:b/>
                <w:bCs/>
              </w:rPr>
            </w:pPr>
            <w:r w:rsidRPr="00282F47">
              <w:rPr>
                <w:rFonts w:ascii="Arial" w:hAnsi="Arial" w:cs="Arial"/>
              </w:rPr>
              <w:t>Tunable pulsed laser 680nm – 950nm</w:t>
            </w:r>
          </w:p>
        </w:tc>
        <w:tc>
          <w:tcPr>
            <w:tcW w:w="1692" w:type="dxa"/>
          </w:tcPr>
          <w:p w14:paraId="159C0633" w14:textId="77777777" w:rsidR="002027D2" w:rsidRPr="00282F47" w:rsidRDefault="002027D2" w:rsidP="00EC65C3">
            <w:pPr>
              <w:jc w:val="center"/>
              <w:rPr>
                <w:rFonts w:ascii="Arial" w:hAnsi="Arial" w:cs="Arial"/>
                <w:b/>
                <w:bCs/>
              </w:rPr>
            </w:pPr>
            <w:r w:rsidRPr="00282F47">
              <w:rPr>
                <w:rFonts w:ascii="Arial" w:hAnsi="Arial" w:cs="Arial"/>
              </w:rPr>
              <w:t>64 element, 5 MHz, CMUT linear array</w:t>
            </w:r>
          </w:p>
        </w:tc>
        <w:tc>
          <w:tcPr>
            <w:tcW w:w="1372" w:type="dxa"/>
          </w:tcPr>
          <w:p w14:paraId="1DA697B0" w14:textId="77777777" w:rsidR="002027D2" w:rsidRPr="00282F47" w:rsidRDefault="002027D2" w:rsidP="00EC65C3">
            <w:pPr>
              <w:jc w:val="center"/>
              <w:rPr>
                <w:rFonts w:ascii="Arial" w:hAnsi="Arial" w:cs="Arial"/>
                <w:b/>
                <w:bCs/>
              </w:rPr>
            </w:pPr>
            <w:r w:rsidRPr="00282F47">
              <w:rPr>
                <w:rFonts w:ascii="Arial" w:hAnsi="Arial" w:cs="Arial"/>
              </w:rPr>
              <w:t>20 patients with prostate cancer (10 with ICG 10 without)</w:t>
            </w:r>
          </w:p>
        </w:tc>
        <w:tc>
          <w:tcPr>
            <w:tcW w:w="1323" w:type="dxa"/>
          </w:tcPr>
          <w:p w14:paraId="1B160784" w14:textId="77777777" w:rsidR="002027D2" w:rsidRPr="00282F47" w:rsidRDefault="002027D2" w:rsidP="00EC65C3">
            <w:pPr>
              <w:jc w:val="center"/>
              <w:rPr>
                <w:rFonts w:ascii="Arial" w:hAnsi="Arial" w:cs="Arial"/>
                <w:b/>
                <w:bCs/>
              </w:rPr>
            </w:pPr>
            <w:r w:rsidRPr="00282F47">
              <w:rPr>
                <w:rFonts w:ascii="Arial" w:hAnsi="Arial" w:cs="Arial"/>
              </w:rPr>
              <w:t>Kothapalli et al</w:t>
            </w:r>
            <w:r w:rsidRPr="00282F47">
              <w:rPr>
                <w:rFonts w:ascii="Arial" w:hAnsi="Arial" w:cs="Arial"/>
                <w:noProof/>
                <w:vertAlign w:val="superscript"/>
              </w:rPr>
              <w:t>28</w:t>
            </w:r>
          </w:p>
        </w:tc>
      </w:tr>
      <w:tr w:rsidR="002027D2" w:rsidRPr="00282F47" w14:paraId="1269DB5D" w14:textId="77777777" w:rsidTr="00107F33">
        <w:trPr>
          <w:jc w:val="center"/>
        </w:trPr>
        <w:tc>
          <w:tcPr>
            <w:tcW w:w="1690" w:type="dxa"/>
          </w:tcPr>
          <w:p w14:paraId="0C4B917A" w14:textId="77777777" w:rsidR="002027D2" w:rsidRPr="00282F47" w:rsidRDefault="002027D2" w:rsidP="00EC65C3">
            <w:pPr>
              <w:jc w:val="center"/>
              <w:rPr>
                <w:rFonts w:ascii="Arial" w:hAnsi="Arial" w:cs="Arial"/>
                <w:b/>
                <w:bCs/>
              </w:rPr>
            </w:pPr>
            <w:r w:rsidRPr="00282F47">
              <w:rPr>
                <w:rFonts w:ascii="Arial" w:hAnsi="Arial" w:cs="Arial"/>
              </w:rPr>
              <w:lastRenderedPageBreak/>
              <w:t>Gynecological Imaging</w:t>
            </w:r>
          </w:p>
        </w:tc>
        <w:tc>
          <w:tcPr>
            <w:tcW w:w="1827" w:type="dxa"/>
          </w:tcPr>
          <w:p w14:paraId="4A18A799" w14:textId="77777777" w:rsidR="002027D2" w:rsidRPr="00282F47" w:rsidRDefault="002027D2" w:rsidP="00EC65C3">
            <w:pPr>
              <w:jc w:val="center"/>
              <w:rPr>
                <w:rFonts w:ascii="Arial" w:hAnsi="Arial" w:cs="Arial"/>
              </w:rPr>
            </w:pPr>
            <w:r w:rsidRPr="00282F47">
              <w:rPr>
                <w:rFonts w:ascii="Arial" w:hAnsi="Arial" w:cs="Arial"/>
              </w:rPr>
              <w:t>Optoacoustic imaging</w:t>
            </w:r>
          </w:p>
        </w:tc>
        <w:tc>
          <w:tcPr>
            <w:tcW w:w="1446" w:type="dxa"/>
          </w:tcPr>
          <w:p w14:paraId="2EE26DDA" w14:textId="77777777" w:rsidR="002027D2" w:rsidRPr="00282F47" w:rsidRDefault="002027D2" w:rsidP="00EC65C3">
            <w:pPr>
              <w:jc w:val="center"/>
              <w:rPr>
                <w:rFonts w:ascii="Arial" w:hAnsi="Arial" w:cs="Arial"/>
                <w:b/>
                <w:bCs/>
              </w:rPr>
            </w:pPr>
            <w:r w:rsidRPr="00282F47">
              <w:rPr>
                <w:rFonts w:ascii="Arial" w:hAnsi="Arial" w:cs="Arial"/>
              </w:rPr>
              <w:t>Q-switch Nd: YAG 532nm laser</w:t>
            </w:r>
          </w:p>
        </w:tc>
        <w:tc>
          <w:tcPr>
            <w:tcW w:w="1692" w:type="dxa"/>
          </w:tcPr>
          <w:p w14:paraId="3F9D12CC" w14:textId="77777777" w:rsidR="002027D2" w:rsidRPr="00282F47" w:rsidRDefault="002027D2" w:rsidP="00EC65C3">
            <w:pPr>
              <w:jc w:val="center"/>
              <w:rPr>
                <w:rFonts w:ascii="Arial" w:hAnsi="Arial" w:cs="Arial"/>
                <w:b/>
                <w:bCs/>
              </w:rPr>
            </w:pPr>
            <w:r w:rsidRPr="00282F47">
              <w:rPr>
                <w:rFonts w:ascii="Arial" w:hAnsi="Arial" w:cs="Arial"/>
              </w:rPr>
              <w:t>10 MHz focused transducer with 10mm focal distance</w:t>
            </w:r>
          </w:p>
        </w:tc>
        <w:tc>
          <w:tcPr>
            <w:tcW w:w="1372" w:type="dxa"/>
          </w:tcPr>
          <w:p w14:paraId="07E6E458" w14:textId="77777777" w:rsidR="002027D2" w:rsidRPr="00282F47" w:rsidRDefault="002027D2" w:rsidP="00EC65C3">
            <w:pPr>
              <w:jc w:val="center"/>
              <w:rPr>
                <w:rFonts w:ascii="Arial" w:hAnsi="Arial" w:cs="Arial"/>
                <w:b/>
                <w:bCs/>
              </w:rPr>
            </w:pPr>
            <w:r w:rsidRPr="00282F47">
              <w:rPr>
                <w:rFonts w:ascii="Arial" w:hAnsi="Arial" w:cs="Arial"/>
              </w:rPr>
              <w:t xml:space="preserve">30 </w:t>
            </w:r>
            <w:r w:rsidRPr="00282F47">
              <w:rPr>
                <w:rFonts w:ascii="Arial" w:hAnsi="Arial" w:cs="Arial"/>
                <w:i/>
              </w:rPr>
              <w:t>ex vivo</w:t>
            </w:r>
            <w:r w:rsidRPr="00282F47">
              <w:rPr>
                <w:rFonts w:ascii="Arial" w:hAnsi="Arial" w:cs="Arial"/>
              </w:rPr>
              <w:t xml:space="preserve"> cervical tissue samples</w:t>
            </w:r>
          </w:p>
        </w:tc>
        <w:tc>
          <w:tcPr>
            <w:tcW w:w="1323" w:type="dxa"/>
          </w:tcPr>
          <w:p w14:paraId="3FD2BB57" w14:textId="77777777" w:rsidR="002027D2" w:rsidRPr="00282F47" w:rsidRDefault="002027D2" w:rsidP="00EC65C3">
            <w:pPr>
              <w:jc w:val="center"/>
              <w:rPr>
                <w:rFonts w:ascii="Arial" w:hAnsi="Arial" w:cs="Arial"/>
                <w:b/>
                <w:bCs/>
              </w:rPr>
            </w:pPr>
            <w:r w:rsidRPr="00282F47">
              <w:rPr>
                <w:rFonts w:ascii="Arial" w:hAnsi="Arial" w:cs="Arial"/>
              </w:rPr>
              <w:t>Peng et al</w:t>
            </w:r>
            <w:r w:rsidRPr="00282F47">
              <w:rPr>
                <w:rFonts w:ascii="Arial" w:hAnsi="Arial" w:cs="Arial"/>
                <w:noProof/>
                <w:vertAlign w:val="superscript"/>
              </w:rPr>
              <w:t>29</w:t>
            </w:r>
          </w:p>
        </w:tc>
      </w:tr>
      <w:tr w:rsidR="002027D2" w:rsidRPr="00282F47" w14:paraId="585D2EDB" w14:textId="77777777" w:rsidTr="00107F33">
        <w:trPr>
          <w:jc w:val="center"/>
        </w:trPr>
        <w:tc>
          <w:tcPr>
            <w:tcW w:w="1690" w:type="dxa"/>
          </w:tcPr>
          <w:p w14:paraId="021141B3" w14:textId="77777777" w:rsidR="002027D2" w:rsidRPr="00282F47" w:rsidRDefault="002027D2" w:rsidP="00EC65C3">
            <w:pPr>
              <w:jc w:val="center"/>
              <w:rPr>
                <w:rFonts w:ascii="Arial" w:hAnsi="Arial" w:cs="Arial"/>
                <w:b/>
                <w:bCs/>
              </w:rPr>
            </w:pPr>
            <w:r w:rsidRPr="00282F47">
              <w:rPr>
                <w:rFonts w:ascii="Arial" w:hAnsi="Arial" w:cs="Arial"/>
              </w:rPr>
              <w:t>Gynecological Imaging</w:t>
            </w:r>
          </w:p>
        </w:tc>
        <w:tc>
          <w:tcPr>
            <w:tcW w:w="1827" w:type="dxa"/>
          </w:tcPr>
          <w:p w14:paraId="6B122B5E" w14:textId="77777777" w:rsidR="002027D2" w:rsidRPr="00282F47" w:rsidRDefault="002027D2" w:rsidP="00EC65C3">
            <w:pPr>
              <w:jc w:val="center"/>
              <w:rPr>
                <w:rFonts w:ascii="Arial" w:hAnsi="Arial" w:cs="Arial"/>
                <w:b/>
                <w:bCs/>
              </w:rPr>
            </w:pPr>
            <w:r w:rsidRPr="00282F47">
              <w:rPr>
                <w:rFonts w:ascii="Arial" w:hAnsi="Arial" w:cs="Arial"/>
              </w:rPr>
              <w:t>Co-registered transvaginal OA Tomography/US</w:t>
            </w:r>
          </w:p>
        </w:tc>
        <w:tc>
          <w:tcPr>
            <w:tcW w:w="1446" w:type="dxa"/>
          </w:tcPr>
          <w:p w14:paraId="3316AFF6" w14:textId="77777777" w:rsidR="002027D2" w:rsidRPr="00282F47" w:rsidRDefault="002027D2" w:rsidP="00EC65C3">
            <w:pPr>
              <w:jc w:val="center"/>
              <w:rPr>
                <w:rFonts w:ascii="Arial" w:hAnsi="Arial" w:cs="Arial"/>
                <w:b/>
                <w:bCs/>
              </w:rPr>
            </w:pPr>
            <w:r w:rsidRPr="00282F47">
              <w:rPr>
                <w:rFonts w:ascii="Arial" w:hAnsi="Arial" w:cs="Arial"/>
              </w:rPr>
              <w:t>Pulsed Nd: YAG laser at 690-900 nm</w:t>
            </w:r>
          </w:p>
        </w:tc>
        <w:tc>
          <w:tcPr>
            <w:tcW w:w="1692" w:type="dxa"/>
          </w:tcPr>
          <w:p w14:paraId="08692FAF" w14:textId="77777777" w:rsidR="002027D2" w:rsidRPr="00282F47" w:rsidRDefault="002027D2" w:rsidP="00EC65C3">
            <w:pPr>
              <w:jc w:val="center"/>
              <w:rPr>
                <w:rFonts w:ascii="Arial" w:hAnsi="Arial" w:cs="Arial"/>
                <w:b/>
                <w:bCs/>
              </w:rPr>
            </w:pPr>
            <w:r w:rsidRPr="00282F47">
              <w:rPr>
                <w:rFonts w:ascii="Arial" w:hAnsi="Arial" w:cs="Arial"/>
              </w:rPr>
              <w:t>128 element, 6MHz, endocavity US transducer</w:t>
            </w:r>
          </w:p>
        </w:tc>
        <w:tc>
          <w:tcPr>
            <w:tcW w:w="1372" w:type="dxa"/>
          </w:tcPr>
          <w:p w14:paraId="465712B5" w14:textId="77777777" w:rsidR="002027D2" w:rsidRPr="00282F47" w:rsidRDefault="002027D2" w:rsidP="00EC65C3">
            <w:pPr>
              <w:jc w:val="center"/>
              <w:rPr>
                <w:rFonts w:ascii="Arial" w:hAnsi="Arial" w:cs="Arial"/>
                <w:b/>
                <w:bCs/>
              </w:rPr>
            </w:pPr>
            <w:r w:rsidRPr="00282F47">
              <w:rPr>
                <w:rFonts w:ascii="Arial" w:hAnsi="Arial" w:cs="Arial"/>
              </w:rPr>
              <w:t>16 women</w:t>
            </w:r>
          </w:p>
        </w:tc>
        <w:tc>
          <w:tcPr>
            <w:tcW w:w="1323" w:type="dxa"/>
          </w:tcPr>
          <w:p w14:paraId="15758432" w14:textId="77777777" w:rsidR="002027D2" w:rsidRPr="00282F47" w:rsidRDefault="002027D2" w:rsidP="00EC65C3">
            <w:pPr>
              <w:jc w:val="center"/>
              <w:rPr>
                <w:rFonts w:ascii="Arial" w:hAnsi="Arial" w:cs="Arial"/>
                <w:b/>
                <w:bCs/>
              </w:rPr>
            </w:pPr>
            <w:r w:rsidRPr="00282F47">
              <w:rPr>
                <w:rFonts w:ascii="Arial" w:hAnsi="Arial" w:cs="Arial"/>
              </w:rPr>
              <w:t>Nandy et al</w:t>
            </w:r>
            <w:r w:rsidRPr="00282F47">
              <w:rPr>
                <w:rFonts w:ascii="Arial" w:hAnsi="Arial" w:cs="Arial"/>
                <w:noProof/>
                <w:vertAlign w:val="superscript"/>
              </w:rPr>
              <w:t>30</w:t>
            </w:r>
          </w:p>
        </w:tc>
      </w:tr>
      <w:tr w:rsidR="002027D2" w:rsidRPr="00282F47" w14:paraId="7EB9F566" w14:textId="77777777" w:rsidTr="00107F33">
        <w:trPr>
          <w:jc w:val="center"/>
        </w:trPr>
        <w:tc>
          <w:tcPr>
            <w:tcW w:w="1690" w:type="dxa"/>
          </w:tcPr>
          <w:p w14:paraId="09DB6659" w14:textId="77777777" w:rsidR="002027D2" w:rsidRPr="00282F47" w:rsidRDefault="002027D2" w:rsidP="00EC65C3">
            <w:pPr>
              <w:jc w:val="center"/>
              <w:rPr>
                <w:rFonts w:ascii="Arial" w:hAnsi="Arial" w:cs="Arial"/>
                <w:b/>
                <w:bCs/>
              </w:rPr>
            </w:pPr>
            <w:r w:rsidRPr="00282F47">
              <w:rPr>
                <w:rFonts w:ascii="Arial" w:hAnsi="Arial" w:cs="Arial"/>
              </w:rPr>
              <w:t>Gynecological Imaging</w:t>
            </w:r>
          </w:p>
        </w:tc>
        <w:tc>
          <w:tcPr>
            <w:tcW w:w="1827" w:type="dxa"/>
          </w:tcPr>
          <w:p w14:paraId="40F20F31" w14:textId="77777777" w:rsidR="002027D2" w:rsidRPr="00282F47" w:rsidRDefault="002027D2" w:rsidP="00EC65C3">
            <w:pPr>
              <w:jc w:val="center"/>
              <w:rPr>
                <w:rFonts w:ascii="Arial" w:hAnsi="Arial" w:cs="Arial"/>
                <w:b/>
                <w:bCs/>
              </w:rPr>
            </w:pPr>
            <w:r w:rsidRPr="00282F47">
              <w:rPr>
                <w:rFonts w:ascii="Arial" w:hAnsi="Arial" w:cs="Arial"/>
              </w:rPr>
              <w:t>Fast scanning, optical resolution photoacoustic endoscopy</w:t>
            </w:r>
          </w:p>
        </w:tc>
        <w:tc>
          <w:tcPr>
            <w:tcW w:w="1446" w:type="dxa"/>
          </w:tcPr>
          <w:p w14:paraId="213DA0BF" w14:textId="77777777" w:rsidR="002027D2" w:rsidRPr="00282F47" w:rsidRDefault="002027D2" w:rsidP="00EC65C3">
            <w:pPr>
              <w:jc w:val="center"/>
              <w:rPr>
                <w:rFonts w:ascii="Arial" w:hAnsi="Arial" w:cs="Arial"/>
                <w:b/>
                <w:bCs/>
              </w:rPr>
            </w:pPr>
            <w:r w:rsidRPr="00282F47">
              <w:rPr>
                <w:rFonts w:ascii="Arial" w:hAnsi="Arial" w:cs="Arial"/>
              </w:rPr>
              <w:t>532 nm pulsed focused fiber laser</w:t>
            </w:r>
          </w:p>
        </w:tc>
        <w:tc>
          <w:tcPr>
            <w:tcW w:w="1692" w:type="dxa"/>
          </w:tcPr>
          <w:p w14:paraId="544C7FF9" w14:textId="77777777" w:rsidR="002027D2" w:rsidRPr="00282F47" w:rsidRDefault="002027D2" w:rsidP="00EC65C3">
            <w:pPr>
              <w:jc w:val="center"/>
              <w:rPr>
                <w:rFonts w:ascii="Arial" w:hAnsi="Arial" w:cs="Arial"/>
                <w:b/>
                <w:bCs/>
              </w:rPr>
            </w:pPr>
            <w:r w:rsidRPr="00282F47">
              <w:rPr>
                <w:rFonts w:ascii="Arial" w:hAnsi="Arial" w:cs="Arial"/>
              </w:rPr>
              <w:t>40 MHz custom focused ultrasound ring transducer</w:t>
            </w:r>
          </w:p>
        </w:tc>
        <w:tc>
          <w:tcPr>
            <w:tcW w:w="1372" w:type="dxa"/>
          </w:tcPr>
          <w:p w14:paraId="15D66354" w14:textId="77777777" w:rsidR="002027D2" w:rsidRPr="00282F47" w:rsidRDefault="002027D2" w:rsidP="00EC65C3">
            <w:pPr>
              <w:jc w:val="center"/>
              <w:rPr>
                <w:rFonts w:ascii="Arial" w:hAnsi="Arial" w:cs="Arial"/>
                <w:b/>
                <w:bCs/>
              </w:rPr>
            </w:pPr>
            <w:r w:rsidRPr="00282F47">
              <w:rPr>
                <w:rFonts w:ascii="Arial" w:hAnsi="Arial" w:cs="Arial"/>
              </w:rPr>
              <w:t>2 pregnant women</w:t>
            </w:r>
          </w:p>
        </w:tc>
        <w:tc>
          <w:tcPr>
            <w:tcW w:w="1323" w:type="dxa"/>
          </w:tcPr>
          <w:p w14:paraId="5CAD4842" w14:textId="77777777" w:rsidR="002027D2" w:rsidRPr="00282F47" w:rsidRDefault="002027D2" w:rsidP="00EC65C3">
            <w:pPr>
              <w:jc w:val="center"/>
              <w:rPr>
                <w:rFonts w:ascii="Arial" w:hAnsi="Arial" w:cs="Arial"/>
                <w:b/>
                <w:bCs/>
              </w:rPr>
            </w:pPr>
            <w:r w:rsidRPr="00282F47">
              <w:rPr>
                <w:rFonts w:ascii="Arial" w:hAnsi="Arial" w:cs="Arial"/>
              </w:rPr>
              <w:t>Qu et al</w:t>
            </w:r>
            <w:r w:rsidRPr="00282F47">
              <w:rPr>
                <w:rFonts w:ascii="Arial" w:hAnsi="Arial" w:cs="Arial"/>
                <w:noProof/>
                <w:vertAlign w:val="superscript"/>
              </w:rPr>
              <w:t>31</w:t>
            </w:r>
          </w:p>
        </w:tc>
      </w:tr>
      <w:tr w:rsidR="002027D2" w:rsidRPr="00282F47" w14:paraId="7A6AF642" w14:textId="77777777" w:rsidTr="00107F33">
        <w:trPr>
          <w:jc w:val="center"/>
        </w:trPr>
        <w:tc>
          <w:tcPr>
            <w:tcW w:w="1690" w:type="dxa"/>
          </w:tcPr>
          <w:p w14:paraId="3F0839B3" w14:textId="77777777" w:rsidR="002027D2" w:rsidRPr="00282F47" w:rsidRDefault="002027D2" w:rsidP="00EC65C3">
            <w:pPr>
              <w:jc w:val="center"/>
              <w:rPr>
                <w:rFonts w:ascii="Arial" w:hAnsi="Arial" w:cs="Arial"/>
              </w:rPr>
            </w:pPr>
            <w:r w:rsidRPr="00282F47">
              <w:rPr>
                <w:rFonts w:ascii="Arial" w:hAnsi="Arial" w:cs="Arial"/>
              </w:rPr>
              <w:t>Inflammatory Bowel Disease (Crohn’s)</w:t>
            </w:r>
          </w:p>
        </w:tc>
        <w:tc>
          <w:tcPr>
            <w:tcW w:w="1827" w:type="dxa"/>
          </w:tcPr>
          <w:p w14:paraId="399A5461" w14:textId="77777777" w:rsidR="002027D2" w:rsidRPr="00282F47" w:rsidRDefault="002027D2" w:rsidP="00EC65C3">
            <w:pPr>
              <w:jc w:val="center"/>
              <w:rPr>
                <w:rFonts w:ascii="Arial" w:hAnsi="Arial" w:cs="Arial"/>
              </w:rPr>
            </w:pPr>
            <w:r w:rsidRPr="00282F47">
              <w:rPr>
                <w:rFonts w:ascii="Arial" w:hAnsi="Arial" w:cs="Arial"/>
              </w:rPr>
              <w:t>MSOT</w:t>
            </w:r>
          </w:p>
        </w:tc>
        <w:tc>
          <w:tcPr>
            <w:tcW w:w="1446" w:type="dxa"/>
          </w:tcPr>
          <w:p w14:paraId="70A3EA99" w14:textId="77777777" w:rsidR="002027D2" w:rsidRPr="00282F47" w:rsidRDefault="002027D2" w:rsidP="00EC65C3">
            <w:pPr>
              <w:jc w:val="center"/>
              <w:rPr>
                <w:rFonts w:ascii="Arial" w:hAnsi="Arial" w:cs="Arial"/>
              </w:rPr>
            </w:pPr>
            <w:r w:rsidRPr="00282F47">
              <w:rPr>
                <w:rFonts w:ascii="Arial" w:hAnsi="Arial" w:cs="Arial"/>
              </w:rPr>
              <w:t>Pulsed Nd: YAG laser at 680-980 nm</w:t>
            </w:r>
          </w:p>
        </w:tc>
        <w:tc>
          <w:tcPr>
            <w:tcW w:w="1692" w:type="dxa"/>
          </w:tcPr>
          <w:p w14:paraId="5B6BD5DC" w14:textId="77777777" w:rsidR="002027D2" w:rsidRPr="00282F47" w:rsidRDefault="002027D2" w:rsidP="00EC65C3">
            <w:pPr>
              <w:jc w:val="center"/>
              <w:rPr>
                <w:rFonts w:ascii="Arial" w:hAnsi="Arial" w:cs="Arial"/>
              </w:rPr>
            </w:pPr>
            <w:r w:rsidRPr="00282F47">
              <w:rPr>
                <w:rFonts w:ascii="Arial" w:hAnsi="Arial" w:cs="Arial"/>
              </w:rPr>
              <w:t>64 element, 4 MHz, and 256 element, 3 MHz, probes</w:t>
            </w:r>
          </w:p>
        </w:tc>
        <w:tc>
          <w:tcPr>
            <w:tcW w:w="1372" w:type="dxa"/>
          </w:tcPr>
          <w:p w14:paraId="52F83083" w14:textId="77777777" w:rsidR="002027D2" w:rsidRPr="00282F47" w:rsidRDefault="002027D2" w:rsidP="00EC65C3">
            <w:pPr>
              <w:jc w:val="center"/>
              <w:rPr>
                <w:rFonts w:ascii="Arial" w:hAnsi="Arial" w:cs="Arial"/>
              </w:rPr>
            </w:pPr>
            <w:r w:rsidRPr="00282F47">
              <w:rPr>
                <w:rFonts w:ascii="Arial" w:hAnsi="Arial" w:cs="Arial"/>
              </w:rPr>
              <w:t>108 patients</w:t>
            </w:r>
          </w:p>
        </w:tc>
        <w:tc>
          <w:tcPr>
            <w:tcW w:w="1323" w:type="dxa"/>
          </w:tcPr>
          <w:p w14:paraId="1669F865" w14:textId="77777777" w:rsidR="002027D2" w:rsidRPr="00282F47" w:rsidRDefault="002027D2" w:rsidP="00EC65C3">
            <w:pPr>
              <w:jc w:val="center"/>
              <w:rPr>
                <w:rFonts w:ascii="Arial" w:hAnsi="Arial" w:cs="Arial"/>
              </w:rPr>
            </w:pPr>
            <w:r w:rsidRPr="00282F47">
              <w:rPr>
                <w:rFonts w:ascii="Arial" w:hAnsi="Arial" w:cs="Arial"/>
              </w:rPr>
              <w:t>Knieling et al</w:t>
            </w:r>
            <w:r w:rsidRPr="00282F47">
              <w:rPr>
                <w:rFonts w:ascii="Arial" w:hAnsi="Arial" w:cs="Arial"/>
                <w:noProof/>
                <w:vertAlign w:val="superscript"/>
              </w:rPr>
              <w:t>3</w:t>
            </w:r>
          </w:p>
        </w:tc>
      </w:tr>
      <w:tr w:rsidR="002027D2" w:rsidRPr="00282F47" w14:paraId="61CF7F29" w14:textId="77777777" w:rsidTr="00107F33">
        <w:trPr>
          <w:jc w:val="center"/>
        </w:trPr>
        <w:tc>
          <w:tcPr>
            <w:tcW w:w="1690" w:type="dxa"/>
          </w:tcPr>
          <w:p w14:paraId="74762B53" w14:textId="77777777" w:rsidR="002027D2" w:rsidRPr="00282F47" w:rsidRDefault="002027D2" w:rsidP="00EC65C3">
            <w:pPr>
              <w:jc w:val="center"/>
              <w:rPr>
                <w:rFonts w:ascii="Arial" w:hAnsi="Arial" w:cs="Arial"/>
                <w:b/>
                <w:bCs/>
              </w:rPr>
            </w:pPr>
            <w:r w:rsidRPr="00282F47">
              <w:rPr>
                <w:rFonts w:ascii="Arial" w:hAnsi="Arial" w:cs="Arial"/>
              </w:rPr>
              <w:t>Inflammatory Bowel Disease (Colitis)</w:t>
            </w:r>
          </w:p>
        </w:tc>
        <w:tc>
          <w:tcPr>
            <w:tcW w:w="1827" w:type="dxa"/>
          </w:tcPr>
          <w:p w14:paraId="7468F7F9" w14:textId="77777777" w:rsidR="002027D2" w:rsidRPr="00282F47" w:rsidRDefault="002027D2" w:rsidP="00EC65C3">
            <w:pPr>
              <w:jc w:val="center"/>
              <w:rPr>
                <w:rFonts w:ascii="Arial" w:hAnsi="Arial" w:cs="Arial"/>
              </w:rPr>
            </w:pPr>
            <w:r w:rsidRPr="00282F47">
              <w:rPr>
                <w:rFonts w:ascii="Arial" w:hAnsi="Arial" w:cs="Arial"/>
              </w:rPr>
              <w:t>MSOT</w:t>
            </w:r>
          </w:p>
        </w:tc>
        <w:tc>
          <w:tcPr>
            <w:tcW w:w="1446" w:type="dxa"/>
          </w:tcPr>
          <w:p w14:paraId="79FE1027" w14:textId="77777777" w:rsidR="002027D2" w:rsidRPr="00282F47" w:rsidRDefault="002027D2" w:rsidP="00EC65C3">
            <w:pPr>
              <w:jc w:val="center"/>
              <w:rPr>
                <w:rFonts w:ascii="Arial" w:hAnsi="Arial" w:cs="Arial"/>
              </w:rPr>
            </w:pPr>
            <w:r w:rsidRPr="00282F47">
              <w:rPr>
                <w:rFonts w:ascii="Arial" w:hAnsi="Arial" w:cs="Arial"/>
              </w:rPr>
              <w:t>Pulsed Nd: YAG laser at 680-980 nm</w:t>
            </w:r>
          </w:p>
        </w:tc>
        <w:tc>
          <w:tcPr>
            <w:tcW w:w="1692" w:type="dxa"/>
          </w:tcPr>
          <w:p w14:paraId="22BE9C62" w14:textId="77777777" w:rsidR="002027D2" w:rsidRPr="00282F47" w:rsidRDefault="002027D2" w:rsidP="00EC65C3">
            <w:pPr>
              <w:jc w:val="center"/>
              <w:rPr>
                <w:rFonts w:ascii="Arial" w:hAnsi="Arial" w:cs="Arial"/>
              </w:rPr>
            </w:pPr>
            <w:r w:rsidRPr="00282F47">
              <w:rPr>
                <w:rFonts w:ascii="Arial" w:hAnsi="Arial" w:cs="Arial"/>
              </w:rPr>
              <w:t>64 element, 4 MHz, and 256 element, 3 MHz, probes</w:t>
            </w:r>
          </w:p>
          <w:p w14:paraId="05822AF4" w14:textId="77777777" w:rsidR="002027D2" w:rsidRPr="00282F47" w:rsidRDefault="002027D2" w:rsidP="00EC65C3">
            <w:pPr>
              <w:jc w:val="center"/>
              <w:rPr>
                <w:rFonts w:ascii="Arial" w:hAnsi="Arial" w:cs="Arial"/>
              </w:rPr>
            </w:pPr>
          </w:p>
          <w:p w14:paraId="6DB693D3" w14:textId="77777777" w:rsidR="002027D2" w:rsidRPr="00282F47" w:rsidRDefault="002027D2" w:rsidP="00EC65C3">
            <w:pPr>
              <w:jc w:val="center"/>
              <w:rPr>
                <w:rFonts w:ascii="Arial" w:hAnsi="Arial" w:cs="Arial"/>
              </w:rPr>
            </w:pPr>
          </w:p>
        </w:tc>
        <w:tc>
          <w:tcPr>
            <w:tcW w:w="1372" w:type="dxa"/>
          </w:tcPr>
          <w:p w14:paraId="105206E8" w14:textId="77777777" w:rsidR="002027D2" w:rsidRPr="00282F47" w:rsidRDefault="002027D2" w:rsidP="00EC65C3">
            <w:pPr>
              <w:jc w:val="center"/>
              <w:rPr>
                <w:rFonts w:ascii="Arial" w:hAnsi="Arial" w:cs="Arial"/>
              </w:rPr>
            </w:pPr>
            <w:r w:rsidRPr="00282F47">
              <w:rPr>
                <w:rFonts w:ascii="Arial" w:hAnsi="Arial" w:cs="Arial"/>
              </w:rPr>
              <w:t>44 patients</w:t>
            </w:r>
          </w:p>
        </w:tc>
        <w:tc>
          <w:tcPr>
            <w:tcW w:w="1323" w:type="dxa"/>
          </w:tcPr>
          <w:p w14:paraId="35DFB27F" w14:textId="77777777" w:rsidR="002027D2" w:rsidRPr="00282F47" w:rsidRDefault="002027D2" w:rsidP="00EC65C3">
            <w:pPr>
              <w:jc w:val="center"/>
              <w:rPr>
                <w:rFonts w:ascii="Arial" w:hAnsi="Arial" w:cs="Arial"/>
              </w:rPr>
            </w:pPr>
            <w:r w:rsidRPr="00282F47">
              <w:rPr>
                <w:rFonts w:ascii="Arial" w:hAnsi="Arial" w:cs="Arial"/>
              </w:rPr>
              <w:t>Knieling et al</w:t>
            </w:r>
            <w:r w:rsidRPr="00282F47">
              <w:rPr>
                <w:rFonts w:ascii="Arial" w:hAnsi="Arial" w:cs="Arial"/>
                <w:noProof/>
                <w:vertAlign w:val="superscript"/>
              </w:rPr>
              <w:t>32</w:t>
            </w:r>
          </w:p>
        </w:tc>
      </w:tr>
      <w:tr w:rsidR="002027D2" w:rsidRPr="00282F47" w14:paraId="5CF4DBBF" w14:textId="77777777" w:rsidTr="00107F33">
        <w:trPr>
          <w:jc w:val="center"/>
        </w:trPr>
        <w:tc>
          <w:tcPr>
            <w:tcW w:w="1690" w:type="dxa"/>
          </w:tcPr>
          <w:p w14:paraId="704E3D9B" w14:textId="77777777" w:rsidR="002027D2" w:rsidRPr="00282F47" w:rsidRDefault="002027D2" w:rsidP="00EC65C3">
            <w:pPr>
              <w:jc w:val="center"/>
              <w:rPr>
                <w:rFonts w:ascii="Arial" w:hAnsi="Arial" w:cs="Arial"/>
                <w:b/>
                <w:bCs/>
              </w:rPr>
            </w:pPr>
            <w:r w:rsidRPr="00282F47">
              <w:rPr>
                <w:rFonts w:ascii="Arial" w:hAnsi="Arial" w:cs="Arial"/>
              </w:rPr>
              <w:t>Dermatological Imaging</w:t>
            </w:r>
          </w:p>
        </w:tc>
        <w:tc>
          <w:tcPr>
            <w:tcW w:w="1827" w:type="dxa"/>
          </w:tcPr>
          <w:p w14:paraId="049E4ADD" w14:textId="77777777" w:rsidR="002027D2" w:rsidRPr="00282F47" w:rsidRDefault="002027D2" w:rsidP="00EC65C3">
            <w:pPr>
              <w:jc w:val="center"/>
              <w:rPr>
                <w:rFonts w:ascii="Arial" w:hAnsi="Arial" w:cs="Arial"/>
              </w:rPr>
            </w:pPr>
            <w:r w:rsidRPr="00282F47">
              <w:rPr>
                <w:rFonts w:ascii="Arial" w:hAnsi="Arial" w:cs="Arial"/>
              </w:rPr>
              <w:t>MSOM</w:t>
            </w:r>
          </w:p>
        </w:tc>
        <w:tc>
          <w:tcPr>
            <w:tcW w:w="1446" w:type="dxa"/>
          </w:tcPr>
          <w:p w14:paraId="47AAB4F6" w14:textId="77777777" w:rsidR="002027D2" w:rsidRPr="00282F47" w:rsidRDefault="002027D2" w:rsidP="00EC65C3">
            <w:pPr>
              <w:jc w:val="center"/>
              <w:rPr>
                <w:rFonts w:ascii="Arial" w:hAnsi="Arial" w:cs="Arial"/>
              </w:rPr>
            </w:pPr>
            <w:r w:rsidRPr="00282F47">
              <w:rPr>
                <w:rFonts w:ascii="Arial" w:hAnsi="Arial" w:cs="Arial"/>
              </w:rPr>
              <w:t>flash-lamp pumped Nd: YAG OPO pulsed laser 460- 650nm</w:t>
            </w:r>
          </w:p>
        </w:tc>
        <w:tc>
          <w:tcPr>
            <w:tcW w:w="1692" w:type="dxa"/>
          </w:tcPr>
          <w:p w14:paraId="7AED0F70" w14:textId="77777777" w:rsidR="002027D2" w:rsidRPr="00282F47" w:rsidRDefault="002027D2" w:rsidP="00EC65C3">
            <w:pPr>
              <w:jc w:val="center"/>
              <w:rPr>
                <w:rFonts w:ascii="Arial" w:hAnsi="Arial" w:cs="Arial"/>
              </w:rPr>
            </w:pPr>
            <w:r w:rsidRPr="00282F47">
              <w:rPr>
                <w:rFonts w:ascii="Arial" w:hAnsi="Arial" w:cs="Arial"/>
              </w:rPr>
              <w:t>54.2 MHz broadband spherically focused transducer</w:t>
            </w:r>
          </w:p>
        </w:tc>
        <w:tc>
          <w:tcPr>
            <w:tcW w:w="1372" w:type="dxa"/>
          </w:tcPr>
          <w:p w14:paraId="7376463A" w14:textId="77777777" w:rsidR="002027D2" w:rsidRPr="00282F47" w:rsidRDefault="002027D2" w:rsidP="00EC65C3">
            <w:pPr>
              <w:jc w:val="center"/>
              <w:rPr>
                <w:rFonts w:ascii="Arial" w:hAnsi="Arial" w:cs="Arial"/>
              </w:rPr>
            </w:pPr>
            <w:r w:rsidRPr="00282F47">
              <w:rPr>
                <w:rFonts w:ascii="Arial" w:hAnsi="Arial" w:cs="Arial"/>
              </w:rPr>
              <w:t>28-year-old healthy man</w:t>
            </w:r>
          </w:p>
        </w:tc>
        <w:tc>
          <w:tcPr>
            <w:tcW w:w="1323" w:type="dxa"/>
          </w:tcPr>
          <w:p w14:paraId="1B7119BB" w14:textId="77777777" w:rsidR="002027D2" w:rsidRPr="00282F47" w:rsidRDefault="002027D2" w:rsidP="00EC65C3">
            <w:pPr>
              <w:jc w:val="center"/>
              <w:rPr>
                <w:rFonts w:ascii="Arial" w:hAnsi="Arial" w:cs="Arial"/>
              </w:rPr>
            </w:pPr>
            <w:r w:rsidRPr="00282F47">
              <w:rPr>
                <w:rFonts w:ascii="Arial" w:hAnsi="Arial" w:cs="Arial"/>
              </w:rPr>
              <w:t>Schwarz et al</w:t>
            </w:r>
            <w:r w:rsidRPr="00282F47">
              <w:rPr>
                <w:rFonts w:ascii="Arial" w:hAnsi="Arial" w:cs="Arial"/>
                <w:noProof/>
                <w:vertAlign w:val="superscript"/>
              </w:rPr>
              <w:t>33</w:t>
            </w:r>
          </w:p>
        </w:tc>
      </w:tr>
      <w:tr w:rsidR="002027D2" w:rsidRPr="00282F47" w14:paraId="3C1DBF68" w14:textId="77777777" w:rsidTr="00107F33">
        <w:trPr>
          <w:jc w:val="center"/>
        </w:trPr>
        <w:tc>
          <w:tcPr>
            <w:tcW w:w="1690" w:type="dxa"/>
          </w:tcPr>
          <w:p w14:paraId="389F0CCC" w14:textId="77777777" w:rsidR="002027D2" w:rsidRPr="00282F47" w:rsidRDefault="002027D2" w:rsidP="00EC65C3">
            <w:pPr>
              <w:jc w:val="center"/>
              <w:rPr>
                <w:rFonts w:ascii="Arial" w:hAnsi="Arial" w:cs="Arial"/>
                <w:b/>
                <w:bCs/>
              </w:rPr>
            </w:pPr>
            <w:r w:rsidRPr="00282F47">
              <w:rPr>
                <w:rFonts w:ascii="Arial" w:hAnsi="Arial" w:cs="Arial"/>
              </w:rPr>
              <w:t>Dermatological Imaging</w:t>
            </w:r>
          </w:p>
        </w:tc>
        <w:tc>
          <w:tcPr>
            <w:tcW w:w="1827" w:type="dxa"/>
          </w:tcPr>
          <w:p w14:paraId="48BAC2DA" w14:textId="77777777" w:rsidR="002027D2" w:rsidRPr="00282F47" w:rsidRDefault="002027D2" w:rsidP="00EC65C3">
            <w:pPr>
              <w:jc w:val="center"/>
              <w:rPr>
                <w:rFonts w:ascii="Arial" w:hAnsi="Arial" w:cs="Arial"/>
              </w:rPr>
            </w:pPr>
            <w:r w:rsidRPr="00282F47">
              <w:rPr>
                <w:rFonts w:ascii="Arial" w:hAnsi="Arial" w:cs="Arial"/>
              </w:rPr>
              <w:t>Volumetric MSOT</w:t>
            </w:r>
          </w:p>
        </w:tc>
        <w:tc>
          <w:tcPr>
            <w:tcW w:w="1446" w:type="dxa"/>
          </w:tcPr>
          <w:p w14:paraId="3FD20FBE" w14:textId="77777777" w:rsidR="002027D2" w:rsidRPr="00282F47" w:rsidRDefault="002027D2" w:rsidP="00EC65C3">
            <w:pPr>
              <w:jc w:val="center"/>
              <w:rPr>
                <w:rFonts w:ascii="Arial" w:hAnsi="Arial" w:cs="Arial"/>
              </w:rPr>
            </w:pPr>
            <w:r w:rsidRPr="00282F47">
              <w:rPr>
                <w:rFonts w:ascii="Arial" w:hAnsi="Arial" w:cs="Arial"/>
              </w:rPr>
              <w:t>690-900nm tunable OPO pulsed laser</w:t>
            </w:r>
          </w:p>
        </w:tc>
        <w:tc>
          <w:tcPr>
            <w:tcW w:w="1692" w:type="dxa"/>
          </w:tcPr>
          <w:p w14:paraId="78B2D119" w14:textId="77777777" w:rsidR="002027D2" w:rsidRPr="00282F47" w:rsidRDefault="002027D2" w:rsidP="00EC65C3">
            <w:pPr>
              <w:jc w:val="center"/>
              <w:rPr>
                <w:rFonts w:ascii="Arial" w:hAnsi="Arial" w:cs="Arial"/>
              </w:rPr>
            </w:pPr>
            <w:r w:rsidRPr="00282F47">
              <w:rPr>
                <w:rFonts w:ascii="Arial" w:hAnsi="Arial" w:cs="Arial"/>
              </w:rPr>
              <w:t>256 element, 4MHz, spherical transducer array</w:t>
            </w:r>
          </w:p>
        </w:tc>
        <w:tc>
          <w:tcPr>
            <w:tcW w:w="1372" w:type="dxa"/>
          </w:tcPr>
          <w:p w14:paraId="7F0CAD8E" w14:textId="77777777" w:rsidR="002027D2" w:rsidRPr="00282F47" w:rsidRDefault="002027D2" w:rsidP="00EC65C3">
            <w:pPr>
              <w:jc w:val="center"/>
              <w:rPr>
                <w:rFonts w:ascii="Arial" w:hAnsi="Arial" w:cs="Arial"/>
              </w:rPr>
            </w:pPr>
            <w:r w:rsidRPr="00282F47">
              <w:rPr>
                <w:rFonts w:ascii="Arial" w:hAnsi="Arial" w:cs="Arial"/>
              </w:rPr>
              <w:t>3 patients with skin lesions</w:t>
            </w:r>
          </w:p>
        </w:tc>
        <w:tc>
          <w:tcPr>
            <w:tcW w:w="1323" w:type="dxa"/>
          </w:tcPr>
          <w:p w14:paraId="246B1BFF" w14:textId="77777777" w:rsidR="002027D2" w:rsidRPr="00282F47" w:rsidRDefault="002027D2" w:rsidP="00EC65C3">
            <w:pPr>
              <w:jc w:val="center"/>
              <w:rPr>
                <w:rFonts w:ascii="Arial" w:hAnsi="Arial" w:cs="Arial"/>
              </w:rPr>
            </w:pPr>
            <w:r w:rsidRPr="00282F47">
              <w:rPr>
                <w:rFonts w:ascii="Arial" w:hAnsi="Arial" w:cs="Arial"/>
              </w:rPr>
              <w:t>Chuah et al</w:t>
            </w:r>
            <w:r w:rsidRPr="00282F47">
              <w:rPr>
                <w:rFonts w:ascii="Arial" w:hAnsi="Arial" w:cs="Arial"/>
                <w:noProof/>
                <w:vertAlign w:val="superscript"/>
              </w:rPr>
              <w:t>34</w:t>
            </w:r>
          </w:p>
        </w:tc>
      </w:tr>
      <w:tr w:rsidR="002027D2" w:rsidRPr="00282F47" w14:paraId="49250D53" w14:textId="77777777" w:rsidTr="00107F33">
        <w:trPr>
          <w:jc w:val="center"/>
        </w:trPr>
        <w:tc>
          <w:tcPr>
            <w:tcW w:w="1690" w:type="dxa"/>
          </w:tcPr>
          <w:p w14:paraId="5C44D458" w14:textId="77777777" w:rsidR="002027D2" w:rsidRPr="00282F47" w:rsidRDefault="002027D2" w:rsidP="00EC65C3">
            <w:pPr>
              <w:jc w:val="center"/>
              <w:rPr>
                <w:rFonts w:ascii="Arial" w:hAnsi="Arial" w:cs="Arial"/>
                <w:b/>
                <w:bCs/>
              </w:rPr>
            </w:pPr>
            <w:r w:rsidRPr="00282F47">
              <w:rPr>
                <w:rFonts w:ascii="Arial" w:hAnsi="Arial" w:cs="Arial"/>
              </w:rPr>
              <w:t>Lymph Node Imaging</w:t>
            </w:r>
          </w:p>
        </w:tc>
        <w:tc>
          <w:tcPr>
            <w:tcW w:w="1827" w:type="dxa"/>
          </w:tcPr>
          <w:p w14:paraId="57930C75" w14:textId="77777777" w:rsidR="002027D2" w:rsidRPr="00282F47" w:rsidRDefault="002027D2" w:rsidP="00EC65C3">
            <w:pPr>
              <w:jc w:val="center"/>
              <w:rPr>
                <w:rFonts w:ascii="Arial" w:hAnsi="Arial" w:cs="Arial"/>
              </w:rPr>
            </w:pPr>
            <w:r w:rsidRPr="00282F47">
              <w:rPr>
                <w:rFonts w:ascii="Arial" w:hAnsi="Arial" w:cs="Arial"/>
              </w:rPr>
              <w:t>Vevo LAZR optoacoustic imaging</w:t>
            </w:r>
          </w:p>
        </w:tc>
        <w:tc>
          <w:tcPr>
            <w:tcW w:w="1446" w:type="dxa"/>
          </w:tcPr>
          <w:p w14:paraId="3F51D233" w14:textId="77777777" w:rsidR="002027D2" w:rsidRPr="00282F47" w:rsidRDefault="002027D2" w:rsidP="00EC65C3">
            <w:pPr>
              <w:jc w:val="center"/>
              <w:rPr>
                <w:rFonts w:ascii="Arial" w:hAnsi="Arial" w:cs="Arial"/>
              </w:rPr>
            </w:pPr>
            <w:r w:rsidRPr="00282F47">
              <w:rPr>
                <w:rFonts w:ascii="Arial" w:hAnsi="Arial" w:cs="Arial"/>
              </w:rPr>
              <w:t>Pulsed laser 680-970 nm</w:t>
            </w:r>
          </w:p>
        </w:tc>
        <w:tc>
          <w:tcPr>
            <w:tcW w:w="1692" w:type="dxa"/>
          </w:tcPr>
          <w:p w14:paraId="40F9C55F" w14:textId="77777777" w:rsidR="002027D2" w:rsidRPr="00282F47" w:rsidRDefault="002027D2" w:rsidP="00EC65C3">
            <w:pPr>
              <w:jc w:val="center"/>
              <w:rPr>
                <w:rFonts w:ascii="Arial" w:hAnsi="Arial" w:cs="Arial"/>
              </w:rPr>
            </w:pPr>
            <w:r w:rsidRPr="00282F47">
              <w:rPr>
                <w:rFonts w:ascii="Arial" w:hAnsi="Arial" w:cs="Arial"/>
              </w:rPr>
              <w:t xml:space="preserve">21 MHz, linear </w:t>
            </w:r>
            <w:r w:rsidRPr="00282F47">
              <w:rPr>
                <w:rFonts w:ascii="Arial" w:hAnsi="Arial" w:cs="Arial"/>
              </w:rPr>
              <w:lastRenderedPageBreak/>
              <w:t>transducer array</w:t>
            </w:r>
          </w:p>
        </w:tc>
        <w:tc>
          <w:tcPr>
            <w:tcW w:w="1372" w:type="dxa"/>
          </w:tcPr>
          <w:p w14:paraId="491594FE" w14:textId="77777777" w:rsidR="002027D2" w:rsidRPr="00282F47" w:rsidRDefault="002027D2" w:rsidP="00EC65C3">
            <w:pPr>
              <w:jc w:val="center"/>
              <w:rPr>
                <w:rFonts w:ascii="Arial" w:hAnsi="Arial" w:cs="Arial"/>
              </w:rPr>
            </w:pPr>
            <w:r w:rsidRPr="00282F47">
              <w:rPr>
                <w:rFonts w:ascii="Arial" w:hAnsi="Arial" w:cs="Arial"/>
              </w:rPr>
              <w:lastRenderedPageBreak/>
              <w:t xml:space="preserve">12 lymph nodes </w:t>
            </w:r>
            <w:r w:rsidRPr="00282F47">
              <w:rPr>
                <w:rFonts w:ascii="Arial" w:hAnsi="Arial" w:cs="Arial"/>
                <w:i/>
              </w:rPr>
              <w:t>ex vivo</w:t>
            </w:r>
          </w:p>
        </w:tc>
        <w:tc>
          <w:tcPr>
            <w:tcW w:w="1323" w:type="dxa"/>
          </w:tcPr>
          <w:p w14:paraId="5C01B90D" w14:textId="77777777" w:rsidR="002027D2" w:rsidRPr="00282F47" w:rsidRDefault="002027D2" w:rsidP="00EC65C3">
            <w:pPr>
              <w:jc w:val="center"/>
              <w:rPr>
                <w:rFonts w:ascii="Arial" w:hAnsi="Arial" w:cs="Arial"/>
              </w:rPr>
            </w:pPr>
            <w:r w:rsidRPr="00282F47">
              <w:rPr>
                <w:rFonts w:ascii="Arial" w:hAnsi="Arial" w:cs="Arial"/>
              </w:rPr>
              <w:t>Langhout et al</w:t>
            </w:r>
            <w:r w:rsidRPr="00282F47">
              <w:rPr>
                <w:rFonts w:ascii="Arial" w:hAnsi="Arial" w:cs="Arial"/>
                <w:noProof/>
                <w:vertAlign w:val="superscript"/>
              </w:rPr>
              <w:t>35</w:t>
            </w:r>
          </w:p>
        </w:tc>
      </w:tr>
      <w:tr w:rsidR="002027D2" w:rsidRPr="00282F47" w14:paraId="2611CB26" w14:textId="77777777" w:rsidTr="00107F33">
        <w:trPr>
          <w:jc w:val="center"/>
        </w:trPr>
        <w:tc>
          <w:tcPr>
            <w:tcW w:w="1690" w:type="dxa"/>
          </w:tcPr>
          <w:p w14:paraId="2D7D0EAE" w14:textId="77777777" w:rsidR="002027D2" w:rsidRPr="00282F47" w:rsidRDefault="002027D2" w:rsidP="00EC65C3">
            <w:pPr>
              <w:jc w:val="center"/>
              <w:rPr>
                <w:rFonts w:ascii="Arial" w:hAnsi="Arial" w:cs="Arial"/>
                <w:b/>
                <w:bCs/>
              </w:rPr>
            </w:pPr>
            <w:r w:rsidRPr="00282F47">
              <w:rPr>
                <w:rFonts w:ascii="Arial" w:hAnsi="Arial" w:cs="Arial"/>
              </w:rPr>
              <w:t>Lymph Node Imaging</w:t>
            </w:r>
          </w:p>
        </w:tc>
        <w:tc>
          <w:tcPr>
            <w:tcW w:w="1827" w:type="dxa"/>
          </w:tcPr>
          <w:p w14:paraId="31A907C6" w14:textId="77777777" w:rsidR="002027D2" w:rsidRPr="00282F47" w:rsidRDefault="002027D2" w:rsidP="00EC65C3">
            <w:pPr>
              <w:jc w:val="center"/>
              <w:rPr>
                <w:rFonts w:ascii="Arial" w:hAnsi="Arial" w:cs="Arial"/>
              </w:rPr>
            </w:pPr>
            <w:r w:rsidRPr="00282F47">
              <w:rPr>
                <w:rFonts w:ascii="Arial" w:hAnsi="Arial" w:cs="Arial"/>
              </w:rPr>
              <w:t>Handheld MSOT</w:t>
            </w:r>
          </w:p>
        </w:tc>
        <w:tc>
          <w:tcPr>
            <w:tcW w:w="1446" w:type="dxa"/>
          </w:tcPr>
          <w:p w14:paraId="3C9BF33F" w14:textId="77777777" w:rsidR="002027D2" w:rsidRPr="00282F47" w:rsidRDefault="002027D2" w:rsidP="00EC65C3">
            <w:pPr>
              <w:jc w:val="center"/>
              <w:rPr>
                <w:rFonts w:ascii="Arial" w:hAnsi="Arial" w:cs="Arial"/>
              </w:rPr>
            </w:pPr>
            <w:r w:rsidRPr="00282F47">
              <w:rPr>
                <w:rFonts w:ascii="Arial" w:hAnsi="Arial" w:cs="Arial"/>
              </w:rPr>
              <w:t>ND: YAG tunable OPO laser from 680-980nm</w:t>
            </w:r>
          </w:p>
        </w:tc>
        <w:tc>
          <w:tcPr>
            <w:tcW w:w="1692" w:type="dxa"/>
          </w:tcPr>
          <w:p w14:paraId="45CF9A31" w14:textId="77777777" w:rsidR="002027D2" w:rsidRPr="00282F47" w:rsidRDefault="002027D2" w:rsidP="00EC65C3">
            <w:pPr>
              <w:jc w:val="center"/>
              <w:rPr>
                <w:rFonts w:ascii="Arial" w:hAnsi="Arial" w:cs="Arial"/>
              </w:rPr>
            </w:pPr>
            <w:r w:rsidRPr="00282F47">
              <w:rPr>
                <w:rFonts w:ascii="Arial" w:hAnsi="Arial" w:cs="Arial"/>
              </w:rPr>
              <w:t>256 element, 4MHz, cylindrically focused array</w:t>
            </w:r>
          </w:p>
        </w:tc>
        <w:tc>
          <w:tcPr>
            <w:tcW w:w="1372" w:type="dxa"/>
          </w:tcPr>
          <w:p w14:paraId="485B2FA1" w14:textId="77777777" w:rsidR="002027D2" w:rsidRPr="00282F47" w:rsidRDefault="002027D2" w:rsidP="00EC65C3">
            <w:pPr>
              <w:jc w:val="center"/>
              <w:rPr>
                <w:rFonts w:ascii="Arial" w:hAnsi="Arial" w:cs="Arial"/>
              </w:rPr>
            </w:pPr>
            <w:r w:rsidRPr="00282F47">
              <w:rPr>
                <w:rFonts w:ascii="Arial" w:hAnsi="Arial" w:cs="Arial"/>
              </w:rPr>
              <w:t>20 patients with administered ICG</w:t>
            </w:r>
          </w:p>
        </w:tc>
        <w:tc>
          <w:tcPr>
            <w:tcW w:w="1323" w:type="dxa"/>
          </w:tcPr>
          <w:p w14:paraId="6D3F078E" w14:textId="77777777" w:rsidR="002027D2" w:rsidRPr="00282F47" w:rsidRDefault="002027D2" w:rsidP="00EC65C3">
            <w:pPr>
              <w:jc w:val="center"/>
              <w:rPr>
                <w:rFonts w:ascii="Arial" w:hAnsi="Arial" w:cs="Arial"/>
              </w:rPr>
            </w:pPr>
            <w:r w:rsidRPr="00282F47">
              <w:rPr>
                <w:rFonts w:ascii="Arial" w:hAnsi="Arial" w:cs="Arial"/>
              </w:rPr>
              <w:t>Stoffels et al</w:t>
            </w:r>
            <w:r w:rsidRPr="00282F47">
              <w:rPr>
                <w:rFonts w:ascii="Arial" w:hAnsi="Arial" w:cs="Arial"/>
                <w:noProof/>
                <w:vertAlign w:val="superscript"/>
              </w:rPr>
              <w:t>1</w:t>
            </w:r>
          </w:p>
        </w:tc>
      </w:tr>
      <w:tr w:rsidR="002027D2" w:rsidRPr="00282F47" w14:paraId="4B4B87EB" w14:textId="77777777" w:rsidTr="00107F33">
        <w:trPr>
          <w:jc w:val="center"/>
        </w:trPr>
        <w:tc>
          <w:tcPr>
            <w:tcW w:w="1690" w:type="dxa"/>
          </w:tcPr>
          <w:p w14:paraId="13AB2E53" w14:textId="77777777" w:rsidR="002027D2" w:rsidRPr="00282F47" w:rsidRDefault="002027D2" w:rsidP="00EC65C3">
            <w:pPr>
              <w:jc w:val="center"/>
              <w:rPr>
                <w:rFonts w:ascii="Arial" w:hAnsi="Arial" w:cs="Arial"/>
                <w:b/>
                <w:bCs/>
              </w:rPr>
            </w:pPr>
            <w:r w:rsidRPr="00282F47">
              <w:rPr>
                <w:rFonts w:ascii="Arial" w:hAnsi="Arial" w:cs="Arial"/>
              </w:rPr>
              <w:t>Grave’s Disease</w:t>
            </w:r>
          </w:p>
        </w:tc>
        <w:tc>
          <w:tcPr>
            <w:tcW w:w="1827" w:type="dxa"/>
          </w:tcPr>
          <w:p w14:paraId="291CDE80" w14:textId="77777777" w:rsidR="002027D2" w:rsidRPr="00282F47" w:rsidRDefault="002027D2" w:rsidP="00EC65C3">
            <w:pPr>
              <w:jc w:val="center"/>
              <w:rPr>
                <w:rFonts w:ascii="Arial" w:hAnsi="Arial" w:cs="Arial"/>
              </w:rPr>
            </w:pPr>
            <w:r w:rsidRPr="00282F47">
              <w:rPr>
                <w:rFonts w:ascii="Arial" w:hAnsi="Arial" w:cs="Arial"/>
              </w:rPr>
              <w:t>Handheld MSOT</w:t>
            </w:r>
          </w:p>
        </w:tc>
        <w:tc>
          <w:tcPr>
            <w:tcW w:w="1446" w:type="dxa"/>
          </w:tcPr>
          <w:p w14:paraId="53909EC1" w14:textId="77777777" w:rsidR="002027D2" w:rsidRPr="00282F47" w:rsidRDefault="002027D2" w:rsidP="00EC65C3">
            <w:pPr>
              <w:jc w:val="center"/>
              <w:rPr>
                <w:rFonts w:ascii="Arial" w:hAnsi="Arial" w:cs="Arial"/>
              </w:rPr>
            </w:pPr>
            <w:r w:rsidRPr="00282F47">
              <w:rPr>
                <w:rFonts w:ascii="Arial" w:hAnsi="Arial" w:cs="Arial"/>
              </w:rPr>
              <w:t>Pulsed laser 700-970 nm</w:t>
            </w:r>
          </w:p>
        </w:tc>
        <w:tc>
          <w:tcPr>
            <w:tcW w:w="1692" w:type="dxa"/>
          </w:tcPr>
          <w:p w14:paraId="6E272C2D" w14:textId="77777777" w:rsidR="002027D2" w:rsidRPr="00282F47" w:rsidRDefault="002027D2" w:rsidP="00EC65C3">
            <w:pPr>
              <w:jc w:val="center"/>
              <w:rPr>
                <w:rFonts w:ascii="Arial" w:hAnsi="Arial" w:cs="Arial"/>
              </w:rPr>
            </w:pPr>
            <w:r w:rsidRPr="00282F47">
              <w:rPr>
                <w:rFonts w:ascii="Arial" w:hAnsi="Arial" w:cs="Arial"/>
              </w:rPr>
              <w:t>256 element, 4MHz, arc orientation</w:t>
            </w:r>
          </w:p>
        </w:tc>
        <w:tc>
          <w:tcPr>
            <w:tcW w:w="1372" w:type="dxa"/>
          </w:tcPr>
          <w:p w14:paraId="6FD6A0EC" w14:textId="77777777" w:rsidR="002027D2" w:rsidRPr="00282F47" w:rsidRDefault="002027D2" w:rsidP="00EC65C3">
            <w:pPr>
              <w:jc w:val="center"/>
              <w:rPr>
                <w:rFonts w:ascii="Arial" w:hAnsi="Arial" w:cs="Arial"/>
              </w:rPr>
            </w:pPr>
            <w:r w:rsidRPr="00282F47">
              <w:rPr>
                <w:rFonts w:ascii="Arial" w:hAnsi="Arial" w:cs="Arial"/>
              </w:rPr>
              <w:t>8 volunteers and 10 patients</w:t>
            </w:r>
          </w:p>
        </w:tc>
        <w:tc>
          <w:tcPr>
            <w:tcW w:w="1323" w:type="dxa"/>
          </w:tcPr>
          <w:p w14:paraId="17E87134" w14:textId="77777777" w:rsidR="002027D2" w:rsidRPr="00282F47" w:rsidRDefault="002027D2" w:rsidP="00EC65C3">
            <w:pPr>
              <w:jc w:val="center"/>
              <w:rPr>
                <w:rFonts w:ascii="Arial" w:hAnsi="Arial" w:cs="Arial"/>
              </w:rPr>
            </w:pPr>
            <w:r w:rsidRPr="00282F47">
              <w:rPr>
                <w:rFonts w:ascii="Arial" w:hAnsi="Arial" w:cs="Arial"/>
              </w:rPr>
              <w:t>Kronke et al</w:t>
            </w:r>
            <w:r w:rsidRPr="00282F47">
              <w:rPr>
                <w:rFonts w:ascii="Arial" w:hAnsi="Arial" w:cs="Arial"/>
                <w:noProof/>
                <w:vertAlign w:val="superscript"/>
              </w:rPr>
              <w:t>36</w:t>
            </w:r>
          </w:p>
        </w:tc>
      </w:tr>
      <w:tr w:rsidR="002027D2" w:rsidRPr="00282F47" w14:paraId="1AC603F4" w14:textId="77777777" w:rsidTr="00107F33">
        <w:trPr>
          <w:jc w:val="center"/>
        </w:trPr>
        <w:tc>
          <w:tcPr>
            <w:tcW w:w="1690" w:type="dxa"/>
          </w:tcPr>
          <w:p w14:paraId="2BAA2CC5" w14:textId="77777777" w:rsidR="002027D2" w:rsidRPr="00282F47" w:rsidRDefault="002027D2" w:rsidP="00EC65C3">
            <w:pPr>
              <w:jc w:val="center"/>
              <w:rPr>
                <w:rFonts w:ascii="Arial" w:hAnsi="Arial" w:cs="Arial"/>
                <w:b/>
                <w:bCs/>
              </w:rPr>
            </w:pPr>
            <w:r w:rsidRPr="00282F47">
              <w:rPr>
                <w:rFonts w:ascii="Arial" w:hAnsi="Arial" w:cs="Arial"/>
              </w:rPr>
              <w:t>Grave’s Disease and Thyroid Cancer</w:t>
            </w:r>
          </w:p>
        </w:tc>
        <w:tc>
          <w:tcPr>
            <w:tcW w:w="1827" w:type="dxa"/>
          </w:tcPr>
          <w:p w14:paraId="3A8458B5" w14:textId="77777777" w:rsidR="002027D2" w:rsidRPr="00282F47" w:rsidRDefault="002027D2" w:rsidP="00EC65C3">
            <w:pPr>
              <w:jc w:val="center"/>
              <w:rPr>
                <w:rFonts w:ascii="Arial" w:hAnsi="Arial" w:cs="Arial"/>
              </w:rPr>
            </w:pPr>
            <w:r w:rsidRPr="00282F47">
              <w:rPr>
                <w:rFonts w:ascii="Arial" w:hAnsi="Arial" w:cs="Arial"/>
              </w:rPr>
              <w:t>Handheld MSOT</w:t>
            </w:r>
          </w:p>
        </w:tc>
        <w:tc>
          <w:tcPr>
            <w:tcW w:w="1446" w:type="dxa"/>
          </w:tcPr>
          <w:p w14:paraId="024BFB1D" w14:textId="77777777" w:rsidR="002027D2" w:rsidRPr="00282F47" w:rsidRDefault="002027D2" w:rsidP="00EC65C3">
            <w:pPr>
              <w:jc w:val="center"/>
              <w:rPr>
                <w:rFonts w:ascii="Arial" w:hAnsi="Arial" w:cs="Arial"/>
              </w:rPr>
            </w:pPr>
            <w:r w:rsidRPr="00282F47">
              <w:rPr>
                <w:rFonts w:ascii="Arial" w:hAnsi="Arial" w:cs="Arial"/>
              </w:rPr>
              <w:t>9 ns pulsed laser from 700-950 nm</w:t>
            </w:r>
          </w:p>
        </w:tc>
        <w:tc>
          <w:tcPr>
            <w:tcW w:w="1692" w:type="dxa"/>
          </w:tcPr>
          <w:p w14:paraId="37ED3578" w14:textId="77777777" w:rsidR="002027D2" w:rsidRPr="00282F47" w:rsidRDefault="002027D2" w:rsidP="00EC65C3">
            <w:pPr>
              <w:jc w:val="center"/>
              <w:rPr>
                <w:rFonts w:ascii="Arial" w:hAnsi="Arial" w:cs="Arial"/>
              </w:rPr>
            </w:pPr>
            <w:r w:rsidRPr="00282F47">
              <w:rPr>
                <w:rFonts w:ascii="Arial" w:hAnsi="Arial" w:cs="Arial"/>
              </w:rPr>
              <w:t>256 element, 3MHz, 40x40 mm field of view</w:t>
            </w:r>
          </w:p>
        </w:tc>
        <w:tc>
          <w:tcPr>
            <w:tcW w:w="1372" w:type="dxa"/>
          </w:tcPr>
          <w:p w14:paraId="2228FD56" w14:textId="77777777" w:rsidR="002027D2" w:rsidRPr="00282F47" w:rsidRDefault="002027D2" w:rsidP="00EC65C3">
            <w:pPr>
              <w:jc w:val="center"/>
              <w:rPr>
                <w:rFonts w:ascii="Arial" w:hAnsi="Arial" w:cs="Arial"/>
              </w:rPr>
            </w:pPr>
            <w:r w:rsidRPr="00282F47">
              <w:rPr>
                <w:rFonts w:ascii="Arial" w:hAnsi="Arial" w:cs="Arial"/>
              </w:rPr>
              <w:t>18 patients</w:t>
            </w:r>
          </w:p>
        </w:tc>
        <w:tc>
          <w:tcPr>
            <w:tcW w:w="1323" w:type="dxa"/>
          </w:tcPr>
          <w:p w14:paraId="198B9453" w14:textId="77777777" w:rsidR="002027D2" w:rsidRPr="00282F47" w:rsidRDefault="002027D2" w:rsidP="00EC65C3">
            <w:pPr>
              <w:jc w:val="center"/>
              <w:rPr>
                <w:rFonts w:ascii="Arial" w:hAnsi="Arial" w:cs="Arial"/>
              </w:rPr>
            </w:pPr>
            <w:r w:rsidRPr="00282F47">
              <w:rPr>
                <w:rFonts w:ascii="Arial" w:hAnsi="Arial" w:cs="Arial"/>
              </w:rPr>
              <w:t>Roll et al</w:t>
            </w:r>
            <w:r w:rsidRPr="00282F47">
              <w:rPr>
                <w:rFonts w:ascii="Arial" w:hAnsi="Arial" w:cs="Arial"/>
                <w:noProof/>
                <w:vertAlign w:val="superscript"/>
              </w:rPr>
              <w:t>37</w:t>
            </w:r>
          </w:p>
        </w:tc>
      </w:tr>
      <w:tr w:rsidR="002027D2" w:rsidRPr="00282F47" w14:paraId="0D4C318D" w14:textId="77777777" w:rsidTr="00107F33">
        <w:trPr>
          <w:jc w:val="center"/>
        </w:trPr>
        <w:tc>
          <w:tcPr>
            <w:tcW w:w="1690" w:type="dxa"/>
          </w:tcPr>
          <w:p w14:paraId="39926C47" w14:textId="77777777" w:rsidR="002027D2" w:rsidRPr="00282F47" w:rsidRDefault="002027D2" w:rsidP="00323CC4">
            <w:pPr>
              <w:jc w:val="center"/>
              <w:rPr>
                <w:rFonts w:ascii="Arial" w:hAnsi="Arial" w:cs="Arial"/>
                <w:b/>
                <w:bCs/>
              </w:rPr>
            </w:pPr>
            <w:r w:rsidRPr="00282F47">
              <w:rPr>
                <w:rFonts w:ascii="Arial" w:hAnsi="Arial" w:cs="Arial"/>
              </w:rPr>
              <w:t>Cardiovascular Disease Monitoring</w:t>
            </w:r>
          </w:p>
        </w:tc>
        <w:tc>
          <w:tcPr>
            <w:tcW w:w="1827" w:type="dxa"/>
          </w:tcPr>
          <w:p w14:paraId="4150A1F4" w14:textId="77777777" w:rsidR="002027D2" w:rsidRPr="00282F47" w:rsidRDefault="002027D2" w:rsidP="00323CC4">
            <w:pPr>
              <w:jc w:val="center"/>
              <w:rPr>
                <w:rFonts w:ascii="Arial" w:hAnsi="Arial" w:cs="Arial"/>
              </w:rPr>
            </w:pPr>
            <w:r w:rsidRPr="00282F47">
              <w:rPr>
                <w:rFonts w:ascii="Arial" w:hAnsi="Arial" w:cs="Arial"/>
              </w:rPr>
              <w:t>Volumetric MSOT</w:t>
            </w:r>
          </w:p>
        </w:tc>
        <w:tc>
          <w:tcPr>
            <w:tcW w:w="1446" w:type="dxa"/>
          </w:tcPr>
          <w:p w14:paraId="4D61F664" w14:textId="77777777" w:rsidR="002027D2" w:rsidRPr="00282F47" w:rsidRDefault="002027D2" w:rsidP="00323CC4">
            <w:pPr>
              <w:jc w:val="center"/>
              <w:rPr>
                <w:rFonts w:ascii="Arial" w:hAnsi="Arial" w:cs="Arial"/>
              </w:rPr>
            </w:pPr>
            <w:r w:rsidRPr="00282F47">
              <w:rPr>
                <w:rFonts w:ascii="Arial" w:hAnsi="Arial" w:cs="Arial"/>
              </w:rPr>
              <w:t>Pulsed laser 730-1064 nm</w:t>
            </w:r>
          </w:p>
        </w:tc>
        <w:tc>
          <w:tcPr>
            <w:tcW w:w="1692" w:type="dxa"/>
          </w:tcPr>
          <w:p w14:paraId="4236319F" w14:textId="77777777" w:rsidR="002027D2" w:rsidRPr="00282F47" w:rsidRDefault="002027D2" w:rsidP="00323CC4">
            <w:pPr>
              <w:jc w:val="center"/>
              <w:rPr>
                <w:rFonts w:ascii="Arial" w:hAnsi="Arial" w:cs="Arial"/>
              </w:rPr>
            </w:pPr>
            <w:r w:rsidRPr="00282F47">
              <w:rPr>
                <w:rFonts w:ascii="Arial" w:hAnsi="Arial" w:cs="Arial"/>
              </w:rPr>
              <w:t>256 element, spherical array</w:t>
            </w:r>
          </w:p>
        </w:tc>
        <w:tc>
          <w:tcPr>
            <w:tcW w:w="1372" w:type="dxa"/>
          </w:tcPr>
          <w:p w14:paraId="341A6BB1" w14:textId="77777777" w:rsidR="002027D2" w:rsidRPr="00282F47" w:rsidRDefault="002027D2" w:rsidP="00323CC4">
            <w:pPr>
              <w:jc w:val="center"/>
              <w:rPr>
                <w:rFonts w:ascii="Arial" w:hAnsi="Arial" w:cs="Arial"/>
              </w:rPr>
            </w:pPr>
            <w:r w:rsidRPr="00282F47">
              <w:rPr>
                <w:rFonts w:ascii="Arial" w:hAnsi="Arial" w:cs="Arial"/>
              </w:rPr>
              <w:t>16 volunteers</w:t>
            </w:r>
          </w:p>
        </w:tc>
        <w:tc>
          <w:tcPr>
            <w:tcW w:w="1323" w:type="dxa"/>
          </w:tcPr>
          <w:p w14:paraId="74A2315A" w14:textId="77777777" w:rsidR="002027D2" w:rsidRPr="00282F47" w:rsidRDefault="002027D2" w:rsidP="00323CC4">
            <w:pPr>
              <w:jc w:val="center"/>
              <w:rPr>
                <w:rFonts w:ascii="Arial" w:hAnsi="Arial" w:cs="Arial"/>
              </w:rPr>
            </w:pPr>
            <w:r w:rsidRPr="00282F47">
              <w:rPr>
                <w:rFonts w:ascii="Arial" w:hAnsi="Arial" w:cs="Arial"/>
              </w:rPr>
              <w:t>Ivankovic et al</w:t>
            </w:r>
            <w:r w:rsidRPr="00282F47">
              <w:rPr>
                <w:rFonts w:ascii="Arial" w:hAnsi="Arial" w:cs="Arial"/>
                <w:noProof/>
                <w:vertAlign w:val="superscript"/>
              </w:rPr>
              <w:t>38</w:t>
            </w:r>
          </w:p>
        </w:tc>
      </w:tr>
      <w:tr w:rsidR="002027D2" w:rsidRPr="00282F47" w14:paraId="70432FB8" w14:textId="77777777" w:rsidTr="00107F33">
        <w:trPr>
          <w:jc w:val="center"/>
        </w:trPr>
        <w:tc>
          <w:tcPr>
            <w:tcW w:w="1690" w:type="dxa"/>
          </w:tcPr>
          <w:p w14:paraId="3F159868" w14:textId="77777777" w:rsidR="002027D2" w:rsidRPr="00282F47" w:rsidRDefault="002027D2" w:rsidP="00323CC4">
            <w:pPr>
              <w:jc w:val="center"/>
              <w:rPr>
                <w:rFonts w:ascii="Arial" w:hAnsi="Arial" w:cs="Arial"/>
                <w:b/>
                <w:bCs/>
              </w:rPr>
            </w:pPr>
            <w:r w:rsidRPr="00282F47">
              <w:rPr>
                <w:rFonts w:ascii="Arial" w:hAnsi="Arial" w:cs="Arial"/>
              </w:rPr>
              <w:t>Systemic Sclerosis</w:t>
            </w:r>
          </w:p>
        </w:tc>
        <w:tc>
          <w:tcPr>
            <w:tcW w:w="1827" w:type="dxa"/>
          </w:tcPr>
          <w:p w14:paraId="3A84B1BC" w14:textId="77777777" w:rsidR="002027D2" w:rsidRPr="00282F47" w:rsidRDefault="002027D2" w:rsidP="00323CC4">
            <w:pPr>
              <w:jc w:val="center"/>
              <w:rPr>
                <w:rFonts w:ascii="Arial" w:hAnsi="Arial" w:cs="Arial"/>
              </w:rPr>
            </w:pPr>
            <w:r w:rsidRPr="00282F47">
              <w:rPr>
                <w:rFonts w:ascii="Arial" w:hAnsi="Arial" w:cs="Arial"/>
              </w:rPr>
              <w:t>Handheld US/MSOT</w:t>
            </w:r>
          </w:p>
        </w:tc>
        <w:tc>
          <w:tcPr>
            <w:tcW w:w="1446" w:type="dxa"/>
          </w:tcPr>
          <w:p w14:paraId="0FA35EFA" w14:textId="77777777" w:rsidR="002027D2" w:rsidRPr="00282F47" w:rsidRDefault="002027D2" w:rsidP="00323CC4">
            <w:pPr>
              <w:jc w:val="center"/>
              <w:rPr>
                <w:rFonts w:ascii="Arial" w:hAnsi="Arial" w:cs="Arial"/>
              </w:rPr>
            </w:pPr>
            <w:r w:rsidRPr="00282F47">
              <w:rPr>
                <w:rFonts w:ascii="Arial" w:hAnsi="Arial" w:cs="Arial"/>
              </w:rPr>
              <w:t>Pulsed Nd: YAG laser at 680-980 nm</w:t>
            </w:r>
          </w:p>
        </w:tc>
        <w:tc>
          <w:tcPr>
            <w:tcW w:w="1692" w:type="dxa"/>
          </w:tcPr>
          <w:p w14:paraId="097F62F5" w14:textId="77777777" w:rsidR="002027D2" w:rsidRPr="00282F47" w:rsidRDefault="002027D2" w:rsidP="00323CC4">
            <w:pPr>
              <w:jc w:val="center"/>
              <w:rPr>
                <w:rFonts w:ascii="Arial" w:hAnsi="Arial" w:cs="Arial"/>
              </w:rPr>
            </w:pPr>
            <w:r w:rsidRPr="00282F47">
              <w:rPr>
                <w:rFonts w:ascii="Arial" w:hAnsi="Arial" w:cs="Arial"/>
              </w:rPr>
              <w:t>256 elements, 4MHz, linear array</w:t>
            </w:r>
          </w:p>
        </w:tc>
        <w:tc>
          <w:tcPr>
            <w:tcW w:w="1372" w:type="dxa"/>
          </w:tcPr>
          <w:p w14:paraId="77040513" w14:textId="77777777" w:rsidR="002027D2" w:rsidRPr="00282F47" w:rsidRDefault="002027D2" w:rsidP="00323CC4">
            <w:pPr>
              <w:jc w:val="center"/>
              <w:rPr>
                <w:rFonts w:ascii="Arial" w:hAnsi="Arial" w:cs="Arial"/>
              </w:rPr>
            </w:pPr>
            <w:r w:rsidRPr="00282F47">
              <w:rPr>
                <w:rFonts w:ascii="Arial" w:hAnsi="Arial" w:cs="Arial"/>
              </w:rPr>
              <w:t>8 volunteers and 7 patients</w:t>
            </w:r>
          </w:p>
        </w:tc>
        <w:tc>
          <w:tcPr>
            <w:tcW w:w="1323" w:type="dxa"/>
          </w:tcPr>
          <w:p w14:paraId="7043B351" w14:textId="77777777" w:rsidR="002027D2" w:rsidRPr="00282F47" w:rsidRDefault="002027D2" w:rsidP="00323CC4">
            <w:pPr>
              <w:jc w:val="center"/>
              <w:rPr>
                <w:rFonts w:ascii="Arial" w:hAnsi="Arial" w:cs="Arial"/>
              </w:rPr>
            </w:pPr>
            <w:r w:rsidRPr="00282F47">
              <w:rPr>
                <w:rFonts w:ascii="Arial" w:hAnsi="Arial" w:cs="Arial"/>
              </w:rPr>
              <w:t>Masthoff et al</w:t>
            </w:r>
            <w:r w:rsidRPr="00282F47">
              <w:rPr>
                <w:rFonts w:ascii="Arial" w:hAnsi="Arial" w:cs="Arial"/>
                <w:noProof/>
                <w:vertAlign w:val="superscript"/>
              </w:rPr>
              <w:t>39</w:t>
            </w:r>
          </w:p>
        </w:tc>
      </w:tr>
      <w:tr w:rsidR="002027D2" w:rsidRPr="00282F47" w14:paraId="0505B757" w14:textId="77777777" w:rsidTr="00107F33">
        <w:trPr>
          <w:jc w:val="center"/>
        </w:trPr>
        <w:tc>
          <w:tcPr>
            <w:tcW w:w="1690" w:type="dxa"/>
          </w:tcPr>
          <w:p w14:paraId="5C8AAB71" w14:textId="77777777" w:rsidR="002027D2" w:rsidRPr="00282F47" w:rsidRDefault="002027D2" w:rsidP="00323CC4">
            <w:pPr>
              <w:jc w:val="center"/>
              <w:rPr>
                <w:rFonts w:ascii="Arial" w:hAnsi="Arial" w:cs="Arial"/>
                <w:b/>
                <w:bCs/>
              </w:rPr>
            </w:pPr>
            <w:r w:rsidRPr="00282F47">
              <w:rPr>
                <w:rFonts w:ascii="Arial" w:hAnsi="Arial" w:cs="Arial"/>
              </w:rPr>
              <w:t>Metabolic Disease in Adipose Tissue</w:t>
            </w:r>
          </w:p>
        </w:tc>
        <w:tc>
          <w:tcPr>
            <w:tcW w:w="1827" w:type="dxa"/>
          </w:tcPr>
          <w:p w14:paraId="4EDFE2CB" w14:textId="77777777" w:rsidR="002027D2" w:rsidRPr="00282F47" w:rsidRDefault="002027D2" w:rsidP="00323CC4">
            <w:pPr>
              <w:jc w:val="center"/>
              <w:rPr>
                <w:rFonts w:ascii="Arial" w:hAnsi="Arial" w:cs="Arial"/>
              </w:rPr>
            </w:pPr>
            <w:r w:rsidRPr="00282F47">
              <w:rPr>
                <w:rFonts w:ascii="Arial" w:hAnsi="Arial" w:cs="Arial"/>
              </w:rPr>
              <w:t>MSOT</w:t>
            </w:r>
          </w:p>
        </w:tc>
        <w:tc>
          <w:tcPr>
            <w:tcW w:w="1446" w:type="dxa"/>
          </w:tcPr>
          <w:p w14:paraId="7E0C704A" w14:textId="77777777" w:rsidR="002027D2" w:rsidRPr="00282F47" w:rsidRDefault="002027D2" w:rsidP="00323CC4">
            <w:pPr>
              <w:jc w:val="center"/>
              <w:rPr>
                <w:rFonts w:ascii="Arial" w:hAnsi="Arial" w:cs="Arial"/>
              </w:rPr>
            </w:pPr>
            <w:r w:rsidRPr="00282F47">
              <w:rPr>
                <w:rFonts w:ascii="Arial" w:hAnsi="Arial" w:cs="Arial"/>
              </w:rPr>
              <w:t>Pulsed laser at 680-950 nm</w:t>
            </w:r>
          </w:p>
        </w:tc>
        <w:tc>
          <w:tcPr>
            <w:tcW w:w="1692" w:type="dxa"/>
          </w:tcPr>
          <w:p w14:paraId="3E3CD253" w14:textId="77777777" w:rsidR="002027D2" w:rsidRPr="00282F47" w:rsidRDefault="002027D2" w:rsidP="00323CC4">
            <w:pPr>
              <w:jc w:val="center"/>
              <w:rPr>
                <w:rFonts w:ascii="Arial" w:hAnsi="Arial" w:cs="Arial"/>
              </w:rPr>
            </w:pPr>
            <w:r w:rsidRPr="00282F47">
              <w:rPr>
                <w:rFonts w:ascii="Arial" w:hAnsi="Arial" w:cs="Arial"/>
              </w:rPr>
              <w:t>256 element, 5MHz, cylindrically focused array</w:t>
            </w:r>
          </w:p>
        </w:tc>
        <w:tc>
          <w:tcPr>
            <w:tcW w:w="1372" w:type="dxa"/>
          </w:tcPr>
          <w:p w14:paraId="3E5D9557" w14:textId="77777777" w:rsidR="002027D2" w:rsidRPr="00282F47" w:rsidRDefault="002027D2" w:rsidP="00323CC4">
            <w:pPr>
              <w:jc w:val="center"/>
              <w:rPr>
                <w:rFonts w:ascii="Arial" w:hAnsi="Arial" w:cs="Arial"/>
              </w:rPr>
            </w:pPr>
            <w:r w:rsidRPr="00282F47">
              <w:rPr>
                <w:rFonts w:ascii="Arial" w:hAnsi="Arial" w:cs="Arial"/>
              </w:rPr>
              <w:t>13 volunteers</w:t>
            </w:r>
          </w:p>
        </w:tc>
        <w:tc>
          <w:tcPr>
            <w:tcW w:w="1323" w:type="dxa"/>
          </w:tcPr>
          <w:p w14:paraId="2737069F" w14:textId="77777777" w:rsidR="002027D2" w:rsidRPr="00282F47" w:rsidRDefault="002027D2" w:rsidP="00323CC4">
            <w:pPr>
              <w:jc w:val="center"/>
              <w:rPr>
                <w:rFonts w:ascii="Arial" w:hAnsi="Arial" w:cs="Arial"/>
              </w:rPr>
            </w:pPr>
            <w:r w:rsidRPr="00282F47">
              <w:rPr>
                <w:rFonts w:ascii="Arial" w:hAnsi="Arial" w:cs="Arial"/>
              </w:rPr>
              <w:t>Reber et al</w:t>
            </w:r>
            <w:r w:rsidRPr="00282F47">
              <w:rPr>
                <w:rFonts w:ascii="Arial" w:hAnsi="Arial" w:cs="Arial"/>
                <w:noProof/>
                <w:vertAlign w:val="superscript"/>
              </w:rPr>
              <w:t>40</w:t>
            </w:r>
          </w:p>
        </w:tc>
      </w:tr>
    </w:tbl>
    <w:p w14:paraId="47573336" w14:textId="77777777" w:rsidR="002027D2" w:rsidRPr="00282F47" w:rsidRDefault="002027D2" w:rsidP="00AF1E5A">
      <w:pPr>
        <w:spacing w:line="480" w:lineRule="auto"/>
        <w:jc w:val="both"/>
        <w:rPr>
          <w:rFonts w:ascii="Arial" w:hAnsi="Arial" w:cs="Arial"/>
          <w:sz w:val="24"/>
          <w:szCs w:val="24"/>
        </w:rPr>
      </w:pPr>
    </w:p>
    <w:p w14:paraId="775477B4" w14:textId="1E7B33D3" w:rsidR="002027D2" w:rsidRPr="00282F47" w:rsidRDefault="002027D2" w:rsidP="00AF1E5A">
      <w:pPr>
        <w:spacing w:line="480" w:lineRule="auto"/>
        <w:jc w:val="both"/>
        <w:rPr>
          <w:rFonts w:ascii="Arial" w:hAnsi="Arial" w:cs="Arial"/>
          <w:sz w:val="24"/>
          <w:szCs w:val="24"/>
        </w:rPr>
      </w:pPr>
      <w:r w:rsidRPr="00282F47">
        <w:rPr>
          <w:rFonts w:ascii="Arial" w:hAnsi="Arial" w:cs="Arial"/>
          <w:sz w:val="24"/>
          <w:szCs w:val="24"/>
        </w:rPr>
        <w:t>Clinically approved organic dyes for angiography, including indocyanine green (ICG) and methylene blue, have been shown to generate optoacoustic signal in addition to the more common</w:t>
      </w:r>
      <w:r w:rsidR="008F24D5">
        <w:rPr>
          <w:rFonts w:ascii="Arial" w:hAnsi="Arial" w:cs="Arial"/>
          <w:sz w:val="24"/>
          <w:szCs w:val="24"/>
        </w:rPr>
        <w:t xml:space="preserve"> use </w:t>
      </w:r>
      <w:r w:rsidRPr="00282F47">
        <w:rPr>
          <w:rFonts w:ascii="Arial" w:hAnsi="Arial" w:cs="Arial"/>
          <w:sz w:val="24"/>
          <w:szCs w:val="24"/>
        </w:rPr>
        <w:t>of generating fluorescence signal</w:t>
      </w:r>
      <w:r w:rsidRPr="00282F47">
        <w:rPr>
          <w:rFonts w:ascii="Arial" w:hAnsi="Arial" w:cs="Arial"/>
          <w:noProof/>
          <w:sz w:val="24"/>
          <w:szCs w:val="24"/>
          <w:vertAlign w:val="superscript"/>
        </w:rPr>
        <w:t>41</w:t>
      </w:r>
      <w:r w:rsidRPr="00282F47">
        <w:rPr>
          <w:rFonts w:ascii="Arial" w:hAnsi="Arial" w:cs="Arial"/>
          <w:sz w:val="24"/>
          <w:szCs w:val="24"/>
        </w:rPr>
        <w:t>. Particularly, albumin binds ICG, creating an impermeable probe for detection with optoacoustic modalities. Isosulfane blue is another example of an organic dye used for photoacoustic imaging</w:t>
      </w:r>
      <w:r w:rsidRPr="00282F47">
        <w:rPr>
          <w:rFonts w:ascii="Arial" w:hAnsi="Arial" w:cs="Arial"/>
          <w:noProof/>
          <w:sz w:val="24"/>
          <w:szCs w:val="24"/>
          <w:vertAlign w:val="superscript"/>
        </w:rPr>
        <w:t>19</w:t>
      </w:r>
      <w:r w:rsidRPr="00282F47">
        <w:rPr>
          <w:rFonts w:ascii="Arial" w:hAnsi="Arial" w:cs="Arial"/>
          <w:sz w:val="24"/>
          <w:szCs w:val="24"/>
        </w:rPr>
        <w:t xml:space="preserve">. In addition, a variety of fluorescence molecules have shown the potential for generating optoacoustic signal detectable with modalities such as MSOT. These include cyanine dyes and NIR </w:t>
      </w:r>
      <w:r w:rsidRPr="00282F47">
        <w:rPr>
          <w:rFonts w:ascii="Arial" w:hAnsi="Arial" w:cs="Arial"/>
          <w:sz w:val="24"/>
          <w:szCs w:val="24"/>
        </w:rPr>
        <w:lastRenderedPageBreak/>
        <w:t>proteins such as Cy-series</w:t>
      </w:r>
      <w:r w:rsidRPr="00282F47">
        <w:rPr>
          <w:rFonts w:ascii="Arial" w:hAnsi="Arial" w:cs="Arial"/>
          <w:noProof/>
          <w:sz w:val="24"/>
          <w:szCs w:val="24"/>
          <w:vertAlign w:val="superscript"/>
        </w:rPr>
        <w:t>20</w:t>
      </w:r>
      <w:r w:rsidRPr="00282F47">
        <w:rPr>
          <w:rFonts w:ascii="Arial" w:hAnsi="Arial" w:cs="Arial"/>
          <w:sz w:val="24"/>
          <w:szCs w:val="24"/>
        </w:rPr>
        <w:t xml:space="preserve"> and the iRFP-series</w:t>
      </w:r>
      <w:r w:rsidRPr="00282F47">
        <w:rPr>
          <w:rFonts w:ascii="Arial" w:hAnsi="Arial" w:cs="Arial"/>
          <w:noProof/>
          <w:sz w:val="24"/>
          <w:szCs w:val="24"/>
          <w:vertAlign w:val="superscript"/>
        </w:rPr>
        <w:t>42</w:t>
      </w:r>
      <w:r w:rsidRPr="00282F47">
        <w:rPr>
          <w:rFonts w:ascii="Arial" w:hAnsi="Arial" w:cs="Arial"/>
          <w:sz w:val="24"/>
          <w:szCs w:val="24"/>
        </w:rPr>
        <w:t xml:space="preserve"> of agents. An example of an NIR dye is IR800CW</w:t>
      </w:r>
      <w:r w:rsidRPr="00282F47">
        <w:rPr>
          <w:rFonts w:ascii="Arial" w:hAnsi="Arial" w:cs="Arial"/>
          <w:noProof/>
          <w:sz w:val="24"/>
          <w:szCs w:val="24"/>
          <w:vertAlign w:val="superscript"/>
        </w:rPr>
        <w:t>43</w:t>
      </w:r>
      <w:r w:rsidRPr="00282F47">
        <w:rPr>
          <w:rFonts w:ascii="Arial" w:hAnsi="Arial" w:cs="Arial"/>
          <w:sz w:val="24"/>
          <w:szCs w:val="24"/>
        </w:rPr>
        <w:t>, which is currently in phase II trials for fluorescence imaging and has shown optoacoustic signal generation with associated imaging targets</w:t>
      </w:r>
      <w:r w:rsidRPr="00282F47">
        <w:rPr>
          <w:rFonts w:ascii="Arial" w:hAnsi="Arial" w:cs="Arial"/>
          <w:noProof/>
          <w:sz w:val="24"/>
          <w:szCs w:val="24"/>
          <w:vertAlign w:val="superscript"/>
        </w:rPr>
        <w:t>44</w:t>
      </w:r>
      <w:r w:rsidRPr="00282F47">
        <w:rPr>
          <w:rFonts w:ascii="Arial" w:hAnsi="Arial" w:cs="Arial"/>
          <w:sz w:val="24"/>
          <w:szCs w:val="24"/>
        </w:rPr>
        <w:t>. Recently, the potential for the use of squaraine dyes in optoacoustic applications has been summarized, with the summary including how structural characteristics are thought to affect absorption spectra</w:t>
      </w:r>
      <w:r w:rsidRPr="00282F47">
        <w:rPr>
          <w:rFonts w:ascii="Arial" w:hAnsi="Arial" w:cs="Arial"/>
          <w:noProof/>
          <w:sz w:val="24"/>
          <w:szCs w:val="24"/>
          <w:vertAlign w:val="superscript"/>
        </w:rPr>
        <w:t>45</w:t>
      </w:r>
      <w:r w:rsidRPr="00282F47">
        <w:rPr>
          <w:rFonts w:ascii="Arial" w:hAnsi="Arial" w:cs="Arial"/>
          <w:sz w:val="24"/>
          <w:szCs w:val="24"/>
        </w:rPr>
        <w:t>. Synthesized organic dyes are most often used for perfusion imaging when used as single-element contrast agents, but incorporation into other technologies provides improvements to photostability, clearance, and specificity by active targeting for use as a molecular probe</w:t>
      </w:r>
      <w:r w:rsidRPr="00282F47">
        <w:rPr>
          <w:rFonts w:ascii="Arial" w:hAnsi="Arial" w:cs="Arial"/>
          <w:noProof/>
          <w:sz w:val="24"/>
          <w:szCs w:val="24"/>
          <w:vertAlign w:val="superscript"/>
        </w:rPr>
        <w:t>46</w:t>
      </w:r>
      <w:r w:rsidRPr="00282F47">
        <w:rPr>
          <w:rFonts w:ascii="Arial" w:hAnsi="Arial" w:cs="Arial"/>
          <w:sz w:val="24"/>
          <w:szCs w:val="24"/>
        </w:rPr>
        <w:t>. Squaraine dyes are a class of organic dyes with an electron deficient central four-membered ring that have a resonance stabilized zwitterionic structure</w:t>
      </w:r>
      <w:r w:rsidRPr="00282F47">
        <w:rPr>
          <w:rFonts w:ascii="Arial" w:hAnsi="Arial" w:cs="Arial"/>
          <w:noProof/>
          <w:sz w:val="24"/>
          <w:szCs w:val="24"/>
          <w:vertAlign w:val="superscript"/>
        </w:rPr>
        <w:t>47</w:t>
      </w:r>
      <w:r w:rsidRPr="00282F47">
        <w:rPr>
          <w:rFonts w:ascii="Arial" w:hAnsi="Arial" w:cs="Arial"/>
          <w:sz w:val="24"/>
          <w:szCs w:val="24"/>
        </w:rPr>
        <w:t>. Squaraines have been used as contrast agent for fluorescence imaging due to their planar structures and zwitterionic properties</w:t>
      </w:r>
      <w:r w:rsidRPr="00282F47">
        <w:rPr>
          <w:rFonts w:ascii="Arial" w:hAnsi="Arial" w:cs="Arial"/>
          <w:noProof/>
          <w:sz w:val="24"/>
          <w:szCs w:val="24"/>
          <w:vertAlign w:val="superscript"/>
        </w:rPr>
        <w:t>48,49</w:t>
      </w:r>
      <w:r w:rsidRPr="00282F47">
        <w:rPr>
          <w:rFonts w:ascii="Arial" w:hAnsi="Arial" w:cs="Arial"/>
          <w:sz w:val="24"/>
          <w:szCs w:val="24"/>
        </w:rPr>
        <w:t>. Such properties result in squaraine dyes exhibiting strong absorption and emission in the NIR region, which also implicate squaraines as potential contrast agents for optoacoustic imaging. Squaraines have extremely intense</w:t>
      </w:r>
      <w:r w:rsidR="0075533B">
        <w:rPr>
          <w:rFonts w:ascii="Arial" w:hAnsi="Arial" w:cs="Arial"/>
          <w:sz w:val="24"/>
          <w:szCs w:val="24"/>
        </w:rPr>
        <w:t xml:space="preserve"> and narrow</w:t>
      </w:r>
      <w:r w:rsidRPr="00282F47">
        <w:rPr>
          <w:rFonts w:ascii="Arial" w:hAnsi="Arial" w:cs="Arial"/>
          <w:sz w:val="24"/>
          <w:szCs w:val="24"/>
        </w:rPr>
        <w:t xml:space="preserve"> absorption bands</w:t>
      </w:r>
      <w:r w:rsidR="0075533B">
        <w:rPr>
          <w:rFonts w:ascii="Arial" w:hAnsi="Arial" w:cs="Arial"/>
          <w:sz w:val="24"/>
          <w:szCs w:val="24"/>
        </w:rPr>
        <w:t xml:space="preserve"> in the NIR range</w:t>
      </w:r>
      <w:r w:rsidRPr="00282F47">
        <w:rPr>
          <w:rFonts w:ascii="Arial" w:hAnsi="Arial" w:cs="Arial"/>
          <w:sz w:val="24"/>
          <w:szCs w:val="24"/>
        </w:rPr>
        <w:t xml:space="preserve"> </w:t>
      </w:r>
      <w:r w:rsidR="0075533B">
        <w:rPr>
          <w:rFonts w:ascii="Arial" w:hAnsi="Arial" w:cs="Arial"/>
          <w:sz w:val="24"/>
          <w:szCs w:val="24"/>
        </w:rPr>
        <w:t>with</w:t>
      </w:r>
      <w:r w:rsidRPr="00282F47">
        <w:rPr>
          <w:rFonts w:ascii="Arial" w:hAnsi="Arial" w:cs="Arial"/>
          <w:sz w:val="24"/>
          <w:szCs w:val="24"/>
        </w:rPr>
        <w:t xml:space="preserve"> a high molar absorption coefficient</w:t>
      </w:r>
      <w:r w:rsidRPr="00282F47">
        <w:rPr>
          <w:rFonts w:ascii="Arial" w:hAnsi="Arial" w:cs="Arial"/>
          <w:noProof/>
          <w:sz w:val="24"/>
          <w:szCs w:val="24"/>
          <w:vertAlign w:val="superscript"/>
        </w:rPr>
        <w:t>50-53</w:t>
      </w:r>
      <w:r w:rsidRPr="00282F47">
        <w:rPr>
          <w:rFonts w:ascii="Arial" w:hAnsi="Arial" w:cs="Arial"/>
          <w:sz w:val="24"/>
          <w:szCs w:val="24"/>
        </w:rPr>
        <w:t xml:space="preserve">. Squaraine dyes also demonstrate </w:t>
      </w:r>
      <w:r w:rsidR="0075533B">
        <w:rPr>
          <w:rFonts w:ascii="Arial" w:hAnsi="Arial" w:cs="Arial"/>
          <w:sz w:val="24"/>
          <w:szCs w:val="24"/>
        </w:rPr>
        <w:t>e</w:t>
      </w:r>
      <w:r w:rsidRPr="00282F47">
        <w:rPr>
          <w:rFonts w:ascii="Arial" w:hAnsi="Arial" w:cs="Arial"/>
          <w:sz w:val="24"/>
          <w:szCs w:val="24"/>
        </w:rPr>
        <w:t>xcellent photostability</w:t>
      </w:r>
      <w:r w:rsidRPr="00282F47">
        <w:rPr>
          <w:rFonts w:ascii="Arial" w:hAnsi="Arial" w:cs="Arial"/>
          <w:noProof/>
          <w:sz w:val="24"/>
          <w:szCs w:val="24"/>
          <w:vertAlign w:val="superscript"/>
        </w:rPr>
        <w:t>54-56</w:t>
      </w:r>
      <w:r w:rsidRPr="00282F47">
        <w:rPr>
          <w:rFonts w:ascii="Arial" w:hAnsi="Arial" w:cs="Arial"/>
          <w:sz w:val="24"/>
          <w:szCs w:val="24"/>
        </w:rPr>
        <w:t xml:space="preserve"> and high quantum yield</w:t>
      </w:r>
      <w:r w:rsidRPr="00282F47">
        <w:rPr>
          <w:rFonts w:ascii="Arial" w:hAnsi="Arial" w:cs="Arial"/>
          <w:noProof/>
          <w:sz w:val="24"/>
          <w:szCs w:val="24"/>
          <w:vertAlign w:val="superscript"/>
        </w:rPr>
        <w:t>50</w:t>
      </w:r>
      <w:r w:rsidRPr="00282F47">
        <w:rPr>
          <w:rFonts w:ascii="Arial" w:hAnsi="Arial" w:cs="Arial"/>
          <w:sz w:val="24"/>
          <w:szCs w:val="24"/>
        </w:rPr>
        <w:t>. Additionally, they are prepared through a straight forward synthetic procedure</w:t>
      </w:r>
      <w:r w:rsidRPr="00282F47">
        <w:rPr>
          <w:rFonts w:ascii="Arial" w:hAnsi="Arial" w:cs="Arial"/>
          <w:noProof/>
          <w:sz w:val="24"/>
          <w:szCs w:val="24"/>
          <w:vertAlign w:val="superscript"/>
        </w:rPr>
        <w:t>57</w:t>
      </w:r>
      <w:r w:rsidRPr="00282F47">
        <w:rPr>
          <w:rFonts w:ascii="Arial" w:hAnsi="Arial" w:cs="Arial"/>
          <w:sz w:val="24"/>
          <w:szCs w:val="24"/>
        </w:rPr>
        <w:t>.</w:t>
      </w:r>
    </w:p>
    <w:p w14:paraId="7E813377" w14:textId="777FF6B9" w:rsidR="002027D2" w:rsidRPr="00282F47" w:rsidRDefault="002027D2" w:rsidP="00AF1E5A">
      <w:pPr>
        <w:spacing w:line="480" w:lineRule="auto"/>
        <w:jc w:val="both"/>
        <w:rPr>
          <w:rFonts w:ascii="Arial" w:hAnsi="Arial" w:cs="Arial"/>
          <w:sz w:val="24"/>
          <w:szCs w:val="24"/>
        </w:rPr>
      </w:pPr>
      <w:r w:rsidRPr="00282F47">
        <w:rPr>
          <w:rFonts w:ascii="Arial" w:hAnsi="Arial" w:cs="Arial"/>
          <w:sz w:val="24"/>
          <w:szCs w:val="24"/>
        </w:rPr>
        <w:t>Gold nanoparticles have been among the most-studied metal-based optoacoustic contrast agents, as the physical shape of these particles provides an opportunity to craft a highly distinguishable absorption spectrum</w:t>
      </w:r>
      <w:r w:rsidRPr="00282F47">
        <w:rPr>
          <w:rFonts w:ascii="Arial" w:hAnsi="Arial" w:cs="Arial"/>
          <w:noProof/>
          <w:sz w:val="24"/>
          <w:szCs w:val="24"/>
          <w:vertAlign w:val="superscript"/>
        </w:rPr>
        <w:t>58</w:t>
      </w:r>
      <w:r w:rsidRPr="00282F47">
        <w:rPr>
          <w:rFonts w:ascii="Arial" w:hAnsi="Arial" w:cs="Arial"/>
          <w:sz w:val="24"/>
          <w:szCs w:val="24"/>
        </w:rPr>
        <w:t xml:space="preserve">. Further, gold naturally provides high absorption of NIR light, resulting in a strong optoacoustic signal. Because of ease of synthesis and established methods, gold nanoparticles have been studied in their </w:t>
      </w:r>
      <w:r w:rsidRPr="00282F47">
        <w:rPr>
          <w:rFonts w:ascii="Arial" w:hAnsi="Arial" w:cs="Arial"/>
          <w:sz w:val="24"/>
          <w:szCs w:val="24"/>
        </w:rPr>
        <w:lastRenderedPageBreak/>
        <w:t>conventional spherical geometry, as well as in the shape of rods, shells, and other unique structures, mostly in the context of tumor imaging</w:t>
      </w:r>
      <w:r w:rsidRPr="00282F47">
        <w:rPr>
          <w:rFonts w:ascii="Arial" w:hAnsi="Arial" w:cs="Arial"/>
          <w:noProof/>
          <w:sz w:val="24"/>
          <w:szCs w:val="24"/>
          <w:vertAlign w:val="superscript"/>
        </w:rPr>
        <w:t>22,59</w:t>
      </w:r>
      <w:r w:rsidRPr="00282F47">
        <w:rPr>
          <w:rFonts w:ascii="Arial" w:hAnsi="Arial" w:cs="Arial"/>
          <w:sz w:val="24"/>
          <w:szCs w:val="24"/>
        </w:rPr>
        <w:t>. However, the strong and distinguishable signal is accompanied by toxicity, namely induction of reactive oxygen species and accumulation in the liver and spleen</w:t>
      </w:r>
      <w:r w:rsidRPr="00282F47">
        <w:rPr>
          <w:rFonts w:ascii="Arial" w:hAnsi="Arial" w:cs="Arial"/>
          <w:noProof/>
          <w:sz w:val="24"/>
          <w:szCs w:val="24"/>
          <w:vertAlign w:val="superscript"/>
        </w:rPr>
        <w:t>60</w:t>
      </w:r>
      <w:r w:rsidRPr="00282F47">
        <w:rPr>
          <w:rFonts w:ascii="Arial" w:hAnsi="Arial" w:cs="Arial"/>
          <w:sz w:val="24"/>
          <w:szCs w:val="24"/>
        </w:rPr>
        <w:t>. Surface modifications of these particles, such as polymer coatings or peptide conjugates, are essential when considering the goal of clinical translation, as these modifications could partially mitigate issues of toxicity</w:t>
      </w:r>
      <w:r w:rsidR="0075533B">
        <w:rPr>
          <w:rFonts w:ascii="Arial" w:hAnsi="Arial" w:cs="Arial"/>
          <w:sz w:val="24"/>
          <w:szCs w:val="24"/>
        </w:rPr>
        <w:t>,</w:t>
      </w:r>
      <w:r w:rsidRPr="00282F47">
        <w:rPr>
          <w:rFonts w:ascii="Arial" w:hAnsi="Arial" w:cs="Arial"/>
          <w:sz w:val="24"/>
          <w:szCs w:val="24"/>
        </w:rPr>
        <w:t xml:space="preserve"> but may come at the expense of reduced optoacoustic signals. Other types of metal-based nanoparticles have shown optoacoustic activity, such as silver and iron oxide</w:t>
      </w:r>
      <w:r w:rsidRPr="00282F47">
        <w:rPr>
          <w:rFonts w:ascii="Arial" w:hAnsi="Arial" w:cs="Arial"/>
          <w:noProof/>
          <w:sz w:val="24"/>
          <w:szCs w:val="24"/>
          <w:vertAlign w:val="superscript"/>
        </w:rPr>
        <w:t>21,61</w:t>
      </w:r>
      <w:r w:rsidRPr="00282F47">
        <w:rPr>
          <w:rFonts w:ascii="Arial" w:hAnsi="Arial" w:cs="Arial"/>
          <w:sz w:val="24"/>
          <w:szCs w:val="24"/>
        </w:rPr>
        <w:t>. Often, absorption profiles of nanoparticles are tunable according to structural characteristics. In addition to metal-based particles, carbon nanotubes are another form of specialized optoacoustic nanoparticle, with sizes less than 5 nm, that relies heavily on the aforementioned surface modifications</w:t>
      </w:r>
      <w:r w:rsidRPr="00282F47">
        <w:rPr>
          <w:rFonts w:ascii="Arial" w:hAnsi="Arial" w:cs="Arial"/>
          <w:noProof/>
          <w:sz w:val="24"/>
          <w:szCs w:val="24"/>
          <w:vertAlign w:val="superscript"/>
        </w:rPr>
        <w:t>62,63</w:t>
      </w:r>
      <w:r w:rsidRPr="00282F47">
        <w:rPr>
          <w:rFonts w:ascii="Arial" w:hAnsi="Arial" w:cs="Arial"/>
          <w:sz w:val="24"/>
          <w:szCs w:val="24"/>
        </w:rPr>
        <w:t>. With the core particle–synthesis procedure of metal-based nanoparticles having been well established, recent focus in this area has concerned the development of activatable optoacoustic agents and surface modifications. These modifications aim to relieve toxicity, incorporate active targeting for specificity, or enable inclusion of other contrast agents within the particles for controlled delivery</w:t>
      </w:r>
      <w:r w:rsidRPr="00282F47">
        <w:rPr>
          <w:rFonts w:ascii="Arial" w:hAnsi="Arial" w:cs="Arial"/>
          <w:noProof/>
          <w:sz w:val="24"/>
          <w:szCs w:val="24"/>
          <w:vertAlign w:val="superscript"/>
        </w:rPr>
        <w:t>6,64</w:t>
      </w:r>
      <w:r w:rsidRPr="00282F47">
        <w:rPr>
          <w:rFonts w:ascii="Arial" w:hAnsi="Arial" w:cs="Arial"/>
          <w:sz w:val="24"/>
          <w:szCs w:val="24"/>
        </w:rPr>
        <w:t>.</w:t>
      </w:r>
    </w:p>
    <w:p w14:paraId="3DA05ED5" w14:textId="77777777" w:rsidR="002027D2" w:rsidRPr="00282F47" w:rsidRDefault="002027D2" w:rsidP="00AF1E5A">
      <w:pPr>
        <w:spacing w:line="480" w:lineRule="auto"/>
        <w:jc w:val="both"/>
        <w:rPr>
          <w:rFonts w:ascii="Arial" w:hAnsi="Arial" w:cs="Arial"/>
          <w:sz w:val="24"/>
          <w:szCs w:val="24"/>
        </w:rPr>
      </w:pPr>
      <w:r w:rsidRPr="00282F47">
        <w:rPr>
          <w:rFonts w:ascii="Arial" w:hAnsi="Arial" w:cs="Arial"/>
          <w:sz w:val="24"/>
          <w:szCs w:val="24"/>
        </w:rPr>
        <w:t>The aim of this dissertation is to describe the work that has been performed to 1) develop a more advanced understanding of how to generate optoacoustic contrast agents (Chapters 2-3) and 2) apply optoacoustic imaging to specifically visualize targeted tissue, in this context, pancreatic ductal adenocarcinoma in a murine model (Chapters 4-5).</w:t>
      </w:r>
    </w:p>
    <w:p w14:paraId="4C62DBEF" w14:textId="77777777" w:rsidR="002027D2" w:rsidRPr="00282F47" w:rsidRDefault="002027D2" w:rsidP="00AF1E5A">
      <w:pPr>
        <w:spacing w:line="480" w:lineRule="auto"/>
        <w:rPr>
          <w:rFonts w:ascii="Arial" w:hAnsi="Arial" w:cs="Arial"/>
          <w:sz w:val="24"/>
          <w:szCs w:val="24"/>
        </w:rPr>
      </w:pPr>
    </w:p>
    <w:p w14:paraId="079C2F67" w14:textId="77777777" w:rsidR="002027D2" w:rsidRPr="00282F47" w:rsidRDefault="002027D2" w:rsidP="00356F32">
      <w:pPr>
        <w:rPr>
          <w:rFonts w:ascii="Arial" w:hAnsi="Arial" w:cs="Arial"/>
          <w:sz w:val="24"/>
          <w:szCs w:val="24"/>
        </w:rPr>
      </w:pPr>
    </w:p>
    <w:p w14:paraId="7A37AA54" w14:textId="77777777" w:rsidR="002027D2" w:rsidRPr="00282F47" w:rsidRDefault="002027D2" w:rsidP="00F73DFD">
      <w:pPr>
        <w:pStyle w:val="Style3"/>
        <w:spacing w:after="240"/>
        <w:rPr>
          <w:color w:val="auto"/>
        </w:rPr>
      </w:pPr>
      <w:bookmarkStart w:id="7" w:name="_Toc152874259"/>
      <w:r w:rsidRPr="00282F47">
        <w:rPr>
          <w:color w:val="auto"/>
        </w:rPr>
        <w:lastRenderedPageBreak/>
        <w:t>Chapter 2 – Influence of Structural Moieties in Squaraine Dyes on Optoacoustic Signal Shape and Intensity</w:t>
      </w:r>
      <w:bookmarkEnd w:id="7"/>
    </w:p>
    <w:p w14:paraId="448E4024" w14:textId="77777777" w:rsidR="002027D2" w:rsidRPr="00282F47" w:rsidRDefault="002027D2" w:rsidP="00D80F80">
      <w:pPr>
        <w:jc w:val="both"/>
        <w:rPr>
          <w:rFonts w:ascii="Arial" w:hAnsi="Arial" w:cs="Arial"/>
          <w:sz w:val="24"/>
          <w:szCs w:val="24"/>
        </w:rPr>
      </w:pPr>
      <w:r w:rsidRPr="00282F47">
        <w:rPr>
          <w:rFonts w:ascii="Arial" w:hAnsi="Arial" w:cs="Arial"/>
          <w:sz w:val="24"/>
          <w:szCs w:val="24"/>
        </w:rPr>
        <w:t xml:space="preserve">This chapter has been accepted and is in press as a research manuscript in </w:t>
      </w:r>
      <w:r w:rsidRPr="00282F47">
        <w:rPr>
          <w:rFonts w:ascii="Arial" w:hAnsi="Arial" w:cs="Arial"/>
          <w:i/>
          <w:iCs/>
          <w:sz w:val="24"/>
          <w:szCs w:val="24"/>
        </w:rPr>
        <w:t>Chem</w:t>
      </w:r>
      <w:r w:rsidRPr="00282F47">
        <w:rPr>
          <w:rFonts w:ascii="Arial" w:hAnsi="Arial" w:cs="Arial"/>
          <w:sz w:val="24"/>
          <w:szCs w:val="24"/>
        </w:rPr>
        <w:t>:</w:t>
      </w:r>
    </w:p>
    <w:p w14:paraId="203F8703" w14:textId="77777777" w:rsidR="002027D2" w:rsidRPr="00282F47" w:rsidRDefault="002027D2" w:rsidP="00D80F80">
      <w:pPr>
        <w:jc w:val="both"/>
        <w:rPr>
          <w:rFonts w:ascii="Arial" w:hAnsi="Arial" w:cs="Arial"/>
          <w:sz w:val="24"/>
          <w:szCs w:val="24"/>
        </w:rPr>
      </w:pPr>
      <w:r w:rsidRPr="00282F47">
        <w:rPr>
          <w:rFonts w:ascii="Arial" w:hAnsi="Arial" w:cs="Arial"/>
          <w:b/>
          <w:bCs/>
          <w:sz w:val="24"/>
          <w:szCs w:val="24"/>
        </w:rPr>
        <w:t>William M MacCuaig</w:t>
      </w:r>
      <w:r w:rsidRPr="00282F47">
        <w:rPr>
          <w:rFonts w:ascii="Arial" w:hAnsi="Arial" w:cs="Arial"/>
          <w:sz w:val="24"/>
          <w:szCs w:val="24"/>
        </w:rPr>
        <w:t>, Carly Wickizer, Richard S. Van, Megan R. Lerner, William E. Grizzle, Yihan Shao, Maged Henary, Lacey R McNally. “Influence of Structural Moieties in Squaraine Dyes on Optoacoustic Signal Shape and Intensity”</w:t>
      </w:r>
    </w:p>
    <w:p w14:paraId="402B4113" w14:textId="77777777" w:rsidR="002027D2" w:rsidRPr="00282F47" w:rsidRDefault="002027D2" w:rsidP="00D80F80">
      <w:pPr>
        <w:rPr>
          <w:rFonts w:ascii="Arial" w:hAnsi="Arial" w:cs="Arial"/>
          <w:b/>
          <w:bCs/>
          <w:sz w:val="24"/>
          <w:szCs w:val="24"/>
        </w:rPr>
      </w:pPr>
    </w:p>
    <w:p w14:paraId="566C5E93" w14:textId="77777777" w:rsidR="002027D2" w:rsidRPr="00282F47" w:rsidRDefault="002027D2" w:rsidP="00F73DFD">
      <w:pPr>
        <w:pStyle w:val="Style4"/>
        <w:spacing w:after="240"/>
        <w:rPr>
          <w:color w:val="auto"/>
        </w:rPr>
      </w:pPr>
      <w:bookmarkStart w:id="8" w:name="_Toc152874260"/>
      <w:r w:rsidRPr="00282F47">
        <w:rPr>
          <w:color w:val="auto"/>
        </w:rPr>
        <w:t>2.1 Abstract:</w:t>
      </w:r>
      <w:bookmarkEnd w:id="8"/>
    </w:p>
    <w:p w14:paraId="16752417" w14:textId="5A85D7FB" w:rsidR="002027D2" w:rsidRPr="00282F47" w:rsidRDefault="002027D2" w:rsidP="000A55C7">
      <w:pPr>
        <w:spacing w:line="480" w:lineRule="auto"/>
        <w:jc w:val="both"/>
        <w:rPr>
          <w:rFonts w:ascii="Arial" w:hAnsi="Arial" w:cs="Arial"/>
          <w:sz w:val="24"/>
          <w:szCs w:val="24"/>
        </w:rPr>
      </w:pPr>
      <w:r w:rsidRPr="00282F47">
        <w:rPr>
          <w:rFonts w:ascii="Arial" w:hAnsi="Arial" w:cs="Arial"/>
          <w:bCs/>
          <w:sz w:val="24"/>
          <w:szCs w:val="24"/>
        </w:rPr>
        <w:t xml:space="preserve">Optoacoustic imaging has grown in clinical relevance due to inherent advantages in sensitivity, resolution, and imaging depth, but development of contrast agents is lacking. This study assesses the influence of structural features of squaraine dyes on optoacoustic activity, through computational models, </w:t>
      </w:r>
      <w:r w:rsidRPr="00282F47">
        <w:rPr>
          <w:rFonts w:ascii="Arial" w:hAnsi="Arial" w:cs="Arial"/>
          <w:bCs/>
          <w:i/>
          <w:iCs/>
          <w:sz w:val="24"/>
          <w:szCs w:val="24"/>
        </w:rPr>
        <w:t xml:space="preserve">in vitro </w:t>
      </w:r>
      <w:r w:rsidRPr="00282F47">
        <w:rPr>
          <w:rFonts w:ascii="Arial" w:hAnsi="Arial" w:cs="Arial"/>
          <w:bCs/>
          <w:sz w:val="24"/>
          <w:szCs w:val="24"/>
        </w:rPr>
        <w:t xml:space="preserve">testing, and </w:t>
      </w:r>
      <w:r w:rsidRPr="00282F47">
        <w:rPr>
          <w:rFonts w:ascii="Arial" w:hAnsi="Arial" w:cs="Arial"/>
          <w:bCs/>
          <w:i/>
          <w:iCs/>
          <w:sz w:val="24"/>
          <w:szCs w:val="24"/>
        </w:rPr>
        <w:t>in vivo</w:t>
      </w:r>
      <w:r w:rsidRPr="00282F47">
        <w:rPr>
          <w:rFonts w:ascii="Arial" w:hAnsi="Arial" w:cs="Arial"/>
          <w:bCs/>
          <w:sz w:val="24"/>
          <w:szCs w:val="24"/>
        </w:rPr>
        <w:t xml:space="preserve"> experimentation. The squaraine scaffold was decorated with halogens and side chain extensions. Extension of side chains and heavy halogenation of squaraines both increased optoacoustic signals individually, although had a more significant effect in tandem. Density functional theory models suggest the origin of increased optoacoustic signal is</w:t>
      </w:r>
      <w:r w:rsidR="0075533B">
        <w:rPr>
          <w:rFonts w:ascii="Arial" w:hAnsi="Arial" w:cs="Arial"/>
          <w:bCs/>
          <w:sz w:val="24"/>
          <w:szCs w:val="24"/>
        </w:rPr>
        <w:t xml:space="preserve"> due to</w:t>
      </w:r>
      <w:r w:rsidRPr="00282F47">
        <w:rPr>
          <w:rFonts w:ascii="Arial" w:hAnsi="Arial" w:cs="Arial"/>
          <w:bCs/>
          <w:sz w:val="24"/>
          <w:szCs w:val="24"/>
        </w:rPr>
        <w:t xml:space="preserve"> increases in transition dipole moment and vibrational entropy, which manifested as increased absorbance in NIR wavelengths and decreased fluorescence quantum yield. This study provides insight into the structure-function relationships that will lead </w:t>
      </w:r>
      <w:r w:rsidR="0075533B">
        <w:rPr>
          <w:rFonts w:ascii="Arial" w:hAnsi="Arial" w:cs="Arial"/>
          <w:bCs/>
          <w:sz w:val="24"/>
          <w:szCs w:val="24"/>
        </w:rPr>
        <w:t xml:space="preserve">to </w:t>
      </w:r>
      <w:r w:rsidRPr="00282F47">
        <w:rPr>
          <w:rFonts w:ascii="Arial" w:hAnsi="Arial" w:cs="Arial"/>
          <w:bCs/>
          <w:sz w:val="24"/>
          <w:szCs w:val="24"/>
        </w:rPr>
        <w:t>guiding principles for optimizing optoacoustic contrast agents. Further developments of squaraines and other agents will further increase relevance of optoacoustic imaging in a clinical setting.</w:t>
      </w:r>
    </w:p>
    <w:p w14:paraId="26F65568" w14:textId="77777777" w:rsidR="002027D2" w:rsidRPr="00282F47" w:rsidRDefault="002027D2" w:rsidP="00F73DFD">
      <w:pPr>
        <w:pStyle w:val="Style4"/>
        <w:spacing w:after="240"/>
        <w:rPr>
          <w:color w:val="auto"/>
        </w:rPr>
      </w:pPr>
      <w:bookmarkStart w:id="9" w:name="_Toc152874261"/>
      <w:r w:rsidRPr="00282F47">
        <w:rPr>
          <w:color w:val="auto"/>
        </w:rPr>
        <w:t>2.2 Introduction:</w:t>
      </w:r>
      <w:bookmarkEnd w:id="9"/>
    </w:p>
    <w:p w14:paraId="53374275" w14:textId="5457FF3B" w:rsidR="002027D2" w:rsidRPr="00282F47" w:rsidRDefault="002027D2" w:rsidP="00D80F80">
      <w:pPr>
        <w:spacing w:line="480" w:lineRule="auto"/>
        <w:jc w:val="both"/>
        <w:rPr>
          <w:rFonts w:ascii="Arial" w:hAnsi="Arial" w:cs="Arial"/>
          <w:sz w:val="24"/>
          <w:szCs w:val="24"/>
        </w:rPr>
      </w:pPr>
      <w:r w:rsidRPr="00282F47">
        <w:rPr>
          <w:rFonts w:ascii="Arial" w:hAnsi="Arial" w:cs="Arial"/>
          <w:sz w:val="24"/>
          <w:szCs w:val="24"/>
        </w:rPr>
        <w:t>Optoacoustic imaging is an emerging imaging modality that utilizes the photoacoustic effect to achieve clinically significant resolution at depths beyond current techniques</w:t>
      </w:r>
      <w:r w:rsidRPr="00282F47">
        <w:rPr>
          <w:rFonts w:ascii="Arial" w:hAnsi="Arial" w:cs="Arial"/>
          <w:noProof/>
          <w:sz w:val="24"/>
          <w:szCs w:val="24"/>
          <w:vertAlign w:val="superscript"/>
        </w:rPr>
        <w:t>6,65</w:t>
      </w:r>
      <w:r w:rsidRPr="00282F47">
        <w:rPr>
          <w:rFonts w:ascii="Arial" w:hAnsi="Arial" w:cs="Arial"/>
          <w:sz w:val="24"/>
          <w:szCs w:val="24"/>
        </w:rPr>
        <w:t xml:space="preserve">. Following unique absorption of nanosecond pulsed near-infrared light by selected </w:t>
      </w:r>
      <w:r w:rsidRPr="00282F47">
        <w:rPr>
          <w:rFonts w:ascii="Arial" w:hAnsi="Arial" w:cs="Arial"/>
          <w:sz w:val="24"/>
          <w:szCs w:val="24"/>
        </w:rPr>
        <w:lastRenderedPageBreak/>
        <w:t>optoacoustic agents, thermoelastic expansions generate detectable ultrasonic waves</w:t>
      </w:r>
      <w:r w:rsidRPr="00282F47">
        <w:rPr>
          <w:rFonts w:ascii="Arial" w:hAnsi="Arial" w:cs="Arial"/>
          <w:noProof/>
          <w:sz w:val="24"/>
          <w:szCs w:val="24"/>
          <w:vertAlign w:val="superscript"/>
        </w:rPr>
        <w:t>66</w:t>
      </w:r>
      <w:r w:rsidRPr="00282F47">
        <w:rPr>
          <w:rFonts w:ascii="Arial" w:hAnsi="Arial" w:cs="Arial"/>
          <w:sz w:val="24"/>
          <w:szCs w:val="24"/>
        </w:rPr>
        <w:t>. In contrast to optical imaging, optoacoustic imaging overcomes the restriction of depth due to photon scattering while maintaining high sensitivity and spatial resolution on the scale of 10 cells, or 200 microns in a clinical setting, and as low as 75 microns</w:t>
      </w:r>
      <w:r w:rsidRPr="00282F47">
        <w:rPr>
          <w:rFonts w:ascii="Arial" w:hAnsi="Arial" w:cs="Arial"/>
          <w:noProof/>
          <w:sz w:val="24"/>
          <w:szCs w:val="24"/>
          <w:vertAlign w:val="superscript"/>
        </w:rPr>
        <w:t>65,67</w:t>
      </w:r>
      <w:r w:rsidRPr="00282F47">
        <w:rPr>
          <w:rFonts w:ascii="Arial" w:hAnsi="Arial" w:cs="Arial"/>
          <w:sz w:val="24"/>
          <w:szCs w:val="24"/>
        </w:rPr>
        <w:t>. This advantage has established optoacoustic imaging as a powerful modality and supports ensuing clinical trials</w:t>
      </w:r>
      <w:r w:rsidRPr="00282F47">
        <w:rPr>
          <w:rFonts w:ascii="Arial" w:hAnsi="Arial" w:cs="Arial"/>
          <w:noProof/>
          <w:sz w:val="24"/>
          <w:szCs w:val="24"/>
          <w:vertAlign w:val="superscript"/>
        </w:rPr>
        <w:t>65,68-71</w:t>
      </w:r>
      <w:r w:rsidRPr="00282F47">
        <w:rPr>
          <w:rFonts w:ascii="Arial" w:hAnsi="Arial" w:cs="Arial"/>
          <w:sz w:val="24"/>
          <w:szCs w:val="24"/>
        </w:rPr>
        <w:t>. Multi-wavelength illumination with a tunable laser source and processing equipped with optoacoustic tomography, coined as multispectral optoacoustic tomography (MSOT) allows for separation of optoacoustically active chromophores</w:t>
      </w:r>
      <w:r w:rsidR="00C96415">
        <w:rPr>
          <w:rFonts w:ascii="Arial" w:hAnsi="Arial" w:cs="Arial"/>
          <w:sz w:val="24"/>
          <w:szCs w:val="24"/>
        </w:rPr>
        <w:t>. However, to successfully separate the chromophores, which</w:t>
      </w:r>
      <w:r w:rsidRPr="00282F47">
        <w:rPr>
          <w:rFonts w:ascii="Arial" w:hAnsi="Arial" w:cs="Arial"/>
          <w:sz w:val="24"/>
          <w:szCs w:val="24"/>
        </w:rPr>
        <w:t xml:space="preserve"> includ</w:t>
      </w:r>
      <w:r w:rsidR="00C96415">
        <w:rPr>
          <w:rFonts w:ascii="Arial" w:hAnsi="Arial" w:cs="Arial"/>
          <w:sz w:val="24"/>
          <w:szCs w:val="24"/>
        </w:rPr>
        <w:t>e</w:t>
      </w:r>
      <w:r w:rsidRPr="00282F47">
        <w:rPr>
          <w:rFonts w:ascii="Arial" w:hAnsi="Arial" w:cs="Arial"/>
          <w:sz w:val="24"/>
          <w:szCs w:val="24"/>
        </w:rPr>
        <w:t xml:space="preserve"> oxyhemoglobin and deoxyhemoglobin, </w:t>
      </w:r>
      <w:r w:rsidR="00C96415">
        <w:rPr>
          <w:rFonts w:ascii="Arial" w:hAnsi="Arial" w:cs="Arial"/>
          <w:sz w:val="24"/>
          <w:szCs w:val="24"/>
        </w:rPr>
        <w:t>a</w:t>
      </w:r>
      <w:r w:rsidRPr="00282F47">
        <w:rPr>
          <w:rFonts w:ascii="Arial" w:hAnsi="Arial" w:cs="Arial"/>
          <w:sz w:val="24"/>
          <w:szCs w:val="24"/>
        </w:rPr>
        <w:t>bsorption spectra</w:t>
      </w:r>
      <w:r w:rsidR="00C96415">
        <w:rPr>
          <w:rFonts w:ascii="Arial" w:hAnsi="Arial" w:cs="Arial"/>
          <w:sz w:val="24"/>
          <w:szCs w:val="24"/>
        </w:rPr>
        <w:t xml:space="preserve"> need to be</w:t>
      </w:r>
      <w:r w:rsidRPr="00282F47">
        <w:rPr>
          <w:rFonts w:ascii="Arial" w:hAnsi="Arial" w:cs="Arial"/>
          <w:sz w:val="24"/>
          <w:szCs w:val="24"/>
        </w:rPr>
        <w:t xml:space="preserve"> unique.  </w:t>
      </w:r>
      <w:r w:rsidR="00C96415">
        <w:rPr>
          <w:rFonts w:ascii="Arial" w:hAnsi="Arial" w:cs="Arial"/>
          <w:sz w:val="24"/>
          <w:szCs w:val="24"/>
        </w:rPr>
        <w:t>W</w:t>
      </w:r>
      <w:r w:rsidRPr="00282F47">
        <w:rPr>
          <w:rFonts w:ascii="Arial" w:hAnsi="Arial" w:cs="Arial"/>
          <w:sz w:val="24"/>
          <w:szCs w:val="24"/>
        </w:rPr>
        <w:t>ith few distinct endogenous contrast agents</w:t>
      </w:r>
      <w:r w:rsidRPr="00282F47">
        <w:rPr>
          <w:rFonts w:ascii="Arial" w:hAnsi="Arial" w:cs="Arial"/>
          <w:noProof/>
          <w:sz w:val="24"/>
          <w:szCs w:val="24"/>
          <w:vertAlign w:val="superscript"/>
        </w:rPr>
        <w:t>72,73</w:t>
      </w:r>
      <w:r w:rsidRPr="00282F47">
        <w:rPr>
          <w:rFonts w:ascii="Arial" w:hAnsi="Arial" w:cs="Arial"/>
          <w:sz w:val="24"/>
          <w:szCs w:val="24"/>
        </w:rPr>
        <w:t>, MSOT clinical trials have largely been limited to conditions involving differential oxygenation, such as breast cancer</w:t>
      </w:r>
      <w:r w:rsidRPr="00282F47">
        <w:rPr>
          <w:rFonts w:ascii="Arial" w:hAnsi="Arial" w:cs="Arial"/>
          <w:noProof/>
          <w:sz w:val="24"/>
          <w:szCs w:val="24"/>
          <w:vertAlign w:val="superscript"/>
        </w:rPr>
        <w:t>4,16,26</w:t>
      </w:r>
      <w:r w:rsidRPr="00282F47">
        <w:rPr>
          <w:rFonts w:ascii="Arial" w:hAnsi="Arial" w:cs="Arial"/>
          <w:sz w:val="24"/>
          <w:szCs w:val="24"/>
        </w:rPr>
        <w:t>, inflammatory bowel diseases</w:t>
      </w:r>
      <w:r w:rsidRPr="00282F47">
        <w:rPr>
          <w:rFonts w:ascii="Arial" w:hAnsi="Arial" w:cs="Arial"/>
          <w:noProof/>
          <w:sz w:val="24"/>
          <w:szCs w:val="24"/>
          <w:vertAlign w:val="superscript"/>
        </w:rPr>
        <w:t>74</w:t>
      </w:r>
      <w:r w:rsidRPr="00282F47">
        <w:rPr>
          <w:rFonts w:ascii="Arial" w:hAnsi="Arial" w:cs="Arial"/>
          <w:sz w:val="24"/>
          <w:szCs w:val="24"/>
        </w:rPr>
        <w:t>, or dermatologic conditions</w:t>
      </w:r>
      <w:r w:rsidRPr="00282F47">
        <w:rPr>
          <w:rFonts w:ascii="Arial" w:hAnsi="Arial" w:cs="Arial"/>
          <w:noProof/>
          <w:sz w:val="24"/>
          <w:szCs w:val="24"/>
          <w:vertAlign w:val="superscript"/>
        </w:rPr>
        <w:t>39,75</w:t>
      </w:r>
      <w:r w:rsidRPr="00282F47">
        <w:rPr>
          <w:rFonts w:ascii="Arial" w:hAnsi="Arial" w:cs="Arial"/>
          <w:sz w:val="24"/>
          <w:szCs w:val="24"/>
        </w:rPr>
        <w:t>. Utilization of exogenous contrast agents presents an opportunity for optoacoustic imaging to expand in relevancy in the clinic. Optoacoustic imaging has largely exploited commercially available near-infrared dyes, including IR-800-CW</w:t>
      </w:r>
      <w:r w:rsidRPr="00282F47">
        <w:rPr>
          <w:rFonts w:ascii="Arial" w:hAnsi="Arial" w:cs="Arial"/>
          <w:noProof/>
          <w:sz w:val="24"/>
          <w:szCs w:val="24"/>
          <w:vertAlign w:val="superscript"/>
        </w:rPr>
        <w:t>43,76</w:t>
      </w:r>
      <w:r w:rsidRPr="00282F47">
        <w:rPr>
          <w:rFonts w:ascii="Arial" w:hAnsi="Arial" w:cs="Arial"/>
          <w:sz w:val="24"/>
          <w:szCs w:val="24"/>
        </w:rPr>
        <w:t>, indocyanine green (ICG)</w:t>
      </w:r>
      <w:r w:rsidRPr="00282F47">
        <w:rPr>
          <w:rFonts w:ascii="Arial" w:hAnsi="Arial" w:cs="Arial"/>
          <w:noProof/>
          <w:sz w:val="24"/>
          <w:szCs w:val="24"/>
          <w:vertAlign w:val="superscript"/>
        </w:rPr>
        <w:t>41,77</w:t>
      </w:r>
      <w:r w:rsidRPr="00282F47">
        <w:rPr>
          <w:rFonts w:ascii="Arial" w:hAnsi="Arial" w:cs="Arial"/>
          <w:sz w:val="24"/>
          <w:szCs w:val="24"/>
        </w:rPr>
        <w:t>, or methylene blue (MB)</w:t>
      </w:r>
      <w:r w:rsidRPr="00282F47">
        <w:rPr>
          <w:rFonts w:ascii="Arial" w:hAnsi="Arial" w:cs="Arial"/>
          <w:noProof/>
          <w:sz w:val="24"/>
          <w:szCs w:val="24"/>
          <w:vertAlign w:val="superscript"/>
        </w:rPr>
        <w:t>78,79</w:t>
      </w:r>
      <w:r w:rsidRPr="00282F47">
        <w:rPr>
          <w:rFonts w:ascii="Arial" w:hAnsi="Arial" w:cs="Arial"/>
          <w:sz w:val="24"/>
          <w:szCs w:val="24"/>
        </w:rPr>
        <w:t xml:space="preserve">. IR-800-CW was specifically engineered for maximum fluorescent signal resulting in sub-optimal optoacoustic signals, or non-unique and non-separable spectral shapes. </w:t>
      </w:r>
      <w:r w:rsidR="00CB654B">
        <w:rPr>
          <w:rFonts w:ascii="Arial" w:hAnsi="Arial" w:cs="Arial"/>
          <w:sz w:val="24"/>
          <w:szCs w:val="24"/>
        </w:rPr>
        <w:t>Interestingly</w:t>
      </w:r>
      <w:r w:rsidRPr="00282F47">
        <w:rPr>
          <w:rFonts w:ascii="Arial" w:hAnsi="Arial" w:cs="Arial"/>
          <w:sz w:val="24"/>
          <w:szCs w:val="24"/>
        </w:rPr>
        <w:t>, not all near-infrared dyes used for fluorescence present measurable optoacoustic signal, including Rhodamine 800</w:t>
      </w:r>
      <w:r w:rsidRPr="00282F47">
        <w:rPr>
          <w:rFonts w:ascii="Arial" w:hAnsi="Arial" w:cs="Arial"/>
          <w:noProof/>
          <w:sz w:val="24"/>
          <w:szCs w:val="24"/>
          <w:vertAlign w:val="superscript"/>
        </w:rPr>
        <w:t>78</w:t>
      </w:r>
      <w:r w:rsidRPr="00282F47">
        <w:rPr>
          <w:rFonts w:ascii="Arial" w:hAnsi="Arial" w:cs="Arial"/>
          <w:sz w:val="24"/>
          <w:szCs w:val="24"/>
        </w:rPr>
        <w:t>.</w:t>
      </w:r>
    </w:p>
    <w:p w14:paraId="09FD6DE1" w14:textId="422ABC13" w:rsidR="002027D2" w:rsidRPr="00282F47" w:rsidRDefault="002027D2" w:rsidP="00D80F80">
      <w:pPr>
        <w:spacing w:line="480" w:lineRule="auto"/>
        <w:jc w:val="both"/>
        <w:rPr>
          <w:rFonts w:ascii="Arial" w:hAnsi="Arial" w:cs="Arial"/>
          <w:sz w:val="24"/>
          <w:szCs w:val="24"/>
        </w:rPr>
      </w:pPr>
      <w:r w:rsidRPr="00282F47">
        <w:rPr>
          <w:rFonts w:ascii="Arial" w:hAnsi="Arial" w:cs="Arial"/>
          <w:sz w:val="24"/>
          <w:szCs w:val="24"/>
        </w:rPr>
        <w:t>While optoacoustic imaging often detects near infrared fluorescent dyes, the fundamental understanding of structural features that give rise to optoacoustic signal is limited</w:t>
      </w:r>
      <w:r w:rsidRPr="00282F47">
        <w:rPr>
          <w:rFonts w:ascii="Arial" w:hAnsi="Arial" w:cs="Arial"/>
          <w:noProof/>
          <w:sz w:val="24"/>
          <w:szCs w:val="24"/>
          <w:vertAlign w:val="superscript"/>
        </w:rPr>
        <w:t>78</w:t>
      </w:r>
      <w:r w:rsidRPr="00282F47">
        <w:rPr>
          <w:rFonts w:ascii="Arial" w:hAnsi="Arial" w:cs="Arial"/>
          <w:sz w:val="24"/>
          <w:szCs w:val="24"/>
        </w:rPr>
        <w:t xml:space="preserve">. Generally, the relationship between optoacoustic signal generation and structural features </w:t>
      </w:r>
      <w:r w:rsidRPr="00282F47">
        <w:rPr>
          <w:rFonts w:ascii="Arial" w:hAnsi="Arial" w:cs="Arial"/>
          <w:sz w:val="24"/>
          <w:szCs w:val="24"/>
        </w:rPr>
        <w:lastRenderedPageBreak/>
        <w:t>is based upon knowledge from fluorescence, and therefore lacks guiding principles for the design of enhanced optoacoustic agents. For example, compounds with high ring density, electron-donating groups, and rigidity of the central ring tend to show fluorescent properties</w:t>
      </w:r>
      <w:r w:rsidRPr="00282F47">
        <w:rPr>
          <w:rFonts w:ascii="Arial" w:hAnsi="Arial" w:cs="Arial"/>
          <w:noProof/>
          <w:sz w:val="24"/>
          <w:szCs w:val="24"/>
          <w:vertAlign w:val="superscript"/>
        </w:rPr>
        <w:t>80,81</w:t>
      </w:r>
      <w:r w:rsidRPr="00282F47">
        <w:rPr>
          <w:rFonts w:ascii="Arial" w:hAnsi="Arial" w:cs="Arial"/>
          <w:sz w:val="24"/>
          <w:szCs w:val="24"/>
        </w:rPr>
        <w:t>. However, the generation of fluorescence and optoacoustic signal are different pathways of energy dissipation</w:t>
      </w:r>
      <w:r w:rsidR="00CB654B">
        <w:rPr>
          <w:rFonts w:ascii="Arial" w:hAnsi="Arial" w:cs="Arial"/>
          <w:sz w:val="24"/>
          <w:szCs w:val="24"/>
        </w:rPr>
        <w:t>, and</w:t>
      </w:r>
      <w:r w:rsidRPr="00282F47">
        <w:rPr>
          <w:rFonts w:ascii="Arial" w:hAnsi="Arial" w:cs="Arial"/>
          <w:sz w:val="24"/>
          <w:szCs w:val="24"/>
        </w:rPr>
        <w:t xml:space="preserve"> therefore, fluorescence quantum yield and optoacoustic activity are inversely related. As fluorescence is a result of radiative decay and optoacoustic activity is due to non-radiative decay, e.g., generation of heat, it is likely that there are moieties that result in increased optoacoustic activity at the expense of fluorescence. Rhodamine 800, as an opposite example, generates substantial fluorescent signal, but no measurable optoacoustic signal</w:t>
      </w:r>
      <w:r w:rsidRPr="00282F47">
        <w:rPr>
          <w:rFonts w:ascii="Arial" w:hAnsi="Arial" w:cs="Arial"/>
          <w:noProof/>
          <w:sz w:val="24"/>
          <w:szCs w:val="24"/>
          <w:vertAlign w:val="superscript"/>
        </w:rPr>
        <w:t>78</w:t>
      </w:r>
      <w:r w:rsidRPr="00282F47">
        <w:rPr>
          <w:rFonts w:ascii="Arial" w:hAnsi="Arial" w:cs="Arial"/>
          <w:sz w:val="24"/>
          <w:szCs w:val="24"/>
        </w:rPr>
        <w:t>.</w:t>
      </w:r>
    </w:p>
    <w:p w14:paraId="5A6D0F61" w14:textId="1C2F059E" w:rsidR="002027D2" w:rsidRPr="00282F47" w:rsidRDefault="002027D2" w:rsidP="00D80F80">
      <w:pPr>
        <w:spacing w:line="480" w:lineRule="auto"/>
        <w:jc w:val="both"/>
        <w:rPr>
          <w:rFonts w:ascii="Arial" w:hAnsi="Arial" w:cs="Arial"/>
          <w:sz w:val="24"/>
          <w:szCs w:val="24"/>
        </w:rPr>
      </w:pPr>
      <w:r w:rsidRPr="00282F47">
        <w:rPr>
          <w:rFonts w:ascii="Arial" w:hAnsi="Arial" w:cs="Arial"/>
          <w:sz w:val="24"/>
          <w:szCs w:val="24"/>
        </w:rPr>
        <w:t>Squaraine dyes are relatively basic and stable molecules</w:t>
      </w:r>
      <w:r w:rsidRPr="00282F47">
        <w:rPr>
          <w:rFonts w:ascii="Arial" w:hAnsi="Arial" w:cs="Arial"/>
          <w:noProof/>
          <w:sz w:val="24"/>
          <w:szCs w:val="24"/>
          <w:vertAlign w:val="superscript"/>
        </w:rPr>
        <w:t>45</w:t>
      </w:r>
      <w:r w:rsidRPr="00282F47">
        <w:rPr>
          <w:rFonts w:ascii="Arial" w:hAnsi="Arial" w:cs="Arial"/>
          <w:sz w:val="24"/>
          <w:szCs w:val="24"/>
        </w:rPr>
        <w:t xml:space="preserve"> that in turn may facilitate a greater understanding of specific influences of structural features on optoacoustic signal. Easily controllable molecules are critical for understanding the origin of complex energy transfer through a systematic approach. Ultrasonic waves originate from thermoelastic expansions, which are a direct result of molecular overtone transitions due to anharmonicity of chemical bond vibrations.</w:t>
      </w:r>
      <w:r w:rsidRPr="00282F47">
        <w:rPr>
          <w:rFonts w:ascii="Arial" w:hAnsi="Arial" w:cs="Arial"/>
          <w:noProof/>
          <w:sz w:val="24"/>
          <w:szCs w:val="24"/>
          <w:vertAlign w:val="superscript"/>
        </w:rPr>
        <w:t>82</w:t>
      </w:r>
      <w:r w:rsidRPr="00282F47">
        <w:rPr>
          <w:rFonts w:ascii="Arial" w:hAnsi="Arial" w:cs="Arial"/>
          <w:sz w:val="24"/>
          <w:szCs w:val="24"/>
        </w:rPr>
        <w:t xml:space="preserve"> These thermoelastic expansions have been shown to increase through nonradiative heat generation by chemical reduction of reactive oxygen species. Introduction of heavy atoms and halogens can reduce reactive oxygen species generation</w:t>
      </w:r>
      <w:r w:rsidRPr="00282F47">
        <w:rPr>
          <w:rFonts w:ascii="Arial" w:hAnsi="Arial" w:cs="Arial"/>
          <w:noProof/>
          <w:sz w:val="24"/>
          <w:szCs w:val="24"/>
          <w:vertAlign w:val="superscript"/>
        </w:rPr>
        <w:t>83</w:t>
      </w:r>
      <w:r w:rsidRPr="00282F47">
        <w:rPr>
          <w:rFonts w:ascii="Arial" w:hAnsi="Arial" w:cs="Arial"/>
          <w:sz w:val="24"/>
          <w:szCs w:val="24"/>
        </w:rPr>
        <w:t xml:space="preserve">, and therefore we hypothesize inclusion of heavy side chains conjugated to the central squaric acid may enhance non-radiative decay and thermoelastic potential of compounds, leading to increased optoacoustic activity. Thus, </w:t>
      </w:r>
      <w:r w:rsidR="00CB654B">
        <w:rPr>
          <w:rFonts w:ascii="Arial" w:hAnsi="Arial" w:cs="Arial"/>
          <w:sz w:val="24"/>
          <w:szCs w:val="24"/>
        </w:rPr>
        <w:t>this study details</w:t>
      </w:r>
      <w:r w:rsidRPr="00282F47">
        <w:rPr>
          <w:rFonts w:ascii="Arial" w:hAnsi="Arial" w:cs="Arial"/>
          <w:sz w:val="24"/>
          <w:szCs w:val="24"/>
        </w:rPr>
        <w:t xml:space="preserve"> a systematic approach to increasing side chain weight</w:t>
      </w:r>
      <w:r w:rsidR="00CB654B">
        <w:rPr>
          <w:rFonts w:ascii="Arial" w:hAnsi="Arial" w:cs="Arial"/>
          <w:sz w:val="24"/>
          <w:szCs w:val="24"/>
        </w:rPr>
        <w:t xml:space="preserve"> by</w:t>
      </w:r>
      <w:r w:rsidRPr="00282F47">
        <w:rPr>
          <w:rFonts w:ascii="Arial" w:hAnsi="Arial" w:cs="Arial"/>
          <w:sz w:val="24"/>
          <w:szCs w:val="24"/>
        </w:rPr>
        <w:t>: 1) various halogenation (</w:t>
      </w:r>
      <w:r w:rsidR="00CB654B">
        <w:rPr>
          <w:rFonts w:ascii="Arial" w:hAnsi="Arial" w:cs="Arial"/>
          <w:sz w:val="24"/>
          <w:szCs w:val="24"/>
        </w:rPr>
        <w:t>fluorine</w:t>
      </w:r>
      <w:r w:rsidRPr="00282F47">
        <w:rPr>
          <w:rFonts w:ascii="Arial" w:hAnsi="Arial" w:cs="Arial"/>
          <w:sz w:val="24"/>
          <w:szCs w:val="24"/>
        </w:rPr>
        <w:t xml:space="preserve">, </w:t>
      </w:r>
      <w:r w:rsidR="00CB654B">
        <w:rPr>
          <w:rFonts w:ascii="Arial" w:hAnsi="Arial" w:cs="Arial"/>
          <w:sz w:val="24"/>
          <w:szCs w:val="24"/>
        </w:rPr>
        <w:t>chlorine</w:t>
      </w:r>
      <w:r w:rsidRPr="00282F47">
        <w:rPr>
          <w:rFonts w:ascii="Arial" w:hAnsi="Arial" w:cs="Arial"/>
          <w:sz w:val="24"/>
          <w:szCs w:val="24"/>
        </w:rPr>
        <w:t xml:space="preserve">, </w:t>
      </w:r>
      <w:r w:rsidR="00CB654B">
        <w:rPr>
          <w:rFonts w:ascii="Arial" w:hAnsi="Arial" w:cs="Arial"/>
          <w:sz w:val="24"/>
          <w:szCs w:val="24"/>
        </w:rPr>
        <w:t>bromine</w:t>
      </w:r>
      <w:r w:rsidRPr="00282F47">
        <w:rPr>
          <w:rFonts w:ascii="Arial" w:hAnsi="Arial" w:cs="Arial"/>
          <w:sz w:val="24"/>
          <w:szCs w:val="24"/>
        </w:rPr>
        <w:t xml:space="preserve">) at the 5th position of the heterocyclic ring; and </w:t>
      </w:r>
      <w:r w:rsidRPr="00282F47">
        <w:rPr>
          <w:rFonts w:ascii="Arial" w:hAnsi="Arial" w:cs="Arial"/>
          <w:sz w:val="24"/>
          <w:szCs w:val="24"/>
        </w:rPr>
        <w:lastRenderedPageBreak/>
        <w:t xml:space="preserve">2) extended hydrocarbon chains. This study sought to elucidate the potential role of varying the side chain substitutions at the heterocyclic ring N-atoms in the generation of optoacoustic signals using an </w:t>
      </w:r>
      <w:r w:rsidRPr="00282F47">
        <w:rPr>
          <w:rFonts w:ascii="Arial" w:hAnsi="Arial" w:cs="Arial"/>
          <w:i/>
          <w:iCs/>
          <w:sz w:val="24"/>
          <w:szCs w:val="24"/>
        </w:rPr>
        <w:t>in vivo</w:t>
      </w:r>
      <w:r w:rsidRPr="00282F47">
        <w:rPr>
          <w:rFonts w:ascii="Arial" w:hAnsi="Arial" w:cs="Arial"/>
          <w:sz w:val="24"/>
          <w:szCs w:val="24"/>
        </w:rPr>
        <w:t xml:space="preserve"> model as a first step in identifying the role for specific structural features in generating optoacoustic signals and greater intensities. Further,</w:t>
      </w:r>
      <w:r w:rsidR="00CB654B">
        <w:rPr>
          <w:rFonts w:ascii="Arial" w:hAnsi="Arial" w:cs="Arial"/>
          <w:sz w:val="24"/>
          <w:szCs w:val="24"/>
        </w:rPr>
        <w:t xml:space="preserve"> </w:t>
      </w:r>
      <w:r w:rsidRPr="00282F47">
        <w:rPr>
          <w:rFonts w:ascii="Arial" w:hAnsi="Arial" w:cs="Arial"/>
          <w:sz w:val="24"/>
          <w:szCs w:val="24"/>
        </w:rPr>
        <w:t xml:space="preserve">computational modeling approaches </w:t>
      </w:r>
      <w:r w:rsidR="00CB654B">
        <w:rPr>
          <w:rFonts w:ascii="Arial" w:hAnsi="Arial" w:cs="Arial"/>
          <w:sz w:val="24"/>
          <w:szCs w:val="24"/>
        </w:rPr>
        <w:t>are utilized</w:t>
      </w:r>
      <w:r w:rsidRPr="00282F47">
        <w:rPr>
          <w:rFonts w:ascii="Arial" w:hAnsi="Arial" w:cs="Arial"/>
          <w:sz w:val="24"/>
          <w:szCs w:val="24"/>
        </w:rPr>
        <w:t xml:space="preserve"> to develop an understanding of how to create primarily optoacoustic contrast agents and potentially provide predictions on the strength of optoacoustic molecules. In addition, a second class of molecules were synthesized and evaluated for increased optoacoustic signal due to halogenation of side chains.</w:t>
      </w:r>
    </w:p>
    <w:p w14:paraId="24F3D062" w14:textId="77777777" w:rsidR="002027D2" w:rsidRPr="00282F47" w:rsidRDefault="002027D2" w:rsidP="00F73DFD">
      <w:pPr>
        <w:pStyle w:val="Style4"/>
        <w:spacing w:after="240"/>
        <w:rPr>
          <w:color w:val="auto"/>
        </w:rPr>
      </w:pPr>
      <w:bookmarkStart w:id="10" w:name="_Toc152874262"/>
      <w:r w:rsidRPr="00282F47">
        <w:rPr>
          <w:color w:val="auto"/>
        </w:rPr>
        <w:t>2.3 Materials and Methods:</w:t>
      </w:r>
      <w:bookmarkEnd w:id="10"/>
    </w:p>
    <w:p w14:paraId="388E18C4" w14:textId="77777777" w:rsidR="002027D2" w:rsidRPr="00282F47" w:rsidRDefault="002027D2" w:rsidP="00356F32">
      <w:pPr>
        <w:rPr>
          <w:rFonts w:ascii="Arial" w:hAnsi="Arial" w:cs="Arial"/>
          <w:b/>
          <w:bCs/>
          <w:sz w:val="24"/>
          <w:szCs w:val="24"/>
        </w:rPr>
      </w:pPr>
      <w:r w:rsidRPr="00282F47">
        <w:rPr>
          <w:rFonts w:ascii="Arial" w:hAnsi="Arial" w:cs="Arial"/>
          <w:b/>
          <w:bCs/>
          <w:sz w:val="24"/>
          <w:szCs w:val="24"/>
        </w:rPr>
        <w:t xml:space="preserve">2.3.1 Materials </w:t>
      </w:r>
    </w:p>
    <w:p w14:paraId="3E58F6E3" w14:textId="15F08850" w:rsidR="002027D2" w:rsidRPr="00282F47" w:rsidRDefault="002027D2" w:rsidP="009C6F40">
      <w:pPr>
        <w:spacing w:line="480" w:lineRule="auto"/>
        <w:jc w:val="both"/>
        <w:rPr>
          <w:rFonts w:ascii="Arial" w:hAnsi="Arial" w:cs="Arial"/>
          <w:sz w:val="24"/>
          <w:szCs w:val="24"/>
        </w:rPr>
      </w:pPr>
      <w:r w:rsidRPr="00282F47">
        <w:rPr>
          <w:rFonts w:ascii="Arial" w:hAnsi="Arial" w:cs="Arial"/>
          <w:sz w:val="24"/>
          <w:szCs w:val="24"/>
        </w:rPr>
        <w:t xml:space="preserve">All chemicals and solvents were of American Chemical Society grade or </w:t>
      </w:r>
      <w:r w:rsidR="00CB654B">
        <w:rPr>
          <w:rFonts w:ascii="Arial" w:hAnsi="Arial" w:cs="Arial"/>
          <w:sz w:val="24"/>
          <w:szCs w:val="24"/>
        </w:rPr>
        <w:t>high-performance liquid chromatography (</w:t>
      </w:r>
      <w:r w:rsidRPr="00282F47">
        <w:rPr>
          <w:rFonts w:ascii="Arial" w:hAnsi="Arial" w:cs="Arial"/>
          <w:sz w:val="24"/>
          <w:szCs w:val="24"/>
        </w:rPr>
        <w:t>HPLC</w:t>
      </w:r>
      <w:r w:rsidR="00CB654B">
        <w:rPr>
          <w:rFonts w:ascii="Arial" w:hAnsi="Arial" w:cs="Arial"/>
          <w:sz w:val="24"/>
          <w:szCs w:val="24"/>
        </w:rPr>
        <w:t>)</w:t>
      </w:r>
      <w:r w:rsidRPr="00282F47">
        <w:rPr>
          <w:rFonts w:ascii="Arial" w:hAnsi="Arial" w:cs="Arial"/>
          <w:sz w:val="24"/>
          <w:szCs w:val="24"/>
        </w:rPr>
        <w:t xml:space="preserve"> purity and were used as received. HPLC grade ethanol, M</w:t>
      </w:r>
      <w:r w:rsidR="00CB654B">
        <w:rPr>
          <w:rFonts w:ascii="Arial" w:hAnsi="Arial" w:cs="Arial"/>
          <w:sz w:val="24"/>
          <w:szCs w:val="24"/>
        </w:rPr>
        <w:t>B</w:t>
      </w:r>
      <w:r w:rsidRPr="00282F47">
        <w:rPr>
          <w:rFonts w:ascii="Arial" w:hAnsi="Arial" w:cs="Arial"/>
          <w:sz w:val="24"/>
          <w:szCs w:val="24"/>
        </w:rPr>
        <w:t xml:space="preserve"> dye (M9140), and tetrahydrofuran were purchased from Sigma-Aldrich (St. Louis, MO, USA). M</w:t>
      </w:r>
      <w:r w:rsidR="00CB654B">
        <w:rPr>
          <w:rFonts w:ascii="Arial" w:hAnsi="Arial" w:cs="Arial"/>
          <w:sz w:val="24"/>
          <w:szCs w:val="24"/>
        </w:rPr>
        <w:t>illi-Q</w:t>
      </w:r>
      <w:r w:rsidRPr="00282F47">
        <w:rPr>
          <w:rFonts w:ascii="Arial" w:hAnsi="Arial" w:cs="Arial"/>
          <w:sz w:val="24"/>
          <w:szCs w:val="24"/>
        </w:rPr>
        <w:t xml:space="preserve"> </w:t>
      </w:r>
      <w:r w:rsidR="00CB654B">
        <w:rPr>
          <w:rFonts w:ascii="Arial" w:hAnsi="Arial" w:cs="Arial"/>
          <w:sz w:val="24"/>
          <w:szCs w:val="24"/>
        </w:rPr>
        <w:t>w</w:t>
      </w:r>
      <w:r w:rsidRPr="00282F47">
        <w:rPr>
          <w:rFonts w:ascii="Arial" w:hAnsi="Arial" w:cs="Arial"/>
          <w:sz w:val="24"/>
          <w:szCs w:val="24"/>
        </w:rPr>
        <w:t xml:space="preserve">ater-unit was purchased through Milli-Pore, Sigma. All other chemicals were purchased from Fisher Scientific (Pittsburgh, PA, USA) or Acros Organics (Pittsburgh, PA, USA). The reactions were monitored using </w:t>
      </w:r>
      <w:r w:rsidR="00CB654B">
        <w:rPr>
          <w:rFonts w:ascii="Arial" w:hAnsi="Arial" w:cs="Arial"/>
          <w:sz w:val="24"/>
          <w:szCs w:val="24"/>
        </w:rPr>
        <w:t>ultraviolet-visible (</w:t>
      </w:r>
      <w:r w:rsidRPr="00282F47">
        <w:rPr>
          <w:rFonts w:ascii="Arial" w:hAnsi="Arial" w:cs="Arial"/>
          <w:sz w:val="24"/>
          <w:szCs w:val="24"/>
        </w:rPr>
        <w:t>UV−</w:t>
      </w:r>
      <w:r w:rsidR="00CB654B">
        <w:rPr>
          <w:rFonts w:ascii="Arial" w:hAnsi="Arial" w:cs="Arial"/>
          <w:sz w:val="24"/>
          <w:szCs w:val="24"/>
        </w:rPr>
        <w:t>VIS) and near-infrared (</w:t>
      </w:r>
      <w:r w:rsidRPr="00282F47">
        <w:rPr>
          <w:rFonts w:ascii="Arial" w:hAnsi="Arial" w:cs="Arial"/>
          <w:sz w:val="24"/>
          <w:szCs w:val="24"/>
        </w:rPr>
        <w:t>NIR</w:t>
      </w:r>
      <w:r w:rsidR="00CB654B">
        <w:rPr>
          <w:rFonts w:ascii="Arial" w:hAnsi="Arial" w:cs="Arial"/>
          <w:sz w:val="24"/>
          <w:szCs w:val="24"/>
        </w:rPr>
        <w:t>)</w:t>
      </w:r>
      <w:r w:rsidRPr="00282F47">
        <w:rPr>
          <w:rFonts w:ascii="Arial" w:hAnsi="Arial" w:cs="Arial"/>
          <w:sz w:val="24"/>
          <w:szCs w:val="24"/>
        </w:rPr>
        <w:t xml:space="preserve"> absorption spectra and recorded on a Varian Cary 50 spectrophotometer. </w:t>
      </w:r>
    </w:p>
    <w:p w14:paraId="76043A94" w14:textId="77777777" w:rsidR="002027D2" w:rsidRPr="00282F47" w:rsidRDefault="002027D2" w:rsidP="00356F32">
      <w:pPr>
        <w:rPr>
          <w:rFonts w:ascii="Arial" w:hAnsi="Arial" w:cs="Arial"/>
          <w:sz w:val="24"/>
          <w:szCs w:val="24"/>
        </w:rPr>
      </w:pPr>
      <w:r w:rsidRPr="00282F47">
        <w:rPr>
          <w:rFonts w:ascii="Arial" w:hAnsi="Arial" w:cs="Arial"/>
          <w:b/>
          <w:bCs/>
          <w:sz w:val="24"/>
          <w:szCs w:val="24"/>
        </w:rPr>
        <w:t>2.3.2 Synthesis of Optoacoustic Dyes</w:t>
      </w:r>
    </w:p>
    <w:p w14:paraId="1B4830FC" w14:textId="4689A945" w:rsidR="002027D2" w:rsidRPr="00282F47" w:rsidRDefault="002027D2" w:rsidP="009C6F40">
      <w:pPr>
        <w:spacing w:line="480" w:lineRule="auto"/>
        <w:jc w:val="both"/>
        <w:rPr>
          <w:rFonts w:ascii="Arial" w:hAnsi="Arial" w:cs="Arial"/>
          <w:sz w:val="24"/>
          <w:szCs w:val="24"/>
        </w:rPr>
      </w:pPr>
      <w:r w:rsidRPr="00282F47">
        <w:rPr>
          <w:rFonts w:ascii="Arial" w:hAnsi="Arial" w:cs="Arial"/>
          <w:sz w:val="24"/>
          <w:szCs w:val="24"/>
        </w:rPr>
        <w:t>The corresponding hydrazines (4.00 g, 22.3 mmol) were reacted with 3-methylbutanone (3.00 mL, 28.0 mmol) in acetic acid and heated to a 100°C for 24 h (</w:t>
      </w:r>
      <w:r w:rsidRPr="00282F47">
        <w:rPr>
          <w:rFonts w:ascii="Arial" w:hAnsi="Arial" w:cs="Arial"/>
          <w:b/>
          <w:bCs/>
          <w:sz w:val="24"/>
          <w:szCs w:val="24"/>
        </w:rPr>
        <w:t>Figure 2.1</w:t>
      </w:r>
      <w:r w:rsidRPr="00282F47">
        <w:rPr>
          <w:rFonts w:ascii="Arial" w:hAnsi="Arial" w:cs="Arial"/>
          <w:sz w:val="24"/>
          <w:szCs w:val="24"/>
        </w:rPr>
        <w:t>)</w:t>
      </w:r>
      <w:r w:rsidR="00CB654B">
        <w:rPr>
          <w:rFonts w:ascii="Arial" w:hAnsi="Arial" w:cs="Arial"/>
          <w:sz w:val="24"/>
          <w:szCs w:val="24"/>
        </w:rPr>
        <w:t>.</w:t>
      </w:r>
      <w:r w:rsidRPr="00282F47">
        <w:rPr>
          <w:rFonts w:ascii="Arial" w:hAnsi="Arial" w:cs="Arial"/>
          <w:sz w:val="24"/>
          <w:szCs w:val="24"/>
        </w:rPr>
        <w:t xml:space="preserve"> The resulting mixture was diluted with dichloromethane followed by successive neutralization </w:t>
      </w:r>
      <w:r w:rsidRPr="00282F47">
        <w:rPr>
          <w:rFonts w:ascii="Arial" w:hAnsi="Arial" w:cs="Arial"/>
          <w:sz w:val="24"/>
          <w:szCs w:val="24"/>
        </w:rPr>
        <w:lastRenderedPageBreak/>
        <w:t>with sodium bicarbonate. The extracts obtained were then concentrated under reduced pressure to afford the cyclized intermediates</w:t>
      </w:r>
      <w:r w:rsidR="00CB654B">
        <w:rPr>
          <w:rFonts w:ascii="Arial" w:hAnsi="Arial" w:cs="Arial"/>
          <w:sz w:val="24"/>
          <w:szCs w:val="24"/>
        </w:rPr>
        <w:t xml:space="preserve">. Intermediates were </w:t>
      </w:r>
      <w:r w:rsidRPr="00282F47">
        <w:rPr>
          <w:rFonts w:ascii="Arial" w:hAnsi="Arial" w:cs="Arial"/>
          <w:sz w:val="24"/>
          <w:szCs w:val="24"/>
        </w:rPr>
        <w:t>furthered alkylated using 3-bromo-N, N, N-trimethylpropan-1-ammonium bromide, or methyl iodide in acetonitrile under reflux conditions for about 72 h to form heterocyclic salts</w:t>
      </w:r>
      <w:r w:rsidR="00CB654B">
        <w:rPr>
          <w:rFonts w:ascii="Arial" w:hAnsi="Arial" w:cs="Arial"/>
          <w:sz w:val="24"/>
          <w:szCs w:val="24"/>
        </w:rPr>
        <w:t>.</w:t>
      </w:r>
      <w:r w:rsidRPr="00282F47">
        <w:rPr>
          <w:rFonts w:ascii="Arial" w:hAnsi="Arial" w:cs="Arial"/>
          <w:sz w:val="24"/>
          <w:szCs w:val="24"/>
        </w:rPr>
        <w:t xml:space="preserve"> The </w:t>
      </w:r>
      <w:r w:rsidRPr="00282F47">
        <w:rPr>
          <w:rFonts w:ascii="Arial" w:hAnsi="Arial" w:cs="Arial"/>
          <w:sz w:val="24"/>
          <w:szCs w:val="24"/>
          <w:vertAlign w:val="superscript"/>
        </w:rPr>
        <w:t>1</w:t>
      </w:r>
      <w:r w:rsidRPr="00282F47">
        <w:rPr>
          <w:rFonts w:ascii="Arial" w:hAnsi="Arial" w:cs="Arial"/>
          <w:sz w:val="24"/>
          <w:szCs w:val="24"/>
        </w:rPr>
        <w:t xml:space="preserve">H </w:t>
      </w:r>
      <w:r w:rsidR="00CB654B">
        <w:rPr>
          <w:rFonts w:ascii="Arial" w:hAnsi="Arial" w:cs="Arial"/>
          <w:sz w:val="24"/>
          <w:szCs w:val="24"/>
        </w:rPr>
        <w:t>nuclear magnetic resonance (</w:t>
      </w:r>
      <w:r w:rsidRPr="00282F47">
        <w:rPr>
          <w:rFonts w:ascii="Arial" w:hAnsi="Arial" w:cs="Arial"/>
          <w:sz w:val="24"/>
          <w:szCs w:val="24"/>
        </w:rPr>
        <w:t>NMR</w:t>
      </w:r>
      <w:r w:rsidR="00CB654B">
        <w:rPr>
          <w:rFonts w:ascii="Arial" w:hAnsi="Arial" w:cs="Arial"/>
          <w:sz w:val="24"/>
          <w:szCs w:val="24"/>
        </w:rPr>
        <w:t>)</w:t>
      </w:r>
      <w:r w:rsidRPr="00282F47">
        <w:rPr>
          <w:rFonts w:ascii="Arial" w:hAnsi="Arial" w:cs="Arial"/>
          <w:sz w:val="24"/>
          <w:szCs w:val="24"/>
        </w:rPr>
        <w:t xml:space="preserve"> and </w:t>
      </w:r>
      <w:r w:rsidRPr="00282F47">
        <w:rPr>
          <w:rFonts w:ascii="Arial" w:hAnsi="Arial" w:cs="Arial"/>
          <w:sz w:val="24"/>
          <w:szCs w:val="24"/>
          <w:vertAlign w:val="superscript"/>
        </w:rPr>
        <w:t>13</w:t>
      </w:r>
      <w:r w:rsidRPr="00282F47">
        <w:rPr>
          <w:rFonts w:ascii="Arial" w:hAnsi="Arial" w:cs="Arial"/>
          <w:sz w:val="24"/>
          <w:szCs w:val="24"/>
        </w:rPr>
        <w:t xml:space="preserve">C NMR spectra were obtained using high-quality Kontes NMR tubes (Kimble Chase, Vineland, NJ, USA) rated to 400 MHz and were recorded on an Avance II spectrometer (Bruker, Billerica, MA; 400 MHz for </w:t>
      </w:r>
      <w:r w:rsidRPr="00282F47">
        <w:rPr>
          <w:rFonts w:ascii="Arial" w:hAnsi="Arial" w:cs="Arial"/>
          <w:sz w:val="24"/>
          <w:szCs w:val="24"/>
          <w:vertAlign w:val="superscript"/>
        </w:rPr>
        <w:t>1</w:t>
      </w:r>
      <w:r w:rsidRPr="00282F47">
        <w:rPr>
          <w:rFonts w:ascii="Arial" w:hAnsi="Arial" w:cs="Arial"/>
          <w:sz w:val="24"/>
          <w:szCs w:val="24"/>
        </w:rPr>
        <w:t xml:space="preserve">H and 100 MHz for </w:t>
      </w:r>
      <w:r w:rsidRPr="00282F47">
        <w:rPr>
          <w:rFonts w:ascii="Arial" w:hAnsi="Arial" w:cs="Arial"/>
          <w:sz w:val="24"/>
          <w:szCs w:val="24"/>
          <w:vertAlign w:val="superscript"/>
        </w:rPr>
        <w:t>13</w:t>
      </w:r>
      <w:r w:rsidRPr="00282F47">
        <w:rPr>
          <w:rFonts w:ascii="Arial" w:hAnsi="Arial" w:cs="Arial"/>
          <w:sz w:val="24"/>
          <w:szCs w:val="24"/>
        </w:rPr>
        <w:t xml:space="preserve">C) in </w:t>
      </w:r>
      <w:r w:rsidR="00CB654B">
        <w:rPr>
          <w:rFonts w:ascii="Arial" w:hAnsi="Arial" w:cs="Arial"/>
          <w:sz w:val="24"/>
          <w:szCs w:val="24"/>
        </w:rPr>
        <w:t>dimethylsulfoxide</w:t>
      </w:r>
      <w:r w:rsidRPr="00282F47">
        <w:rPr>
          <w:rFonts w:ascii="Arial" w:hAnsi="Arial" w:cs="Arial"/>
          <w:sz w:val="24"/>
          <w:szCs w:val="24"/>
        </w:rPr>
        <w:t>-d6, and D</w:t>
      </w:r>
      <w:r w:rsidRPr="00282F47">
        <w:rPr>
          <w:rFonts w:ascii="Arial" w:hAnsi="Arial" w:cs="Arial"/>
          <w:sz w:val="24"/>
          <w:szCs w:val="24"/>
          <w:vertAlign w:val="subscript"/>
        </w:rPr>
        <w:t>2</w:t>
      </w:r>
      <w:r w:rsidRPr="00282F47">
        <w:rPr>
          <w:rFonts w:ascii="Arial" w:hAnsi="Arial" w:cs="Arial"/>
          <w:sz w:val="24"/>
          <w:szCs w:val="24"/>
        </w:rPr>
        <w:t>O. High-resolution mass spectra (HRMS) were obtained at the Georgia State University Mass Spectrometry Facility using a Q-TOF micro (ESI-Q-TOF) mass spectrometer (Waters, Milford, MA, USA). All compounds tested were &gt;95% pure.</w:t>
      </w:r>
    </w:p>
    <w:p w14:paraId="3B8BF8B5" w14:textId="311FBF4D" w:rsidR="002027D2" w:rsidRPr="00282F47" w:rsidRDefault="002027D2" w:rsidP="004219B7">
      <w:pPr>
        <w:spacing w:line="480" w:lineRule="auto"/>
        <w:jc w:val="both"/>
        <w:rPr>
          <w:rFonts w:ascii="Arial" w:hAnsi="Arial" w:cs="Arial"/>
          <w:sz w:val="24"/>
          <w:szCs w:val="24"/>
        </w:rPr>
      </w:pPr>
      <w:r w:rsidRPr="00282F47">
        <w:rPr>
          <w:rFonts w:ascii="Arial" w:hAnsi="Arial" w:cs="Arial"/>
          <w:sz w:val="24"/>
          <w:szCs w:val="24"/>
        </w:rPr>
        <w:t xml:space="preserve">The various salts (1 molar eq.), squaric acid (0.5 molar equiv.), and quinoline (5 molar equiv.) were dissolved in a mixture of n-butanol and benzene (40 mL, 1:1 by volume). The resulting mixtures were refluxed under azeotropic distillation condition using a Dean Stark apparatus for 15 h. The reaction mixtures were continuously monitored using </w:t>
      </w:r>
      <w:r w:rsidR="00CB654B">
        <w:rPr>
          <w:rFonts w:ascii="Arial" w:hAnsi="Arial" w:cs="Arial"/>
          <w:sz w:val="24"/>
          <w:szCs w:val="24"/>
        </w:rPr>
        <w:t>UV-VIS</w:t>
      </w:r>
      <w:r w:rsidRPr="00282F47">
        <w:rPr>
          <w:rFonts w:ascii="Arial" w:hAnsi="Arial" w:cs="Arial"/>
          <w:sz w:val="24"/>
          <w:szCs w:val="24"/>
        </w:rPr>
        <w:t>/NIR spectrophotometry until signals were observed.  After successful completion of the reactions, the solvents were removed under reduced pressure. The crude products were precipitated using ethyl acetate and acetone and dried under vacuum. The desired optoacoustic probes were finally obtained following co-precipitation methods using methanol and ethyl acetate.</w:t>
      </w:r>
    </w:p>
    <w:p w14:paraId="03D10456"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2.3.3 Dye Evaluation</w:t>
      </w:r>
    </w:p>
    <w:p w14:paraId="049FFCC9" w14:textId="77777777" w:rsidR="002027D2" w:rsidRPr="00282F47" w:rsidRDefault="002027D2" w:rsidP="004219B7">
      <w:pPr>
        <w:spacing w:line="480" w:lineRule="auto"/>
        <w:jc w:val="both"/>
        <w:rPr>
          <w:rFonts w:ascii="Arial" w:hAnsi="Arial" w:cs="Arial"/>
          <w:b/>
          <w:bCs/>
          <w:sz w:val="24"/>
          <w:szCs w:val="24"/>
        </w:rPr>
      </w:pPr>
      <w:r w:rsidRPr="00282F47">
        <w:rPr>
          <w:rFonts w:ascii="Arial" w:hAnsi="Arial" w:cs="Arial"/>
          <w:sz w:val="24"/>
          <w:szCs w:val="24"/>
        </w:rPr>
        <w:t xml:space="preserve">Following synthesis of compounds, each was diluted for subsequent evaluation and analysis. Specific dilution methods are noted under the relevant type of analysis. </w:t>
      </w:r>
      <w:r w:rsidRPr="00282F47">
        <w:rPr>
          <w:rFonts w:ascii="Arial" w:hAnsi="Arial" w:cs="Arial"/>
          <w:sz w:val="24"/>
          <w:szCs w:val="24"/>
        </w:rPr>
        <w:lastRenderedPageBreak/>
        <w:t>Squaraines were diluted in ethanol (50%) and water to a concentration of 1 mM and loaded into 3 mm cylindrical wells in solidified tissue mimicking phantoms consisting of 1.3% wt agar and 6% vol intralipid in distilled water. Samples were evaluated via MSOT at multiple wavelengths (680-900 nm in 5 nm steps) for NIR absorption and optoacoustic signal generation.</w:t>
      </w:r>
    </w:p>
    <w:p w14:paraId="08B15E93" w14:textId="77777777" w:rsidR="002027D2" w:rsidRPr="00282F47" w:rsidRDefault="002027D2" w:rsidP="004219B7">
      <w:pPr>
        <w:spacing w:line="276" w:lineRule="auto"/>
        <w:rPr>
          <w:rFonts w:ascii="Arial" w:hAnsi="Arial" w:cs="Arial"/>
          <w:sz w:val="24"/>
          <w:szCs w:val="24"/>
        </w:rPr>
      </w:pPr>
      <w:r w:rsidRPr="00282F47">
        <w:rPr>
          <w:rFonts w:ascii="Arial" w:hAnsi="Arial" w:cs="Arial"/>
          <w:b/>
          <w:bCs/>
          <w:sz w:val="24"/>
          <w:szCs w:val="24"/>
        </w:rPr>
        <w:t>2.3.4 Computational Modeling</w:t>
      </w:r>
    </w:p>
    <w:p w14:paraId="1785DFAF" w14:textId="1C20B6AE" w:rsidR="002027D2" w:rsidRPr="00282F47" w:rsidRDefault="002027D2" w:rsidP="004219B7">
      <w:pPr>
        <w:spacing w:line="480" w:lineRule="auto"/>
        <w:jc w:val="both"/>
        <w:rPr>
          <w:rFonts w:ascii="Arial" w:hAnsi="Arial" w:cs="Arial"/>
          <w:sz w:val="24"/>
          <w:szCs w:val="24"/>
        </w:rPr>
      </w:pPr>
      <w:r w:rsidRPr="00282F47">
        <w:rPr>
          <w:rFonts w:ascii="Arial" w:hAnsi="Arial" w:cs="Arial"/>
          <w:sz w:val="24"/>
          <w:szCs w:val="24"/>
        </w:rPr>
        <w:t>Density functional theory (DFT) and time-dependent density functional theory (TD-DFT) calculations were performed using the Q-Chem Software package</w:t>
      </w:r>
      <w:r w:rsidRPr="00282F47">
        <w:rPr>
          <w:rFonts w:ascii="Arial" w:hAnsi="Arial" w:cs="Arial"/>
          <w:noProof/>
          <w:sz w:val="24"/>
          <w:szCs w:val="24"/>
          <w:vertAlign w:val="superscript"/>
        </w:rPr>
        <w:t>84</w:t>
      </w:r>
      <w:r w:rsidRPr="00282F47">
        <w:rPr>
          <w:rFonts w:ascii="Arial" w:hAnsi="Arial" w:cs="Arial"/>
          <w:sz w:val="24"/>
          <w:szCs w:val="24"/>
        </w:rPr>
        <w:t>. For each molecule, the ground-state geometry was optimized in the gas-phase using DFT with the Perdew-Burke-Ernzerhof (PBE) functional</w:t>
      </w:r>
      <w:r w:rsidRPr="00282F47">
        <w:rPr>
          <w:rFonts w:ascii="Arial" w:hAnsi="Arial" w:cs="Arial"/>
          <w:noProof/>
          <w:sz w:val="24"/>
          <w:szCs w:val="24"/>
          <w:vertAlign w:val="superscript"/>
        </w:rPr>
        <w:t>85</w:t>
      </w:r>
      <w:r w:rsidRPr="00282F47">
        <w:rPr>
          <w:rFonts w:ascii="Arial" w:hAnsi="Arial" w:cs="Arial"/>
          <w:sz w:val="24"/>
          <w:szCs w:val="24"/>
        </w:rPr>
        <w:t xml:space="preserve"> and 6-31+G* basis set</w:t>
      </w:r>
      <w:r w:rsidRPr="00282F47">
        <w:rPr>
          <w:rFonts w:ascii="Arial" w:hAnsi="Arial" w:cs="Arial"/>
          <w:noProof/>
          <w:sz w:val="24"/>
          <w:szCs w:val="24"/>
          <w:vertAlign w:val="superscript"/>
        </w:rPr>
        <w:t>86</w:t>
      </w:r>
      <w:r w:rsidRPr="00282F47">
        <w:rPr>
          <w:rFonts w:ascii="Arial" w:hAnsi="Arial" w:cs="Arial"/>
          <w:sz w:val="24"/>
          <w:szCs w:val="24"/>
        </w:rPr>
        <w:t>. At these optimized geometries, TD-DFT calculations were performed with the same combination of functional and basis set to obtain the vertical excitation peaks for each molecule. The lowest</w:t>
      </w:r>
      <w:r w:rsidR="00AB4259">
        <w:rPr>
          <w:rFonts w:ascii="Arial" w:hAnsi="Arial" w:cs="Arial"/>
          <w:sz w:val="24"/>
          <w:szCs w:val="24"/>
        </w:rPr>
        <w:t xml:space="preserve"> </w:t>
      </w:r>
      <w:r w:rsidRPr="00282F47">
        <w:rPr>
          <w:rFonts w:ascii="Arial" w:hAnsi="Arial" w:cs="Arial"/>
          <w:sz w:val="24"/>
          <w:szCs w:val="24"/>
        </w:rPr>
        <w:t>energy (highest wavelength) absorption was analyzed. The orbital plots were generated using the IQmol graphical user interface. The vibrational entropies were obtained from harmonic frequency analysis on the ground-state potential energy surfaces.</w:t>
      </w:r>
    </w:p>
    <w:p w14:paraId="05E2EB7C"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2.3.5 Cell Lines</w:t>
      </w:r>
    </w:p>
    <w:p w14:paraId="6D709C48" w14:textId="65B21E94" w:rsidR="002027D2" w:rsidRPr="00282F47" w:rsidRDefault="002027D2" w:rsidP="00C10CCC">
      <w:pPr>
        <w:spacing w:line="480" w:lineRule="auto"/>
        <w:jc w:val="both"/>
        <w:rPr>
          <w:rFonts w:ascii="Arial" w:hAnsi="Arial" w:cs="Arial"/>
          <w:sz w:val="24"/>
          <w:szCs w:val="24"/>
        </w:rPr>
      </w:pPr>
      <w:r w:rsidRPr="00282F47">
        <w:rPr>
          <w:rFonts w:ascii="Arial" w:hAnsi="Arial" w:cs="Arial"/>
          <w:sz w:val="24"/>
          <w:szCs w:val="24"/>
        </w:rPr>
        <w:t>293 human kidney cells, H</w:t>
      </w:r>
      <w:r w:rsidR="00AB4259">
        <w:rPr>
          <w:rFonts w:ascii="Arial" w:hAnsi="Arial" w:cs="Arial"/>
          <w:sz w:val="24"/>
          <w:szCs w:val="24"/>
        </w:rPr>
        <w:t>EP</w:t>
      </w:r>
      <w:r w:rsidRPr="00282F47">
        <w:rPr>
          <w:rFonts w:ascii="Arial" w:hAnsi="Arial" w:cs="Arial"/>
          <w:sz w:val="24"/>
          <w:szCs w:val="24"/>
        </w:rPr>
        <w:t>G2 human liver cells, C</w:t>
      </w:r>
      <w:r w:rsidR="00AB4259">
        <w:rPr>
          <w:rFonts w:ascii="Arial" w:hAnsi="Arial" w:cs="Arial"/>
          <w:sz w:val="24"/>
          <w:szCs w:val="24"/>
        </w:rPr>
        <w:t>OLO</w:t>
      </w:r>
      <w:r w:rsidRPr="00282F47">
        <w:rPr>
          <w:rFonts w:ascii="Arial" w:hAnsi="Arial" w:cs="Arial"/>
          <w:sz w:val="24"/>
          <w:szCs w:val="24"/>
        </w:rPr>
        <w:t>205 human colon cells and human umbilical vein endothelial cells</w:t>
      </w:r>
      <w:r w:rsidR="00AB4259">
        <w:rPr>
          <w:rFonts w:ascii="Arial" w:hAnsi="Arial" w:cs="Arial"/>
          <w:sz w:val="24"/>
          <w:szCs w:val="24"/>
        </w:rPr>
        <w:t xml:space="preserve"> (HUVEC)</w:t>
      </w:r>
      <w:r w:rsidRPr="00282F47">
        <w:rPr>
          <w:rFonts w:ascii="Arial" w:hAnsi="Arial" w:cs="Arial"/>
          <w:sz w:val="24"/>
          <w:szCs w:val="24"/>
        </w:rPr>
        <w:t xml:space="preserve"> (American Type Culture Collection, Manassas, VA, USA) were utilized in this study. Cells were grown in standard Dulbecco’s Modified Eagle Medium (DMEM) equipped with 10% fetal bovine serum (FBS) and 1% L-glutamine. Cells wer</w:t>
      </w:r>
      <w:r w:rsidR="00AB4259">
        <w:rPr>
          <w:rFonts w:ascii="Arial" w:hAnsi="Arial" w:cs="Arial"/>
          <w:sz w:val="24"/>
          <w:szCs w:val="24"/>
        </w:rPr>
        <w:t xml:space="preserve">e housed </w:t>
      </w:r>
      <w:r w:rsidRPr="00282F47">
        <w:rPr>
          <w:rFonts w:ascii="Arial" w:hAnsi="Arial" w:cs="Arial"/>
          <w:sz w:val="24"/>
          <w:szCs w:val="24"/>
        </w:rPr>
        <w:t>in an incubator at 37°C and 5% CO</w:t>
      </w:r>
      <w:r w:rsidRPr="00282F47">
        <w:rPr>
          <w:rFonts w:ascii="Arial" w:hAnsi="Arial" w:cs="Arial"/>
          <w:sz w:val="24"/>
          <w:szCs w:val="24"/>
          <w:vertAlign w:val="subscript"/>
        </w:rPr>
        <w:t>2</w:t>
      </w:r>
      <w:r w:rsidRPr="00282F47">
        <w:rPr>
          <w:rFonts w:ascii="Arial" w:hAnsi="Arial" w:cs="Arial"/>
          <w:sz w:val="24"/>
          <w:szCs w:val="24"/>
        </w:rPr>
        <w:t>.</w:t>
      </w:r>
    </w:p>
    <w:p w14:paraId="142864C1"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 xml:space="preserve">2.3.6 </w:t>
      </w:r>
      <w:r w:rsidRPr="00282F47">
        <w:rPr>
          <w:rFonts w:ascii="Arial" w:hAnsi="Arial" w:cs="Arial"/>
          <w:b/>
          <w:bCs/>
          <w:i/>
          <w:iCs/>
          <w:sz w:val="24"/>
          <w:szCs w:val="24"/>
        </w:rPr>
        <w:t xml:space="preserve">In Vitro </w:t>
      </w:r>
      <w:r w:rsidRPr="00282F47">
        <w:rPr>
          <w:rFonts w:ascii="Arial" w:hAnsi="Arial" w:cs="Arial"/>
          <w:b/>
          <w:bCs/>
          <w:sz w:val="24"/>
          <w:szCs w:val="24"/>
        </w:rPr>
        <w:t>Cell Viability</w:t>
      </w:r>
    </w:p>
    <w:p w14:paraId="6CADF77C" w14:textId="5BF25288" w:rsidR="002027D2" w:rsidRPr="00282F47" w:rsidRDefault="002027D2" w:rsidP="00C10CCC">
      <w:pPr>
        <w:spacing w:line="480" w:lineRule="auto"/>
        <w:jc w:val="both"/>
        <w:rPr>
          <w:rFonts w:ascii="Arial" w:hAnsi="Arial" w:cs="Arial"/>
          <w:sz w:val="24"/>
          <w:szCs w:val="24"/>
        </w:rPr>
      </w:pPr>
      <w:r w:rsidRPr="00282F47">
        <w:rPr>
          <w:rFonts w:ascii="Arial" w:hAnsi="Arial" w:cs="Arial"/>
          <w:sz w:val="24"/>
          <w:szCs w:val="24"/>
        </w:rPr>
        <w:lastRenderedPageBreak/>
        <w:t>Kidney (293), liver (H</w:t>
      </w:r>
      <w:r w:rsidR="00AB4259">
        <w:rPr>
          <w:rFonts w:ascii="Arial" w:hAnsi="Arial" w:cs="Arial"/>
          <w:sz w:val="24"/>
          <w:szCs w:val="24"/>
        </w:rPr>
        <w:t>EP</w:t>
      </w:r>
      <w:r w:rsidRPr="00282F47">
        <w:rPr>
          <w:rFonts w:ascii="Arial" w:hAnsi="Arial" w:cs="Arial"/>
          <w:sz w:val="24"/>
          <w:szCs w:val="24"/>
        </w:rPr>
        <w:t>G2), colon (COLO205), and umbilical vein (HUVEC) cell lines were plated at 5x10</w:t>
      </w:r>
      <w:r w:rsidRPr="00282F47">
        <w:rPr>
          <w:rFonts w:ascii="Arial" w:hAnsi="Arial" w:cs="Arial"/>
          <w:sz w:val="24"/>
          <w:szCs w:val="24"/>
          <w:vertAlign w:val="superscript"/>
        </w:rPr>
        <w:t>3</w:t>
      </w:r>
      <w:r w:rsidRPr="00282F47">
        <w:rPr>
          <w:rFonts w:ascii="Arial" w:hAnsi="Arial" w:cs="Arial"/>
          <w:sz w:val="24"/>
          <w:szCs w:val="24"/>
        </w:rPr>
        <w:t xml:space="preserve"> cells per well for 24 h in 96 well plates as indicated above. Squaraines were diluted in </w:t>
      </w:r>
      <w:r w:rsidR="00AB4259">
        <w:rPr>
          <w:rFonts w:ascii="Arial" w:hAnsi="Arial" w:cs="Arial"/>
          <w:sz w:val="24"/>
          <w:szCs w:val="24"/>
        </w:rPr>
        <w:t>phosphate buffer saline (</w:t>
      </w:r>
      <w:r w:rsidRPr="00282F47">
        <w:rPr>
          <w:rFonts w:ascii="Arial" w:hAnsi="Arial" w:cs="Arial"/>
          <w:sz w:val="24"/>
          <w:szCs w:val="24"/>
        </w:rPr>
        <w:t>PBS</w:t>
      </w:r>
      <w:r w:rsidR="00AB4259">
        <w:rPr>
          <w:rFonts w:ascii="Arial" w:hAnsi="Arial" w:cs="Arial"/>
          <w:sz w:val="24"/>
          <w:szCs w:val="24"/>
        </w:rPr>
        <w:t>)</w:t>
      </w:r>
      <w:r w:rsidRPr="00282F47">
        <w:rPr>
          <w:rFonts w:ascii="Arial" w:hAnsi="Arial" w:cs="Arial"/>
          <w:sz w:val="24"/>
          <w:szCs w:val="24"/>
        </w:rPr>
        <w:t xml:space="preserve"> at concentrations of 200 μg/mL and 20 μg/mL. Cyanine dyes were diluted in PBS at concentrations of 100 μg/mL and 10 μg/mL. Cells received treatment with 2.5 μL of dyes at each concentration allowed to continue to incubate for 24 h. ATPlite</w:t>
      </w:r>
      <w:r w:rsidRPr="00282F47">
        <w:rPr>
          <w:rFonts w:ascii="Arial" w:hAnsi="Arial" w:cs="Arial"/>
          <w:sz w:val="24"/>
          <w:szCs w:val="24"/>
          <w:vertAlign w:val="superscript"/>
        </w:rPr>
        <w:t>TM</w:t>
      </w:r>
      <w:r w:rsidRPr="00282F47">
        <w:rPr>
          <w:rFonts w:ascii="Arial" w:hAnsi="Arial" w:cs="Arial"/>
          <w:sz w:val="24"/>
          <w:szCs w:val="24"/>
        </w:rPr>
        <w:t xml:space="preserve"> (Perkin Elmer, Waltham, MA) was utilized with a Synergy HTX plate reader (BioTek, Winooski, VT) to measure </w:t>
      </w:r>
      <w:r w:rsidR="00AB4259">
        <w:rPr>
          <w:rFonts w:ascii="Arial" w:hAnsi="Arial" w:cs="Arial"/>
          <w:sz w:val="24"/>
          <w:szCs w:val="24"/>
        </w:rPr>
        <w:t xml:space="preserve">adenosine triphosphate (ATP) </w:t>
      </w:r>
      <w:r w:rsidRPr="00282F47">
        <w:rPr>
          <w:rFonts w:ascii="Arial" w:hAnsi="Arial" w:cs="Arial"/>
          <w:sz w:val="24"/>
          <w:szCs w:val="24"/>
        </w:rPr>
        <w:t>levels for cellular viability assessment. To avoid potential interactions with other dye-based viability assays (MTT and MTS assays) ATPLite</w:t>
      </w:r>
      <w:r w:rsidRPr="00282F47">
        <w:rPr>
          <w:rFonts w:ascii="Arial" w:hAnsi="Arial" w:cs="Arial"/>
          <w:sz w:val="24"/>
          <w:szCs w:val="24"/>
          <w:vertAlign w:val="superscript"/>
        </w:rPr>
        <w:t>TM</w:t>
      </w:r>
      <w:r w:rsidRPr="00282F47">
        <w:rPr>
          <w:rFonts w:ascii="Arial" w:hAnsi="Arial" w:cs="Arial"/>
          <w:sz w:val="24"/>
          <w:szCs w:val="24"/>
        </w:rPr>
        <w:t xml:space="preserve"> was utilized.</w:t>
      </w:r>
    </w:p>
    <w:p w14:paraId="68FC32CD"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2.3.7 Western Blot Analysis</w:t>
      </w:r>
    </w:p>
    <w:p w14:paraId="2E35CBE6" w14:textId="301341B4" w:rsidR="002027D2" w:rsidRPr="00282F47" w:rsidRDefault="002027D2" w:rsidP="004D5790">
      <w:pPr>
        <w:spacing w:line="480" w:lineRule="auto"/>
        <w:jc w:val="both"/>
        <w:rPr>
          <w:rFonts w:ascii="Arial" w:hAnsi="Arial" w:cs="Arial"/>
          <w:sz w:val="24"/>
          <w:szCs w:val="24"/>
        </w:rPr>
      </w:pPr>
      <w:r w:rsidRPr="00282F47">
        <w:rPr>
          <w:rFonts w:ascii="Arial" w:hAnsi="Arial" w:cs="Arial"/>
          <w:sz w:val="24"/>
          <w:szCs w:val="24"/>
        </w:rPr>
        <w:t xml:space="preserve">Colon (COLO205) cells were treated with 200 μg/mL of squaraines, or 600 nM of paclitaxel for 8 h. Protein lysates were harvested and quantified with standard techniques. 4-12% </w:t>
      </w:r>
      <w:r w:rsidR="00AB4259">
        <w:rPr>
          <w:rFonts w:ascii="Arial" w:hAnsi="Arial" w:cs="Arial"/>
          <w:sz w:val="24"/>
          <w:szCs w:val="24"/>
        </w:rPr>
        <w:t>b</w:t>
      </w:r>
      <w:r w:rsidRPr="00282F47">
        <w:rPr>
          <w:rFonts w:ascii="Arial" w:hAnsi="Arial" w:cs="Arial"/>
          <w:sz w:val="24"/>
          <w:szCs w:val="24"/>
        </w:rPr>
        <w:t>is-</w:t>
      </w:r>
      <w:r w:rsidR="00AB4259">
        <w:rPr>
          <w:rFonts w:ascii="Arial" w:hAnsi="Arial" w:cs="Arial"/>
          <w:sz w:val="24"/>
          <w:szCs w:val="24"/>
        </w:rPr>
        <w:t>t</w:t>
      </w:r>
      <w:r w:rsidRPr="00282F47">
        <w:rPr>
          <w:rFonts w:ascii="Arial" w:hAnsi="Arial" w:cs="Arial"/>
          <w:sz w:val="24"/>
          <w:szCs w:val="24"/>
        </w:rPr>
        <w:t>ris gels were loaded with treated cell lysates and transferred to standard western blot membranes. Caspase 3 (pro+active) antibody was utilized to evaluate if treated cells were undergoing apoptosis. Paclitaxel (600 nM) enters cells through caveolae-mediated endocytosis</w:t>
      </w:r>
      <w:r w:rsidRPr="00282F47">
        <w:rPr>
          <w:rFonts w:ascii="Arial" w:hAnsi="Arial" w:cs="Arial"/>
          <w:noProof/>
          <w:sz w:val="24"/>
          <w:szCs w:val="24"/>
          <w:vertAlign w:val="superscript"/>
        </w:rPr>
        <w:t>87</w:t>
      </w:r>
      <w:r w:rsidRPr="00282F47">
        <w:rPr>
          <w:rFonts w:ascii="Arial" w:hAnsi="Arial" w:cs="Arial"/>
          <w:sz w:val="24"/>
          <w:szCs w:val="24"/>
        </w:rPr>
        <w:t xml:space="preserve"> and causes mitotic halt and cellular death through microtubule stability and thus, served as a positive control in this study.</w:t>
      </w:r>
      <w:r w:rsidRPr="00282F47">
        <w:rPr>
          <w:rFonts w:ascii="Arial" w:hAnsi="Arial" w:cs="Arial"/>
          <w:noProof/>
          <w:sz w:val="24"/>
          <w:szCs w:val="24"/>
          <w:vertAlign w:val="superscript"/>
        </w:rPr>
        <w:t>88</w:t>
      </w:r>
      <w:r w:rsidRPr="00282F47">
        <w:rPr>
          <w:rFonts w:ascii="Arial" w:hAnsi="Arial" w:cs="Arial"/>
          <w:sz w:val="24"/>
          <w:szCs w:val="24"/>
        </w:rPr>
        <w:t xml:space="preserve"> Vinculin antibody was used as a loading control. Membranes were visualized and quantified on a LI-COR Odyssey CLx near-infrared imaging system.</w:t>
      </w:r>
    </w:p>
    <w:p w14:paraId="60DBFFD5"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2.3.8 Thermal Stability</w:t>
      </w:r>
    </w:p>
    <w:p w14:paraId="72F280F1" w14:textId="3188C760" w:rsidR="002027D2" w:rsidRPr="00282F47" w:rsidRDefault="002027D2" w:rsidP="00AD054E">
      <w:pPr>
        <w:spacing w:line="480" w:lineRule="auto"/>
        <w:jc w:val="both"/>
        <w:rPr>
          <w:rFonts w:ascii="Arial" w:hAnsi="Arial" w:cs="Arial"/>
          <w:sz w:val="24"/>
          <w:szCs w:val="24"/>
        </w:rPr>
      </w:pPr>
      <w:r w:rsidRPr="00282F47">
        <w:rPr>
          <w:rFonts w:ascii="Arial" w:hAnsi="Arial" w:cs="Arial"/>
          <w:sz w:val="24"/>
          <w:szCs w:val="24"/>
        </w:rPr>
        <w:t xml:space="preserve">Photothermal stability studies were performed on compounds. Stock solutions (1 mM) were prepared in </w:t>
      </w:r>
      <w:r w:rsidR="00AB4259">
        <w:rPr>
          <w:rFonts w:ascii="Arial" w:hAnsi="Arial" w:cs="Arial"/>
          <w:sz w:val="24"/>
          <w:szCs w:val="24"/>
        </w:rPr>
        <w:t>dimethyl sulfoxide</w:t>
      </w:r>
      <w:r w:rsidRPr="00282F47">
        <w:rPr>
          <w:rFonts w:ascii="Arial" w:hAnsi="Arial" w:cs="Arial"/>
          <w:sz w:val="24"/>
          <w:szCs w:val="24"/>
        </w:rPr>
        <w:t xml:space="preserve">, and the solutions were diluted to an optical </w:t>
      </w:r>
      <w:r w:rsidRPr="00282F47">
        <w:rPr>
          <w:rFonts w:ascii="Arial" w:hAnsi="Arial" w:cs="Arial"/>
          <w:sz w:val="24"/>
          <w:szCs w:val="24"/>
        </w:rPr>
        <w:lastRenderedPageBreak/>
        <w:t>absorbance of 1. Solutions were placed 12 inches from a 15 W UV lamp. Absorbance values at maximum were measured as a function of time irradiated by the UV lamp.</w:t>
      </w:r>
    </w:p>
    <w:p w14:paraId="5C499356"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2.3.9 Murine Model</w:t>
      </w:r>
    </w:p>
    <w:p w14:paraId="0DA638C4" w14:textId="77777777" w:rsidR="002027D2" w:rsidRPr="00282F47" w:rsidRDefault="002027D2" w:rsidP="00AD054E">
      <w:pPr>
        <w:spacing w:line="480" w:lineRule="auto"/>
        <w:jc w:val="both"/>
        <w:rPr>
          <w:rFonts w:ascii="Arial" w:hAnsi="Arial" w:cs="Arial"/>
          <w:sz w:val="24"/>
          <w:szCs w:val="24"/>
        </w:rPr>
      </w:pPr>
      <w:r w:rsidRPr="00282F47">
        <w:rPr>
          <w:rFonts w:ascii="Arial" w:hAnsi="Arial" w:cs="Arial"/>
          <w:sz w:val="24"/>
          <w:szCs w:val="24"/>
        </w:rPr>
        <w:t>4 wk old athymic female mice were used for this study. The hair of immunocompetent mice often obscures signal due to the lack of a smooth surface between skin and ultrasound gel/water/transducer. Utilization of athymic mice eliminates a potential confounding variable. Studies strictly adhered to the Oklahoma University Health Science Center Institutional Animal Care and Use Committee approved protocol (IACUC number 302166). Mice were set on a 2920X alfalfa free diet and ultrapure water to reduce background imaging signals.</w:t>
      </w:r>
    </w:p>
    <w:p w14:paraId="3CDC679B"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 xml:space="preserve">2.3.10 </w:t>
      </w:r>
      <w:r w:rsidRPr="00282F47">
        <w:rPr>
          <w:rFonts w:ascii="Arial" w:hAnsi="Arial" w:cs="Arial"/>
          <w:b/>
          <w:bCs/>
          <w:i/>
          <w:iCs/>
          <w:sz w:val="24"/>
          <w:szCs w:val="24"/>
        </w:rPr>
        <w:t xml:space="preserve">In Vivo </w:t>
      </w:r>
      <w:r w:rsidRPr="00282F47">
        <w:rPr>
          <w:rFonts w:ascii="Arial" w:hAnsi="Arial" w:cs="Arial"/>
          <w:b/>
          <w:bCs/>
          <w:sz w:val="24"/>
          <w:szCs w:val="24"/>
        </w:rPr>
        <w:t>Evaluation of Dye Accumulation</w:t>
      </w:r>
    </w:p>
    <w:p w14:paraId="6E7F8C2F" w14:textId="4434693F" w:rsidR="002027D2" w:rsidRPr="00282F47" w:rsidRDefault="002027D2" w:rsidP="00AD054E">
      <w:pPr>
        <w:spacing w:line="480" w:lineRule="auto"/>
        <w:jc w:val="both"/>
        <w:rPr>
          <w:rFonts w:ascii="Arial" w:hAnsi="Arial" w:cs="Arial"/>
          <w:sz w:val="24"/>
          <w:szCs w:val="24"/>
        </w:rPr>
      </w:pPr>
      <w:r w:rsidRPr="00282F47">
        <w:rPr>
          <w:rFonts w:ascii="Arial" w:hAnsi="Arial" w:cs="Arial"/>
          <w:sz w:val="24"/>
          <w:szCs w:val="24"/>
        </w:rPr>
        <w:t>All mice received oral administration with 100 μM squaraine dyes in water through standard, sterilized 20-gauge gavage needles. Oral administration was utilized for visualization of the colon lining and not the vasculature. Approximately five minutes following oral administration, mice were anesthetized and were imaged for up to 30 minutes, or 6 hours for longer term study in the supporting information, using InVision 512 TF MSOT (iThera Medical, Munich, Germany). Tomographic cross</w:t>
      </w:r>
      <w:r w:rsidR="00AB4259">
        <w:rPr>
          <w:rFonts w:ascii="Arial" w:hAnsi="Arial" w:cs="Arial"/>
          <w:sz w:val="24"/>
          <w:szCs w:val="24"/>
        </w:rPr>
        <w:t>-</w:t>
      </w:r>
      <w:r w:rsidRPr="00282F47">
        <w:rPr>
          <w:rFonts w:ascii="Arial" w:hAnsi="Arial" w:cs="Arial"/>
          <w:sz w:val="24"/>
          <w:szCs w:val="24"/>
        </w:rPr>
        <w:t>section images were acquired prior and subsequent to the target cross-sections to ensure visualization of all signal from compounds. A custom</w:t>
      </w:r>
      <w:r w:rsidR="00AB4259">
        <w:rPr>
          <w:rFonts w:ascii="Arial" w:hAnsi="Arial" w:cs="Arial"/>
          <w:sz w:val="24"/>
          <w:szCs w:val="24"/>
        </w:rPr>
        <w:t xml:space="preserve"> </w:t>
      </w:r>
      <w:r w:rsidRPr="00282F47">
        <w:rPr>
          <w:rFonts w:ascii="Arial" w:hAnsi="Arial" w:cs="Arial"/>
          <w:sz w:val="24"/>
          <w:szCs w:val="24"/>
        </w:rPr>
        <w:t>designed animal holder (iThera Medical) was used in tandem with a nose cone for anesthesia (1.5% isoflurane in 0.8 L/min medical air and 0.2 L/min O</w:t>
      </w:r>
      <w:r w:rsidRPr="00282F47">
        <w:rPr>
          <w:rFonts w:ascii="Arial" w:hAnsi="Arial" w:cs="Arial"/>
          <w:sz w:val="24"/>
          <w:szCs w:val="24"/>
          <w:vertAlign w:val="subscript"/>
        </w:rPr>
        <w:t>2</w:t>
      </w:r>
      <w:r w:rsidRPr="00282F47">
        <w:rPr>
          <w:rFonts w:ascii="Arial" w:hAnsi="Arial" w:cs="Arial"/>
          <w:sz w:val="24"/>
          <w:szCs w:val="24"/>
        </w:rPr>
        <w:t xml:space="preserve">) to allow for ventral imaging. 25 frames at each 0.2 mm imaging slices in the axial direction through the spleen and into the colon were captured at wavelengths 680, 710, 730, 740, 750, 760, 770, 780, 800, 850, and 900 nm for each position with a tunable, </w:t>
      </w:r>
      <w:r w:rsidRPr="00282F47">
        <w:rPr>
          <w:rFonts w:ascii="Arial" w:hAnsi="Arial" w:cs="Arial"/>
          <w:sz w:val="24"/>
          <w:szCs w:val="24"/>
        </w:rPr>
        <w:lastRenderedPageBreak/>
        <w:t xml:space="preserve">pulsed NIR laser source. Acquisition time was limited to 10 μs per frame to reduce impact of animal movements. Mice were carefully monitored by video observation while imaging to ensure no distress throughout the procedure. Following completion of imaging, mice were evaluated with NIR fluorescence using an </w:t>
      </w:r>
      <w:r w:rsidR="0047360B">
        <w:rPr>
          <w:rFonts w:ascii="Arial" w:hAnsi="Arial" w:cs="Arial"/>
          <w:sz w:val="24"/>
          <w:szCs w:val="24"/>
        </w:rPr>
        <w:t>a</w:t>
      </w:r>
      <w:r w:rsidRPr="00282F47">
        <w:rPr>
          <w:rFonts w:ascii="Arial" w:hAnsi="Arial" w:cs="Arial"/>
          <w:sz w:val="24"/>
          <w:szCs w:val="24"/>
        </w:rPr>
        <w:t>dvance</w:t>
      </w:r>
      <w:r w:rsidR="0047360B">
        <w:rPr>
          <w:rFonts w:ascii="Arial" w:hAnsi="Arial" w:cs="Arial"/>
          <w:sz w:val="24"/>
          <w:szCs w:val="24"/>
        </w:rPr>
        <w:t>d</w:t>
      </w:r>
      <w:r w:rsidRPr="00282F47">
        <w:rPr>
          <w:rFonts w:ascii="Arial" w:hAnsi="Arial" w:cs="Arial"/>
          <w:sz w:val="24"/>
          <w:szCs w:val="24"/>
        </w:rPr>
        <w:t xml:space="preserve"> </w:t>
      </w:r>
      <w:r w:rsidR="0047360B">
        <w:rPr>
          <w:rFonts w:ascii="Arial" w:hAnsi="Arial" w:cs="Arial"/>
          <w:sz w:val="24"/>
          <w:szCs w:val="24"/>
        </w:rPr>
        <w:t>m</w:t>
      </w:r>
      <w:r w:rsidRPr="00282F47">
        <w:rPr>
          <w:rFonts w:ascii="Arial" w:hAnsi="Arial" w:cs="Arial"/>
          <w:sz w:val="24"/>
          <w:szCs w:val="24"/>
        </w:rPr>
        <w:t xml:space="preserve">olecular </w:t>
      </w:r>
      <w:r w:rsidR="0047360B">
        <w:rPr>
          <w:rFonts w:ascii="Arial" w:hAnsi="Arial" w:cs="Arial"/>
          <w:sz w:val="24"/>
          <w:szCs w:val="24"/>
        </w:rPr>
        <w:t>i</w:t>
      </w:r>
      <w:r w:rsidRPr="00282F47">
        <w:rPr>
          <w:rFonts w:ascii="Arial" w:hAnsi="Arial" w:cs="Arial"/>
          <w:sz w:val="24"/>
          <w:szCs w:val="24"/>
        </w:rPr>
        <w:t>mager (AMI) (Spectral Imaging Instruments, Tucson, AZ). NIR fluorescence was used to corroborate results observed with MSOT imaging. Mice were euthanized by carbon dioxide overdose and cervical dislocation following completion of live-animal imaging.</w:t>
      </w:r>
    </w:p>
    <w:p w14:paraId="2E31CFFA"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 xml:space="preserve">2.3.11 </w:t>
      </w:r>
      <w:r w:rsidRPr="00282F47">
        <w:rPr>
          <w:rFonts w:ascii="Arial" w:hAnsi="Arial" w:cs="Arial"/>
          <w:b/>
          <w:bCs/>
          <w:i/>
          <w:iCs/>
          <w:sz w:val="24"/>
          <w:szCs w:val="24"/>
        </w:rPr>
        <w:t xml:space="preserve">Ex Vivo </w:t>
      </w:r>
      <w:r w:rsidRPr="00282F47">
        <w:rPr>
          <w:rFonts w:ascii="Arial" w:hAnsi="Arial" w:cs="Arial"/>
          <w:b/>
          <w:bCs/>
          <w:sz w:val="24"/>
          <w:szCs w:val="24"/>
        </w:rPr>
        <w:t>Organ Analysis</w:t>
      </w:r>
    </w:p>
    <w:p w14:paraId="480468AF" w14:textId="21C22414" w:rsidR="002027D2" w:rsidRPr="00282F47" w:rsidRDefault="002027D2" w:rsidP="00AD054E">
      <w:pPr>
        <w:spacing w:line="480" w:lineRule="auto"/>
        <w:jc w:val="both"/>
        <w:rPr>
          <w:rFonts w:ascii="Arial" w:hAnsi="Arial" w:cs="Arial"/>
          <w:sz w:val="24"/>
          <w:szCs w:val="24"/>
        </w:rPr>
      </w:pPr>
      <w:r w:rsidRPr="00282F47">
        <w:rPr>
          <w:rFonts w:ascii="Arial" w:hAnsi="Arial" w:cs="Arial"/>
          <w:sz w:val="24"/>
          <w:szCs w:val="24"/>
        </w:rPr>
        <w:t>Upon completion of live-animal imaging, organs including the colon, liver, spleen, and kidney were</w:t>
      </w:r>
      <w:r w:rsidR="00AB4259">
        <w:rPr>
          <w:rFonts w:ascii="Arial" w:hAnsi="Arial" w:cs="Arial"/>
          <w:sz w:val="24"/>
          <w:szCs w:val="24"/>
        </w:rPr>
        <w:t xml:space="preserve"> excised </w:t>
      </w:r>
      <w:r w:rsidRPr="00282F47">
        <w:rPr>
          <w:rFonts w:ascii="Arial" w:hAnsi="Arial" w:cs="Arial"/>
          <w:sz w:val="24"/>
          <w:szCs w:val="24"/>
        </w:rPr>
        <w:t xml:space="preserve">using standard techniques. Organs were evaluated </w:t>
      </w:r>
      <w:r w:rsidRPr="00282F47">
        <w:rPr>
          <w:rFonts w:ascii="Arial" w:hAnsi="Arial" w:cs="Arial"/>
          <w:i/>
          <w:iCs/>
          <w:sz w:val="24"/>
          <w:szCs w:val="24"/>
        </w:rPr>
        <w:t>ex vivo</w:t>
      </w:r>
      <w:r w:rsidRPr="00282F47">
        <w:rPr>
          <w:rFonts w:ascii="Arial" w:hAnsi="Arial" w:cs="Arial"/>
          <w:sz w:val="24"/>
          <w:szCs w:val="24"/>
        </w:rPr>
        <w:t xml:space="preserve"> using NIR fluorescence to confirm live-animal imaging results with MSOT and NIR fluorescence imaging. Liver, kidney, small intestine, and colon also were stained with hematoxylin and eosin (H&amp;E) to assess morphological toxicity.</w:t>
      </w:r>
    </w:p>
    <w:p w14:paraId="6C30EA9F"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2.3.12 Statistics</w:t>
      </w:r>
    </w:p>
    <w:p w14:paraId="2BA5C8EE" w14:textId="77777777" w:rsidR="002027D2" w:rsidRPr="00282F47" w:rsidRDefault="002027D2" w:rsidP="00AD054E">
      <w:pPr>
        <w:spacing w:line="480" w:lineRule="auto"/>
        <w:jc w:val="both"/>
        <w:rPr>
          <w:rFonts w:ascii="Arial" w:hAnsi="Arial" w:cs="Arial"/>
          <w:sz w:val="24"/>
          <w:szCs w:val="24"/>
        </w:rPr>
      </w:pPr>
      <w:r w:rsidRPr="00282F47">
        <w:rPr>
          <w:rFonts w:ascii="Arial" w:hAnsi="Arial" w:cs="Arial"/>
          <w:sz w:val="24"/>
          <w:szCs w:val="24"/>
        </w:rPr>
        <w:t xml:space="preserve">Analysis of variance (ANOVA) with post hoc comparisons was utilized to evaluate differences in optoacoustic signal </w:t>
      </w:r>
      <w:r w:rsidRPr="00282F47">
        <w:rPr>
          <w:rFonts w:ascii="Arial" w:hAnsi="Arial" w:cs="Arial"/>
          <w:i/>
          <w:iCs/>
          <w:sz w:val="24"/>
          <w:szCs w:val="24"/>
        </w:rPr>
        <w:t>in vivo</w:t>
      </w:r>
      <w:r w:rsidRPr="00282F47">
        <w:rPr>
          <w:rFonts w:ascii="Arial" w:hAnsi="Arial" w:cs="Arial"/>
          <w:sz w:val="24"/>
          <w:szCs w:val="24"/>
        </w:rPr>
        <w:t xml:space="preserve"> of squaraine compounds. Tukey and Bonferroni corrections were in agreement in the context of adjusting p-values due to multiple comparisons. Significance is defined as (* - p&lt;0.08; ** - p&lt;0.01; *** - p&lt;0.001).</w:t>
      </w:r>
    </w:p>
    <w:p w14:paraId="121A0CFC" w14:textId="77777777" w:rsidR="002027D2" w:rsidRPr="00282F47" w:rsidRDefault="002027D2" w:rsidP="00F73DFD">
      <w:pPr>
        <w:pStyle w:val="Style4"/>
        <w:spacing w:after="240"/>
        <w:rPr>
          <w:color w:val="auto"/>
        </w:rPr>
      </w:pPr>
      <w:bookmarkStart w:id="11" w:name="_Toc152874263"/>
      <w:r w:rsidRPr="00282F47">
        <w:rPr>
          <w:color w:val="auto"/>
        </w:rPr>
        <w:t>2.4 Results and Discussion:</w:t>
      </w:r>
      <w:bookmarkEnd w:id="11"/>
    </w:p>
    <w:p w14:paraId="0C70CDB5"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2.4.1 Dye Synthesis and Characterization</w:t>
      </w:r>
    </w:p>
    <w:p w14:paraId="5E904808" w14:textId="564C2636" w:rsidR="002027D2" w:rsidRPr="00282F47" w:rsidRDefault="002027D2" w:rsidP="005841A4">
      <w:pPr>
        <w:spacing w:line="480" w:lineRule="auto"/>
        <w:jc w:val="both"/>
        <w:rPr>
          <w:rFonts w:ascii="Arial" w:hAnsi="Arial" w:cs="Arial"/>
          <w:sz w:val="24"/>
          <w:szCs w:val="24"/>
        </w:rPr>
      </w:pPr>
      <w:r w:rsidRPr="00282F47">
        <w:rPr>
          <w:rFonts w:ascii="Arial" w:hAnsi="Arial" w:cs="Arial"/>
          <w:sz w:val="24"/>
          <w:szCs w:val="24"/>
        </w:rPr>
        <w:t xml:space="preserve">The identification and development of small molecule dyes that are synthesized specifically for optoacoustic imaging is in its preliminary stages. This demands extensive work in designing and synthesizing biosensors with certain structural features that would </w:t>
      </w:r>
      <w:r w:rsidRPr="00282F47">
        <w:rPr>
          <w:rFonts w:ascii="Arial" w:hAnsi="Arial" w:cs="Arial"/>
          <w:sz w:val="24"/>
          <w:szCs w:val="24"/>
        </w:rPr>
        <w:lastRenderedPageBreak/>
        <w:t>generate high intensity and unique optoacoustic spectral signals. Optoacoustic probes with tunable features such as absorption in the NIR</w:t>
      </w:r>
      <w:r w:rsidR="00AB4259">
        <w:rPr>
          <w:rFonts w:ascii="Arial" w:hAnsi="Arial" w:cs="Arial"/>
          <w:sz w:val="24"/>
          <w:szCs w:val="24"/>
        </w:rPr>
        <w:t xml:space="preserve"> region</w:t>
      </w:r>
      <w:r w:rsidRPr="00282F47">
        <w:rPr>
          <w:rFonts w:ascii="Arial" w:hAnsi="Arial" w:cs="Arial"/>
          <w:sz w:val="24"/>
          <w:szCs w:val="24"/>
        </w:rPr>
        <w:t>, high extinction coefficient, good photostability, sustained solubility under physiological pH, heavy atoms, and rotatable bonds requires in-depth design and synthetic approaches. Water soluble squaraine dyes, which were highly stable in serum have been synthesized previously</w:t>
      </w:r>
      <w:r w:rsidRPr="00282F47">
        <w:rPr>
          <w:rFonts w:ascii="Arial" w:hAnsi="Arial" w:cs="Arial"/>
          <w:noProof/>
          <w:sz w:val="24"/>
          <w:szCs w:val="24"/>
          <w:vertAlign w:val="superscript"/>
        </w:rPr>
        <w:t>84</w:t>
      </w:r>
      <w:r w:rsidRPr="00282F47">
        <w:rPr>
          <w:rFonts w:ascii="Arial" w:hAnsi="Arial" w:cs="Arial"/>
          <w:sz w:val="24"/>
          <w:szCs w:val="24"/>
        </w:rPr>
        <w:t>. Due to their improved water solubility and stability in serum, this class of compounds</w:t>
      </w:r>
      <w:r w:rsidR="00193135">
        <w:rPr>
          <w:rFonts w:ascii="Arial" w:hAnsi="Arial" w:cs="Arial"/>
          <w:sz w:val="24"/>
          <w:szCs w:val="24"/>
        </w:rPr>
        <w:t xml:space="preserve"> was chosen for</w:t>
      </w:r>
      <w:r w:rsidRPr="00282F47">
        <w:rPr>
          <w:rFonts w:ascii="Arial" w:hAnsi="Arial" w:cs="Arial"/>
          <w:sz w:val="24"/>
          <w:szCs w:val="24"/>
        </w:rPr>
        <w:t xml:space="preserve"> further</w:t>
      </w:r>
      <w:r w:rsidR="00193135">
        <w:rPr>
          <w:rFonts w:ascii="Arial" w:hAnsi="Arial" w:cs="Arial"/>
          <w:sz w:val="24"/>
          <w:szCs w:val="24"/>
        </w:rPr>
        <w:t xml:space="preserve"> evaluation of</w:t>
      </w:r>
      <w:r w:rsidRPr="00282F47">
        <w:rPr>
          <w:rFonts w:ascii="Arial" w:hAnsi="Arial" w:cs="Arial"/>
          <w:sz w:val="24"/>
          <w:szCs w:val="24"/>
        </w:rPr>
        <w:t xml:space="preserve"> optoacoustic properties. To achieve this goal, </w:t>
      </w:r>
      <w:r w:rsidR="00193135">
        <w:rPr>
          <w:rFonts w:ascii="Arial" w:hAnsi="Arial" w:cs="Arial"/>
          <w:sz w:val="24"/>
          <w:szCs w:val="24"/>
        </w:rPr>
        <w:t xml:space="preserve">the synthesis procedure </w:t>
      </w:r>
      <w:r w:rsidRPr="00282F47">
        <w:rPr>
          <w:rFonts w:ascii="Arial" w:hAnsi="Arial" w:cs="Arial"/>
          <w:sz w:val="24"/>
          <w:szCs w:val="24"/>
        </w:rPr>
        <w:t>reported to synthesize the highly stable symmetrical squaraine dyes</w:t>
      </w:r>
      <w:r w:rsidR="00193135">
        <w:rPr>
          <w:rFonts w:ascii="Arial" w:hAnsi="Arial" w:cs="Arial"/>
          <w:sz w:val="24"/>
          <w:szCs w:val="24"/>
        </w:rPr>
        <w:t xml:space="preserve"> was followed,</w:t>
      </w:r>
      <w:r w:rsidRPr="00282F47">
        <w:rPr>
          <w:rFonts w:ascii="Arial" w:hAnsi="Arial" w:cs="Arial"/>
          <w:sz w:val="24"/>
          <w:szCs w:val="24"/>
        </w:rPr>
        <w:t xml:space="preserve"> as shown in </w:t>
      </w:r>
      <w:r w:rsidRPr="00282F47">
        <w:rPr>
          <w:rFonts w:ascii="Arial" w:hAnsi="Arial" w:cs="Arial"/>
          <w:b/>
          <w:bCs/>
          <w:sz w:val="24"/>
          <w:szCs w:val="24"/>
        </w:rPr>
        <w:t>Figure 2.1</w:t>
      </w:r>
      <w:r w:rsidRPr="00282F47">
        <w:rPr>
          <w:rFonts w:ascii="Arial" w:hAnsi="Arial" w:cs="Arial"/>
          <w:sz w:val="24"/>
          <w:szCs w:val="24"/>
        </w:rPr>
        <w:t>. A second class of cyanine compounds (</w:t>
      </w:r>
      <w:r w:rsidRPr="00282F47">
        <w:rPr>
          <w:rFonts w:ascii="Arial" w:hAnsi="Arial" w:cs="Arial"/>
          <w:b/>
          <w:bCs/>
          <w:sz w:val="24"/>
          <w:szCs w:val="24"/>
        </w:rPr>
        <w:t>Supporting Figure S2.1</w:t>
      </w:r>
      <w:r w:rsidRPr="00282F47">
        <w:rPr>
          <w:rFonts w:ascii="Arial" w:hAnsi="Arial" w:cs="Arial"/>
          <w:sz w:val="24"/>
          <w:szCs w:val="24"/>
        </w:rPr>
        <w:t>) w</w:t>
      </w:r>
      <w:r w:rsidR="00193135">
        <w:rPr>
          <w:rFonts w:ascii="Arial" w:hAnsi="Arial" w:cs="Arial"/>
          <w:sz w:val="24"/>
          <w:szCs w:val="24"/>
        </w:rPr>
        <w:t>as</w:t>
      </w:r>
      <w:r w:rsidRPr="00282F47">
        <w:rPr>
          <w:rFonts w:ascii="Arial" w:hAnsi="Arial" w:cs="Arial"/>
          <w:sz w:val="24"/>
          <w:szCs w:val="24"/>
        </w:rPr>
        <w:t xml:space="preserve"> synthesized subsequently to ensure universal increase of optoacoustic signal due to side chain halogenation.</w:t>
      </w:r>
    </w:p>
    <w:p w14:paraId="60284C59" w14:textId="77777777" w:rsidR="002027D2" w:rsidRPr="00282F47" w:rsidRDefault="002027D2" w:rsidP="00354DBC">
      <w:pPr>
        <w:spacing w:line="276" w:lineRule="auto"/>
        <w:jc w:val="center"/>
        <w:rPr>
          <w:rFonts w:ascii="Arial" w:hAnsi="Arial" w:cs="Arial"/>
          <w:sz w:val="24"/>
          <w:szCs w:val="24"/>
        </w:rPr>
      </w:pPr>
      <w:r w:rsidRPr="00282F47">
        <w:rPr>
          <w:rFonts w:ascii="Arial" w:hAnsi="Arial" w:cs="Arial"/>
          <w:noProof/>
          <w:sz w:val="24"/>
          <w:szCs w:val="24"/>
        </w:rPr>
        <w:drawing>
          <wp:inline distT="0" distB="0" distL="0" distR="0" wp14:anchorId="4A39890F" wp14:editId="1C4BE316">
            <wp:extent cx="5391342" cy="2062429"/>
            <wp:effectExtent l="0" t="0" r="0" b="0"/>
            <wp:docPr id="6199566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8182" cy="2065046"/>
                    </a:xfrm>
                    <a:prstGeom prst="rect">
                      <a:avLst/>
                    </a:prstGeom>
                    <a:noFill/>
                  </pic:spPr>
                </pic:pic>
              </a:graphicData>
            </a:graphic>
          </wp:inline>
        </w:drawing>
      </w:r>
    </w:p>
    <w:p w14:paraId="0505CC53" w14:textId="77777777" w:rsidR="002027D2" w:rsidRPr="00282F47" w:rsidRDefault="002027D2" w:rsidP="00297884">
      <w:pPr>
        <w:spacing w:line="276" w:lineRule="auto"/>
        <w:jc w:val="both"/>
        <w:rPr>
          <w:rFonts w:ascii="Arial" w:hAnsi="Arial" w:cs="Arial"/>
          <w:sz w:val="24"/>
          <w:szCs w:val="24"/>
        </w:rPr>
      </w:pPr>
      <w:r w:rsidRPr="00282F47">
        <w:rPr>
          <w:rFonts w:ascii="Arial" w:hAnsi="Arial" w:cs="Arial"/>
          <w:b/>
          <w:bCs/>
          <w:sz w:val="24"/>
          <w:szCs w:val="24"/>
        </w:rPr>
        <w:t xml:space="preserve">Figure 2.1: </w:t>
      </w:r>
      <w:r w:rsidRPr="00282F47">
        <w:rPr>
          <w:rFonts w:ascii="Arial" w:hAnsi="Arial" w:cs="Arial"/>
          <w:sz w:val="24"/>
          <w:szCs w:val="24"/>
        </w:rPr>
        <w:t>Synthetic steps for squaraine optoacoustic probes.</w:t>
      </w:r>
    </w:p>
    <w:p w14:paraId="4A7C4566" w14:textId="77777777" w:rsidR="002027D2" w:rsidRPr="00282F47" w:rsidRDefault="002027D2" w:rsidP="00354DBC">
      <w:pPr>
        <w:spacing w:line="276" w:lineRule="auto"/>
        <w:jc w:val="center"/>
        <w:rPr>
          <w:rFonts w:ascii="Arial" w:hAnsi="Arial" w:cs="Arial"/>
          <w:sz w:val="24"/>
          <w:szCs w:val="24"/>
        </w:rPr>
      </w:pPr>
    </w:p>
    <w:p w14:paraId="1C7F2B34" w14:textId="6BF99D90" w:rsidR="002027D2" w:rsidRPr="00282F47" w:rsidRDefault="002027D2" w:rsidP="005841A4">
      <w:pPr>
        <w:spacing w:line="480" w:lineRule="auto"/>
        <w:jc w:val="both"/>
        <w:rPr>
          <w:rFonts w:ascii="Arial" w:hAnsi="Arial" w:cs="Arial"/>
          <w:sz w:val="24"/>
          <w:szCs w:val="24"/>
        </w:rPr>
      </w:pPr>
      <w:r w:rsidRPr="00282F47">
        <w:rPr>
          <w:rFonts w:ascii="Arial" w:hAnsi="Arial" w:cs="Arial"/>
          <w:sz w:val="24"/>
          <w:szCs w:val="24"/>
        </w:rPr>
        <w:t xml:space="preserve">The synthesis begins by performing a Fischer indole cyclization reaction using derivatives of phenyl hydrazine. These nonhalogenated (X = </w:t>
      </w:r>
      <w:r w:rsidR="00193135">
        <w:rPr>
          <w:rFonts w:ascii="Arial" w:hAnsi="Arial" w:cs="Arial"/>
          <w:sz w:val="24"/>
          <w:szCs w:val="24"/>
        </w:rPr>
        <w:t>hydrogen (</w:t>
      </w:r>
      <w:r w:rsidRPr="00282F47">
        <w:rPr>
          <w:rFonts w:ascii="Arial" w:hAnsi="Arial" w:cs="Arial"/>
          <w:sz w:val="24"/>
          <w:szCs w:val="24"/>
        </w:rPr>
        <w:t>H</w:t>
      </w:r>
      <w:r w:rsidR="00193135">
        <w:rPr>
          <w:rFonts w:ascii="Arial" w:hAnsi="Arial" w:cs="Arial"/>
          <w:sz w:val="24"/>
          <w:szCs w:val="24"/>
        </w:rPr>
        <w:t>)</w:t>
      </w:r>
      <w:r w:rsidRPr="00282F47">
        <w:rPr>
          <w:rFonts w:ascii="Arial" w:hAnsi="Arial" w:cs="Arial"/>
          <w:sz w:val="24"/>
          <w:szCs w:val="24"/>
        </w:rPr>
        <w:t xml:space="preserve">) and halogenated (X = </w:t>
      </w:r>
      <w:r w:rsidR="00193135">
        <w:rPr>
          <w:rFonts w:ascii="Arial" w:hAnsi="Arial" w:cs="Arial"/>
          <w:sz w:val="24"/>
          <w:szCs w:val="24"/>
        </w:rPr>
        <w:t>fluorine (</w:t>
      </w:r>
      <w:r w:rsidRPr="00282F47">
        <w:rPr>
          <w:rFonts w:ascii="Arial" w:hAnsi="Arial" w:cs="Arial"/>
          <w:sz w:val="24"/>
          <w:szCs w:val="24"/>
        </w:rPr>
        <w:t>F</w:t>
      </w:r>
      <w:r w:rsidR="00193135">
        <w:rPr>
          <w:rFonts w:ascii="Arial" w:hAnsi="Arial" w:cs="Arial"/>
          <w:sz w:val="24"/>
          <w:szCs w:val="24"/>
        </w:rPr>
        <w:t>)</w:t>
      </w:r>
      <w:r w:rsidRPr="00282F47">
        <w:rPr>
          <w:rFonts w:ascii="Arial" w:hAnsi="Arial" w:cs="Arial"/>
          <w:sz w:val="24"/>
          <w:szCs w:val="24"/>
        </w:rPr>
        <w:t>,</w:t>
      </w:r>
      <w:r w:rsidR="00193135">
        <w:rPr>
          <w:rFonts w:ascii="Arial" w:hAnsi="Arial" w:cs="Arial"/>
          <w:sz w:val="24"/>
          <w:szCs w:val="24"/>
        </w:rPr>
        <w:t xml:space="preserve"> chlorine</w:t>
      </w:r>
      <w:r w:rsidRPr="00282F47">
        <w:rPr>
          <w:rFonts w:ascii="Arial" w:hAnsi="Arial" w:cs="Arial"/>
          <w:sz w:val="24"/>
          <w:szCs w:val="24"/>
        </w:rPr>
        <w:t xml:space="preserve"> </w:t>
      </w:r>
      <w:r w:rsidR="00193135">
        <w:rPr>
          <w:rFonts w:ascii="Arial" w:hAnsi="Arial" w:cs="Arial"/>
          <w:sz w:val="24"/>
          <w:szCs w:val="24"/>
        </w:rPr>
        <w:t>(</w:t>
      </w:r>
      <w:r w:rsidRPr="00282F47">
        <w:rPr>
          <w:rFonts w:ascii="Arial" w:hAnsi="Arial" w:cs="Arial"/>
          <w:sz w:val="24"/>
          <w:szCs w:val="24"/>
        </w:rPr>
        <w:t>Cl</w:t>
      </w:r>
      <w:r w:rsidR="00193135">
        <w:rPr>
          <w:rFonts w:ascii="Arial" w:hAnsi="Arial" w:cs="Arial"/>
          <w:sz w:val="24"/>
          <w:szCs w:val="24"/>
        </w:rPr>
        <w:t>)</w:t>
      </w:r>
      <w:r w:rsidRPr="00282F47">
        <w:rPr>
          <w:rFonts w:ascii="Arial" w:hAnsi="Arial" w:cs="Arial"/>
          <w:sz w:val="24"/>
          <w:szCs w:val="24"/>
        </w:rPr>
        <w:t>,</w:t>
      </w:r>
      <w:r w:rsidR="00193135">
        <w:rPr>
          <w:rFonts w:ascii="Arial" w:hAnsi="Arial" w:cs="Arial"/>
          <w:sz w:val="24"/>
          <w:szCs w:val="24"/>
        </w:rPr>
        <w:t xml:space="preserve"> bromine (</w:t>
      </w:r>
      <w:r w:rsidRPr="00282F47">
        <w:rPr>
          <w:rFonts w:ascii="Arial" w:hAnsi="Arial" w:cs="Arial"/>
          <w:sz w:val="24"/>
          <w:szCs w:val="24"/>
        </w:rPr>
        <w:t>Br</w:t>
      </w:r>
      <w:r w:rsidR="00193135">
        <w:rPr>
          <w:rFonts w:ascii="Arial" w:hAnsi="Arial" w:cs="Arial"/>
          <w:sz w:val="24"/>
          <w:szCs w:val="24"/>
        </w:rPr>
        <w:t>)</w:t>
      </w:r>
      <w:r w:rsidRPr="00282F47">
        <w:rPr>
          <w:rFonts w:ascii="Arial" w:hAnsi="Arial" w:cs="Arial"/>
          <w:sz w:val="24"/>
          <w:szCs w:val="24"/>
        </w:rPr>
        <w:t xml:space="preserve">) hydrazines were allowed to react with 3-methyl-2-butanone under acidic conditions. The intermediates formed after successfully cyclizing </w:t>
      </w:r>
      <w:r w:rsidRPr="00282F47">
        <w:rPr>
          <w:rFonts w:ascii="Arial" w:hAnsi="Arial" w:cs="Arial"/>
          <w:sz w:val="24"/>
          <w:szCs w:val="24"/>
        </w:rPr>
        <w:lastRenderedPageBreak/>
        <w:t xml:space="preserve">the reactants were further treated with methyl iodide </w:t>
      </w:r>
      <w:r w:rsidR="00193135">
        <w:rPr>
          <w:rFonts w:ascii="Arial" w:hAnsi="Arial" w:cs="Arial"/>
          <w:sz w:val="24"/>
          <w:szCs w:val="24"/>
        </w:rPr>
        <w:t xml:space="preserve">(no TMAB) </w:t>
      </w:r>
      <w:r w:rsidRPr="00282F47">
        <w:rPr>
          <w:rFonts w:ascii="Arial" w:hAnsi="Arial" w:cs="Arial"/>
          <w:sz w:val="24"/>
          <w:szCs w:val="24"/>
        </w:rPr>
        <w:t>or 3-bromo-N, N, N-trimethylpropan-1-ammonium bromide</w:t>
      </w:r>
      <w:r w:rsidR="00193135">
        <w:rPr>
          <w:rFonts w:ascii="Arial" w:hAnsi="Arial" w:cs="Arial"/>
          <w:sz w:val="24"/>
          <w:szCs w:val="24"/>
        </w:rPr>
        <w:t xml:space="preserve"> (TMAB)</w:t>
      </w:r>
      <w:r w:rsidRPr="00282F47">
        <w:rPr>
          <w:rFonts w:ascii="Arial" w:hAnsi="Arial" w:cs="Arial"/>
          <w:sz w:val="24"/>
          <w:szCs w:val="24"/>
        </w:rPr>
        <w:t xml:space="preserve"> in acetonitrile under reflux conditions for 72 h to form salt derivatives, which are intermediates used for synthesis of final squaraines</w:t>
      </w:r>
      <w:r w:rsidR="00193135">
        <w:rPr>
          <w:rFonts w:ascii="Arial" w:hAnsi="Arial" w:cs="Arial"/>
          <w:sz w:val="24"/>
          <w:szCs w:val="24"/>
        </w:rPr>
        <w:t xml:space="preserve"> (SQ)</w:t>
      </w:r>
      <w:r w:rsidRPr="00282F47">
        <w:rPr>
          <w:rFonts w:ascii="Arial" w:hAnsi="Arial" w:cs="Arial"/>
          <w:sz w:val="24"/>
          <w:szCs w:val="24"/>
        </w:rPr>
        <w:t xml:space="preserve">, and were not evaluated. The probe products obtained were cooled down to room temperature and then precipitated using either acetone or ethyl acetate. The final probes were obtained by reacting the respective indolium salts (2 mole), squaric acid (1 mole), and quinoline in a 50:50 mixture of n-butanol and benzene under reflux conditions for 15 h. To obtain maximum yields, the reactions were performed using a Dean Stark apparatus. The reaction mixtures were continuously monitored using </w:t>
      </w:r>
      <w:r w:rsidR="00193135">
        <w:rPr>
          <w:rFonts w:ascii="Arial" w:hAnsi="Arial" w:cs="Arial"/>
          <w:sz w:val="24"/>
          <w:szCs w:val="24"/>
        </w:rPr>
        <w:t>UV-VIS</w:t>
      </w:r>
      <w:r w:rsidRPr="00282F47">
        <w:rPr>
          <w:rFonts w:ascii="Arial" w:hAnsi="Arial" w:cs="Arial"/>
          <w:sz w:val="24"/>
          <w:szCs w:val="24"/>
        </w:rPr>
        <w:t xml:space="preserve">/NIR spectrophotometry until dye signals were observed. After successful completion of the reactions, the solvents were removed under reduced pressure. The crude products were precipitated using ethyl acetate and acetone and dried under vacuum. The desired optoacoustic squaraine probes were finally obtained following a coprecipitation method using methanol and ethyl acetate. All NMR and mass spectra of the compounds are in the </w:t>
      </w:r>
      <w:r w:rsidRPr="00282F47">
        <w:rPr>
          <w:rFonts w:ascii="Arial" w:hAnsi="Arial" w:cs="Arial"/>
          <w:b/>
          <w:bCs/>
          <w:sz w:val="24"/>
          <w:szCs w:val="24"/>
        </w:rPr>
        <w:t>Supporting Figures S2.2-2.16</w:t>
      </w:r>
      <w:r w:rsidRPr="00282F47">
        <w:rPr>
          <w:rFonts w:ascii="Arial" w:hAnsi="Arial" w:cs="Arial"/>
          <w:sz w:val="24"/>
          <w:szCs w:val="24"/>
        </w:rPr>
        <w:t xml:space="preserve">. </w:t>
      </w:r>
      <w:r w:rsidRPr="00282F47">
        <w:rPr>
          <w:rFonts w:ascii="Arial" w:hAnsi="Arial" w:cs="Arial"/>
          <w:b/>
          <w:bCs/>
          <w:sz w:val="24"/>
          <w:szCs w:val="24"/>
        </w:rPr>
        <w:t>SQ Br no TMAB</w:t>
      </w:r>
      <w:r w:rsidRPr="00282F47">
        <w:rPr>
          <w:rFonts w:ascii="Arial" w:hAnsi="Arial" w:cs="Arial"/>
          <w:sz w:val="24"/>
          <w:szCs w:val="24"/>
        </w:rPr>
        <w:t xml:space="preserve"> is structurally similar to </w:t>
      </w:r>
      <w:r w:rsidRPr="00282F47">
        <w:rPr>
          <w:rFonts w:ascii="Arial" w:hAnsi="Arial" w:cs="Arial"/>
          <w:b/>
          <w:bCs/>
          <w:sz w:val="24"/>
          <w:szCs w:val="24"/>
        </w:rPr>
        <w:t>SQ H no TMAB</w:t>
      </w:r>
      <w:r w:rsidRPr="00282F47">
        <w:rPr>
          <w:rFonts w:ascii="Arial" w:hAnsi="Arial" w:cs="Arial"/>
          <w:sz w:val="24"/>
          <w:szCs w:val="24"/>
        </w:rPr>
        <w:t xml:space="preserve"> with the substitution of bromine at the X position in order to determine the effect of bromination without trimethylpropylammonium substitutions.</w:t>
      </w:r>
    </w:p>
    <w:p w14:paraId="55A938DD" w14:textId="14BF60FE" w:rsidR="002027D2" w:rsidRPr="00282F47" w:rsidRDefault="002027D2" w:rsidP="005841A4">
      <w:pPr>
        <w:pStyle w:val="NormalWeb"/>
        <w:shd w:val="clear" w:color="auto" w:fill="FFFFFF"/>
        <w:spacing w:after="0" w:line="480" w:lineRule="auto"/>
        <w:jc w:val="both"/>
        <w:rPr>
          <w:rFonts w:ascii="Arial" w:hAnsi="Arial" w:cs="Arial"/>
          <w:bdr w:val="none" w:sz="0" w:space="0" w:color="auto" w:frame="1"/>
        </w:rPr>
      </w:pPr>
      <w:r w:rsidRPr="00282F47">
        <w:rPr>
          <w:rFonts w:ascii="Arial" w:hAnsi="Arial" w:cs="Arial"/>
          <w:bdr w:val="none" w:sz="0" w:space="0" w:color="auto" w:frame="1"/>
        </w:rPr>
        <w:t xml:space="preserve">To determine the photostability of squaraine derivatives, each compound was incubated in FBS at 37°C. </w:t>
      </w:r>
      <w:r w:rsidRPr="00282F47">
        <w:rPr>
          <w:rFonts w:ascii="Arial" w:hAnsi="Arial" w:cs="Arial"/>
        </w:rPr>
        <w:t xml:space="preserve">A stock solution of 1 mM of the squaraine dyes was first prepared in </w:t>
      </w:r>
      <w:r w:rsidR="00193135">
        <w:rPr>
          <w:rFonts w:ascii="Arial" w:hAnsi="Arial" w:cs="Arial"/>
        </w:rPr>
        <w:t>dimethyl sulfoxide</w:t>
      </w:r>
      <w:r w:rsidRPr="00282F47">
        <w:rPr>
          <w:rFonts w:ascii="Arial" w:hAnsi="Arial" w:cs="Arial"/>
        </w:rPr>
        <w:t xml:space="preserve"> and an aliquot of these stock solutions (10 µM) was diluted in 100% FBS supplemented with 50 mM HEPES buffer at pH = 7.4 and the absorbance was measured. The solution was continuously irradiated with a </w:t>
      </w:r>
      <w:r w:rsidR="00193135">
        <w:rPr>
          <w:rFonts w:ascii="Arial" w:hAnsi="Arial" w:cs="Arial"/>
        </w:rPr>
        <w:t>x</w:t>
      </w:r>
      <w:r w:rsidRPr="00282F47">
        <w:rPr>
          <w:rFonts w:ascii="Arial" w:hAnsi="Arial" w:cs="Arial"/>
        </w:rPr>
        <w:t xml:space="preserve">enon lamp at 150 W for 72 h. </w:t>
      </w:r>
      <w:r w:rsidRPr="00282F47">
        <w:rPr>
          <w:rFonts w:ascii="Arial" w:hAnsi="Arial" w:cs="Arial"/>
          <w:bdr w:val="none" w:sz="0" w:space="0" w:color="auto" w:frame="1"/>
        </w:rPr>
        <w:t xml:space="preserve">The optical responsiveness, recognized by absorbance as a percentage of original </w:t>
      </w:r>
      <w:r w:rsidRPr="00282F47">
        <w:rPr>
          <w:rFonts w:ascii="Arial" w:hAnsi="Arial" w:cs="Arial"/>
          <w:bdr w:val="none" w:sz="0" w:space="0" w:color="auto" w:frame="1"/>
        </w:rPr>
        <w:lastRenderedPageBreak/>
        <w:t>absorbance, was measured over 72 h (</w:t>
      </w:r>
      <w:r w:rsidRPr="00282F47">
        <w:rPr>
          <w:rFonts w:ascii="Arial" w:hAnsi="Arial" w:cs="Arial"/>
          <w:b/>
          <w:bCs/>
          <w:bdr w:val="none" w:sz="0" w:space="0" w:color="auto" w:frame="1"/>
        </w:rPr>
        <w:t>Figure 2.2A</w:t>
      </w:r>
      <w:r w:rsidRPr="00282F47">
        <w:rPr>
          <w:rFonts w:ascii="Arial" w:hAnsi="Arial" w:cs="Arial"/>
          <w:bdr w:val="none" w:sz="0" w:space="0" w:color="auto" w:frame="1"/>
        </w:rPr>
        <w:t>). Squaraine dyes with bromine and chlorine atoms (</w:t>
      </w:r>
      <w:r w:rsidRPr="00282F47">
        <w:rPr>
          <w:rFonts w:ascii="Arial" w:hAnsi="Arial" w:cs="Arial"/>
          <w:b/>
          <w:bCs/>
          <w:bdr w:val="none" w:sz="0" w:space="0" w:color="auto" w:frame="1"/>
        </w:rPr>
        <w:t>SQ Br</w:t>
      </w:r>
      <w:r w:rsidRPr="00282F47">
        <w:rPr>
          <w:rFonts w:ascii="Arial" w:hAnsi="Arial" w:cs="Arial"/>
          <w:bdr w:val="none" w:sz="0" w:space="0" w:color="auto" w:frame="1"/>
        </w:rPr>
        <w:t xml:space="preserve"> and </w:t>
      </w:r>
      <w:r w:rsidRPr="00282F47">
        <w:rPr>
          <w:rFonts w:ascii="Arial" w:hAnsi="Arial" w:cs="Arial"/>
          <w:b/>
          <w:bCs/>
          <w:bdr w:val="none" w:sz="0" w:space="0" w:color="auto" w:frame="1"/>
        </w:rPr>
        <w:t>SQ Cl</w:t>
      </w:r>
      <w:r w:rsidRPr="00282F47">
        <w:rPr>
          <w:rFonts w:ascii="Arial" w:hAnsi="Arial" w:cs="Arial"/>
          <w:bdr w:val="none" w:sz="0" w:space="0" w:color="auto" w:frame="1"/>
        </w:rPr>
        <w:t xml:space="preserve">) retained absorption strength over time, which will result in consistent optoacoustic signal generation. The photothermal stability exhibited by these dyes indicate the absence of photodegradation for </w:t>
      </w:r>
      <w:r w:rsidR="00193135" w:rsidRPr="00282F47">
        <w:rPr>
          <w:rFonts w:ascii="Arial" w:hAnsi="Arial" w:cs="Arial"/>
          <w:bdr w:val="none" w:sz="0" w:space="0" w:color="auto" w:frame="1"/>
        </w:rPr>
        <w:t>application</w:t>
      </w:r>
      <w:r w:rsidR="00193135">
        <w:rPr>
          <w:rFonts w:ascii="Arial" w:hAnsi="Arial" w:cs="Arial"/>
          <w:bdr w:val="none" w:sz="0" w:space="0" w:color="auto" w:frame="1"/>
        </w:rPr>
        <w:t>-based</w:t>
      </w:r>
      <w:r w:rsidRPr="00282F47">
        <w:rPr>
          <w:rFonts w:ascii="Arial" w:hAnsi="Arial" w:cs="Arial"/>
          <w:bdr w:val="none" w:sz="0" w:space="0" w:color="auto" w:frame="1"/>
        </w:rPr>
        <w:t xml:space="preserve"> timescales. A stable squaraine dye is less likely to undergo photodegradation or other chemical changes that could alter its thermal properties. Thus, </w:t>
      </w:r>
      <w:r w:rsidRPr="00282F47">
        <w:rPr>
          <w:rFonts w:ascii="Arial" w:hAnsi="Arial" w:cs="Arial"/>
          <w:b/>
          <w:bCs/>
          <w:bdr w:val="none" w:sz="0" w:space="0" w:color="auto" w:frame="1"/>
        </w:rPr>
        <w:t>SQ Br</w:t>
      </w:r>
      <w:r w:rsidRPr="00282F47">
        <w:rPr>
          <w:rFonts w:ascii="Arial" w:hAnsi="Arial" w:cs="Arial"/>
          <w:bdr w:val="none" w:sz="0" w:space="0" w:color="auto" w:frame="1"/>
        </w:rPr>
        <w:t xml:space="preserve"> and </w:t>
      </w:r>
      <w:r w:rsidRPr="00282F47">
        <w:rPr>
          <w:rFonts w:ascii="Arial" w:hAnsi="Arial" w:cs="Arial"/>
          <w:b/>
          <w:bCs/>
          <w:bdr w:val="none" w:sz="0" w:space="0" w:color="auto" w:frame="1"/>
        </w:rPr>
        <w:t>SQ Cl</w:t>
      </w:r>
      <w:r w:rsidRPr="00282F47">
        <w:rPr>
          <w:rFonts w:ascii="Arial" w:hAnsi="Arial" w:cs="Arial"/>
          <w:bdr w:val="none" w:sz="0" w:space="0" w:color="auto" w:frame="1"/>
        </w:rPr>
        <w:t xml:space="preserve"> possess adequate thermal stability, which is important for maintaining optoacoustic signal generation over time. In addition, photodegradable squaraine dyes can result in the release of byproducts or changes in the surrounding environment, potentially contributing to background noise in the optoacoustic signal. As a result, photostable squaraine dyes (</w:t>
      </w:r>
      <w:r w:rsidRPr="00282F47">
        <w:rPr>
          <w:rFonts w:ascii="Arial" w:hAnsi="Arial" w:cs="Arial"/>
          <w:b/>
          <w:bCs/>
          <w:bdr w:val="none" w:sz="0" w:space="0" w:color="auto" w:frame="1"/>
        </w:rPr>
        <w:t>SQ Br</w:t>
      </w:r>
      <w:r w:rsidRPr="00282F47">
        <w:rPr>
          <w:rFonts w:ascii="Arial" w:hAnsi="Arial" w:cs="Arial"/>
          <w:bdr w:val="none" w:sz="0" w:space="0" w:color="auto" w:frame="1"/>
        </w:rPr>
        <w:t xml:space="preserve"> and </w:t>
      </w:r>
      <w:r w:rsidRPr="00282F47">
        <w:rPr>
          <w:rFonts w:ascii="Arial" w:hAnsi="Arial" w:cs="Arial"/>
          <w:b/>
          <w:bCs/>
          <w:bdr w:val="none" w:sz="0" w:space="0" w:color="auto" w:frame="1"/>
        </w:rPr>
        <w:t>SQ Cl</w:t>
      </w:r>
      <w:r w:rsidRPr="00282F47">
        <w:rPr>
          <w:rFonts w:ascii="Arial" w:hAnsi="Arial" w:cs="Arial"/>
          <w:bdr w:val="none" w:sz="0" w:space="0" w:color="auto" w:frame="1"/>
        </w:rPr>
        <w:t>) are less likely to introduce these sources of noise, enabling clearer and more accurate optoacoustic signal interpretation. Optical and molecular properties of synthesized squaraine are described (</w:t>
      </w:r>
      <w:r w:rsidRPr="00282F47">
        <w:rPr>
          <w:rFonts w:ascii="Arial" w:hAnsi="Arial" w:cs="Arial"/>
          <w:b/>
          <w:bCs/>
          <w:bdr w:val="none" w:sz="0" w:space="0" w:color="auto" w:frame="1"/>
        </w:rPr>
        <w:t>Figure 2.2B-C</w:t>
      </w:r>
      <w:r w:rsidRPr="00282F47">
        <w:rPr>
          <w:rFonts w:ascii="Arial" w:hAnsi="Arial" w:cs="Arial"/>
          <w:bdr w:val="none" w:sz="0" w:space="0" w:color="auto" w:frame="1"/>
        </w:rPr>
        <w:t>).</w:t>
      </w:r>
    </w:p>
    <w:p w14:paraId="57F7615B" w14:textId="77777777" w:rsidR="002027D2" w:rsidRPr="00282F47" w:rsidRDefault="002027D2" w:rsidP="00354DBC">
      <w:pPr>
        <w:spacing w:line="276"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26538648" wp14:editId="6D532FFA">
            <wp:extent cx="4784942" cy="6419687"/>
            <wp:effectExtent l="0" t="0" r="0" b="635"/>
            <wp:docPr id="20642389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3808" cy="6458415"/>
                    </a:xfrm>
                    <a:prstGeom prst="rect">
                      <a:avLst/>
                    </a:prstGeom>
                    <a:noFill/>
                  </pic:spPr>
                </pic:pic>
              </a:graphicData>
            </a:graphic>
          </wp:inline>
        </w:drawing>
      </w:r>
    </w:p>
    <w:p w14:paraId="784D38D9" w14:textId="2D6CC3C3"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2.2:</w:t>
      </w:r>
      <w:r w:rsidRPr="00282F47">
        <w:rPr>
          <w:rFonts w:ascii="Arial" w:hAnsi="Arial" w:cs="Arial"/>
          <w:sz w:val="24"/>
          <w:szCs w:val="24"/>
        </w:rPr>
        <w:t xml:space="preserve"> A) Photothermal stability of squaraines. Compounds were diluted to an optical absorbance of 1 and re-measured after irradiation with a UV lamp. B) Optical properties for squaraines in FBS supplemented with HEPES buffer at pH 7.4 and warmed to physiological temperature (37°C). C) Molecular properties of squaraines. Rotatable bonds, surface area, and volume were computed with RDkit. LogD (lipophilicity) (pH 7.4) was computed with ChemAxon.</w:t>
      </w:r>
    </w:p>
    <w:p w14:paraId="2A1BB988" w14:textId="77777777" w:rsidR="004B4BA2" w:rsidRPr="00282F47" w:rsidRDefault="004B4BA2" w:rsidP="004B4BA2">
      <w:pPr>
        <w:spacing w:line="276" w:lineRule="auto"/>
        <w:jc w:val="both"/>
        <w:rPr>
          <w:rFonts w:ascii="Arial" w:hAnsi="Arial" w:cs="Arial"/>
          <w:sz w:val="24"/>
          <w:szCs w:val="24"/>
        </w:rPr>
      </w:pPr>
    </w:p>
    <w:p w14:paraId="458ADADD" w14:textId="03A06E6A" w:rsidR="002027D2" w:rsidRPr="00282F47" w:rsidRDefault="002027D2" w:rsidP="005841A4">
      <w:pPr>
        <w:spacing w:line="480" w:lineRule="auto"/>
        <w:jc w:val="both"/>
        <w:rPr>
          <w:rFonts w:ascii="Arial" w:hAnsi="Arial" w:cs="Arial"/>
          <w:sz w:val="24"/>
          <w:szCs w:val="24"/>
        </w:rPr>
      </w:pPr>
      <w:r w:rsidRPr="00282F47">
        <w:rPr>
          <w:rFonts w:ascii="Arial" w:hAnsi="Arial" w:cs="Arial"/>
          <w:sz w:val="24"/>
          <w:szCs w:val="24"/>
        </w:rPr>
        <w:lastRenderedPageBreak/>
        <w:t xml:space="preserve">Following the synthesis of </w:t>
      </w:r>
      <w:r w:rsidRPr="00282F47">
        <w:rPr>
          <w:rFonts w:ascii="Arial" w:hAnsi="Arial" w:cs="Arial"/>
          <w:b/>
          <w:bCs/>
          <w:sz w:val="24"/>
          <w:szCs w:val="24"/>
        </w:rPr>
        <w:t>SQ H no TMAB</w:t>
      </w:r>
      <w:r w:rsidRPr="00282F47">
        <w:rPr>
          <w:rFonts w:ascii="Arial" w:hAnsi="Arial" w:cs="Arial"/>
          <w:sz w:val="24"/>
          <w:szCs w:val="24"/>
        </w:rPr>
        <w:t xml:space="preserve"> and </w:t>
      </w:r>
      <w:r w:rsidRPr="00282F47">
        <w:rPr>
          <w:rFonts w:ascii="Arial" w:hAnsi="Arial" w:cs="Arial"/>
          <w:b/>
          <w:bCs/>
          <w:sz w:val="24"/>
          <w:szCs w:val="24"/>
        </w:rPr>
        <w:t>SQ H</w:t>
      </w:r>
      <w:r w:rsidRPr="00282F47">
        <w:rPr>
          <w:rFonts w:ascii="Arial" w:hAnsi="Arial" w:cs="Arial"/>
          <w:sz w:val="24"/>
          <w:szCs w:val="24"/>
        </w:rPr>
        <w:t>, initial evaluations</w:t>
      </w:r>
      <w:r w:rsidRPr="004B4BA2">
        <w:rPr>
          <w:rFonts w:ascii="Arial" w:hAnsi="Arial" w:cs="Arial"/>
          <w:iCs/>
          <w:sz w:val="24"/>
          <w:szCs w:val="24"/>
        </w:rPr>
        <w:t xml:space="preserve"> via</w:t>
      </w:r>
      <w:r w:rsidRPr="00282F47">
        <w:rPr>
          <w:rFonts w:ascii="Arial" w:hAnsi="Arial" w:cs="Arial"/>
          <w:sz w:val="24"/>
          <w:szCs w:val="24"/>
        </w:rPr>
        <w:t xml:space="preserve"> MSOT revealed that </w:t>
      </w:r>
      <w:r w:rsidRPr="00282F47">
        <w:rPr>
          <w:rFonts w:ascii="Arial" w:hAnsi="Arial" w:cs="Arial"/>
          <w:b/>
          <w:bCs/>
          <w:sz w:val="24"/>
          <w:szCs w:val="24"/>
        </w:rPr>
        <w:t xml:space="preserve">SQ H </w:t>
      </w:r>
      <w:r w:rsidRPr="00282F47">
        <w:rPr>
          <w:rFonts w:ascii="Arial" w:hAnsi="Arial" w:cs="Arial"/>
          <w:sz w:val="24"/>
          <w:szCs w:val="24"/>
        </w:rPr>
        <w:t xml:space="preserve">exhibited </w:t>
      </w:r>
      <w:r w:rsidR="004B4BA2">
        <w:rPr>
          <w:rFonts w:ascii="Arial" w:hAnsi="Arial" w:cs="Arial"/>
          <w:sz w:val="24"/>
          <w:szCs w:val="24"/>
        </w:rPr>
        <w:t>small</w:t>
      </w:r>
      <w:r w:rsidRPr="00282F47">
        <w:rPr>
          <w:rFonts w:ascii="Arial" w:hAnsi="Arial" w:cs="Arial"/>
          <w:sz w:val="24"/>
          <w:szCs w:val="24"/>
        </w:rPr>
        <w:t xml:space="preserve"> changes in optoacoustic signal intensity when compared to </w:t>
      </w:r>
      <w:r w:rsidRPr="00282F47">
        <w:rPr>
          <w:rFonts w:ascii="Arial" w:hAnsi="Arial" w:cs="Arial"/>
          <w:b/>
          <w:bCs/>
          <w:sz w:val="24"/>
          <w:szCs w:val="24"/>
        </w:rPr>
        <w:t>SQ H no TMAB</w:t>
      </w:r>
      <w:r w:rsidRPr="00282F47">
        <w:rPr>
          <w:rFonts w:ascii="Arial" w:hAnsi="Arial" w:cs="Arial"/>
          <w:sz w:val="24"/>
          <w:szCs w:val="24"/>
        </w:rPr>
        <w:t xml:space="preserve"> (</w:t>
      </w:r>
      <w:r w:rsidRPr="00282F47">
        <w:rPr>
          <w:rFonts w:ascii="Arial" w:hAnsi="Arial" w:cs="Arial"/>
          <w:b/>
          <w:bCs/>
          <w:sz w:val="24"/>
          <w:szCs w:val="24"/>
        </w:rPr>
        <w:t>Figure 2.3B-C</w:t>
      </w:r>
      <w:r w:rsidRPr="00282F47">
        <w:rPr>
          <w:rFonts w:ascii="Arial" w:hAnsi="Arial" w:cs="Arial"/>
          <w:sz w:val="24"/>
          <w:szCs w:val="24"/>
        </w:rPr>
        <w:t>). Optoacoustic signal has previously been correlated with number of rotatable bonds in the subject molecule</w:t>
      </w:r>
      <w:r w:rsidRPr="00282F47">
        <w:rPr>
          <w:rFonts w:ascii="Arial" w:hAnsi="Arial" w:cs="Arial"/>
          <w:noProof/>
          <w:sz w:val="24"/>
          <w:szCs w:val="24"/>
          <w:vertAlign w:val="superscript"/>
        </w:rPr>
        <w:t>78</w:t>
      </w:r>
      <w:r w:rsidRPr="00282F47">
        <w:rPr>
          <w:rFonts w:ascii="Arial" w:hAnsi="Arial" w:cs="Arial"/>
          <w:sz w:val="24"/>
          <w:szCs w:val="24"/>
        </w:rPr>
        <w:t xml:space="preserve">, however </w:t>
      </w:r>
      <w:r w:rsidR="004B4BA2">
        <w:rPr>
          <w:rFonts w:ascii="Arial" w:hAnsi="Arial" w:cs="Arial"/>
          <w:sz w:val="24"/>
          <w:szCs w:val="24"/>
        </w:rPr>
        <w:t>few</w:t>
      </w:r>
      <w:r w:rsidRPr="00282F47">
        <w:rPr>
          <w:rFonts w:ascii="Arial" w:hAnsi="Arial" w:cs="Arial"/>
          <w:sz w:val="24"/>
          <w:szCs w:val="24"/>
        </w:rPr>
        <w:t xml:space="preserve"> changes were observed here, likely due to lack of electron withdrawing moieties in the two compounds. This is supported by the increases in vibrational entropy and oscillator strength associated with the substitution of the methyl group (</w:t>
      </w:r>
      <w:r w:rsidRPr="00282F47">
        <w:rPr>
          <w:rFonts w:ascii="Arial" w:hAnsi="Arial" w:cs="Arial"/>
          <w:b/>
          <w:bCs/>
          <w:sz w:val="24"/>
          <w:szCs w:val="24"/>
        </w:rPr>
        <w:t>SQ H no TMAB</w:t>
      </w:r>
      <w:r w:rsidRPr="00282F47">
        <w:rPr>
          <w:rFonts w:ascii="Arial" w:hAnsi="Arial" w:cs="Arial"/>
          <w:sz w:val="24"/>
          <w:szCs w:val="24"/>
        </w:rPr>
        <w:t>) with trimethylpropylammonium (</w:t>
      </w:r>
      <w:r w:rsidRPr="00282F47">
        <w:rPr>
          <w:rFonts w:ascii="Arial" w:hAnsi="Arial" w:cs="Arial"/>
          <w:b/>
          <w:bCs/>
          <w:sz w:val="24"/>
          <w:szCs w:val="24"/>
        </w:rPr>
        <w:t>SQ H</w:t>
      </w:r>
      <w:r w:rsidRPr="00282F47">
        <w:rPr>
          <w:rFonts w:ascii="Arial" w:hAnsi="Arial" w:cs="Arial"/>
          <w:sz w:val="24"/>
          <w:szCs w:val="24"/>
        </w:rPr>
        <w:t xml:space="preserve">). In addition to optoacoustic data, </w:t>
      </w:r>
      <w:r w:rsidRPr="00282F47">
        <w:rPr>
          <w:rFonts w:ascii="Arial" w:hAnsi="Arial" w:cs="Arial"/>
          <w:b/>
          <w:bCs/>
          <w:sz w:val="24"/>
          <w:szCs w:val="24"/>
        </w:rPr>
        <w:t xml:space="preserve">Figure 2.3D-I </w:t>
      </w:r>
      <w:r w:rsidRPr="00282F47">
        <w:rPr>
          <w:rFonts w:ascii="Arial" w:hAnsi="Arial" w:cs="Arial"/>
          <w:sz w:val="24"/>
          <w:szCs w:val="24"/>
        </w:rPr>
        <w:t xml:space="preserve">shows the absorbance and fluorescence intensity of each squaraine and </w:t>
      </w:r>
      <w:r w:rsidRPr="00282F47">
        <w:rPr>
          <w:rFonts w:ascii="Arial" w:hAnsi="Arial" w:cs="Arial"/>
          <w:b/>
          <w:bCs/>
          <w:sz w:val="24"/>
          <w:szCs w:val="24"/>
        </w:rPr>
        <w:t xml:space="preserve">Figure 2.2B </w:t>
      </w:r>
      <w:r w:rsidRPr="00282F47">
        <w:rPr>
          <w:rFonts w:ascii="Arial" w:hAnsi="Arial" w:cs="Arial"/>
          <w:sz w:val="24"/>
          <w:szCs w:val="24"/>
        </w:rPr>
        <w:t xml:space="preserve">details the optical properties. Notably, the stark difference between fluorescence and absorbance in </w:t>
      </w:r>
      <w:r w:rsidRPr="00282F47">
        <w:rPr>
          <w:rFonts w:ascii="Arial" w:hAnsi="Arial" w:cs="Arial"/>
          <w:b/>
          <w:bCs/>
          <w:sz w:val="24"/>
          <w:szCs w:val="24"/>
        </w:rPr>
        <w:t>SQ Br</w:t>
      </w:r>
      <w:r w:rsidRPr="00282F47">
        <w:rPr>
          <w:rFonts w:ascii="Arial" w:hAnsi="Arial" w:cs="Arial"/>
          <w:sz w:val="24"/>
          <w:szCs w:val="24"/>
        </w:rPr>
        <w:t xml:space="preserve"> (</w:t>
      </w:r>
      <w:r w:rsidRPr="00282F47">
        <w:rPr>
          <w:rFonts w:ascii="Arial" w:hAnsi="Arial" w:cs="Arial"/>
          <w:b/>
          <w:bCs/>
          <w:sz w:val="24"/>
          <w:szCs w:val="24"/>
        </w:rPr>
        <w:t>Figure 2.3H</w:t>
      </w:r>
      <w:r w:rsidRPr="00282F47">
        <w:rPr>
          <w:rFonts w:ascii="Arial" w:hAnsi="Arial" w:cs="Arial"/>
          <w:sz w:val="24"/>
          <w:szCs w:val="24"/>
        </w:rPr>
        <w:t>)</w:t>
      </w:r>
      <w:r w:rsidRPr="00282F47">
        <w:rPr>
          <w:rFonts w:ascii="Arial" w:hAnsi="Arial" w:cs="Arial"/>
          <w:b/>
          <w:bCs/>
          <w:sz w:val="24"/>
          <w:szCs w:val="24"/>
        </w:rPr>
        <w:t xml:space="preserve"> </w:t>
      </w:r>
      <w:r w:rsidRPr="00282F47">
        <w:rPr>
          <w:rFonts w:ascii="Arial" w:hAnsi="Arial" w:cs="Arial"/>
          <w:sz w:val="24"/>
          <w:szCs w:val="24"/>
        </w:rPr>
        <w:t>suggests the possibility for high optoacoustic activity.</w:t>
      </w:r>
    </w:p>
    <w:p w14:paraId="7AFB17D7" w14:textId="77777777" w:rsidR="002027D2" w:rsidRPr="00282F47" w:rsidRDefault="002027D2" w:rsidP="00BA584D">
      <w:pPr>
        <w:spacing w:line="48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2B647006" wp14:editId="472A66BA">
            <wp:extent cx="5832630" cy="6200384"/>
            <wp:effectExtent l="0" t="0" r="0" b="0"/>
            <wp:docPr id="1536262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3916" cy="6223012"/>
                    </a:xfrm>
                    <a:prstGeom prst="rect">
                      <a:avLst/>
                    </a:prstGeom>
                    <a:noFill/>
                  </pic:spPr>
                </pic:pic>
              </a:graphicData>
            </a:graphic>
          </wp:inline>
        </w:drawing>
      </w:r>
    </w:p>
    <w:p w14:paraId="0DCE7EDB" w14:textId="77777777" w:rsidR="002027D2" w:rsidRPr="00282F47" w:rsidRDefault="002027D2" w:rsidP="004B4BA2">
      <w:pPr>
        <w:spacing w:line="276" w:lineRule="auto"/>
        <w:jc w:val="both"/>
        <w:rPr>
          <w:rFonts w:ascii="Arial" w:hAnsi="Arial" w:cs="Arial"/>
          <w:sz w:val="24"/>
          <w:szCs w:val="24"/>
        </w:rPr>
      </w:pPr>
      <w:r w:rsidRPr="00282F47">
        <w:rPr>
          <w:rFonts w:ascii="Arial" w:hAnsi="Arial" w:cs="Arial"/>
          <w:b/>
          <w:bCs/>
          <w:sz w:val="24"/>
          <w:szCs w:val="24"/>
        </w:rPr>
        <w:t xml:space="preserve">Figure 2.3: </w:t>
      </w:r>
      <w:r w:rsidRPr="00282F47">
        <w:rPr>
          <w:rFonts w:ascii="Arial" w:hAnsi="Arial" w:cs="Arial"/>
          <w:sz w:val="24"/>
          <w:szCs w:val="24"/>
        </w:rPr>
        <w:t>Optoacoustic evaluation of squaraines. A) Optoacoustic absorption spectra of squaraines, measured as a function of wavelength. B) Peak optoacoustic intensity of squaraines from optimal tomographic slices portrayed in C). C) Optoacoustic images of squaraines</w:t>
      </w:r>
      <w:r w:rsidRPr="00282F47">
        <w:rPr>
          <w:rFonts w:ascii="Arial" w:hAnsi="Arial" w:cs="Arial"/>
          <w:b/>
          <w:bCs/>
          <w:sz w:val="24"/>
          <w:szCs w:val="24"/>
        </w:rPr>
        <w:t xml:space="preserve"> </w:t>
      </w:r>
      <w:r w:rsidRPr="00282F47">
        <w:rPr>
          <w:rFonts w:ascii="Arial" w:hAnsi="Arial" w:cs="Arial"/>
          <w:bCs/>
          <w:sz w:val="24"/>
          <w:szCs w:val="24"/>
        </w:rPr>
        <w:t>in tissue mimicking phantoms</w:t>
      </w:r>
      <w:r w:rsidRPr="00282F47">
        <w:rPr>
          <w:rFonts w:ascii="Arial" w:hAnsi="Arial" w:cs="Arial"/>
          <w:sz w:val="24"/>
          <w:szCs w:val="24"/>
        </w:rPr>
        <w:t xml:space="preserve">. After encapsulation within tissue mimicking phantoms, in a conical shape, cross section of phantoms rotated horizontally were acquired to yield 2D circular images. UV-VIS absorption (10 μM) and fluorescence spectra (2 μM) for: D) </w:t>
      </w:r>
      <w:r w:rsidRPr="00282F47">
        <w:rPr>
          <w:rFonts w:ascii="Arial" w:hAnsi="Arial" w:cs="Arial"/>
          <w:b/>
          <w:bCs/>
          <w:sz w:val="24"/>
          <w:szCs w:val="24"/>
        </w:rPr>
        <w:t>SQ H no TMAB;</w:t>
      </w:r>
      <w:r w:rsidRPr="00282F47">
        <w:rPr>
          <w:rFonts w:ascii="Arial" w:hAnsi="Arial" w:cs="Arial"/>
          <w:sz w:val="24"/>
          <w:szCs w:val="24"/>
        </w:rPr>
        <w:t xml:space="preserve"> E) for </w:t>
      </w:r>
      <w:r w:rsidRPr="00282F47">
        <w:rPr>
          <w:rFonts w:ascii="Arial" w:hAnsi="Arial" w:cs="Arial"/>
          <w:b/>
          <w:bCs/>
          <w:sz w:val="24"/>
          <w:szCs w:val="24"/>
        </w:rPr>
        <w:t>SQ H</w:t>
      </w:r>
      <w:r w:rsidRPr="00282F47">
        <w:rPr>
          <w:rFonts w:ascii="Arial" w:hAnsi="Arial" w:cs="Arial"/>
          <w:sz w:val="24"/>
          <w:szCs w:val="24"/>
        </w:rPr>
        <w:t xml:space="preserve">; F) </w:t>
      </w:r>
      <w:r w:rsidRPr="00282F47">
        <w:rPr>
          <w:rFonts w:ascii="Arial" w:hAnsi="Arial" w:cs="Arial"/>
          <w:b/>
          <w:bCs/>
          <w:sz w:val="24"/>
          <w:szCs w:val="24"/>
        </w:rPr>
        <w:t>SQ F</w:t>
      </w:r>
      <w:r w:rsidRPr="00282F47">
        <w:rPr>
          <w:rFonts w:ascii="Arial" w:hAnsi="Arial" w:cs="Arial"/>
          <w:sz w:val="24"/>
          <w:szCs w:val="24"/>
        </w:rPr>
        <w:t xml:space="preserve">; G) </w:t>
      </w:r>
      <w:r w:rsidRPr="00282F47">
        <w:rPr>
          <w:rFonts w:ascii="Arial" w:hAnsi="Arial" w:cs="Arial"/>
          <w:b/>
          <w:bCs/>
          <w:sz w:val="24"/>
          <w:szCs w:val="24"/>
        </w:rPr>
        <w:t>SQ Cl</w:t>
      </w:r>
      <w:r w:rsidRPr="00282F47">
        <w:rPr>
          <w:rFonts w:ascii="Arial" w:hAnsi="Arial" w:cs="Arial"/>
          <w:sz w:val="24"/>
          <w:szCs w:val="24"/>
        </w:rPr>
        <w:t xml:space="preserve">; H) </w:t>
      </w:r>
      <w:r w:rsidRPr="00282F47">
        <w:rPr>
          <w:rFonts w:ascii="Arial" w:hAnsi="Arial" w:cs="Arial"/>
          <w:b/>
          <w:bCs/>
          <w:sz w:val="24"/>
          <w:szCs w:val="24"/>
        </w:rPr>
        <w:t>SQ Br</w:t>
      </w:r>
      <w:r w:rsidRPr="00282F47">
        <w:rPr>
          <w:rFonts w:ascii="Arial" w:hAnsi="Arial" w:cs="Arial"/>
          <w:sz w:val="24"/>
          <w:szCs w:val="24"/>
        </w:rPr>
        <w:t xml:space="preserve">; and I) </w:t>
      </w:r>
      <w:r w:rsidRPr="00282F47">
        <w:rPr>
          <w:rFonts w:ascii="Arial" w:hAnsi="Arial" w:cs="Arial"/>
          <w:b/>
          <w:bCs/>
          <w:sz w:val="24"/>
          <w:szCs w:val="24"/>
        </w:rPr>
        <w:t xml:space="preserve">SQ Br </w:t>
      </w:r>
      <w:r w:rsidRPr="00282F47">
        <w:rPr>
          <w:rFonts w:ascii="Arial" w:hAnsi="Arial" w:cs="Arial"/>
          <w:b/>
          <w:bCs/>
          <w:sz w:val="24"/>
          <w:szCs w:val="24"/>
        </w:rPr>
        <w:lastRenderedPageBreak/>
        <w:t>no TMAB</w:t>
      </w:r>
      <w:r w:rsidRPr="00282F47">
        <w:rPr>
          <w:rFonts w:ascii="Arial" w:hAnsi="Arial" w:cs="Arial"/>
          <w:sz w:val="24"/>
          <w:szCs w:val="24"/>
        </w:rPr>
        <w:t xml:space="preserve"> in 100% FBS supplemented with 50 mM HEPES buffer at pH = 7.4 and warmed to physiological temperature (37°C). No p-values to report.</w:t>
      </w:r>
    </w:p>
    <w:p w14:paraId="45E552D4" w14:textId="77777777" w:rsidR="002027D2" w:rsidRPr="00282F47" w:rsidRDefault="002027D2" w:rsidP="00354DBC">
      <w:pPr>
        <w:spacing w:line="276" w:lineRule="auto"/>
        <w:jc w:val="center"/>
        <w:rPr>
          <w:rFonts w:ascii="Arial" w:hAnsi="Arial" w:cs="Arial"/>
          <w:sz w:val="24"/>
          <w:szCs w:val="24"/>
        </w:rPr>
      </w:pPr>
    </w:p>
    <w:p w14:paraId="09A75C7F" w14:textId="77777777" w:rsidR="002027D2" w:rsidRPr="00282F47" w:rsidRDefault="002027D2" w:rsidP="005841A4">
      <w:pPr>
        <w:spacing w:line="480" w:lineRule="auto"/>
        <w:jc w:val="both"/>
        <w:rPr>
          <w:rFonts w:ascii="Arial" w:hAnsi="Arial" w:cs="Arial"/>
          <w:sz w:val="24"/>
          <w:szCs w:val="24"/>
        </w:rPr>
      </w:pPr>
      <w:bookmarkStart w:id="12" w:name="_Hlk118292054"/>
      <w:r w:rsidRPr="00282F47">
        <w:rPr>
          <w:rFonts w:ascii="Arial" w:hAnsi="Arial" w:cs="Arial"/>
          <w:sz w:val="24"/>
          <w:szCs w:val="24"/>
        </w:rPr>
        <w:t xml:space="preserve">Side chains attached to the heterocyclic terminals are hypothesized to impact vibrational entropy of the molecule and are further investigated here. Addition of various electron withdrawing or donating groups can be utilized to maximize photon absorption and provide the molecule with increased size and flexibility for enhanced optoacoustic activity. As the addition of electronegative atoms increases the electron withdrawing strength of the heterocyclic terminals, increasingly large halogens were used for side chains in </w:t>
      </w:r>
      <w:r w:rsidRPr="00282F47">
        <w:rPr>
          <w:rFonts w:ascii="Arial" w:hAnsi="Arial" w:cs="Arial"/>
          <w:b/>
          <w:bCs/>
          <w:sz w:val="24"/>
          <w:szCs w:val="24"/>
        </w:rPr>
        <w:t xml:space="preserve">SQ F, SQ Cl, </w:t>
      </w:r>
      <w:r w:rsidRPr="00282F47">
        <w:rPr>
          <w:rFonts w:ascii="Arial" w:hAnsi="Arial" w:cs="Arial"/>
          <w:sz w:val="24"/>
          <w:szCs w:val="24"/>
        </w:rPr>
        <w:t>and</w:t>
      </w:r>
      <w:r w:rsidRPr="00282F47">
        <w:rPr>
          <w:rFonts w:ascii="Arial" w:hAnsi="Arial" w:cs="Arial"/>
          <w:b/>
          <w:bCs/>
          <w:sz w:val="24"/>
          <w:szCs w:val="24"/>
        </w:rPr>
        <w:t xml:space="preserve"> SQ Br</w:t>
      </w:r>
      <w:r w:rsidRPr="00282F47">
        <w:rPr>
          <w:rFonts w:ascii="Arial" w:hAnsi="Arial" w:cs="Arial"/>
          <w:sz w:val="24"/>
          <w:szCs w:val="24"/>
        </w:rPr>
        <w:t xml:space="preserve">. Similar evaluation </w:t>
      </w:r>
      <w:r w:rsidRPr="00282F47">
        <w:rPr>
          <w:rFonts w:ascii="Arial" w:hAnsi="Arial" w:cs="Arial"/>
          <w:i/>
          <w:sz w:val="24"/>
          <w:szCs w:val="24"/>
        </w:rPr>
        <w:t>via</w:t>
      </w:r>
      <w:r w:rsidRPr="00282F47">
        <w:rPr>
          <w:rFonts w:ascii="Arial" w:hAnsi="Arial" w:cs="Arial"/>
          <w:sz w:val="24"/>
          <w:szCs w:val="24"/>
        </w:rPr>
        <w:t xml:space="preserve"> MSOT revealed significant increases in generated optoacoustic signal due to bromine, chlorine, and fluorine substituted side chains in squaraines </w:t>
      </w:r>
      <w:r w:rsidRPr="00282F47">
        <w:rPr>
          <w:rFonts w:ascii="Arial" w:hAnsi="Arial" w:cs="Arial"/>
          <w:b/>
          <w:bCs/>
          <w:sz w:val="24"/>
          <w:szCs w:val="24"/>
        </w:rPr>
        <w:t>SQ Br</w:t>
      </w:r>
      <w:r w:rsidRPr="00282F47">
        <w:rPr>
          <w:rFonts w:ascii="Arial" w:hAnsi="Arial" w:cs="Arial"/>
          <w:sz w:val="24"/>
          <w:szCs w:val="24"/>
        </w:rPr>
        <w:t xml:space="preserve">, </w:t>
      </w:r>
      <w:r w:rsidRPr="00282F47">
        <w:rPr>
          <w:rFonts w:ascii="Arial" w:hAnsi="Arial" w:cs="Arial"/>
          <w:b/>
          <w:bCs/>
          <w:sz w:val="24"/>
          <w:szCs w:val="24"/>
        </w:rPr>
        <w:t>SQ Cl</w:t>
      </w:r>
      <w:r w:rsidRPr="00282F47">
        <w:rPr>
          <w:rFonts w:ascii="Arial" w:hAnsi="Arial" w:cs="Arial"/>
          <w:sz w:val="24"/>
          <w:szCs w:val="24"/>
        </w:rPr>
        <w:t xml:space="preserve">, and </w:t>
      </w:r>
      <w:r w:rsidRPr="00282F47">
        <w:rPr>
          <w:rFonts w:ascii="Arial" w:hAnsi="Arial" w:cs="Arial"/>
          <w:b/>
          <w:bCs/>
          <w:sz w:val="24"/>
          <w:szCs w:val="24"/>
        </w:rPr>
        <w:t xml:space="preserve">SQ F </w:t>
      </w:r>
      <w:r w:rsidRPr="00282F47">
        <w:rPr>
          <w:rFonts w:ascii="Arial" w:hAnsi="Arial" w:cs="Arial"/>
          <w:sz w:val="24"/>
          <w:szCs w:val="24"/>
        </w:rPr>
        <w:t>respectively (</w:t>
      </w:r>
      <w:r w:rsidRPr="00282F47">
        <w:rPr>
          <w:rFonts w:ascii="Arial" w:hAnsi="Arial" w:cs="Arial"/>
          <w:b/>
          <w:bCs/>
          <w:sz w:val="24"/>
          <w:szCs w:val="24"/>
        </w:rPr>
        <w:t>Figure 2.3A-C</w:t>
      </w:r>
      <w:r w:rsidRPr="00282F47">
        <w:rPr>
          <w:rFonts w:ascii="Arial" w:hAnsi="Arial" w:cs="Arial"/>
          <w:sz w:val="24"/>
          <w:szCs w:val="24"/>
        </w:rPr>
        <w:t xml:space="preserve">).  Following noted increases in </w:t>
      </w:r>
      <w:r w:rsidRPr="00282F47">
        <w:rPr>
          <w:rFonts w:ascii="Arial" w:hAnsi="Arial" w:cs="Arial"/>
          <w:b/>
          <w:bCs/>
          <w:sz w:val="24"/>
          <w:szCs w:val="24"/>
        </w:rPr>
        <w:t>SQ Br</w:t>
      </w:r>
      <w:r w:rsidRPr="00282F47">
        <w:rPr>
          <w:rFonts w:ascii="Arial" w:hAnsi="Arial" w:cs="Arial"/>
          <w:sz w:val="24"/>
          <w:szCs w:val="24"/>
        </w:rPr>
        <w:t xml:space="preserve">, </w:t>
      </w:r>
      <w:r w:rsidRPr="00282F47">
        <w:rPr>
          <w:rFonts w:ascii="Arial" w:hAnsi="Arial" w:cs="Arial"/>
          <w:b/>
          <w:bCs/>
          <w:sz w:val="24"/>
          <w:szCs w:val="24"/>
        </w:rPr>
        <w:t>SQ H no TMAB</w:t>
      </w:r>
      <w:r w:rsidRPr="00282F47">
        <w:rPr>
          <w:rFonts w:ascii="Arial" w:hAnsi="Arial" w:cs="Arial"/>
          <w:sz w:val="24"/>
          <w:szCs w:val="24"/>
        </w:rPr>
        <w:t xml:space="preserve"> was additionally substituted with bromine at the X-position without trimethylpropylammonium substitution, resulting in </w:t>
      </w:r>
      <w:r w:rsidRPr="00282F47">
        <w:rPr>
          <w:rFonts w:ascii="Arial" w:hAnsi="Arial" w:cs="Arial"/>
          <w:b/>
          <w:bCs/>
          <w:sz w:val="24"/>
          <w:szCs w:val="24"/>
        </w:rPr>
        <w:t>SQ Br no TMAB</w:t>
      </w:r>
      <w:r w:rsidRPr="00282F47">
        <w:rPr>
          <w:rFonts w:ascii="Arial" w:hAnsi="Arial" w:cs="Arial"/>
          <w:sz w:val="24"/>
          <w:szCs w:val="24"/>
        </w:rPr>
        <w:t>, which showed increased optoacoustic signal generation</w:t>
      </w:r>
      <w:bookmarkStart w:id="13" w:name="_Hlk118292074"/>
      <w:bookmarkEnd w:id="12"/>
      <w:r w:rsidRPr="00282F47">
        <w:rPr>
          <w:rFonts w:ascii="Arial" w:hAnsi="Arial" w:cs="Arial"/>
          <w:sz w:val="24"/>
          <w:szCs w:val="24"/>
        </w:rPr>
        <w:t>. This data suggests that heavy halogen substitutions, combined with the addition of the trimethylpropylammonium group, may act in tandem to increase optoacoustic activity. The halogenated squaraine compounds are hypothesized to create suitable energy gaps beneficial for non-radiative energy transfer through dissipation, rather than photon emission. This results in quenching of fluorescence, and amplification of optoacoustic signal</w:t>
      </w:r>
      <w:r w:rsidRPr="00282F47">
        <w:rPr>
          <w:rFonts w:ascii="Arial" w:hAnsi="Arial" w:cs="Arial"/>
          <w:noProof/>
          <w:sz w:val="24"/>
          <w:szCs w:val="24"/>
          <w:vertAlign w:val="superscript"/>
        </w:rPr>
        <w:t>85</w:t>
      </w:r>
      <w:r w:rsidRPr="00282F47">
        <w:rPr>
          <w:rFonts w:ascii="Arial" w:hAnsi="Arial" w:cs="Arial"/>
          <w:sz w:val="24"/>
          <w:szCs w:val="24"/>
        </w:rPr>
        <w:t>. Increasing the weight of the halogen increases the probability of intersystem crossing, further amplifying optoacoustic signal, hypothetically at the expense of fluorescence signal</w:t>
      </w:r>
      <w:r w:rsidRPr="00282F47">
        <w:rPr>
          <w:rFonts w:ascii="Arial" w:hAnsi="Arial" w:cs="Arial"/>
          <w:noProof/>
          <w:sz w:val="24"/>
          <w:szCs w:val="24"/>
          <w:vertAlign w:val="superscript"/>
        </w:rPr>
        <w:t>86</w:t>
      </w:r>
      <w:r w:rsidRPr="00282F47">
        <w:rPr>
          <w:rFonts w:ascii="Arial" w:hAnsi="Arial" w:cs="Arial"/>
          <w:sz w:val="24"/>
          <w:szCs w:val="24"/>
        </w:rPr>
        <w:t>. Results also suggest that rotatable bonds from the trimethylpropylammonium group addition are critical for optoacoustic signal</w:t>
      </w:r>
      <w:r w:rsidRPr="00282F47">
        <w:rPr>
          <w:rFonts w:ascii="Arial" w:hAnsi="Arial" w:cs="Arial"/>
          <w:noProof/>
          <w:sz w:val="24"/>
          <w:szCs w:val="24"/>
          <w:vertAlign w:val="superscript"/>
        </w:rPr>
        <w:t>78,89</w:t>
      </w:r>
      <w:r w:rsidRPr="00282F47">
        <w:rPr>
          <w:rFonts w:ascii="Arial" w:hAnsi="Arial" w:cs="Arial"/>
          <w:sz w:val="24"/>
          <w:szCs w:val="24"/>
        </w:rPr>
        <w:t xml:space="preserve">. Compared to rigid agents such as Rhodamine-800, </w:t>
      </w:r>
      <w:r w:rsidRPr="00282F47">
        <w:rPr>
          <w:rFonts w:ascii="Arial" w:hAnsi="Arial" w:cs="Arial"/>
          <w:sz w:val="24"/>
          <w:szCs w:val="24"/>
        </w:rPr>
        <w:lastRenderedPageBreak/>
        <w:t>which contains no rotatable bonds and displays no optoacoustic activity</w:t>
      </w:r>
      <w:r w:rsidRPr="00282F47">
        <w:rPr>
          <w:rFonts w:ascii="Arial" w:hAnsi="Arial" w:cs="Arial"/>
          <w:noProof/>
          <w:sz w:val="24"/>
          <w:szCs w:val="24"/>
          <w:vertAlign w:val="superscript"/>
        </w:rPr>
        <w:t>78</w:t>
      </w:r>
      <w:r w:rsidRPr="00282F47">
        <w:rPr>
          <w:rFonts w:ascii="Arial" w:hAnsi="Arial" w:cs="Arial"/>
          <w:sz w:val="24"/>
          <w:szCs w:val="24"/>
        </w:rPr>
        <w:t xml:space="preserve">, squaraine compounds functionalized with trimethylpropylammonium groups to increase the number of rotatable bonds exhibit increased optoacoustic activity. Such structural modifications may be impactful for the future development of effective and unique optoacoustic contrast agents. </w:t>
      </w:r>
      <w:bookmarkEnd w:id="13"/>
    </w:p>
    <w:p w14:paraId="74942091"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2.4.2 Quantum Mechanical Computational Modeling</w:t>
      </w:r>
    </w:p>
    <w:p w14:paraId="71B24FDC" w14:textId="77777777" w:rsidR="002027D2" w:rsidRPr="00282F47" w:rsidRDefault="002027D2" w:rsidP="00555C2B">
      <w:pPr>
        <w:spacing w:line="480" w:lineRule="auto"/>
        <w:jc w:val="both"/>
        <w:rPr>
          <w:rFonts w:ascii="Arial" w:hAnsi="Arial" w:cs="Arial"/>
          <w:sz w:val="24"/>
          <w:szCs w:val="24"/>
        </w:rPr>
      </w:pPr>
      <w:r w:rsidRPr="00282F47">
        <w:rPr>
          <w:rFonts w:ascii="Arial" w:hAnsi="Arial" w:cs="Arial"/>
          <w:sz w:val="24"/>
          <w:szCs w:val="24"/>
        </w:rPr>
        <w:t>To further understand and identify the variations in experimentally determined optoacoustic capabilities of the trimethylpropylammonium pendant group and halogen substitutions of squaraines, density functional theory (DFT) and time-dependent density functional theory (TD-DFT) were utilized. DFT and TD-DFT are advanced computational methods that have been used extensively to gain a deeper understanding of molecular structures and respective absorption and fluorescence properties</w:t>
      </w:r>
      <w:r w:rsidRPr="00282F47">
        <w:rPr>
          <w:rFonts w:ascii="Arial" w:hAnsi="Arial" w:cs="Arial"/>
          <w:noProof/>
          <w:sz w:val="24"/>
          <w:szCs w:val="24"/>
          <w:vertAlign w:val="superscript"/>
        </w:rPr>
        <w:t>90-93</w:t>
      </w:r>
      <w:r w:rsidRPr="00282F47">
        <w:rPr>
          <w:rFonts w:ascii="Arial" w:hAnsi="Arial" w:cs="Arial"/>
          <w:sz w:val="24"/>
          <w:szCs w:val="24"/>
        </w:rPr>
        <w:t>. DFT and TD-DFT calculations were performed using the Q-Chem Software package</w:t>
      </w:r>
      <w:r w:rsidRPr="00282F47">
        <w:rPr>
          <w:rFonts w:ascii="Arial" w:hAnsi="Arial" w:cs="Arial"/>
          <w:noProof/>
          <w:sz w:val="24"/>
          <w:szCs w:val="24"/>
          <w:vertAlign w:val="superscript"/>
        </w:rPr>
        <w:t>94</w:t>
      </w:r>
      <w:r w:rsidRPr="00282F47">
        <w:rPr>
          <w:rFonts w:ascii="Arial" w:hAnsi="Arial" w:cs="Arial"/>
          <w:sz w:val="24"/>
          <w:szCs w:val="24"/>
        </w:rPr>
        <w:t>. For each molecule, the ground-state geometry was optimized in the gas-phase using DFT with the Perdew-Burke-Ernzerhof (PBE) functional</w:t>
      </w:r>
      <w:r w:rsidRPr="00282F47">
        <w:rPr>
          <w:rFonts w:ascii="Arial" w:hAnsi="Arial" w:cs="Arial"/>
          <w:noProof/>
          <w:sz w:val="24"/>
          <w:szCs w:val="24"/>
          <w:vertAlign w:val="superscript"/>
        </w:rPr>
        <w:t>95</w:t>
      </w:r>
      <w:r w:rsidRPr="00282F47">
        <w:rPr>
          <w:rFonts w:ascii="Arial" w:hAnsi="Arial" w:cs="Arial"/>
          <w:sz w:val="24"/>
          <w:szCs w:val="24"/>
        </w:rPr>
        <w:t xml:space="preserve"> and 6-31+G* basis set</w:t>
      </w:r>
      <w:r w:rsidRPr="00282F47">
        <w:rPr>
          <w:rFonts w:ascii="Arial" w:hAnsi="Arial" w:cs="Arial"/>
          <w:noProof/>
          <w:sz w:val="24"/>
          <w:szCs w:val="24"/>
          <w:vertAlign w:val="superscript"/>
        </w:rPr>
        <w:t>96</w:t>
      </w:r>
      <w:r w:rsidRPr="00282F47">
        <w:rPr>
          <w:rFonts w:ascii="Arial" w:hAnsi="Arial" w:cs="Arial"/>
          <w:sz w:val="24"/>
          <w:szCs w:val="24"/>
        </w:rPr>
        <w:t xml:space="preserve">. </w:t>
      </w:r>
      <w:r w:rsidRPr="00282F47">
        <w:rPr>
          <w:rFonts w:ascii="Arial" w:hAnsi="Arial" w:cs="Arial"/>
          <w:i/>
          <w:iCs/>
          <w:sz w:val="24"/>
          <w:szCs w:val="24"/>
        </w:rPr>
        <w:t>Cis</w:t>
      </w:r>
      <w:r w:rsidRPr="00282F47">
        <w:rPr>
          <w:rFonts w:ascii="Arial" w:hAnsi="Arial" w:cs="Arial"/>
          <w:sz w:val="24"/>
          <w:szCs w:val="24"/>
        </w:rPr>
        <w:t xml:space="preserve"> isomers of squaraine compounds are assumed to be dominant in this context due to similarities in trends of experimental and computational measurements. Namely, calculated UV-VIS absorbance wavelengths of </w:t>
      </w:r>
      <w:r w:rsidRPr="00282F47">
        <w:rPr>
          <w:rFonts w:ascii="Arial" w:hAnsi="Arial" w:cs="Arial"/>
          <w:i/>
          <w:iCs/>
          <w:sz w:val="24"/>
          <w:szCs w:val="24"/>
        </w:rPr>
        <w:t xml:space="preserve">cis </w:t>
      </w:r>
      <w:r w:rsidRPr="00282F47">
        <w:rPr>
          <w:rFonts w:ascii="Arial" w:hAnsi="Arial" w:cs="Arial"/>
          <w:sz w:val="24"/>
          <w:szCs w:val="24"/>
        </w:rPr>
        <w:t xml:space="preserve">isomers were in agreeance with experimentally measured results. All computational data for </w:t>
      </w:r>
      <w:r w:rsidRPr="00282F47">
        <w:rPr>
          <w:rFonts w:ascii="Arial" w:hAnsi="Arial" w:cs="Arial"/>
          <w:i/>
          <w:iCs/>
          <w:sz w:val="24"/>
          <w:szCs w:val="24"/>
        </w:rPr>
        <w:t>cis</w:t>
      </w:r>
      <w:r w:rsidRPr="00282F47">
        <w:rPr>
          <w:rFonts w:ascii="Arial" w:hAnsi="Arial" w:cs="Arial"/>
          <w:sz w:val="24"/>
          <w:szCs w:val="24"/>
        </w:rPr>
        <w:t xml:space="preserve"> isomers are included in the Supporting Information (</w:t>
      </w:r>
      <w:r w:rsidRPr="00282F47">
        <w:rPr>
          <w:rFonts w:ascii="Arial" w:hAnsi="Arial" w:cs="Arial"/>
          <w:b/>
          <w:bCs/>
          <w:sz w:val="24"/>
          <w:szCs w:val="24"/>
        </w:rPr>
        <w:t>Supporting Figure S2.23</w:t>
      </w:r>
      <w:r w:rsidRPr="00282F47">
        <w:rPr>
          <w:rFonts w:ascii="Arial" w:hAnsi="Arial" w:cs="Arial"/>
          <w:sz w:val="24"/>
          <w:szCs w:val="24"/>
        </w:rPr>
        <w:t xml:space="preserve">). Here, DFT results show a correlation between higher vibrational entropy and MSOT peak intensity between squaraines </w:t>
      </w:r>
      <w:r w:rsidRPr="00282F47">
        <w:rPr>
          <w:rFonts w:ascii="Arial" w:hAnsi="Arial" w:cs="Arial"/>
          <w:b/>
          <w:bCs/>
          <w:sz w:val="24"/>
          <w:szCs w:val="24"/>
        </w:rPr>
        <w:t>SQ H no TMAB</w:t>
      </w:r>
      <w:r w:rsidRPr="00282F47">
        <w:rPr>
          <w:rFonts w:ascii="Arial" w:hAnsi="Arial" w:cs="Arial"/>
          <w:sz w:val="24"/>
          <w:szCs w:val="24"/>
        </w:rPr>
        <w:t xml:space="preserve"> and </w:t>
      </w:r>
      <w:r w:rsidRPr="00282F47">
        <w:rPr>
          <w:rFonts w:ascii="Arial" w:hAnsi="Arial" w:cs="Arial"/>
          <w:b/>
          <w:bCs/>
          <w:sz w:val="24"/>
          <w:szCs w:val="24"/>
        </w:rPr>
        <w:t>SQ H</w:t>
      </w:r>
      <w:r w:rsidRPr="00282F47">
        <w:rPr>
          <w:rFonts w:ascii="Arial" w:hAnsi="Arial" w:cs="Arial"/>
          <w:sz w:val="24"/>
          <w:szCs w:val="24"/>
        </w:rPr>
        <w:t>, the sole structural difference being the trimethylpropylammonium in place of the methyl group on</w:t>
      </w:r>
      <w:r w:rsidRPr="00282F47">
        <w:rPr>
          <w:rFonts w:ascii="Arial" w:hAnsi="Arial" w:cs="Arial"/>
          <w:b/>
          <w:bCs/>
          <w:sz w:val="24"/>
          <w:szCs w:val="24"/>
        </w:rPr>
        <w:t xml:space="preserve"> SQ H </w:t>
      </w:r>
      <w:r w:rsidRPr="00282F47">
        <w:rPr>
          <w:rFonts w:ascii="Arial" w:hAnsi="Arial" w:cs="Arial"/>
          <w:sz w:val="24"/>
          <w:szCs w:val="24"/>
        </w:rPr>
        <w:t>(</w:t>
      </w:r>
      <w:r w:rsidRPr="00282F47">
        <w:rPr>
          <w:rFonts w:ascii="Arial" w:hAnsi="Arial" w:cs="Arial"/>
          <w:b/>
          <w:bCs/>
          <w:sz w:val="24"/>
          <w:szCs w:val="24"/>
        </w:rPr>
        <w:t>Figure 2.4A</w:t>
      </w:r>
      <w:r w:rsidRPr="00282F47">
        <w:rPr>
          <w:rFonts w:ascii="Arial" w:hAnsi="Arial" w:cs="Arial"/>
          <w:sz w:val="24"/>
          <w:szCs w:val="24"/>
        </w:rPr>
        <w:t xml:space="preserve">). Higher vibrational entropies indicate the molecules </w:t>
      </w:r>
      <w:r w:rsidRPr="00282F47">
        <w:rPr>
          <w:rFonts w:ascii="Arial" w:hAnsi="Arial" w:cs="Arial"/>
          <w:sz w:val="24"/>
          <w:szCs w:val="24"/>
        </w:rPr>
        <w:lastRenderedPageBreak/>
        <w:t>may have the tendency to undergo interatomic stretching, bending, or rotation more readily. Increased tendency of interatomic movement could enhance non-radiative relaxation channels that generate thermal energy, leading to thermoelastic expansions of higher amplitude, and thus, optoacoustic signal generation</w:t>
      </w:r>
      <w:r w:rsidRPr="00282F47">
        <w:rPr>
          <w:rFonts w:ascii="Arial" w:hAnsi="Arial" w:cs="Arial"/>
          <w:noProof/>
          <w:sz w:val="24"/>
          <w:szCs w:val="24"/>
          <w:vertAlign w:val="superscript"/>
        </w:rPr>
        <w:t>97</w:t>
      </w:r>
      <w:r w:rsidRPr="00282F47">
        <w:rPr>
          <w:rFonts w:ascii="Arial" w:hAnsi="Arial" w:cs="Arial"/>
          <w:sz w:val="24"/>
          <w:szCs w:val="24"/>
        </w:rPr>
        <w:t>. DFT modeling confirms squaraines with intense optoacoustic signal have larger vibrational entropies in squaraines with TMAB and halogen substitutions, indicating maximizing vibrational entropy can enhance optoacoustic signal generating capabilities (</w:t>
      </w:r>
      <w:r w:rsidRPr="00282F47">
        <w:rPr>
          <w:rFonts w:ascii="Arial" w:hAnsi="Arial" w:cs="Arial"/>
          <w:b/>
          <w:bCs/>
          <w:sz w:val="24"/>
          <w:szCs w:val="24"/>
        </w:rPr>
        <w:t>Figure 2.4A</w:t>
      </w:r>
      <w:r w:rsidRPr="00282F47">
        <w:rPr>
          <w:rFonts w:ascii="Arial" w:hAnsi="Arial" w:cs="Arial"/>
          <w:sz w:val="24"/>
          <w:szCs w:val="24"/>
        </w:rPr>
        <w:t>).</w:t>
      </w:r>
    </w:p>
    <w:p w14:paraId="60AEAE6B" w14:textId="77777777" w:rsidR="002027D2" w:rsidRPr="00282F47" w:rsidRDefault="002027D2" w:rsidP="00555C2B">
      <w:pPr>
        <w:spacing w:line="480" w:lineRule="auto"/>
        <w:jc w:val="both"/>
        <w:rPr>
          <w:rFonts w:ascii="Arial" w:hAnsi="Arial" w:cs="Arial"/>
          <w:sz w:val="24"/>
          <w:szCs w:val="24"/>
        </w:rPr>
      </w:pPr>
      <w:bookmarkStart w:id="14" w:name="_Hlk118292110"/>
      <w:r w:rsidRPr="00282F47">
        <w:rPr>
          <w:rFonts w:ascii="Arial" w:hAnsi="Arial" w:cs="Arial"/>
          <w:sz w:val="24"/>
          <w:szCs w:val="24"/>
        </w:rPr>
        <w:t xml:space="preserve">In general, a greater magnitude of molecular expansion is possible as a result of the halogenated side chains. Maximizing </w:t>
      </w:r>
      <w:r w:rsidRPr="00282F47">
        <w:rPr>
          <w:rFonts w:ascii="Arial" w:hAnsi="Arial" w:cs="Arial"/>
          <w:i/>
          <w:iCs/>
          <w:sz w:val="24"/>
          <w:szCs w:val="24"/>
        </w:rPr>
        <w:t>cis-trans</w:t>
      </w:r>
      <w:r w:rsidRPr="00282F47">
        <w:rPr>
          <w:rFonts w:ascii="Arial" w:hAnsi="Arial" w:cs="Arial"/>
          <w:sz w:val="24"/>
          <w:szCs w:val="24"/>
        </w:rPr>
        <w:t xml:space="preserve"> photoisomerization is anticipated to contribute to higher dynamics and larger expansion of the molecule, leading to higher optoacoustic intensity. (</w:t>
      </w:r>
      <w:r w:rsidRPr="00282F47">
        <w:rPr>
          <w:rFonts w:ascii="Arial" w:hAnsi="Arial" w:cs="Arial"/>
          <w:b/>
          <w:bCs/>
          <w:sz w:val="24"/>
          <w:szCs w:val="24"/>
        </w:rPr>
        <w:t>Figure 2.4D-E</w:t>
      </w:r>
      <w:r w:rsidRPr="00282F47">
        <w:rPr>
          <w:rFonts w:ascii="Arial" w:hAnsi="Arial" w:cs="Arial"/>
          <w:sz w:val="24"/>
          <w:szCs w:val="24"/>
        </w:rPr>
        <w:t xml:space="preserve">). This effect may be in part due to the halogens acting as electron withdrawing groups in the squaraines, although, the electron withdrawing strength, or halogen electronegativity, was found to be inversely correlated to optoacoustic signal intensity. In addition, electronic excitation probability, i.e., oscillator strength, which is directly related to molar absorptivity, of the synthesized molecules trends with optoacoustic signal strength. As shown in </w:t>
      </w:r>
      <w:r w:rsidRPr="00282F47">
        <w:rPr>
          <w:rFonts w:ascii="Arial" w:hAnsi="Arial" w:cs="Arial"/>
          <w:b/>
          <w:bCs/>
          <w:sz w:val="24"/>
          <w:szCs w:val="24"/>
        </w:rPr>
        <w:t>Figure 2.4B</w:t>
      </w:r>
      <w:r w:rsidRPr="00282F47">
        <w:rPr>
          <w:rFonts w:ascii="Arial" w:hAnsi="Arial" w:cs="Arial"/>
          <w:sz w:val="24"/>
          <w:szCs w:val="24"/>
        </w:rPr>
        <w:t xml:space="preserve">, the oscillator strengths of the relevant absorption peaks from TD-DFT calculations follows the order of Br &gt; Cl &gt; F &gt; H squaraine substitutions, which is in excellent agreement with experimental MSOT observations of squaraines </w:t>
      </w:r>
      <w:r w:rsidRPr="00282F47">
        <w:rPr>
          <w:rFonts w:ascii="Arial" w:hAnsi="Arial" w:cs="Arial"/>
          <w:b/>
          <w:bCs/>
          <w:sz w:val="24"/>
          <w:szCs w:val="24"/>
        </w:rPr>
        <w:t>SQ Br</w:t>
      </w:r>
      <w:r w:rsidRPr="00282F47">
        <w:rPr>
          <w:rFonts w:ascii="Arial" w:hAnsi="Arial" w:cs="Arial"/>
          <w:sz w:val="24"/>
          <w:szCs w:val="24"/>
        </w:rPr>
        <w:t xml:space="preserve"> &gt; </w:t>
      </w:r>
      <w:r w:rsidRPr="00282F47">
        <w:rPr>
          <w:rFonts w:ascii="Arial" w:hAnsi="Arial" w:cs="Arial"/>
          <w:b/>
          <w:bCs/>
          <w:sz w:val="24"/>
          <w:szCs w:val="24"/>
        </w:rPr>
        <w:t>SQ Cl</w:t>
      </w:r>
      <w:r w:rsidRPr="00282F47">
        <w:rPr>
          <w:rFonts w:ascii="Arial" w:hAnsi="Arial" w:cs="Arial"/>
          <w:sz w:val="24"/>
          <w:szCs w:val="24"/>
        </w:rPr>
        <w:t xml:space="preserve"> &gt; </w:t>
      </w:r>
      <w:r w:rsidRPr="00282F47">
        <w:rPr>
          <w:rFonts w:ascii="Arial" w:hAnsi="Arial" w:cs="Arial"/>
          <w:b/>
          <w:bCs/>
          <w:sz w:val="24"/>
          <w:szCs w:val="24"/>
        </w:rPr>
        <w:t>SQ F</w:t>
      </w:r>
      <w:r w:rsidRPr="00282F47">
        <w:rPr>
          <w:rFonts w:ascii="Arial" w:hAnsi="Arial" w:cs="Arial"/>
          <w:sz w:val="24"/>
          <w:szCs w:val="24"/>
        </w:rPr>
        <w:t xml:space="preserve"> &gt; </w:t>
      </w:r>
      <w:r w:rsidRPr="00282F47">
        <w:rPr>
          <w:rFonts w:ascii="Arial" w:hAnsi="Arial" w:cs="Arial"/>
          <w:b/>
          <w:bCs/>
          <w:sz w:val="24"/>
          <w:szCs w:val="24"/>
        </w:rPr>
        <w:t>SQ H</w:t>
      </w:r>
      <w:r w:rsidRPr="00282F47">
        <w:rPr>
          <w:rFonts w:ascii="Arial" w:hAnsi="Arial" w:cs="Arial"/>
          <w:sz w:val="24"/>
          <w:szCs w:val="24"/>
        </w:rPr>
        <w:t xml:space="preserve">. Furthermore, </w:t>
      </w:r>
      <w:r w:rsidRPr="00282F47">
        <w:rPr>
          <w:rFonts w:ascii="Arial" w:hAnsi="Arial" w:cs="Arial"/>
          <w:b/>
          <w:bCs/>
          <w:sz w:val="24"/>
          <w:szCs w:val="24"/>
        </w:rPr>
        <w:t>SQ H no TMAB</w:t>
      </w:r>
      <w:r w:rsidRPr="00282F47">
        <w:rPr>
          <w:rFonts w:ascii="Arial" w:hAnsi="Arial" w:cs="Arial"/>
          <w:sz w:val="24"/>
          <w:szCs w:val="24"/>
        </w:rPr>
        <w:t xml:space="preserve"> was predicted to have the weakest oscillator strength, again, consistent with the weak optoacoustic signal as observed through experimental results. </w:t>
      </w:r>
    </w:p>
    <w:p w14:paraId="286636AF" w14:textId="77777777" w:rsidR="002027D2" w:rsidRPr="00282F47" w:rsidRDefault="002027D2" w:rsidP="00555C2B">
      <w:pPr>
        <w:spacing w:line="480" w:lineRule="auto"/>
        <w:jc w:val="both"/>
        <w:rPr>
          <w:rFonts w:ascii="Arial" w:hAnsi="Arial" w:cs="Arial"/>
          <w:sz w:val="24"/>
          <w:szCs w:val="24"/>
        </w:rPr>
      </w:pPr>
      <w:bookmarkStart w:id="15" w:name="_Hlk118292133"/>
      <w:bookmarkEnd w:id="14"/>
      <w:r w:rsidRPr="00282F47">
        <w:rPr>
          <w:rFonts w:ascii="Arial" w:hAnsi="Arial" w:cs="Arial"/>
          <w:sz w:val="24"/>
          <w:szCs w:val="24"/>
        </w:rPr>
        <w:t xml:space="preserve">Computationally, the oscillator strength was obtained as </w:t>
      </w:r>
      <m:oMath>
        <m:f>
          <m:fPr>
            <m:ctrlPr>
              <w:rPr>
                <w:rFonts w:ascii="Cambria Math" w:hAnsi="Cambria Math" w:cs="Arial"/>
                <w:i/>
                <w:sz w:val="24"/>
                <w:szCs w:val="24"/>
              </w:rPr>
            </m:ctrlPr>
          </m:fPr>
          <m:num>
            <m:r>
              <w:rPr>
                <w:rFonts w:ascii="Cambria Math" w:hAnsi="Cambria Math" w:cs="Arial"/>
                <w:sz w:val="24"/>
                <w:szCs w:val="24"/>
              </w:rPr>
              <m:t>2</m:t>
            </m:r>
          </m:num>
          <m:den>
            <m:r>
              <w:rPr>
                <w:rFonts w:ascii="Cambria Math" w:hAnsi="Cambria Math" w:cs="Arial"/>
                <w:sz w:val="24"/>
                <w:szCs w:val="24"/>
              </w:rPr>
              <m:t>3</m:t>
            </m:r>
          </m:den>
        </m:f>
        <m:r>
          <w:rPr>
            <w:rFonts w:ascii="Cambria Math" w:hAnsi="Cambria Math" w:cs="Arial"/>
            <w:sz w:val="24"/>
            <w:szCs w:val="24"/>
          </w:rPr>
          <m:t>∆E</m:t>
        </m:r>
        <m:sSup>
          <m:sSupPr>
            <m:ctrlPr>
              <w:rPr>
                <w:rFonts w:ascii="Cambria Math" w:hAnsi="Cambria Math" w:cs="Arial"/>
                <w:i/>
                <w:sz w:val="24"/>
                <w:szCs w:val="24"/>
              </w:rPr>
            </m:ctrlPr>
          </m:sSupPr>
          <m:e>
            <m:d>
              <m:dPr>
                <m:begChr m:val="|"/>
                <m:endChr m:val="|"/>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μ</m:t>
                    </m:r>
                  </m:e>
                </m:acc>
              </m:e>
            </m:d>
          </m:e>
          <m:sup>
            <m:r>
              <w:rPr>
                <w:rFonts w:ascii="Cambria Math" w:hAnsi="Cambria Math" w:cs="Arial"/>
                <w:sz w:val="24"/>
                <w:szCs w:val="24"/>
              </w:rPr>
              <m:t>2</m:t>
            </m:r>
          </m:sup>
        </m:sSup>
      </m:oMath>
      <w:r w:rsidRPr="00282F47">
        <w:rPr>
          <w:rFonts w:ascii="Arial" w:eastAsiaTheme="minorEastAsia" w:hAnsi="Arial" w:cs="Arial"/>
          <w:sz w:val="24"/>
          <w:szCs w:val="24"/>
        </w:rPr>
        <w:t xml:space="preserve">, where </w:t>
      </w:r>
      <m:oMath>
        <m:r>
          <w:rPr>
            <w:rFonts w:ascii="Cambria Math" w:hAnsi="Cambria Math" w:cs="Arial"/>
            <w:sz w:val="24"/>
            <w:szCs w:val="24"/>
          </w:rPr>
          <m:t>∆E</m:t>
        </m:r>
      </m:oMath>
      <w:r w:rsidRPr="00282F47">
        <w:rPr>
          <w:rFonts w:ascii="Arial" w:eastAsiaTheme="minorEastAsia" w:hAnsi="Arial" w:cs="Arial"/>
          <w:sz w:val="24"/>
          <w:szCs w:val="24"/>
        </w:rPr>
        <w:t xml:space="preserve"> is the absorption energy and </w:t>
      </w:r>
      <m:oMath>
        <m:acc>
          <m:accPr>
            <m:chr m:val="⃗"/>
            <m:ctrlPr>
              <w:rPr>
                <w:rFonts w:ascii="Cambria Math" w:hAnsi="Cambria Math" w:cs="Arial"/>
                <w:i/>
                <w:sz w:val="24"/>
                <w:szCs w:val="24"/>
              </w:rPr>
            </m:ctrlPr>
          </m:accPr>
          <m:e>
            <m:r>
              <w:rPr>
                <w:rFonts w:ascii="Cambria Math" w:hAnsi="Cambria Math" w:cs="Arial"/>
                <w:sz w:val="24"/>
                <w:szCs w:val="24"/>
              </w:rPr>
              <m:t>μ</m:t>
            </m:r>
          </m:e>
        </m:acc>
      </m:oMath>
      <w:r w:rsidRPr="00282F47">
        <w:rPr>
          <w:rFonts w:ascii="Arial" w:eastAsiaTheme="minorEastAsia" w:hAnsi="Arial" w:cs="Arial"/>
          <w:sz w:val="24"/>
          <w:szCs w:val="24"/>
        </w:rPr>
        <w:t xml:space="preserve"> is the dipole moment. </w:t>
      </w:r>
      <w:r w:rsidRPr="00282F47">
        <w:rPr>
          <w:rFonts w:ascii="Arial" w:eastAsiaTheme="minorEastAsia" w:hAnsi="Arial" w:cs="Arial"/>
          <w:b/>
          <w:bCs/>
          <w:sz w:val="24"/>
          <w:szCs w:val="24"/>
        </w:rPr>
        <w:t>Figure 2.4C</w:t>
      </w:r>
      <w:r w:rsidRPr="00282F47">
        <w:rPr>
          <w:rFonts w:ascii="Arial" w:eastAsiaTheme="minorEastAsia" w:hAnsi="Arial" w:cs="Arial"/>
          <w:sz w:val="24"/>
          <w:szCs w:val="24"/>
        </w:rPr>
        <w:t xml:space="preserve"> shows the variation in </w:t>
      </w:r>
      <w:r w:rsidRPr="00282F47">
        <w:rPr>
          <w:rFonts w:ascii="Arial" w:eastAsiaTheme="minorEastAsia" w:hAnsi="Arial" w:cs="Arial"/>
          <w:sz w:val="24"/>
          <w:szCs w:val="24"/>
        </w:rPr>
        <w:lastRenderedPageBreak/>
        <w:t xml:space="preserve">transition dipole moments among the squaraine compounds, which directly influences the respective predicted oscillator strengths. Like the trend in </w:t>
      </w:r>
      <w:r w:rsidRPr="00282F47">
        <w:rPr>
          <w:rFonts w:ascii="Arial" w:eastAsiaTheme="minorEastAsia" w:hAnsi="Arial" w:cs="Arial"/>
          <w:b/>
          <w:bCs/>
          <w:sz w:val="24"/>
          <w:szCs w:val="24"/>
        </w:rPr>
        <w:t>Figure 2.4B</w:t>
      </w:r>
      <w:r w:rsidRPr="00282F47">
        <w:rPr>
          <w:rFonts w:ascii="Arial" w:eastAsiaTheme="minorEastAsia" w:hAnsi="Arial" w:cs="Arial"/>
          <w:sz w:val="24"/>
          <w:szCs w:val="24"/>
        </w:rPr>
        <w:t xml:space="preserve">, </w:t>
      </w:r>
      <w:r w:rsidRPr="00282F47">
        <w:rPr>
          <w:rFonts w:ascii="Arial" w:hAnsi="Arial" w:cs="Arial"/>
          <w:b/>
          <w:bCs/>
          <w:sz w:val="24"/>
          <w:szCs w:val="24"/>
        </w:rPr>
        <w:t>SQ Br</w:t>
      </w:r>
      <w:r w:rsidRPr="00282F47">
        <w:rPr>
          <w:rFonts w:ascii="Arial" w:eastAsiaTheme="minorEastAsia" w:hAnsi="Arial" w:cs="Arial"/>
          <w:sz w:val="24"/>
          <w:szCs w:val="24"/>
        </w:rPr>
        <w:t xml:space="preserve"> holds the largest transition dipole moment, followed respectively by </w:t>
      </w:r>
      <w:r w:rsidRPr="00282F47">
        <w:rPr>
          <w:rFonts w:ascii="Arial" w:hAnsi="Arial" w:cs="Arial"/>
          <w:b/>
          <w:bCs/>
          <w:sz w:val="24"/>
          <w:szCs w:val="24"/>
        </w:rPr>
        <w:t>SQ Cl</w:t>
      </w:r>
      <w:r w:rsidRPr="00282F47">
        <w:rPr>
          <w:rFonts w:ascii="Arial" w:eastAsiaTheme="minorEastAsia" w:hAnsi="Arial" w:cs="Arial"/>
          <w:sz w:val="24"/>
          <w:szCs w:val="24"/>
        </w:rPr>
        <w:t xml:space="preserve">, </w:t>
      </w:r>
      <w:r w:rsidRPr="00282F47">
        <w:rPr>
          <w:rFonts w:ascii="Arial" w:hAnsi="Arial" w:cs="Arial"/>
          <w:b/>
          <w:bCs/>
          <w:sz w:val="24"/>
          <w:szCs w:val="24"/>
        </w:rPr>
        <w:t>SQ F</w:t>
      </w:r>
      <w:r w:rsidRPr="00282F47">
        <w:rPr>
          <w:rFonts w:ascii="Arial" w:eastAsiaTheme="minorEastAsia" w:hAnsi="Arial" w:cs="Arial"/>
          <w:sz w:val="24"/>
          <w:szCs w:val="24"/>
        </w:rPr>
        <w:t xml:space="preserve">, </w:t>
      </w:r>
      <w:r w:rsidRPr="00282F47">
        <w:rPr>
          <w:rFonts w:ascii="Arial" w:hAnsi="Arial" w:cs="Arial"/>
          <w:b/>
          <w:bCs/>
          <w:sz w:val="24"/>
          <w:szCs w:val="24"/>
        </w:rPr>
        <w:t>SQ H</w:t>
      </w:r>
      <w:r w:rsidRPr="00282F47">
        <w:rPr>
          <w:rFonts w:ascii="Arial" w:eastAsiaTheme="minorEastAsia" w:hAnsi="Arial" w:cs="Arial"/>
          <w:sz w:val="24"/>
          <w:szCs w:val="24"/>
        </w:rPr>
        <w:t xml:space="preserve">, </w:t>
      </w:r>
      <w:r w:rsidRPr="00282F47">
        <w:rPr>
          <w:rFonts w:ascii="Arial" w:hAnsi="Arial" w:cs="Arial"/>
          <w:b/>
          <w:bCs/>
          <w:sz w:val="24"/>
          <w:szCs w:val="24"/>
        </w:rPr>
        <w:t>SQ BR no TMAB</w:t>
      </w:r>
      <w:r w:rsidRPr="00282F47">
        <w:rPr>
          <w:rFonts w:ascii="Arial" w:eastAsiaTheme="minorEastAsia" w:hAnsi="Arial" w:cs="Arial"/>
          <w:sz w:val="24"/>
          <w:szCs w:val="24"/>
        </w:rPr>
        <w:t xml:space="preserve">, and </w:t>
      </w:r>
      <w:r w:rsidRPr="00282F47">
        <w:rPr>
          <w:rFonts w:ascii="Arial" w:hAnsi="Arial" w:cs="Arial"/>
          <w:b/>
          <w:bCs/>
          <w:sz w:val="24"/>
          <w:szCs w:val="24"/>
        </w:rPr>
        <w:t>SQ H no TMAB</w:t>
      </w:r>
      <w:r w:rsidRPr="00282F47">
        <w:rPr>
          <w:rFonts w:ascii="Arial" w:eastAsiaTheme="minorEastAsia" w:hAnsi="Arial" w:cs="Arial"/>
          <w:sz w:val="24"/>
          <w:szCs w:val="24"/>
        </w:rPr>
        <w:t>.</w:t>
      </w:r>
      <w:bookmarkEnd w:id="15"/>
      <w:r w:rsidRPr="00282F47">
        <w:rPr>
          <w:rFonts w:ascii="Arial" w:eastAsiaTheme="minorEastAsia" w:hAnsi="Arial" w:cs="Arial"/>
          <w:sz w:val="24"/>
          <w:szCs w:val="24"/>
        </w:rPr>
        <w:t xml:space="preserve"> </w:t>
      </w:r>
      <w:r w:rsidRPr="00282F47">
        <w:rPr>
          <w:rFonts w:ascii="Arial" w:hAnsi="Arial" w:cs="Arial"/>
          <w:sz w:val="24"/>
          <w:szCs w:val="24"/>
        </w:rPr>
        <w:t>Through these computational studies, we have identified that the trimethylpropylammonium pendant group and the halogen substituents located on the terminal heterocycles are important factors in optimizing optoacoustic signal generation of these compounds.</w:t>
      </w:r>
    </w:p>
    <w:p w14:paraId="744C9C0E" w14:textId="77777777" w:rsidR="002027D2" w:rsidRPr="00282F47" w:rsidRDefault="002027D2" w:rsidP="00555C2B">
      <w:pPr>
        <w:spacing w:line="480" w:lineRule="auto"/>
        <w:jc w:val="center"/>
        <w:rPr>
          <w:rFonts w:ascii="Arial" w:hAnsi="Arial" w:cs="Arial"/>
          <w:sz w:val="24"/>
          <w:szCs w:val="24"/>
        </w:rPr>
      </w:pPr>
      <w:r w:rsidRPr="00282F47">
        <w:rPr>
          <w:rFonts w:ascii="Arial" w:hAnsi="Arial" w:cs="Arial"/>
          <w:noProof/>
          <w:sz w:val="24"/>
          <w:szCs w:val="24"/>
        </w:rPr>
        <w:drawing>
          <wp:inline distT="0" distB="0" distL="0" distR="0" wp14:anchorId="40B3D186" wp14:editId="4D79E75B">
            <wp:extent cx="4647156" cy="4788059"/>
            <wp:effectExtent l="0" t="0" r="1270" b="0"/>
            <wp:docPr id="1261534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81523" cy="4823468"/>
                    </a:xfrm>
                    <a:prstGeom prst="rect">
                      <a:avLst/>
                    </a:prstGeom>
                    <a:noFill/>
                  </pic:spPr>
                </pic:pic>
              </a:graphicData>
            </a:graphic>
          </wp:inline>
        </w:drawing>
      </w:r>
    </w:p>
    <w:p w14:paraId="3A0BC60A" w14:textId="77777777" w:rsidR="002027D2" w:rsidRPr="00282F47" w:rsidRDefault="002027D2" w:rsidP="004B4BA2">
      <w:pPr>
        <w:spacing w:line="276" w:lineRule="auto"/>
        <w:jc w:val="both"/>
        <w:rPr>
          <w:rFonts w:ascii="Arial" w:hAnsi="Arial" w:cs="Arial"/>
          <w:sz w:val="24"/>
          <w:szCs w:val="24"/>
        </w:rPr>
      </w:pPr>
      <w:r w:rsidRPr="00282F47">
        <w:rPr>
          <w:rFonts w:ascii="Arial" w:hAnsi="Arial" w:cs="Arial"/>
          <w:b/>
          <w:bCs/>
          <w:sz w:val="24"/>
          <w:szCs w:val="24"/>
        </w:rPr>
        <w:t xml:space="preserve">Figure 2.4: </w:t>
      </w:r>
      <w:r w:rsidRPr="00282F47">
        <w:rPr>
          <w:rFonts w:ascii="Arial" w:hAnsi="Arial" w:cs="Arial"/>
          <w:sz w:val="24"/>
          <w:szCs w:val="24"/>
        </w:rPr>
        <w:t xml:space="preserve">Computational modeling of squaraines. A) Vibrational entropy of squaraines from DFT frequency calculations. B) Oscillator strength of the lowest-energy absorptions of squaraines in </w:t>
      </w:r>
      <w:r w:rsidRPr="00282F47">
        <w:rPr>
          <w:rFonts w:ascii="Arial" w:hAnsi="Arial" w:cs="Arial"/>
          <w:i/>
          <w:iCs/>
          <w:sz w:val="24"/>
          <w:szCs w:val="24"/>
        </w:rPr>
        <w:t>cis</w:t>
      </w:r>
      <w:r w:rsidRPr="00282F47">
        <w:rPr>
          <w:rFonts w:ascii="Arial" w:hAnsi="Arial" w:cs="Arial"/>
          <w:sz w:val="24"/>
          <w:szCs w:val="24"/>
        </w:rPr>
        <w:t xml:space="preserve"> conformations from TD-DFT calculations. C) Transition dipole </w:t>
      </w:r>
      <w:r w:rsidRPr="00282F47">
        <w:rPr>
          <w:rFonts w:ascii="Arial" w:hAnsi="Arial" w:cs="Arial"/>
          <w:sz w:val="24"/>
          <w:szCs w:val="24"/>
        </w:rPr>
        <w:lastRenderedPageBreak/>
        <w:t xml:space="preserve">moment of the lowest-energy absorptions of squaraines in </w:t>
      </w:r>
      <w:r w:rsidRPr="00282F47">
        <w:rPr>
          <w:rFonts w:ascii="Arial" w:hAnsi="Arial" w:cs="Arial"/>
          <w:i/>
          <w:iCs/>
          <w:sz w:val="24"/>
          <w:szCs w:val="24"/>
        </w:rPr>
        <w:t>cis</w:t>
      </w:r>
      <w:r w:rsidRPr="00282F47">
        <w:rPr>
          <w:rFonts w:ascii="Arial" w:hAnsi="Arial" w:cs="Arial"/>
          <w:sz w:val="24"/>
          <w:szCs w:val="24"/>
        </w:rPr>
        <w:t xml:space="preserve"> conformations from TD-DFT calculations. D) 2-D structure of squaraines in </w:t>
      </w:r>
      <w:r w:rsidRPr="00282F47">
        <w:rPr>
          <w:rFonts w:ascii="Arial" w:hAnsi="Arial" w:cs="Arial"/>
          <w:i/>
          <w:iCs/>
          <w:sz w:val="24"/>
          <w:szCs w:val="24"/>
        </w:rPr>
        <w:t>trans</w:t>
      </w:r>
      <w:r w:rsidRPr="00282F47">
        <w:rPr>
          <w:rFonts w:ascii="Arial" w:hAnsi="Arial" w:cs="Arial"/>
          <w:sz w:val="24"/>
          <w:szCs w:val="24"/>
        </w:rPr>
        <w:t xml:space="preserve"> and </w:t>
      </w:r>
      <w:r w:rsidRPr="00282F47">
        <w:rPr>
          <w:rFonts w:ascii="Arial" w:hAnsi="Arial" w:cs="Arial"/>
          <w:i/>
          <w:iCs/>
          <w:sz w:val="24"/>
          <w:szCs w:val="24"/>
        </w:rPr>
        <w:t>cis</w:t>
      </w:r>
      <w:r w:rsidRPr="00282F47">
        <w:rPr>
          <w:rFonts w:ascii="Arial" w:hAnsi="Arial" w:cs="Arial"/>
          <w:sz w:val="24"/>
          <w:szCs w:val="24"/>
        </w:rPr>
        <w:t xml:space="preserve"> conformations through photo-isomerization. E) 3-D structure of squaraines in </w:t>
      </w:r>
      <w:r w:rsidRPr="00282F47">
        <w:rPr>
          <w:rFonts w:ascii="Arial" w:hAnsi="Arial" w:cs="Arial"/>
          <w:i/>
          <w:iCs/>
          <w:sz w:val="24"/>
          <w:szCs w:val="24"/>
        </w:rPr>
        <w:t>trans</w:t>
      </w:r>
      <w:r w:rsidRPr="00282F47">
        <w:rPr>
          <w:rFonts w:ascii="Arial" w:hAnsi="Arial" w:cs="Arial"/>
          <w:sz w:val="24"/>
          <w:szCs w:val="24"/>
        </w:rPr>
        <w:t xml:space="preserve"> and </w:t>
      </w:r>
      <w:r w:rsidRPr="00282F47">
        <w:rPr>
          <w:rFonts w:ascii="Arial" w:hAnsi="Arial" w:cs="Arial"/>
          <w:i/>
          <w:iCs/>
          <w:sz w:val="24"/>
          <w:szCs w:val="24"/>
        </w:rPr>
        <w:t>cis</w:t>
      </w:r>
      <w:r w:rsidRPr="00282F47">
        <w:rPr>
          <w:rFonts w:ascii="Arial" w:hAnsi="Arial" w:cs="Arial"/>
          <w:sz w:val="24"/>
          <w:szCs w:val="24"/>
        </w:rPr>
        <w:t xml:space="preserve"> formations through photo-isomerization.  PBE functional and 6-31+G* basis set were used in all DFT and TD-DFT calculations. No p-values to report.</w:t>
      </w:r>
    </w:p>
    <w:p w14:paraId="70B93855" w14:textId="77777777" w:rsidR="002027D2" w:rsidRPr="00282F47" w:rsidRDefault="002027D2" w:rsidP="00555C2B">
      <w:pPr>
        <w:spacing w:line="276" w:lineRule="auto"/>
        <w:jc w:val="both"/>
        <w:rPr>
          <w:rFonts w:ascii="Arial" w:hAnsi="Arial" w:cs="Arial"/>
          <w:b/>
          <w:bCs/>
          <w:sz w:val="24"/>
          <w:szCs w:val="24"/>
        </w:rPr>
      </w:pPr>
      <w:bookmarkStart w:id="16" w:name="_Hlk118292189"/>
    </w:p>
    <w:p w14:paraId="0CB318C2" w14:textId="77777777" w:rsidR="002027D2" w:rsidRPr="00282F47" w:rsidRDefault="002027D2" w:rsidP="00555C2B">
      <w:pPr>
        <w:spacing w:line="480" w:lineRule="auto"/>
        <w:jc w:val="both"/>
        <w:rPr>
          <w:rFonts w:ascii="Arial" w:hAnsi="Arial" w:cs="Arial"/>
          <w:sz w:val="24"/>
          <w:szCs w:val="24"/>
        </w:rPr>
      </w:pPr>
      <w:r w:rsidRPr="00282F47">
        <w:rPr>
          <w:rFonts w:ascii="Arial" w:hAnsi="Arial" w:cs="Arial"/>
          <w:b/>
          <w:bCs/>
          <w:sz w:val="24"/>
          <w:szCs w:val="24"/>
        </w:rPr>
        <w:t>Figure 2.5A-F</w:t>
      </w:r>
      <w:r w:rsidRPr="00282F47">
        <w:rPr>
          <w:rFonts w:ascii="Arial" w:hAnsi="Arial" w:cs="Arial"/>
          <w:sz w:val="24"/>
          <w:szCs w:val="24"/>
        </w:rPr>
        <w:t xml:space="preserve"> indicate full computationally derived absorption spectra of squaraines. For MSOT, optoacoustic signal is generated because of the NIR absorption and thus, major and minor peaks at wavelengths below 680 nm do not contribute to optoacoustic signal in a significant fashion. Such peaks in </w:t>
      </w:r>
      <w:r w:rsidRPr="00282F47">
        <w:rPr>
          <w:rFonts w:ascii="Arial" w:hAnsi="Arial" w:cs="Arial"/>
          <w:b/>
          <w:sz w:val="24"/>
          <w:szCs w:val="24"/>
        </w:rPr>
        <w:t>Figure 2.5</w:t>
      </w:r>
      <w:r w:rsidRPr="00282F47">
        <w:rPr>
          <w:rFonts w:ascii="Arial" w:hAnsi="Arial" w:cs="Arial"/>
          <w:sz w:val="24"/>
          <w:szCs w:val="24"/>
        </w:rPr>
        <w:t xml:space="preserve"> may be disregarded as each has no relation to optoacoustic signal. As expected from experimentally measured optoacoustic activity, a weak absorption peak is observed around 700 nm and 752nm of </w:t>
      </w:r>
      <w:r w:rsidRPr="00282F47">
        <w:rPr>
          <w:rFonts w:ascii="Arial" w:hAnsi="Arial" w:cs="Arial"/>
          <w:b/>
          <w:bCs/>
          <w:sz w:val="24"/>
          <w:szCs w:val="24"/>
        </w:rPr>
        <w:t xml:space="preserve">SQ H no TMAB </w:t>
      </w:r>
      <w:r w:rsidRPr="00282F47">
        <w:rPr>
          <w:rFonts w:ascii="Arial" w:hAnsi="Arial" w:cs="Arial"/>
          <w:sz w:val="24"/>
          <w:szCs w:val="24"/>
        </w:rPr>
        <w:t xml:space="preserve">and </w:t>
      </w:r>
      <w:r w:rsidRPr="00282F47">
        <w:rPr>
          <w:rFonts w:ascii="Arial" w:hAnsi="Arial" w:cs="Arial"/>
          <w:b/>
          <w:bCs/>
          <w:sz w:val="24"/>
          <w:szCs w:val="24"/>
        </w:rPr>
        <w:t>SQ Br no TMAB</w:t>
      </w:r>
      <w:r w:rsidRPr="00282F47">
        <w:rPr>
          <w:rFonts w:ascii="Arial" w:hAnsi="Arial" w:cs="Arial"/>
          <w:sz w:val="24"/>
          <w:szCs w:val="24"/>
        </w:rPr>
        <w:t>, respectively. In contrast, larger absorption peaks around 700 nm are noted for TMAB substituted squaraines, each correlating with measured optoacoustic signal (</w:t>
      </w:r>
      <w:r w:rsidRPr="00282F47">
        <w:rPr>
          <w:rFonts w:ascii="Arial" w:hAnsi="Arial" w:cs="Arial"/>
          <w:b/>
          <w:bCs/>
          <w:sz w:val="24"/>
          <w:szCs w:val="24"/>
        </w:rPr>
        <w:t xml:space="preserve">SQ Br </w:t>
      </w:r>
      <w:r w:rsidRPr="00282F47">
        <w:rPr>
          <w:rFonts w:ascii="Arial" w:hAnsi="Arial" w:cs="Arial"/>
          <w:sz w:val="24"/>
          <w:szCs w:val="24"/>
        </w:rPr>
        <w:t xml:space="preserve">&gt; </w:t>
      </w:r>
      <w:r w:rsidRPr="00282F47">
        <w:rPr>
          <w:rFonts w:ascii="Arial" w:hAnsi="Arial" w:cs="Arial"/>
          <w:b/>
          <w:bCs/>
          <w:sz w:val="24"/>
          <w:szCs w:val="24"/>
        </w:rPr>
        <w:t>SQ Cl</w:t>
      </w:r>
      <w:r w:rsidRPr="00282F47">
        <w:rPr>
          <w:rFonts w:ascii="Arial" w:hAnsi="Arial" w:cs="Arial"/>
          <w:sz w:val="24"/>
          <w:szCs w:val="24"/>
        </w:rPr>
        <w:t xml:space="preserve"> &gt; </w:t>
      </w:r>
      <w:r w:rsidRPr="00282F47">
        <w:rPr>
          <w:rFonts w:ascii="Arial" w:hAnsi="Arial" w:cs="Arial"/>
          <w:b/>
          <w:bCs/>
          <w:sz w:val="24"/>
          <w:szCs w:val="24"/>
        </w:rPr>
        <w:t>SQ F</w:t>
      </w:r>
      <w:r w:rsidRPr="00282F47">
        <w:rPr>
          <w:rFonts w:ascii="Arial" w:hAnsi="Arial" w:cs="Arial"/>
          <w:sz w:val="24"/>
          <w:szCs w:val="24"/>
        </w:rPr>
        <w:t xml:space="preserve"> &gt; </w:t>
      </w:r>
      <w:r w:rsidRPr="00282F47">
        <w:rPr>
          <w:rFonts w:ascii="Arial" w:hAnsi="Arial" w:cs="Arial"/>
          <w:b/>
          <w:bCs/>
          <w:sz w:val="24"/>
          <w:szCs w:val="24"/>
        </w:rPr>
        <w:t>SQ H</w:t>
      </w:r>
      <w:r w:rsidRPr="00282F47">
        <w:rPr>
          <w:rFonts w:ascii="Arial" w:hAnsi="Arial" w:cs="Arial"/>
          <w:sz w:val="24"/>
          <w:szCs w:val="24"/>
        </w:rPr>
        <w:t xml:space="preserve"> &gt; </w:t>
      </w:r>
      <w:r w:rsidRPr="00282F47">
        <w:rPr>
          <w:rFonts w:ascii="Arial" w:hAnsi="Arial" w:cs="Arial"/>
          <w:b/>
          <w:bCs/>
          <w:sz w:val="24"/>
          <w:szCs w:val="24"/>
        </w:rPr>
        <w:t>SQ H no TMAB</w:t>
      </w:r>
      <w:r w:rsidRPr="00282F47">
        <w:rPr>
          <w:rFonts w:ascii="Arial" w:hAnsi="Arial" w:cs="Arial"/>
          <w:sz w:val="24"/>
          <w:szCs w:val="24"/>
        </w:rPr>
        <w:t xml:space="preserve">). This data suggests that TMAB functionalized squaraines generate optoacoustic signal after absorption of ~700 nm light, while </w:t>
      </w:r>
      <w:r w:rsidRPr="00282F47">
        <w:rPr>
          <w:rFonts w:ascii="Arial" w:hAnsi="Arial" w:cs="Arial"/>
          <w:b/>
          <w:bCs/>
          <w:sz w:val="24"/>
          <w:szCs w:val="24"/>
        </w:rPr>
        <w:t>SQ H no TMAB</w:t>
      </w:r>
      <w:r w:rsidRPr="00282F47">
        <w:rPr>
          <w:rFonts w:ascii="Arial" w:hAnsi="Arial" w:cs="Arial"/>
          <w:sz w:val="24"/>
          <w:szCs w:val="24"/>
        </w:rPr>
        <w:t xml:space="preserve"> and </w:t>
      </w:r>
      <w:r w:rsidRPr="00282F47">
        <w:rPr>
          <w:rFonts w:ascii="Arial" w:hAnsi="Arial" w:cs="Arial"/>
          <w:b/>
          <w:bCs/>
          <w:sz w:val="24"/>
          <w:szCs w:val="24"/>
        </w:rPr>
        <w:t xml:space="preserve">SQ Br no TMAB </w:t>
      </w:r>
      <w:r w:rsidRPr="00282F47">
        <w:rPr>
          <w:rFonts w:ascii="Arial" w:hAnsi="Arial" w:cs="Arial"/>
          <w:sz w:val="24"/>
          <w:szCs w:val="24"/>
        </w:rPr>
        <w:t>weakly absorb ~700/750 nm light, and therefore generate minimal optoacoustic signal.</w:t>
      </w:r>
    </w:p>
    <w:bookmarkEnd w:id="16"/>
    <w:p w14:paraId="4DC971F7" w14:textId="77777777" w:rsidR="002027D2" w:rsidRPr="00282F47" w:rsidRDefault="002027D2" w:rsidP="00CF750F">
      <w:pPr>
        <w:spacing w:after="0" w:line="48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58AD7A8E" wp14:editId="12437407">
            <wp:extent cx="4822520" cy="4609526"/>
            <wp:effectExtent l="0" t="0" r="0" b="0"/>
            <wp:docPr id="1154600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79439" cy="4663931"/>
                    </a:xfrm>
                    <a:prstGeom prst="rect">
                      <a:avLst/>
                    </a:prstGeom>
                    <a:noFill/>
                  </pic:spPr>
                </pic:pic>
              </a:graphicData>
            </a:graphic>
          </wp:inline>
        </w:drawing>
      </w:r>
    </w:p>
    <w:p w14:paraId="7C0F66F1" w14:textId="04A96FBA" w:rsidR="002027D2" w:rsidRDefault="002027D2" w:rsidP="004B4BA2">
      <w:pPr>
        <w:spacing w:line="276" w:lineRule="auto"/>
        <w:jc w:val="both"/>
        <w:rPr>
          <w:rFonts w:ascii="Arial" w:hAnsi="Arial" w:cs="Arial"/>
          <w:sz w:val="24"/>
          <w:szCs w:val="24"/>
        </w:rPr>
      </w:pPr>
      <w:bookmarkStart w:id="17" w:name="_Hlk119666963"/>
      <w:r w:rsidRPr="00282F47">
        <w:rPr>
          <w:rFonts w:ascii="Arial" w:hAnsi="Arial" w:cs="Arial"/>
          <w:b/>
          <w:bCs/>
          <w:sz w:val="24"/>
          <w:szCs w:val="24"/>
        </w:rPr>
        <w:t xml:space="preserve">Figure 2.5: </w:t>
      </w:r>
      <w:r w:rsidRPr="00282F47">
        <w:rPr>
          <w:rFonts w:ascii="Arial" w:hAnsi="Arial" w:cs="Arial"/>
          <w:sz w:val="24"/>
          <w:szCs w:val="24"/>
        </w:rPr>
        <w:t xml:space="preserve">Full TD-DFT derived absorption peaks of </w:t>
      </w:r>
      <w:r w:rsidRPr="00282F47">
        <w:rPr>
          <w:rFonts w:ascii="Arial" w:hAnsi="Arial" w:cs="Arial"/>
          <w:i/>
          <w:iCs/>
          <w:sz w:val="24"/>
          <w:szCs w:val="24"/>
        </w:rPr>
        <w:t xml:space="preserve">cis </w:t>
      </w:r>
      <w:r w:rsidRPr="00282F47">
        <w:rPr>
          <w:rFonts w:ascii="Arial" w:hAnsi="Arial" w:cs="Arial"/>
          <w:sz w:val="24"/>
          <w:szCs w:val="24"/>
        </w:rPr>
        <w:t xml:space="preserve">and </w:t>
      </w:r>
      <w:r w:rsidRPr="00282F47">
        <w:rPr>
          <w:rFonts w:ascii="Arial" w:hAnsi="Arial" w:cs="Arial"/>
          <w:i/>
          <w:iCs/>
          <w:sz w:val="24"/>
          <w:szCs w:val="24"/>
        </w:rPr>
        <w:t xml:space="preserve">trans </w:t>
      </w:r>
      <w:r w:rsidRPr="00282F47">
        <w:rPr>
          <w:rFonts w:ascii="Arial" w:hAnsi="Arial" w:cs="Arial"/>
          <w:sz w:val="24"/>
          <w:szCs w:val="24"/>
        </w:rPr>
        <w:t xml:space="preserve">isomers of squaraine compounds, A) </w:t>
      </w:r>
      <w:r w:rsidRPr="00282F47">
        <w:rPr>
          <w:rFonts w:ascii="Arial" w:hAnsi="Arial" w:cs="Arial"/>
          <w:b/>
          <w:bCs/>
          <w:sz w:val="24"/>
          <w:szCs w:val="24"/>
        </w:rPr>
        <w:t>SQ H no TMAB</w:t>
      </w:r>
      <w:r w:rsidRPr="00282F47">
        <w:rPr>
          <w:rFonts w:ascii="Arial" w:hAnsi="Arial" w:cs="Arial"/>
          <w:sz w:val="24"/>
          <w:szCs w:val="24"/>
        </w:rPr>
        <w:t xml:space="preserve">, B) </w:t>
      </w:r>
      <w:r w:rsidRPr="00282F47">
        <w:rPr>
          <w:rFonts w:ascii="Arial" w:hAnsi="Arial" w:cs="Arial"/>
          <w:b/>
          <w:bCs/>
          <w:sz w:val="24"/>
          <w:szCs w:val="24"/>
        </w:rPr>
        <w:t>SQ H</w:t>
      </w:r>
      <w:r w:rsidRPr="00282F47">
        <w:rPr>
          <w:rFonts w:ascii="Arial" w:hAnsi="Arial" w:cs="Arial"/>
          <w:sz w:val="24"/>
          <w:szCs w:val="24"/>
        </w:rPr>
        <w:t xml:space="preserve">, C) </w:t>
      </w:r>
      <w:r w:rsidRPr="00282F47">
        <w:rPr>
          <w:rFonts w:ascii="Arial" w:hAnsi="Arial" w:cs="Arial"/>
          <w:b/>
          <w:bCs/>
          <w:sz w:val="24"/>
          <w:szCs w:val="24"/>
        </w:rPr>
        <w:t>SQ F</w:t>
      </w:r>
      <w:r w:rsidRPr="00282F47">
        <w:rPr>
          <w:rFonts w:ascii="Arial" w:hAnsi="Arial" w:cs="Arial"/>
          <w:sz w:val="24"/>
          <w:szCs w:val="24"/>
        </w:rPr>
        <w:t xml:space="preserve">, D) </w:t>
      </w:r>
      <w:r w:rsidRPr="00282F47">
        <w:rPr>
          <w:rFonts w:ascii="Arial" w:hAnsi="Arial" w:cs="Arial"/>
          <w:b/>
          <w:bCs/>
          <w:sz w:val="24"/>
          <w:szCs w:val="24"/>
        </w:rPr>
        <w:t>SQ Cl</w:t>
      </w:r>
      <w:r w:rsidRPr="00282F47">
        <w:rPr>
          <w:rFonts w:ascii="Arial" w:hAnsi="Arial" w:cs="Arial"/>
          <w:sz w:val="24"/>
          <w:szCs w:val="24"/>
        </w:rPr>
        <w:t xml:space="preserve">, E) </w:t>
      </w:r>
      <w:r w:rsidRPr="00282F47">
        <w:rPr>
          <w:rFonts w:ascii="Arial" w:hAnsi="Arial" w:cs="Arial"/>
          <w:b/>
          <w:bCs/>
          <w:sz w:val="24"/>
          <w:szCs w:val="24"/>
        </w:rPr>
        <w:t>SQ Br</w:t>
      </w:r>
      <w:r w:rsidRPr="00282F47">
        <w:rPr>
          <w:rFonts w:ascii="Arial" w:hAnsi="Arial" w:cs="Arial"/>
          <w:sz w:val="24"/>
          <w:szCs w:val="24"/>
        </w:rPr>
        <w:t xml:space="preserve">, F) </w:t>
      </w:r>
      <w:r w:rsidRPr="00282F47">
        <w:rPr>
          <w:rFonts w:ascii="Arial" w:hAnsi="Arial" w:cs="Arial"/>
          <w:b/>
          <w:bCs/>
          <w:sz w:val="24"/>
          <w:szCs w:val="24"/>
        </w:rPr>
        <w:t>SQ Br no TMAB</w:t>
      </w:r>
      <w:r w:rsidRPr="00282F47">
        <w:rPr>
          <w:rFonts w:ascii="Arial" w:hAnsi="Arial" w:cs="Arial"/>
          <w:sz w:val="24"/>
          <w:szCs w:val="24"/>
        </w:rPr>
        <w:t>.</w:t>
      </w:r>
      <w:bookmarkEnd w:id="17"/>
      <w:r w:rsidRPr="00282F47">
        <w:rPr>
          <w:rFonts w:ascii="Arial" w:hAnsi="Arial" w:cs="Arial"/>
          <w:sz w:val="24"/>
          <w:szCs w:val="24"/>
        </w:rPr>
        <w:t xml:space="preserve"> Arrows in panels A-F indicate the absorption peak that is responsible for optoacoustic signal generation. Lower wavelengths (&lt;680 nm) are not available on optoacoustic measurement. No p-values to report.</w:t>
      </w:r>
    </w:p>
    <w:p w14:paraId="0CD04C1C" w14:textId="77777777" w:rsidR="004B4BA2" w:rsidRPr="00282F47" w:rsidRDefault="004B4BA2" w:rsidP="004B4BA2">
      <w:pPr>
        <w:spacing w:line="276" w:lineRule="auto"/>
        <w:jc w:val="both"/>
        <w:rPr>
          <w:rFonts w:ascii="Arial" w:hAnsi="Arial" w:cs="Arial"/>
          <w:sz w:val="24"/>
          <w:szCs w:val="24"/>
        </w:rPr>
      </w:pPr>
    </w:p>
    <w:p w14:paraId="75ED30EC" w14:textId="77777777" w:rsidR="002027D2" w:rsidRPr="00282F47" w:rsidRDefault="002027D2" w:rsidP="005B2274">
      <w:pPr>
        <w:spacing w:after="0" w:line="480" w:lineRule="auto"/>
        <w:jc w:val="both"/>
        <w:rPr>
          <w:rFonts w:ascii="Arial" w:hAnsi="Arial" w:cs="Arial"/>
          <w:sz w:val="24"/>
          <w:szCs w:val="24"/>
        </w:rPr>
      </w:pPr>
      <w:r w:rsidRPr="00282F47">
        <w:rPr>
          <w:rFonts w:ascii="Arial" w:hAnsi="Arial" w:cs="Arial"/>
          <w:sz w:val="24"/>
          <w:szCs w:val="24"/>
        </w:rPr>
        <w:t>The highest occupied molecular orbital (HOMO) and lowest unoccupied molecular orbital (LUMO) of a compound are regularly used to extract optical and chemical properties, including electron-donating, electron-accepting, stability, and absorbance</w:t>
      </w:r>
      <w:r w:rsidRPr="00282F47">
        <w:rPr>
          <w:rFonts w:ascii="Arial" w:hAnsi="Arial" w:cs="Arial"/>
          <w:noProof/>
          <w:sz w:val="24"/>
          <w:szCs w:val="24"/>
          <w:vertAlign w:val="superscript"/>
        </w:rPr>
        <w:t>98</w:t>
      </w:r>
      <w:r w:rsidRPr="00282F47">
        <w:rPr>
          <w:rFonts w:ascii="Arial" w:hAnsi="Arial" w:cs="Arial"/>
          <w:sz w:val="24"/>
          <w:szCs w:val="24"/>
        </w:rPr>
        <w:t>. Generally, the energy difference between HOMO and LUMO is used to predict strength and stability of the target compound</w:t>
      </w:r>
      <w:r w:rsidRPr="00282F47">
        <w:rPr>
          <w:rFonts w:ascii="Arial" w:hAnsi="Arial" w:cs="Arial"/>
          <w:noProof/>
          <w:sz w:val="24"/>
          <w:szCs w:val="24"/>
          <w:vertAlign w:val="superscript"/>
        </w:rPr>
        <w:t>99</w:t>
      </w:r>
      <w:r w:rsidRPr="00282F47">
        <w:rPr>
          <w:rFonts w:ascii="Arial" w:hAnsi="Arial" w:cs="Arial"/>
          <w:sz w:val="24"/>
          <w:szCs w:val="24"/>
        </w:rPr>
        <w:t xml:space="preserve">. In this context, frontier orbitals are utilized to explain the significant differences in transition dipole moment in these squaraine compounds with </w:t>
      </w:r>
      <w:r w:rsidRPr="00282F47">
        <w:rPr>
          <w:rFonts w:ascii="Arial" w:hAnsi="Arial" w:cs="Arial"/>
          <w:sz w:val="24"/>
          <w:szCs w:val="24"/>
        </w:rPr>
        <w:lastRenderedPageBreak/>
        <w:t xml:space="preserve">identical conjugation cores. </w:t>
      </w:r>
      <w:r w:rsidRPr="00282F47">
        <w:rPr>
          <w:rFonts w:ascii="Arial" w:hAnsi="Arial" w:cs="Arial"/>
          <w:b/>
          <w:bCs/>
          <w:sz w:val="24"/>
          <w:szCs w:val="24"/>
        </w:rPr>
        <w:t xml:space="preserve">Figure 2.6 </w:t>
      </w:r>
      <w:r w:rsidRPr="00282F47">
        <w:rPr>
          <w:rFonts w:ascii="Arial" w:hAnsi="Arial" w:cs="Arial"/>
          <w:sz w:val="24"/>
          <w:szCs w:val="24"/>
        </w:rPr>
        <w:t xml:space="preserve">shows the frontier molecular orbitals involved in the electronic excitations that contribute to the absorption peaks of interest where a higher amplitude indicates a larger contribution. </w:t>
      </w:r>
      <w:r w:rsidRPr="00282F47">
        <w:rPr>
          <w:rFonts w:ascii="Arial" w:hAnsi="Arial" w:cs="Arial"/>
          <w:b/>
          <w:bCs/>
          <w:sz w:val="24"/>
          <w:szCs w:val="24"/>
        </w:rPr>
        <w:t>Figure 2.6A</w:t>
      </w:r>
      <w:r w:rsidRPr="00282F47">
        <w:rPr>
          <w:rFonts w:ascii="Arial" w:hAnsi="Arial" w:cs="Arial"/>
          <w:sz w:val="24"/>
          <w:szCs w:val="24"/>
        </w:rPr>
        <w:t xml:space="preserve"> shows that the relevant absorption peak for </w:t>
      </w:r>
      <w:r w:rsidRPr="00282F47">
        <w:rPr>
          <w:rFonts w:ascii="Arial" w:hAnsi="Arial" w:cs="Arial"/>
          <w:b/>
          <w:bCs/>
          <w:sz w:val="24"/>
          <w:szCs w:val="24"/>
        </w:rPr>
        <w:t xml:space="preserve">SQ H no TMAB </w:t>
      </w:r>
      <w:r w:rsidRPr="00282F47">
        <w:rPr>
          <w:rFonts w:ascii="Arial" w:hAnsi="Arial" w:cs="Arial"/>
          <w:sz w:val="24"/>
          <w:szCs w:val="24"/>
        </w:rPr>
        <w:t xml:space="preserve">and </w:t>
      </w:r>
      <w:r w:rsidRPr="00282F47">
        <w:rPr>
          <w:rFonts w:ascii="Arial" w:hAnsi="Arial" w:cs="Arial"/>
          <w:b/>
          <w:bCs/>
          <w:sz w:val="24"/>
          <w:szCs w:val="24"/>
        </w:rPr>
        <w:t>SQ Br no TMAB</w:t>
      </w:r>
      <w:r w:rsidRPr="00282F47">
        <w:rPr>
          <w:rFonts w:ascii="Arial" w:hAnsi="Arial" w:cs="Arial"/>
          <w:sz w:val="24"/>
          <w:szCs w:val="24"/>
        </w:rPr>
        <w:t xml:space="preserve"> are mostly due to an excitation from HOMO-1 (the second highest occupied molecular orbital) to LUMO, with an amplitude of 0.9961 and 0.9967, respectively. However, HOMO-1 is localized on the center of the compound, while LUMO is fully delocalized over the entire molecule for </w:t>
      </w:r>
      <w:r w:rsidRPr="00282F47">
        <w:rPr>
          <w:rFonts w:ascii="Arial" w:hAnsi="Arial" w:cs="Arial"/>
          <w:b/>
          <w:bCs/>
          <w:sz w:val="24"/>
          <w:szCs w:val="24"/>
        </w:rPr>
        <w:t xml:space="preserve">SQ H no TMAB </w:t>
      </w:r>
      <w:r w:rsidRPr="00282F47">
        <w:rPr>
          <w:rFonts w:ascii="Arial" w:hAnsi="Arial" w:cs="Arial"/>
          <w:sz w:val="24"/>
          <w:szCs w:val="24"/>
        </w:rPr>
        <w:t xml:space="preserve">and </w:t>
      </w:r>
      <w:r w:rsidRPr="00282F47">
        <w:rPr>
          <w:rFonts w:ascii="Arial" w:hAnsi="Arial" w:cs="Arial"/>
          <w:b/>
          <w:bCs/>
          <w:sz w:val="24"/>
          <w:szCs w:val="24"/>
        </w:rPr>
        <w:t>SQ Br no TMAB</w:t>
      </w:r>
      <w:r w:rsidRPr="00282F47">
        <w:rPr>
          <w:rFonts w:ascii="Arial" w:hAnsi="Arial" w:cs="Arial"/>
          <w:sz w:val="24"/>
          <w:szCs w:val="24"/>
        </w:rPr>
        <w:t xml:space="preserve">. The resultant partial charge-transfer character, when combined with the symmetries of HOMO-1 and LUMO orbitals, leads to a near-zero transition dipole moment for </w:t>
      </w:r>
      <w:r w:rsidRPr="00282F47">
        <w:rPr>
          <w:rFonts w:ascii="Arial" w:hAnsi="Arial" w:cs="Arial"/>
          <w:b/>
          <w:bCs/>
          <w:sz w:val="24"/>
          <w:szCs w:val="24"/>
        </w:rPr>
        <w:t xml:space="preserve">SQ H no TMAB </w:t>
      </w:r>
      <w:r w:rsidRPr="00282F47">
        <w:rPr>
          <w:rFonts w:ascii="Arial" w:hAnsi="Arial" w:cs="Arial"/>
          <w:sz w:val="24"/>
          <w:szCs w:val="24"/>
        </w:rPr>
        <w:t xml:space="preserve">and </w:t>
      </w:r>
      <w:r w:rsidRPr="00282F47">
        <w:rPr>
          <w:rFonts w:ascii="Arial" w:hAnsi="Arial" w:cs="Arial"/>
          <w:b/>
          <w:bCs/>
          <w:sz w:val="24"/>
          <w:szCs w:val="24"/>
        </w:rPr>
        <w:t>SQ Br no TMAB</w:t>
      </w:r>
      <w:r w:rsidRPr="00282F47">
        <w:rPr>
          <w:rFonts w:ascii="Arial" w:hAnsi="Arial" w:cs="Arial"/>
          <w:sz w:val="24"/>
          <w:szCs w:val="24"/>
        </w:rPr>
        <w:t xml:space="preserve">. For TMAB substituted squaraines, the charge-transfer character of the first absorption peak was reduced in two ways: 1) contribution to HOMO-1 from trimethylpropylammonium pendant groups caused delocalization of HOMO-1, resulting in a larger degree of overlap between HOMO-1 and LUMO of TMAB substituted squaraines, and 2) amplitude reduction of HOMO-1 to LUMO excitation compared to </w:t>
      </w:r>
      <w:r w:rsidRPr="00282F47">
        <w:rPr>
          <w:rFonts w:ascii="Arial" w:hAnsi="Arial" w:cs="Arial"/>
          <w:b/>
          <w:bCs/>
          <w:sz w:val="24"/>
          <w:szCs w:val="24"/>
        </w:rPr>
        <w:t xml:space="preserve">SQ H no TMAB </w:t>
      </w:r>
      <w:r w:rsidRPr="00282F47">
        <w:rPr>
          <w:rFonts w:ascii="Arial" w:hAnsi="Arial" w:cs="Arial"/>
          <w:sz w:val="24"/>
          <w:szCs w:val="24"/>
        </w:rPr>
        <w:t xml:space="preserve">and </w:t>
      </w:r>
      <w:r w:rsidRPr="00282F47">
        <w:rPr>
          <w:rFonts w:ascii="Arial" w:hAnsi="Arial" w:cs="Arial"/>
          <w:b/>
          <w:bCs/>
          <w:sz w:val="24"/>
          <w:szCs w:val="24"/>
        </w:rPr>
        <w:t>SQ Br no TMAB</w:t>
      </w:r>
      <w:r w:rsidRPr="00282F47">
        <w:rPr>
          <w:rFonts w:ascii="Arial" w:hAnsi="Arial" w:cs="Arial"/>
          <w:sz w:val="24"/>
          <w:szCs w:val="24"/>
        </w:rPr>
        <w:t>. Additionally, non-charge-transfer HOMO to LUMO excitation contributed to the absorption peaks of these compounds with amplitudes of 0.4044 (</w:t>
      </w:r>
      <w:r w:rsidRPr="00282F47">
        <w:rPr>
          <w:rFonts w:ascii="Arial" w:hAnsi="Arial" w:cs="Arial"/>
          <w:b/>
          <w:bCs/>
          <w:sz w:val="24"/>
          <w:szCs w:val="24"/>
        </w:rPr>
        <w:t>SQ H</w:t>
      </w:r>
      <w:r w:rsidRPr="00282F47">
        <w:rPr>
          <w:rFonts w:ascii="Arial" w:hAnsi="Arial" w:cs="Arial"/>
          <w:sz w:val="24"/>
          <w:szCs w:val="24"/>
        </w:rPr>
        <w:t>), 0.4021 (</w:t>
      </w:r>
      <w:r w:rsidRPr="00282F47">
        <w:rPr>
          <w:rFonts w:ascii="Arial" w:hAnsi="Arial" w:cs="Arial"/>
          <w:b/>
          <w:bCs/>
          <w:sz w:val="24"/>
          <w:szCs w:val="24"/>
        </w:rPr>
        <w:t>SQ F</w:t>
      </w:r>
      <w:r w:rsidRPr="00282F47">
        <w:rPr>
          <w:rFonts w:ascii="Arial" w:hAnsi="Arial" w:cs="Arial"/>
          <w:sz w:val="24"/>
          <w:szCs w:val="24"/>
        </w:rPr>
        <w:t>), 0.4216 (</w:t>
      </w:r>
      <w:r w:rsidRPr="00282F47">
        <w:rPr>
          <w:rFonts w:ascii="Arial" w:hAnsi="Arial" w:cs="Arial"/>
          <w:b/>
          <w:bCs/>
          <w:sz w:val="24"/>
          <w:szCs w:val="24"/>
        </w:rPr>
        <w:t>SQ Cl</w:t>
      </w:r>
      <w:r w:rsidRPr="00282F47">
        <w:rPr>
          <w:rFonts w:ascii="Arial" w:hAnsi="Arial" w:cs="Arial"/>
          <w:sz w:val="24"/>
          <w:szCs w:val="24"/>
        </w:rPr>
        <w:t>), and 0.4383 (</w:t>
      </w:r>
      <w:r w:rsidRPr="00282F47">
        <w:rPr>
          <w:rFonts w:ascii="Arial" w:hAnsi="Arial" w:cs="Arial"/>
          <w:b/>
          <w:bCs/>
          <w:sz w:val="24"/>
          <w:szCs w:val="24"/>
        </w:rPr>
        <w:t>SQ Br</w:t>
      </w:r>
      <w:r w:rsidRPr="00282F47">
        <w:rPr>
          <w:rFonts w:ascii="Arial" w:hAnsi="Arial" w:cs="Arial"/>
          <w:sz w:val="24"/>
          <w:szCs w:val="24"/>
        </w:rPr>
        <w:t>), which explains the trend in the predicted transition dipole moments. From this analysis, we hypothesize that changes in electronic excitation character due to trimethylpropylammonium pendant group and halogen substitutions are responsible for varying degrees of photon absorption in the NIR wavelength range, which contributes to the variations in experimentally observed optoacoustic signal intensity (</w:t>
      </w:r>
      <w:r w:rsidRPr="00282F47">
        <w:rPr>
          <w:rFonts w:ascii="Arial" w:hAnsi="Arial" w:cs="Arial"/>
          <w:b/>
          <w:bCs/>
          <w:sz w:val="24"/>
          <w:szCs w:val="24"/>
        </w:rPr>
        <w:t>Figure 2.3B</w:t>
      </w:r>
      <w:r w:rsidRPr="00282F47">
        <w:rPr>
          <w:rFonts w:ascii="Arial" w:hAnsi="Arial" w:cs="Arial"/>
          <w:sz w:val="24"/>
          <w:szCs w:val="24"/>
        </w:rPr>
        <w:t>).</w:t>
      </w:r>
    </w:p>
    <w:p w14:paraId="277AB3DD" w14:textId="77777777" w:rsidR="002027D2" w:rsidRPr="00282F47" w:rsidRDefault="002027D2" w:rsidP="005B2274">
      <w:pPr>
        <w:spacing w:after="0" w:line="48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40C6ED3C" wp14:editId="2A87F595">
            <wp:extent cx="4809995" cy="5703815"/>
            <wp:effectExtent l="0" t="0" r="0" b="0"/>
            <wp:docPr id="15293505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24423" cy="5720924"/>
                    </a:xfrm>
                    <a:prstGeom prst="rect">
                      <a:avLst/>
                    </a:prstGeom>
                    <a:noFill/>
                  </pic:spPr>
                </pic:pic>
              </a:graphicData>
            </a:graphic>
          </wp:inline>
        </w:drawing>
      </w:r>
    </w:p>
    <w:p w14:paraId="6DA55C3B" w14:textId="775A7C9C" w:rsidR="002027D2" w:rsidRDefault="002027D2" w:rsidP="004B4BA2">
      <w:pPr>
        <w:spacing w:line="276" w:lineRule="auto"/>
        <w:jc w:val="both"/>
        <w:rPr>
          <w:rFonts w:ascii="Arial" w:hAnsi="Arial" w:cs="Arial"/>
          <w:sz w:val="24"/>
          <w:szCs w:val="24"/>
        </w:rPr>
      </w:pPr>
      <w:bookmarkStart w:id="18" w:name="_Hlk118292297"/>
      <w:r w:rsidRPr="00282F47">
        <w:rPr>
          <w:rFonts w:ascii="Arial" w:hAnsi="Arial" w:cs="Arial"/>
          <w:b/>
          <w:bCs/>
          <w:sz w:val="24"/>
          <w:szCs w:val="24"/>
        </w:rPr>
        <w:t xml:space="preserve">Figure 2.6: </w:t>
      </w:r>
      <w:r w:rsidRPr="00282F47">
        <w:rPr>
          <w:rFonts w:ascii="Arial" w:hAnsi="Arial" w:cs="Arial"/>
          <w:sz w:val="24"/>
          <w:szCs w:val="24"/>
        </w:rPr>
        <w:t>HOMO-1, HOMO, and LUMO of squaraines from DFT calculations using PBE functional and 6-31+G* basis set. Amplitudes for HOMO-1 to LUMO and HOMO to LUMO electronic transitions for the lowest energy absorption are listed below the respective orbitals. For a specific molecular orbital (HOMO-1, HOMO, or LUMO), isosurfaces are shown in blue (isovalue = 0.02) and red (isovalue = -0.02).</w:t>
      </w:r>
      <w:bookmarkEnd w:id="18"/>
    </w:p>
    <w:p w14:paraId="65D4F831" w14:textId="77777777" w:rsidR="004B4BA2" w:rsidRPr="00282F47" w:rsidRDefault="004B4BA2" w:rsidP="004B4BA2">
      <w:pPr>
        <w:spacing w:line="276" w:lineRule="auto"/>
        <w:jc w:val="both"/>
        <w:rPr>
          <w:rFonts w:ascii="Arial" w:hAnsi="Arial" w:cs="Arial"/>
          <w:sz w:val="24"/>
          <w:szCs w:val="24"/>
        </w:rPr>
      </w:pPr>
    </w:p>
    <w:p w14:paraId="7BD0249D"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2.4.3 Cellular Viability</w:t>
      </w:r>
    </w:p>
    <w:p w14:paraId="7B198B80" w14:textId="77777777" w:rsidR="002027D2" w:rsidRPr="00282F47" w:rsidRDefault="002027D2" w:rsidP="00905DC8">
      <w:pPr>
        <w:spacing w:line="480" w:lineRule="auto"/>
        <w:jc w:val="both"/>
        <w:rPr>
          <w:rFonts w:ascii="Arial" w:hAnsi="Arial" w:cs="Arial"/>
          <w:sz w:val="24"/>
          <w:szCs w:val="24"/>
        </w:rPr>
      </w:pPr>
      <w:bookmarkStart w:id="19" w:name="_Hlk118292317"/>
      <w:r w:rsidRPr="00282F47">
        <w:rPr>
          <w:rFonts w:ascii="Arial" w:hAnsi="Arial" w:cs="Arial"/>
          <w:sz w:val="24"/>
          <w:szCs w:val="24"/>
        </w:rPr>
        <w:t xml:space="preserve">Cells were treated with squaraine dyes of multiple concentrations and evaluated for viability. While TMAB substituted squaraines show no toxicity following treatment with </w:t>
      </w:r>
      <w:r w:rsidRPr="00282F47">
        <w:rPr>
          <w:rFonts w:ascii="Arial" w:hAnsi="Arial" w:cs="Arial"/>
          <w:sz w:val="24"/>
          <w:szCs w:val="24"/>
        </w:rPr>
        <w:lastRenderedPageBreak/>
        <w:t xml:space="preserve">cells at both concentrations evaluated, decreases in viability of cells following treatment with squaraines </w:t>
      </w:r>
      <w:r w:rsidRPr="00282F47">
        <w:rPr>
          <w:rFonts w:ascii="Arial" w:hAnsi="Arial" w:cs="Arial"/>
          <w:b/>
          <w:bCs/>
          <w:sz w:val="24"/>
          <w:szCs w:val="24"/>
        </w:rPr>
        <w:t xml:space="preserve">SQ H no TMAB </w:t>
      </w:r>
      <w:r w:rsidRPr="00282F47">
        <w:rPr>
          <w:rFonts w:ascii="Arial" w:hAnsi="Arial" w:cs="Arial"/>
          <w:sz w:val="24"/>
          <w:szCs w:val="24"/>
        </w:rPr>
        <w:t xml:space="preserve">and </w:t>
      </w:r>
      <w:r w:rsidRPr="00282F47">
        <w:rPr>
          <w:rFonts w:ascii="Arial" w:hAnsi="Arial" w:cs="Arial"/>
          <w:b/>
          <w:bCs/>
          <w:sz w:val="24"/>
          <w:szCs w:val="24"/>
        </w:rPr>
        <w:t xml:space="preserve">SQ Br no TMAB </w:t>
      </w:r>
      <w:r w:rsidRPr="00282F47">
        <w:rPr>
          <w:rFonts w:ascii="Arial" w:hAnsi="Arial" w:cs="Arial"/>
          <w:sz w:val="24"/>
          <w:szCs w:val="24"/>
        </w:rPr>
        <w:t>in kidney (</w:t>
      </w:r>
      <w:r w:rsidRPr="00282F47">
        <w:rPr>
          <w:rFonts w:ascii="Arial" w:hAnsi="Arial" w:cs="Arial"/>
          <w:b/>
          <w:bCs/>
          <w:sz w:val="24"/>
          <w:szCs w:val="24"/>
        </w:rPr>
        <w:t>Figure 2.7A, E</w:t>
      </w:r>
      <w:r w:rsidRPr="00282F47">
        <w:rPr>
          <w:rFonts w:ascii="Arial" w:hAnsi="Arial" w:cs="Arial"/>
          <w:sz w:val="24"/>
          <w:szCs w:val="24"/>
        </w:rPr>
        <w:t>), liver (</w:t>
      </w:r>
      <w:r w:rsidRPr="00282F47">
        <w:rPr>
          <w:rFonts w:ascii="Arial" w:hAnsi="Arial" w:cs="Arial"/>
          <w:b/>
          <w:bCs/>
          <w:sz w:val="24"/>
          <w:szCs w:val="24"/>
        </w:rPr>
        <w:t>Figure 2.7B, F</w:t>
      </w:r>
      <w:r w:rsidRPr="00282F47">
        <w:rPr>
          <w:rFonts w:ascii="Arial" w:hAnsi="Arial" w:cs="Arial"/>
          <w:sz w:val="24"/>
          <w:szCs w:val="24"/>
        </w:rPr>
        <w:t>), colon (</w:t>
      </w:r>
      <w:r w:rsidRPr="00282F47">
        <w:rPr>
          <w:rFonts w:ascii="Arial" w:hAnsi="Arial" w:cs="Arial"/>
          <w:b/>
          <w:bCs/>
          <w:sz w:val="24"/>
          <w:szCs w:val="24"/>
        </w:rPr>
        <w:t>Figure 2.7C, G</w:t>
      </w:r>
      <w:r w:rsidRPr="00282F47">
        <w:rPr>
          <w:rFonts w:ascii="Arial" w:hAnsi="Arial" w:cs="Arial"/>
          <w:sz w:val="24"/>
          <w:szCs w:val="24"/>
        </w:rPr>
        <w:t>), and umbilical vein (</w:t>
      </w:r>
      <w:r w:rsidRPr="00282F47">
        <w:rPr>
          <w:rFonts w:ascii="Arial" w:hAnsi="Arial" w:cs="Arial"/>
          <w:b/>
          <w:bCs/>
          <w:sz w:val="24"/>
          <w:szCs w:val="24"/>
        </w:rPr>
        <w:t>Figure 2.7D, H</w:t>
      </w:r>
      <w:r w:rsidRPr="00282F47">
        <w:rPr>
          <w:rFonts w:ascii="Arial" w:hAnsi="Arial" w:cs="Arial"/>
          <w:sz w:val="24"/>
          <w:szCs w:val="24"/>
        </w:rPr>
        <w:t xml:space="preserve">) cells. </w:t>
      </w:r>
      <w:bookmarkEnd w:id="19"/>
      <w:r w:rsidRPr="00282F47">
        <w:rPr>
          <w:rFonts w:ascii="Arial" w:hAnsi="Arial" w:cs="Arial"/>
          <w:sz w:val="24"/>
          <w:szCs w:val="24"/>
        </w:rPr>
        <w:t>Kidney and liver cells were chosen due to being the major organs involved in clearance of drug injected intravenously</w:t>
      </w:r>
      <w:r w:rsidRPr="00282F47">
        <w:rPr>
          <w:rFonts w:ascii="Arial" w:hAnsi="Arial" w:cs="Arial"/>
          <w:noProof/>
          <w:sz w:val="24"/>
          <w:szCs w:val="24"/>
          <w:vertAlign w:val="superscript"/>
        </w:rPr>
        <w:t>100</w:t>
      </w:r>
      <w:r w:rsidRPr="00282F47">
        <w:rPr>
          <w:rFonts w:ascii="Arial" w:hAnsi="Arial" w:cs="Arial"/>
          <w:sz w:val="24"/>
          <w:szCs w:val="24"/>
        </w:rPr>
        <w:t xml:space="preserve">. Colon cells were included for consistency with </w:t>
      </w:r>
      <w:r w:rsidRPr="00282F47">
        <w:rPr>
          <w:rFonts w:ascii="Arial" w:hAnsi="Arial" w:cs="Arial"/>
          <w:i/>
          <w:iCs/>
          <w:sz w:val="24"/>
          <w:szCs w:val="24"/>
        </w:rPr>
        <w:t xml:space="preserve">in vivo </w:t>
      </w:r>
      <w:r w:rsidRPr="00282F47">
        <w:rPr>
          <w:rFonts w:ascii="Arial" w:hAnsi="Arial" w:cs="Arial"/>
          <w:sz w:val="24"/>
          <w:szCs w:val="24"/>
        </w:rPr>
        <w:t xml:space="preserve">oral gavage administration. Note that all squaraines were cleared through the gastrointestinal system following gavage (See below, </w:t>
      </w:r>
      <w:r w:rsidRPr="00282F47">
        <w:rPr>
          <w:rFonts w:ascii="Arial" w:hAnsi="Arial" w:cs="Arial"/>
          <w:b/>
          <w:bCs/>
          <w:sz w:val="24"/>
          <w:szCs w:val="24"/>
        </w:rPr>
        <w:t>chapter 2.4.4</w:t>
      </w:r>
      <w:r w:rsidRPr="00282F47">
        <w:rPr>
          <w:rFonts w:ascii="Arial" w:hAnsi="Arial" w:cs="Arial"/>
          <w:sz w:val="24"/>
          <w:szCs w:val="24"/>
        </w:rPr>
        <w:t xml:space="preserve">). Umbilical vein cells were included due to common use as an endothelial cell for </w:t>
      </w:r>
      <w:r w:rsidRPr="00282F47">
        <w:rPr>
          <w:rFonts w:ascii="Arial" w:hAnsi="Arial" w:cs="Arial"/>
          <w:i/>
          <w:iCs/>
          <w:sz w:val="24"/>
          <w:szCs w:val="24"/>
        </w:rPr>
        <w:t xml:space="preserve">in vitro </w:t>
      </w:r>
      <w:r w:rsidRPr="00282F47">
        <w:rPr>
          <w:rFonts w:ascii="Arial" w:hAnsi="Arial" w:cs="Arial"/>
          <w:sz w:val="24"/>
          <w:szCs w:val="24"/>
        </w:rPr>
        <w:t>studies, and as results are often transferable to other endothelial cell types</w:t>
      </w:r>
      <w:r w:rsidRPr="00282F47">
        <w:rPr>
          <w:rFonts w:ascii="Arial" w:hAnsi="Arial" w:cs="Arial"/>
          <w:noProof/>
          <w:sz w:val="24"/>
          <w:szCs w:val="24"/>
          <w:vertAlign w:val="superscript"/>
        </w:rPr>
        <w:t>101</w:t>
      </w:r>
      <w:r w:rsidRPr="00282F47">
        <w:rPr>
          <w:rFonts w:ascii="Arial" w:hAnsi="Arial" w:cs="Arial"/>
          <w:sz w:val="24"/>
          <w:szCs w:val="24"/>
        </w:rPr>
        <w:t>.</w:t>
      </w:r>
      <w:r w:rsidRPr="00282F47">
        <w:rPr>
          <w:rFonts w:ascii="Arial" w:hAnsi="Arial" w:cs="Arial"/>
          <w:i/>
          <w:iCs/>
          <w:sz w:val="24"/>
          <w:szCs w:val="24"/>
        </w:rPr>
        <w:t xml:space="preserve"> </w:t>
      </w:r>
      <w:r w:rsidRPr="00282F47">
        <w:rPr>
          <w:rFonts w:ascii="Arial" w:hAnsi="Arial" w:cs="Arial"/>
          <w:sz w:val="24"/>
          <w:szCs w:val="24"/>
        </w:rPr>
        <w:t xml:space="preserve">200 μg/mL treatment resulted in less viability of cells following the treatment period as compared to 20 μg/mL. Minor issues with solubility were observed with squaraines </w:t>
      </w:r>
      <w:r w:rsidRPr="00282F47">
        <w:rPr>
          <w:rFonts w:ascii="Arial" w:hAnsi="Arial" w:cs="Arial"/>
          <w:b/>
          <w:bCs/>
          <w:sz w:val="24"/>
          <w:szCs w:val="24"/>
        </w:rPr>
        <w:t xml:space="preserve">SQ H no TMAB </w:t>
      </w:r>
      <w:r w:rsidRPr="00282F47">
        <w:rPr>
          <w:rFonts w:ascii="Arial" w:hAnsi="Arial" w:cs="Arial"/>
          <w:sz w:val="24"/>
          <w:szCs w:val="24"/>
        </w:rPr>
        <w:t xml:space="preserve">and </w:t>
      </w:r>
      <w:r w:rsidRPr="00282F47">
        <w:rPr>
          <w:rFonts w:ascii="Arial" w:hAnsi="Arial" w:cs="Arial"/>
          <w:b/>
          <w:bCs/>
          <w:sz w:val="24"/>
          <w:szCs w:val="24"/>
        </w:rPr>
        <w:t>SQ Br no TMAB</w:t>
      </w:r>
      <w:r w:rsidRPr="00282F47">
        <w:rPr>
          <w:rFonts w:ascii="Arial" w:hAnsi="Arial" w:cs="Arial"/>
          <w:sz w:val="24"/>
          <w:szCs w:val="24"/>
        </w:rPr>
        <w:t>, which may have contributed to lower viability. However, no treatments imposed any tissue damage, as indicated through histological analysis (</w:t>
      </w:r>
      <w:r w:rsidRPr="00282F47">
        <w:rPr>
          <w:rFonts w:ascii="Arial" w:hAnsi="Arial" w:cs="Arial"/>
          <w:b/>
          <w:bCs/>
          <w:sz w:val="24"/>
          <w:szCs w:val="24"/>
        </w:rPr>
        <w:t>Figure 2.9C</w:t>
      </w:r>
      <w:r w:rsidRPr="00282F47">
        <w:rPr>
          <w:rFonts w:ascii="Arial" w:hAnsi="Arial" w:cs="Arial"/>
          <w:sz w:val="24"/>
          <w:szCs w:val="24"/>
        </w:rPr>
        <w:t>). In addition, western blot analysis revealed no changes in caspase 3 protein expression levels compared to untreated cells, indicating the absence of apoptosis as a result of treatment with squaraine dyes (</w:t>
      </w:r>
      <w:r w:rsidRPr="00282F47">
        <w:rPr>
          <w:rFonts w:ascii="Arial" w:hAnsi="Arial" w:cs="Arial"/>
          <w:b/>
          <w:bCs/>
          <w:sz w:val="24"/>
          <w:szCs w:val="24"/>
        </w:rPr>
        <w:t>Supporting Figure S2.26</w:t>
      </w:r>
      <w:r w:rsidRPr="00282F47">
        <w:rPr>
          <w:rFonts w:ascii="Arial" w:hAnsi="Arial" w:cs="Arial"/>
          <w:sz w:val="24"/>
          <w:szCs w:val="24"/>
        </w:rPr>
        <w:t xml:space="preserve">). These results indicate that varying alkyl chains can alter charge and salt bridge formation, which contributes to stability and cytotoxicity </w:t>
      </w:r>
      <w:r w:rsidRPr="00282F47">
        <w:rPr>
          <w:rFonts w:ascii="Arial" w:hAnsi="Arial" w:cs="Arial"/>
          <w:i/>
          <w:iCs/>
          <w:sz w:val="24"/>
          <w:szCs w:val="24"/>
        </w:rPr>
        <w:t xml:space="preserve">in vitro </w:t>
      </w:r>
      <w:r w:rsidRPr="00282F47">
        <w:rPr>
          <w:rFonts w:ascii="Arial" w:hAnsi="Arial" w:cs="Arial"/>
          <w:sz w:val="24"/>
          <w:szCs w:val="24"/>
        </w:rPr>
        <w:t>in addition to vibrational entropy and optoacoustic signal.</w:t>
      </w:r>
    </w:p>
    <w:p w14:paraId="1E09A011" w14:textId="77777777" w:rsidR="002027D2" w:rsidRPr="00282F47" w:rsidRDefault="002027D2" w:rsidP="00BE33A0">
      <w:pPr>
        <w:spacing w:line="480" w:lineRule="auto"/>
        <w:jc w:val="both"/>
        <w:rPr>
          <w:rFonts w:ascii="Arial" w:hAnsi="Arial" w:cs="Arial"/>
          <w:sz w:val="24"/>
          <w:szCs w:val="24"/>
        </w:rPr>
      </w:pPr>
      <w:r w:rsidRPr="00282F47">
        <w:rPr>
          <w:rFonts w:ascii="Arial" w:hAnsi="Arial" w:cs="Arial"/>
          <w:noProof/>
          <w:sz w:val="24"/>
          <w:szCs w:val="24"/>
        </w:rPr>
        <w:lastRenderedPageBreak/>
        <w:drawing>
          <wp:inline distT="0" distB="0" distL="0" distR="0" wp14:anchorId="3CE5265A" wp14:editId="3DFD20A3">
            <wp:extent cx="5821141" cy="2668044"/>
            <wp:effectExtent l="0" t="0" r="0" b="0"/>
            <wp:docPr id="17712368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78752" cy="2694449"/>
                    </a:xfrm>
                    <a:prstGeom prst="rect">
                      <a:avLst/>
                    </a:prstGeom>
                    <a:noFill/>
                  </pic:spPr>
                </pic:pic>
              </a:graphicData>
            </a:graphic>
          </wp:inline>
        </w:drawing>
      </w:r>
    </w:p>
    <w:p w14:paraId="47EB6AF9" w14:textId="4BC96039"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 xml:space="preserve">Figure 2.7: </w:t>
      </w:r>
      <w:r w:rsidRPr="00282F47">
        <w:rPr>
          <w:rFonts w:ascii="Arial" w:hAnsi="Arial" w:cs="Arial"/>
          <w:sz w:val="24"/>
          <w:szCs w:val="24"/>
        </w:rPr>
        <w:t xml:space="preserve">Cellular viability of cells following 24 h treatment with squaraines and standard infrared dyes indocyanine green and methylene blue. Viability is shown as a percentage of control (untreated) cells. A) 293 kidney cells at </w:t>
      </w:r>
      <w:r w:rsidRPr="00282F47">
        <w:rPr>
          <w:rFonts w:ascii="Arial" w:hAnsi="Arial" w:cs="Arial"/>
          <w:noProof/>
          <w:sz w:val="24"/>
          <w:szCs w:val="24"/>
        </w:rPr>
        <w:t>200</w:t>
      </w:r>
      <w:r w:rsidRPr="00282F47">
        <w:rPr>
          <w:rFonts w:ascii="Arial" w:hAnsi="Arial" w:cs="Arial"/>
          <w:sz w:val="24"/>
          <w:szCs w:val="24"/>
        </w:rPr>
        <w:t xml:space="preserve"> μg/mL, B HEPG2 liver cells at </w:t>
      </w:r>
      <w:r w:rsidRPr="00282F47">
        <w:rPr>
          <w:rFonts w:ascii="Arial" w:hAnsi="Arial" w:cs="Arial"/>
          <w:noProof/>
          <w:sz w:val="24"/>
          <w:szCs w:val="24"/>
        </w:rPr>
        <w:t>200</w:t>
      </w:r>
      <w:r w:rsidRPr="00282F47">
        <w:rPr>
          <w:rFonts w:ascii="Arial" w:hAnsi="Arial" w:cs="Arial"/>
          <w:sz w:val="24"/>
          <w:szCs w:val="24"/>
        </w:rPr>
        <w:t xml:space="preserve"> μg/mL, C) COLO205 colon cells at </w:t>
      </w:r>
      <w:r w:rsidRPr="00282F47">
        <w:rPr>
          <w:rFonts w:ascii="Arial" w:hAnsi="Arial" w:cs="Arial"/>
          <w:noProof/>
          <w:sz w:val="24"/>
          <w:szCs w:val="24"/>
        </w:rPr>
        <w:t>200</w:t>
      </w:r>
      <w:r w:rsidRPr="00282F47">
        <w:rPr>
          <w:rFonts w:ascii="Arial" w:hAnsi="Arial" w:cs="Arial"/>
          <w:sz w:val="24"/>
          <w:szCs w:val="24"/>
        </w:rPr>
        <w:t xml:space="preserve"> μg/mL, D) HUVEC umbilical vein endothelial cells at </w:t>
      </w:r>
      <w:r w:rsidRPr="00282F47">
        <w:rPr>
          <w:rFonts w:ascii="Arial" w:hAnsi="Arial" w:cs="Arial"/>
          <w:noProof/>
          <w:sz w:val="24"/>
          <w:szCs w:val="24"/>
        </w:rPr>
        <w:t>200</w:t>
      </w:r>
      <w:r w:rsidRPr="00282F47">
        <w:rPr>
          <w:rFonts w:ascii="Arial" w:hAnsi="Arial" w:cs="Arial"/>
          <w:sz w:val="24"/>
          <w:szCs w:val="24"/>
        </w:rPr>
        <w:t xml:space="preserve"> μg/mL, E) 293 kidney cells at </w:t>
      </w:r>
      <w:r w:rsidRPr="00282F47">
        <w:rPr>
          <w:rFonts w:ascii="Arial" w:hAnsi="Arial" w:cs="Arial"/>
          <w:noProof/>
          <w:sz w:val="24"/>
          <w:szCs w:val="24"/>
        </w:rPr>
        <w:t>20</w:t>
      </w:r>
      <w:r w:rsidRPr="00282F47">
        <w:rPr>
          <w:rFonts w:ascii="Arial" w:hAnsi="Arial" w:cs="Arial"/>
          <w:sz w:val="24"/>
          <w:szCs w:val="24"/>
        </w:rPr>
        <w:t xml:space="preserve"> μg/mL, F) HEPG2 liver cells at </w:t>
      </w:r>
      <w:r w:rsidRPr="00282F47">
        <w:rPr>
          <w:rFonts w:ascii="Arial" w:hAnsi="Arial" w:cs="Arial"/>
          <w:noProof/>
          <w:sz w:val="24"/>
          <w:szCs w:val="24"/>
        </w:rPr>
        <w:t>20</w:t>
      </w:r>
      <w:r w:rsidRPr="00282F47">
        <w:rPr>
          <w:rFonts w:ascii="Arial" w:hAnsi="Arial" w:cs="Arial"/>
          <w:sz w:val="24"/>
          <w:szCs w:val="24"/>
        </w:rPr>
        <w:t xml:space="preserve"> μg/mL, G) COLO205 colon cells at </w:t>
      </w:r>
      <w:r w:rsidRPr="00282F47">
        <w:rPr>
          <w:rFonts w:ascii="Arial" w:hAnsi="Arial" w:cs="Arial"/>
          <w:noProof/>
          <w:sz w:val="24"/>
          <w:szCs w:val="24"/>
        </w:rPr>
        <w:t>20</w:t>
      </w:r>
      <w:r w:rsidRPr="00282F47">
        <w:rPr>
          <w:rFonts w:ascii="Arial" w:hAnsi="Arial" w:cs="Arial"/>
          <w:sz w:val="24"/>
          <w:szCs w:val="24"/>
        </w:rPr>
        <w:t xml:space="preserve"> μg/mL, H) HUVEC umbilical vein endothelial cells at </w:t>
      </w:r>
      <w:r w:rsidRPr="00282F47">
        <w:rPr>
          <w:rFonts w:ascii="Arial" w:hAnsi="Arial" w:cs="Arial"/>
          <w:noProof/>
          <w:sz w:val="24"/>
          <w:szCs w:val="24"/>
        </w:rPr>
        <w:t>20</w:t>
      </w:r>
      <w:r w:rsidRPr="00282F47">
        <w:rPr>
          <w:rFonts w:ascii="Arial" w:hAnsi="Arial" w:cs="Arial"/>
          <w:sz w:val="24"/>
          <w:szCs w:val="24"/>
        </w:rPr>
        <w:t xml:space="preserve"> μg/mL. (*=p&lt;0.08, **=p&lt;0.01, ***=p&lt;0.001) Error bars represent +/- 1 standard deviation of respective data.</w:t>
      </w:r>
    </w:p>
    <w:p w14:paraId="69AA9853" w14:textId="77777777" w:rsidR="004B4BA2" w:rsidRPr="00282F47" w:rsidRDefault="004B4BA2" w:rsidP="004B4BA2">
      <w:pPr>
        <w:spacing w:line="276" w:lineRule="auto"/>
        <w:jc w:val="both"/>
        <w:rPr>
          <w:rFonts w:ascii="Arial" w:hAnsi="Arial" w:cs="Arial"/>
          <w:sz w:val="24"/>
          <w:szCs w:val="24"/>
        </w:rPr>
      </w:pPr>
    </w:p>
    <w:p w14:paraId="2D73A51B"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 xml:space="preserve">2.4.4 </w:t>
      </w:r>
      <w:r w:rsidRPr="00282F47">
        <w:rPr>
          <w:rFonts w:ascii="Arial" w:hAnsi="Arial" w:cs="Arial"/>
          <w:b/>
          <w:bCs/>
          <w:i/>
          <w:iCs/>
          <w:sz w:val="24"/>
          <w:szCs w:val="24"/>
        </w:rPr>
        <w:t xml:space="preserve">In Vivo </w:t>
      </w:r>
      <w:r w:rsidRPr="00282F47">
        <w:rPr>
          <w:rFonts w:ascii="Arial" w:hAnsi="Arial" w:cs="Arial"/>
          <w:b/>
          <w:bCs/>
          <w:sz w:val="24"/>
          <w:szCs w:val="24"/>
        </w:rPr>
        <w:t>Detection of Squaraines</w:t>
      </w:r>
    </w:p>
    <w:p w14:paraId="4891BDB2" w14:textId="77777777" w:rsidR="002027D2" w:rsidRPr="00282F47" w:rsidRDefault="002027D2" w:rsidP="00BE33A0">
      <w:pPr>
        <w:spacing w:line="480" w:lineRule="auto"/>
        <w:jc w:val="both"/>
        <w:rPr>
          <w:rFonts w:ascii="Arial" w:hAnsi="Arial" w:cs="Arial"/>
          <w:sz w:val="24"/>
          <w:szCs w:val="24"/>
        </w:rPr>
      </w:pPr>
      <w:r w:rsidRPr="00282F47">
        <w:rPr>
          <w:rFonts w:ascii="Arial" w:hAnsi="Arial" w:cs="Arial"/>
          <w:i/>
          <w:iCs/>
          <w:sz w:val="24"/>
          <w:szCs w:val="24"/>
        </w:rPr>
        <w:t xml:space="preserve">In vivo </w:t>
      </w:r>
      <w:r w:rsidRPr="00282F47">
        <w:rPr>
          <w:rFonts w:ascii="Arial" w:hAnsi="Arial" w:cs="Arial"/>
          <w:sz w:val="24"/>
          <w:szCs w:val="24"/>
        </w:rPr>
        <w:t xml:space="preserve">comparison of halogen substituted squaraine dyes was determined with MSOT following oral administrations of squaraine dyes into athymic mice. Athymic mice have no hair, which could often obscure signal due to a nonuniform surface between the skin and the transducer. Each animal received 200 μL of dye at 100 μM. Following administration of squaraine compounds, animals were imaged using MSOT. Results corroborate previous </w:t>
      </w:r>
      <w:r w:rsidRPr="00282F47">
        <w:rPr>
          <w:rFonts w:ascii="Arial" w:hAnsi="Arial" w:cs="Arial"/>
          <w:i/>
          <w:iCs/>
          <w:sz w:val="24"/>
          <w:szCs w:val="24"/>
        </w:rPr>
        <w:t xml:space="preserve">in vitro </w:t>
      </w:r>
      <w:r w:rsidRPr="00282F47">
        <w:rPr>
          <w:rFonts w:ascii="Arial" w:hAnsi="Arial" w:cs="Arial"/>
          <w:sz w:val="24"/>
          <w:szCs w:val="24"/>
        </w:rPr>
        <w:t xml:space="preserve">results, which indicate </w:t>
      </w:r>
      <w:r w:rsidRPr="00282F47">
        <w:rPr>
          <w:rFonts w:ascii="Arial" w:hAnsi="Arial" w:cs="Arial"/>
          <w:b/>
          <w:bCs/>
          <w:sz w:val="24"/>
          <w:szCs w:val="24"/>
        </w:rPr>
        <w:t>SQ Br</w:t>
      </w:r>
      <w:r w:rsidRPr="00282F47">
        <w:rPr>
          <w:rFonts w:ascii="Arial" w:hAnsi="Arial" w:cs="Arial"/>
          <w:sz w:val="24"/>
          <w:szCs w:val="24"/>
        </w:rPr>
        <w:t xml:space="preserve"> as the strongest generator of optoacoustic signal (</w:t>
      </w:r>
      <w:r w:rsidRPr="00282F47">
        <w:rPr>
          <w:rFonts w:ascii="Arial" w:hAnsi="Arial" w:cs="Arial"/>
          <w:b/>
          <w:bCs/>
          <w:sz w:val="24"/>
          <w:szCs w:val="24"/>
        </w:rPr>
        <w:t>Figure 2.8A-B</w:t>
      </w:r>
      <w:r w:rsidRPr="00282F47">
        <w:rPr>
          <w:rFonts w:ascii="Arial" w:hAnsi="Arial" w:cs="Arial"/>
          <w:sz w:val="24"/>
          <w:szCs w:val="24"/>
        </w:rPr>
        <w:t xml:space="preserve">). Specifically, a mean optoacoustic signal value of 2.12 a.u. was significantly different from all squaraines </w:t>
      </w:r>
      <w:r w:rsidRPr="00282F47">
        <w:rPr>
          <w:rFonts w:ascii="Arial" w:hAnsi="Arial" w:cs="Arial"/>
          <w:b/>
          <w:bCs/>
          <w:sz w:val="24"/>
          <w:szCs w:val="24"/>
        </w:rPr>
        <w:t xml:space="preserve">SQ Cl </w:t>
      </w:r>
      <w:r w:rsidRPr="00282F47">
        <w:rPr>
          <w:rFonts w:ascii="Arial" w:hAnsi="Arial" w:cs="Arial"/>
          <w:sz w:val="24"/>
          <w:szCs w:val="24"/>
        </w:rPr>
        <w:t>(0.81 a.u.),</w:t>
      </w:r>
      <w:r w:rsidRPr="00282F47">
        <w:rPr>
          <w:rFonts w:ascii="Arial" w:hAnsi="Arial" w:cs="Arial"/>
          <w:b/>
          <w:bCs/>
          <w:sz w:val="24"/>
          <w:szCs w:val="24"/>
        </w:rPr>
        <w:t xml:space="preserve"> SQ F </w:t>
      </w:r>
      <w:r w:rsidRPr="00282F47">
        <w:rPr>
          <w:rFonts w:ascii="Arial" w:hAnsi="Arial" w:cs="Arial"/>
          <w:sz w:val="24"/>
          <w:szCs w:val="24"/>
        </w:rPr>
        <w:t>(0.58 a.u.),</w:t>
      </w:r>
      <w:r w:rsidRPr="00282F47">
        <w:rPr>
          <w:rFonts w:ascii="Arial" w:hAnsi="Arial" w:cs="Arial"/>
          <w:b/>
          <w:bCs/>
          <w:sz w:val="24"/>
          <w:szCs w:val="24"/>
        </w:rPr>
        <w:t xml:space="preserve"> SQ H </w:t>
      </w:r>
      <w:r w:rsidRPr="00282F47">
        <w:rPr>
          <w:rFonts w:ascii="Arial" w:hAnsi="Arial" w:cs="Arial"/>
          <w:sz w:val="24"/>
          <w:szCs w:val="24"/>
        </w:rPr>
        <w:t xml:space="preserve">(0.44 </w:t>
      </w:r>
      <w:r w:rsidRPr="00282F47">
        <w:rPr>
          <w:rFonts w:ascii="Arial" w:hAnsi="Arial" w:cs="Arial"/>
          <w:sz w:val="24"/>
          <w:szCs w:val="24"/>
        </w:rPr>
        <w:lastRenderedPageBreak/>
        <w:t>a.u.),</w:t>
      </w:r>
      <w:r w:rsidRPr="00282F47">
        <w:rPr>
          <w:rFonts w:ascii="Arial" w:hAnsi="Arial" w:cs="Arial"/>
          <w:b/>
          <w:bCs/>
          <w:sz w:val="24"/>
          <w:szCs w:val="24"/>
        </w:rPr>
        <w:t xml:space="preserve"> SQ Br no TMAB </w:t>
      </w:r>
      <w:r w:rsidRPr="00282F47">
        <w:rPr>
          <w:rFonts w:ascii="Arial" w:hAnsi="Arial" w:cs="Arial"/>
          <w:sz w:val="24"/>
          <w:szCs w:val="24"/>
        </w:rPr>
        <w:t>(0.37 a.u.),</w:t>
      </w:r>
      <w:r w:rsidRPr="00282F47">
        <w:rPr>
          <w:rFonts w:ascii="Arial" w:hAnsi="Arial" w:cs="Arial"/>
          <w:b/>
          <w:bCs/>
          <w:sz w:val="24"/>
          <w:szCs w:val="24"/>
        </w:rPr>
        <w:t xml:space="preserve"> </w:t>
      </w:r>
      <w:r w:rsidRPr="00282F47">
        <w:rPr>
          <w:rFonts w:ascii="Arial" w:hAnsi="Arial" w:cs="Arial"/>
          <w:sz w:val="24"/>
          <w:szCs w:val="24"/>
        </w:rPr>
        <w:t>and</w:t>
      </w:r>
      <w:r w:rsidRPr="00282F47">
        <w:rPr>
          <w:rFonts w:ascii="Arial" w:hAnsi="Arial" w:cs="Arial"/>
          <w:b/>
          <w:bCs/>
          <w:sz w:val="24"/>
          <w:szCs w:val="24"/>
        </w:rPr>
        <w:t xml:space="preserve"> SQ H no TMAB </w:t>
      </w:r>
      <w:r w:rsidRPr="00282F47">
        <w:rPr>
          <w:rFonts w:ascii="Arial" w:hAnsi="Arial" w:cs="Arial"/>
          <w:sz w:val="24"/>
          <w:szCs w:val="24"/>
        </w:rPr>
        <w:t>(0.21 a.u.)</w:t>
      </w:r>
      <w:r w:rsidRPr="00282F47">
        <w:rPr>
          <w:rFonts w:ascii="Arial" w:hAnsi="Arial" w:cs="Arial"/>
          <w:b/>
          <w:bCs/>
          <w:sz w:val="24"/>
          <w:szCs w:val="24"/>
        </w:rPr>
        <w:t xml:space="preserve"> </w:t>
      </w:r>
      <w:r w:rsidRPr="00282F47">
        <w:rPr>
          <w:rFonts w:ascii="Arial" w:hAnsi="Arial" w:cs="Arial"/>
          <w:sz w:val="24"/>
          <w:szCs w:val="24"/>
        </w:rPr>
        <w:t xml:space="preserve">(p&lt;0.001, Tukey post-hoc). These data support the claim that heavy halogenated squaraine compounds functionalized with the dual TMAB pendant groups generate significantly more optoacoustic activity than counterparts. Evaluation of </w:t>
      </w:r>
      <w:r w:rsidRPr="00282F47">
        <w:rPr>
          <w:rFonts w:ascii="Arial" w:hAnsi="Arial" w:cs="Arial"/>
          <w:b/>
          <w:bCs/>
          <w:sz w:val="24"/>
          <w:szCs w:val="24"/>
        </w:rPr>
        <w:t>SQ Br no TMAB</w:t>
      </w:r>
      <w:r w:rsidRPr="00282F47">
        <w:rPr>
          <w:rFonts w:ascii="Arial" w:hAnsi="Arial" w:cs="Arial"/>
          <w:sz w:val="24"/>
          <w:szCs w:val="24"/>
        </w:rPr>
        <w:t xml:space="preserve"> follows this trend by exhibiting higher signal than non-halogenated, non-TMAB functionalized squaraine dye (</w:t>
      </w:r>
      <w:r w:rsidRPr="00282F47">
        <w:rPr>
          <w:rFonts w:ascii="Arial" w:hAnsi="Arial" w:cs="Arial"/>
          <w:b/>
          <w:bCs/>
          <w:sz w:val="24"/>
          <w:szCs w:val="24"/>
        </w:rPr>
        <w:t>SQ H no TMAB</w:t>
      </w:r>
      <w:r w:rsidRPr="00282F47">
        <w:rPr>
          <w:rFonts w:ascii="Arial" w:hAnsi="Arial" w:cs="Arial"/>
          <w:sz w:val="24"/>
          <w:szCs w:val="24"/>
        </w:rPr>
        <w:t>), but less signal than the TMAB functionalized squaraine dye with the same bromine substitution (</w:t>
      </w:r>
      <w:r w:rsidRPr="00282F47">
        <w:rPr>
          <w:rFonts w:ascii="Arial" w:hAnsi="Arial" w:cs="Arial"/>
          <w:b/>
          <w:bCs/>
          <w:sz w:val="24"/>
          <w:szCs w:val="24"/>
        </w:rPr>
        <w:t>SQ Br</w:t>
      </w:r>
      <w:r w:rsidRPr="00282F47">
        <w:rPr>
          <w:rFonts w:ascii="Arial" w:hAnsi="Arial" w:cs="Arial"/>
          <w:sz w:val="24"/>
          <w:szCs w:val="24"/>
        </w:rPr>
        <w:t>). Following MSOT imaging, animals were imaged using NIR fluorescence in which similar trends were observed. (</w:t>
      </w:r>
      <w:r w:rsidRPr="00282F47">
        <w:rPr>
          <w:rFonts w:ascii="Arial" w:hAnsi="Arial" w:cs="Arial"/>
          <w:b/>
          <w:bCs/>
          <w:sz w:val="24"/>
          <w:szCs w:val="24"/>
        </w:rPr>
        <w:t>Figure 2.8C-D)</w:t>
      </w:r>
      <w:r w:rsidRPr="00282F47">
        <w:rPr>
          <w:rFonts w:ascii="Arial" w:hAnsi="Arial" w:cs="Arial"/>
          <w:sz w:val="24"/>
          <w:szCs w:val="24"/>
        </w:rPr>
        <w:t xml:space="preserve">. Notably, squaraine </w:t>
      </w:r>
      <w:r w:rsidRPr="00282F47">
        <w:rPr>
          <w:rFonts w:ascii="Arial" w:hAnsi="Arial" w:cs="Arial"/>
          <w:b/>
          <w:bCs/>
          <w:sz w:val="24"/>
          <w:szCs w:val="24"/>
        </w:rPr>
        <w:t xml:space="preserve">SQ Cl </w:t>
      </w:r>
      <w:r w:rsidRPr="00282F47">
        <w:rPr>
          <w:rFonts w:ascii="Arial" w:hAnsi="Arial" w:cs="Arial"/>
          <w:sz w:val="24"/>
          <w:szCs w:val="24"/>
        </w:rPr>
        <w:t xml:space="preserve">showed significantly more NIR fluorescence signal than other squaraines (p&lt;0.001), albeit less optoacoustic signal than </w:t>
      </w:r>
      <w:r w:rsidRPr="00282F47">
        <w:rPr>
          <w:rFonts w:ascii="Arial" w:hAnsi="Arial" w:cs="Arial"/>
          <w:b/>
          <w:bCs/>
          <w:sz w:val="24"/>
          <w:szCs w:val="24"/>
        </w:rPr>
        <w:t>SQ Br</w:t>
      </w:r>
      <w:r w:rsidRPr="00282F47">
        <w:rPr>
          <w:rFonts w:ascii="Arial" w:hAnsi="Arial" w:cs="Arial"/>
          <w:sz w:val="24"/>
          <w:szCs w:val="24"/>
        </w:rPr>
        <w:t xml:space="preserve">. Due to maximum signal, </w:t>
      </w:r>
      <w:r w:rsidRPr="00282F47">
        <w:rPr>
          <w:rFonts w:ascii="Arial" w:hAnsi="Arial" w:cs="Arial"/>
          <w:b/>
          <w:bCs/>
          <w:sz w:val="24"/>
          <w:szCs w:val="24"/>
        </w:rPr>
        <w:t>SQ Br</w:t>
      </w:r>
      <w:r w:rsidRPr="00282F47">
        <w:rPr>
          <w:rFonts w:ascii="Arial" w:hAnsi="Arial" w:cs="Arial"/>
          <w:sz w:val="24"/>
          <w:szCs w:val="24"/>
        </w:rPr>
        <w:t xml:space="preserve"> shows potential for future use as an optoacoustic contrast agent in a clinical setting, following further mutagenicity and teratogenicity studies. In the context of methods utilized herein, </w:t>
      </w:r>
      <w:r w:rsidRPr="00282F47">
        <w:rPr>
          <w:rFonts w:ascii="Arial" w:hAnsi="Arial" w:cs="Arial"/>
          <w:b/>
          <w:bCs/>
          <w:sz w:val="24"/>
          <w:szCs w:val="24"/>
        </w:rPr>
        <w:t>SQ Br</w:t>
      </w:r>
      <w:r w:rsidRPr="00282F47">
        <w:rPr>
          <w:rFonts w:ascii="Arial" w:hAnsi="Arial" w:cs="Arial"/>
          <w:sz w:val="24"/>
          <w:szCs w:val="24"/>
        </w:rPr>
        <w:t xml:space="preserve"> could be used as a method to coat the inside of the colon, eliminating the requirement of a barium enema. This could aid in visualization of inflammatory bowel disease through use as a reporter agent specifically for ulcerative colitis or Crohn’s disease. This study was designed to exhibit the intensity of a newly developed reporter dye for optoacoustic imaging. Expanding the collection of optoacoustic dyes will lead to simultaneous imaging of multiple reporter agents, an inherent advantage of MSOT, which has been previously exhibited</w:t>
      </w:r>
      <w:r w:rsidRPr="00282F47">
        <w:rPr>
          <w:rFonts w:ascii="Arial" w:hAnsi="Arial" w:cs="Arial"/>
          <w:noProof/>
          <w:sz w:val="24"/>
          <w:szCs w:val="24"/>
          <w:vertAlign w:val="superscript"/>
        </w:rPr>
        <w:t>22</w:t>
      </w:r>
      <w:r w:rsidRPr="00282F47">
        <w:rPr>
          <w:rFonts w:ascii="Arial" w:hAnsi="Arial" w:cs="Arial"/>
          <w:sz w:val="24"/>
          <w:szCs w:val="24"/>
        </w:rPr>
        <w:t xml:space="preserve">. Further studies could utilize optoacoustic compounds as a reporter agent through conjugation with a specific targeting molecule for visualization of specific biological processes. In addition, further studies could differ from oral administration of the dye. Oral gavage was chosen specifically to ensure a concentrated focal point </w:t>
      </w:r>
      <w:r w:rsidRPr="00282F47">
        <w:rPr>
          <w:rFonts w:ascii="Arial" w:hAnsi="Arial" w:cs="Arial"/>
          <w:i/>
          <w:iCs/>
          <w:sz w:val="24"/>
          <w:szCs w:val="24"/>
        </w:rPr>
        <w:t xml:space="preserve">in vivo </w:t>
      </w:r>
      <w:r w:rsidRPr="00282F47">
        <w:rPr>
          <w:rFonts w:ascii="Arial" w:hAnsi="Arial" w:cs="Arial"/>
          <w:sz w:val="24"/>
          <w:szCs w:val="24"/>
        </w:rPr>
        <w:t xml:space="preserve">for determination and comparison </w:t>
      </w:r>
      <w:r w:rsidRPr="00282F47">
        <w:rPr>
          <w:rFonts w:ascii="Arial" w:hAnsi="Arial" w:cs="Arial"/>
          <w:sz w:val="24"/>
          <w:szCs w:val="24"/>
        </w:rPr>
        <w:lastRenderedPageBreak/>
        <w:t>of optoacoustic signal between each of the squaraine compounds. Other administration methods could potentially limit comparisons due to inconsistencies with concentrations in different areas of the animal.</w:t>
      </w:r>
    </w:p>
    <w:p w14:paraId="1A273B0B" w14:textId="77777777" w:rsidR="002027D2" w:rsidRPr="00282F47" w:rsidRDefault="002027D2" w:rsidP="00BE33A0">
      <w:pPr>
        <w:spacing w:line="480" w:lineRule="auto"/>
        <w:jc w:val="center"/>
        <w:rPr>
          <w:rFonts w:ascii="Arial" w:hAnsi="Arial" w:cs="Arial"/>
          <w:sz w:val="24"/>
          <w:szCs w:val="24"/>
        </w:rPr>
      </w:pPr>
      <w:r w:rsidRPr="00282F47">
        <w:rPr>
          <w:rFonts w:ascii="Arial" w:hAnsi="Arial" w:cs="Arial"/>
          <w:b/>
          <w:bCs/>
          <w:noProof/>
          <w:sz w:val="24"/>
          <w:szCs w:val="24"/>
        </w:rPr>
        <w:drawing>
          <wp:inline distT="0" distB="0" distL="0" distR="0" wp14:anchorId="32D9F42B" wp14:editId="6E78DF20">
            <wp:extent cx="5633349" cy="4647156"/>
            <wp:effectExtent l="0" t="0" r="5715" b="1270"/>
            <wp:docPr id="1517488559" name="Picture 1517488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57182" cy="4666817"/>
                    </a:xfrm>
                    <a:prstGeom prst="rect">
                      <a:avLst/>
                    </a:prstGeom>
                    <a:noFill/>
                  </pic:spPr>
                </pic:pic>
              </a:graphicData>
            </a:graphic>
          </wp:inline>
        </w:drawing>
      </w:r>
    </w:p>
    <w:p w14:paraId="1945C953" w14:textId="6257BFC4" w:rsidR="002027D2" w:rsidRDefault="002027D2" w:rsidP="00BE33A0">
      <w:pPr>
        <w:spacing w:line="276" w:lineRule="auto"/>
        <w:jc w:val="both"/>
        <w:rPr>
          <w:rFonts w:ascii="Arial" w:hAnsi="Arial" w:cs="Arial"/>
          <w:sz w:val="24"/>
          <w:szCs w:val="24"/>
        </w:rPr>
      </w:pPr>
      <w:r w:rsidRPr="00282F47">
        <w:rPr>
          <w:rFonts w:ascii="Arial" w:hAnsi="Arial" w:cs="Arial"/>
          <w:b/>
          <w:bCs/>
          <w:sz w:val="24"/>
          <w:szCs w:val="24"/>
        </w:rPr>
        <w:t xml:space="preserve">Figure 2.8: </w:t>
      </w:r>
      <w:r w:rsidRPr="00282F47">
        <w:rPr>
          <w:rFonts w:ascii="Arial" w:hAnsi="Arial" w:cs="Arial"/>
          <w:sz w:val="24"/>
          <w:szCs w:val="24"/>
        </w:rPr>
        <w:t>A)</w:t>
      </w:r>
      <w:r w:rsidRPr="00282F47">
        <w:rPr>
          <w:rFonts w:ascii="Arial" w:hAnsi="Arial" w:cs="Arial"/>
          <w:b/>
          <w:bCs/>
          <w:sz w:val="24"/>
          <w:szCs w:val="24"/>
        </w:rPr>
        <w:t xml:space="preserve"> </w:t>
      </w:r>
      <w:r w:rsidRPr="00282F47">
        <w:rPr>
          <w:rFonts w:ascii="Arial" w:hAnsi="Arial" w:cs="Arial"/>
          <w:i/>
          <w:iCs/>
          <w:sz w:val="24"/>
          <w:szCs w:val="24"/>
        </w:rPr>
        <w:t xml:space="preserve">In vivo </w:t>
      </w:r>
      <w:r w:rsidRPr="00282F47">
        <w:rPr>
          <w:rFonts w:ascii="Arial" w:hAnsi="Arial" w:cs="Arial"/>
          <w:sz w:val="24"/>
          <w:szCs w:val="24"/>
        </w:rPr>
        <w:t xml:space="preserve">visualization of optoacoustic signal generated from squaraines subsequent to oral administration. Columns represent slightly different tomographic slices within the mouse. Red arrows show optoacoustic signal as a result of squaraine compounds in the colon. Higher slice numbers (top) indicate cross sections closer to the tail of mice. Refer to </w:t>
      </w:r>
      <w:r w:rsidRPr="00282F47">
        <w:rPr>
          <w:rFonts w:ascii="Arial" w:hAnsi="Arial" w:cs="Arial"/>
          <w:b/>
          <w:bCs/>
          <w:sz w:val="24"/>
          <w:szCs w:val="24"/>
        </w:rPr>
        <w:t>Figure S1.1</w:t>
      </w:r>
      <w:r w:rsidRPr="00282F47">
        <w:rPr>
          <w:rFonts w:ascii="Arial" w:hAnsi="Arial" w:cs="Arial"/>
          <w:sz w:val="24"/>
          <w:szCs w:val="24"/>
        </w:rPr>
        <w:t xml:space="preserve"> for organ locations for tomographic cross sections. B) Quantification of optoacoustic signal observed in A) (n=3). C) </w:t>
      </w:r>
      <w:r w:rsidRPr="00282F47">
        <w:rPr>
          <w:rFonts w:ascii="Arial" w:hAnsi="Arial" w:cs="Arial"/>
          <w:i/>
          <w:iCs/>
          <w:sz w:val="24"/>
          <w:szCs w:val="24"/>
        </w:rPr>
        <w:t xml:space="preserve">In vivo </w:t>
      </w:r>
      <w:r w:rsidRPr="00282F47">
        <w:rPr>
          <w:rFonts w:ascii="Arial" w:hAnsi="Arial" w:cs="Arial"/>
          <w:sz w:val="24"/>
          <w:szCs w:val="24"/>
        </w:rPr>
        <w:t>visualization of NIR fluorescence signal generated from squaraines. D) Quantification of NIR fluorescence signal observed in C). (*=p&lt;0.08, **=p&lt;0.01, ***=p&lt;0.001) Error bars represent +/- 1 standard deviation of respective data.</w:t>
      </w:r>
    </w:p>
    <w:p w14:paraId="417D78BB" w14:textId="77777777" w:rsidR="004B4BA2" w:rsidRPr="00282F47" w:rsidRDefault="004B4BA2" w:rsidP="00BE33A0">
      <w:pPr>
        <w:spacing w:line="276" w:lineRule="auto"/>
        <w:jc w:val="both"/>
        <w:rPr>
          <w:rFonts w:ascii="Arial" w:hAnsi="Arial" w:cs="Arial"/>
          <w:sz w:val="24"/>
          <w:szCs w:val="24"/>
        </w:rPr>
      </w:pPr>
    </w:p>
    <w:p w14:paraId="2549306C" w14:textId="6FECEC4F" w:rsidR="002027D2" w:rsidRPr="00282F47" w:rsidRDefault="002027D2" w:rsidP="00BE33A0">
      <w:pPr>
        <w:spacing w:line="480" w:lineRule="auto"/>
        <w:jc w:val="both"/>
        <w:rPr>
          <w:rFonts w:ascii="Arial" w:hAnsi="Arial" w:cs="Arial"/>
          <w:sz w:val="24"/>
          <w:szCs w:val="24"/>
        </w:rPr>
      </w:pPr>
      <w:r w:rsidRPr="00282F47">
        <w:rPr>
          <w:rFonts w:ascii="Arial" w:hAnsi="Arial" w:cs="Arial"/>
          <w:sz w:val="24"/>
          <w:szCs w:val="24"/>
        </w:rPr>
        <w:lastRenderedPageBreak/>
        <w:t xml:space="preserve">Following oral </w:t>
      </w:r>
      <w:r w:rsidRPr="00282F47">
        <w:rPr>
          <w:rFonts w:ascii="Arial" w:hAnsi="Arial" w:cs="Arial"/>
          <w:i/>
          <w:iCs/>
          <w:sz w:val="24"/>
          <w:szCs w:val="24"/>
        </w:rPr>
        <w:t xml:space="preserve">in vivo </w:t>
      </w:r>
      <w:r w:rsidRPr="00282F47">
        <w:rPr>
          <w:rFonts w:ascii="Arial" w:hAnsi="Arial" w:cs="Arial"/>
          <w:sz w:val="24"/>
          <w:szCs w:val="24"/>
        </w:rPr>
        <w:t xml:space="preserve">evaluation of squaraine compounds, organs were harvested for </w:t>
      </w:r>
      <w:r w:rsidRPr="00282F47">
        <w:rPr>
          <w:rFonts w:ascii="Arial" w:hAnsi="Arial" w:cs="Arial"/>
          <w:i/>
          <w:iCs/>
          <w:sz w:val="24"/>
          <w:szCs w:val="24"/>
        </w:rPr>
        <w:t xml:space="preserve">ex vivo </w:t>
      </w:r>
      <w:r w:rsidRPr="00282F47">
        <w:rPr>
          <w:rFonts w:ascii="Arial" w:hAnsi="Arial" w:cs="Arial"/>
          <w:sz w:val="24"/>
          <w:szCs w:val="24"/>
        </w:rPr>
        <w:t>confirmation with NIR fluorescence. Animal colons were imaged using NIR fluorescence to confirm squaraine presence in the colon (</w:t>
      </w:r>
      <w:r w:rsidRPr="00282F47">
        <w:rPr>
          <w:rFonts w:ascii="Arial" w:hAnsi="Arial" w:cs="Arial"/>
          <w:b/>
          <w:bCs/>
          <w:sz w:val="24"/>
          <w:szCs w:val="24"/>
        </w:rPr>
        <w:t>Figure 2.9A-B</w:t>
      </w:r>
      <w:r w:rsidRPr="00282F47">
        <w:rPr>
          <w:rFonts w:ascii="Arial" w:hAnsi="Arial" w:cs="Arial"/>
          <w:sz w:val="24"/>
          <w:szCs w:val="24"/>
        </w:rPr>
        <w:t>)</w:t>
      </w:r>
      <w:r w:rsidR="00A57850">
        <w:rPr>
          <w:rFonts w:ascii="Arial" w:hAnsi="Arial" w:cs="Arial"/>
          <w:sz w:val="24"/>
          <w:szCs w:val="24"/>
        </w:rPr>
        <w:t>.</w:t>
      </w:r>
      <w:r w:rsidRPr="00282F47">
        <w:rPr>
          <w:rFonts w:ascii="Arial" w:hAnsi="Arial" w:cs="Arial"/>
          <w:sz w:val="24"/>
          <w:szCs w:val="24"/>
        </w:rPr>
        <w:t xml:space="preserve"> Squaraine compounds were confirmed to be in the stool of the animal, and not the tissue of the colon, through NIR fluorescence imaging after washing of the colon with saline. (</w:t>
      </w:r>
      <w:r w:rsidRPr="00282F47">
        <w:rPr>
          <w:rFonts w:ascii="Arial" w:hAnsi="Arial" w:cs="Arial"/>
          <w:b/>
          <w:bCs/>
          <w:sz w:val="24"/>
          <w:szCs w:val="24"/>
        </w:rPr>
        <w:t>Supporting Figure S2.27</w:t>
      </w:r>
      <w:r w:rsidRPr="00282F47">
        <w:rPr>
          <w:rFonts w:ascii="Arial" w:hAnsi="Arial" w:cs="Arial"/>
          <w:sz w:val="24"/>
          <w:szCs w:val="24"/>
        </w:rPr>
        <w:t>). Squaraines were confirmed to be absent from the kidney, liver, and spleen (</w:t>
      </w:r>
      <w:r w:rsidRPr="00282F47">
        <w:rPr>
          <w:rFonts w:ascii="Arial" w:hAnsi="Arial" w:cs="Arial"/>
          <w:b/>
          <w:bCs/>
          <w:sz w:val="24"/>
          <w:szCs w:val="24"/>
        </w:rPr>
        <w:t>Figure 2.9A-B</w:t>
      </w:r>
      <w:r w:rsidRPr="00282F47">
        <w:rPr>
          <w:rFonts w:ascii="Arial" w:hAnsi="Arial" w:cs="Arial"/>
          <w:sz w:val="24"/>
          <w:szCs w:val="24"/>
        </w:rPr>
        <w:t>).</w:t>
      </w:r>
    </w:p>
    <w:p w14:paraId="03D36CB7" w14:textId="77777777" w:rsidR="002027D2" w:rsidRPr="00282F47" w:rsidRDefault="002027D2" w:rsidP="00BE33A0">
      <w:pPr>
        <w:spacing w:line="480" w:lineRule="auto"/>
        <w:jc w:val="both"/>
        <w:rPr>
          <w:rFonts w:ascii="Arial" w:hAnsi="Arial" w:cs="Arial"/>
          <w:sz w:val="24"/>
          <w:szCs w:val="24"/>
        </w:rPr>
      </w:pPr>
      <w:r w:rsidRPr="00282F47">
        <w:rPr>
          <w:rFonts w:ascii="Arial" w:hAnsi="Arial" w:cs="Arial"/>
          <w:noProof/>
          <w:sz w:val="24"/>
          <w:szCs w:val="24"/>
        </w:rPr>
        <w:drawing>
          <wp:inline distT="0" distB="0" distL="0" distR="0" wp14:anchorId="2E14AFBC" wp14:editId="6AA6825B">
            <wp:extent cx="5916765" cy="4472476"/>
            <wp:effectExtent l="0" t="0" r="0" b="0"/>
            <wp:docPr id="1981819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7369" cy="4495610"/>
                    </a:xfrm>
                    <a:prstGeom prst="rect">
                      <a:avLst/>
                    </a:prstGeom>
                    <a:noFill/>
                  </pic:spPr>
                </pic:pic>
              </a:graphicData>
            </a:graphic>
          </wp:inline>
        </w:drawing>
      </w:r>
    </w:p>
    <w:p w14:paraId="180C63D6" w14:textId="3D2F7C80"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 xml:space="preserve">Figure 2.9: </w:t>
      </w:r>
      <w:r w:rsidRPr="00282F47">
        <w:rPr>
          <w:rFonts w:ascii="Arial" w:hAnsi="Arial" w:cs="Arial"/>
          <w:sz w:val="24"/>
          <w:szCs w:val="24"/>
        </w:rPr>
        <w:t xml:space="preserve">A) </w:t>
      </w:r>
      <w:r w:rsidRPr="00282F47">
        <w:rPr>
          <w:rFonts w:ascii="Arial" w:hAnsi="Arial" w:cs="Arial"/>
          <w:i/>
          <w:iCs/>
          <w:sz w:val="24"/>
          <w:szCs w:val="24"/>
        </w:rPr>
        <w:t xml:space="preserve">Ex vivo </w:t>
      </w:r>
      <w:r w:rsidRPr="00282F47">
        <w:rPr>
          <w:rFonts w:ascii="Arial" w:hAnsi="Arial" w:cs="Arial"/>
          <w:sz w:val="24"/>
          <w:szCs w:val="24"/>
        </w:rPr>
        <w:t xml:space="preserve">visualization of NIR fluorescence signal generated from squaraine compounds in animal colons, livers, spleens, and kidneys subsequent to oral administration. B) Quantification of NIR fluorescence signal observed in A). C) H&amp;E histology images of colon, liver, kidney, and spleen of animals treated with squaraine </w:t>
      </w:r>
      <w:r w:rsidRPr="00282F47">
        <w:rPr>
          <w:rFonts w:ascii="Arial" w:hAnsi="Arial" w:cs="Arial"/>
          <w:sz w:val="24"/>
          <w:szCs w:val="24"/>
        </w:rPr>
        <w:lastRenderedPageBreak/>
        <w:t>compounds. Images show no unusual morphology, indicating little risk of squaraine treatment on organs. (*=p&lt;0.08, **=p&lt;0.01, ***=p&lt;0.001) Error bars represent +/- 1 standard deviation of respective data.</w:t>
      </w:r>
    </w:p>
    <w:p w14:paraId="532BA600" w14:textId="77777777" w:rsidR="004B4BA2" w:rsidRPr="00282F47" w:rsidRDefault="004B4BA2" w:rsidP="004B4BA2">
      <w:pPr>
        <w:spacing w:line="276" w:lineRule="auto"/>
        <w:jc w:val="both"/>
        <w:rPr>
          <w:rFonts w:ascii="Arial" w:hAnsi="Arial" w:cs="Arial"/>
          <w:sz w:val="24"/>
          <w:szCs w:val="24"/>
        </w:rPr>
      </w:pPr>
    </w:p>
    <w:p w14:paraId="2E5EBF84"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2.4.5 Histology</w:t>
      </w:r>
    </w:p>
    <w:p w14:paraId="03E5FC54" w14:textId="77777777" w:rsidR="002027D2" w:rsidRPr="00282F47" w:rsidRDefault="002027D2" w:rsidP="00BE33A0">
      <w:pPr>
        <w:spacing w:line="480" w:lineRule="auto"/>
        <w:jc w:val="both"/>
        <w:rPr>
          <w:rFonts w:ascii="Arial" w:hAnsi="Arial" w:cs="Arial"/>
          <w:b/>
          <w:bCs/>
          <w:sz w:val="24"/>
          <w:szCs w:val="24"/>
        </w:rPr>
      </w:pPr>
      <w:r w:rsidRPr="00282F47">
        <w:rPr>
          <w:rFonts w:ascii="Arial" w:hAnsi="Arial" w:cs="Arial"/>
          <w:sz w:val="24"/>
          <w:szCs w:val="24"/>
        </w:rPr>
        <w:t xml:space="preserve">Histological evaluation of the colon, liver, kidney, and spleen by a board-certified pathologist following </w:t>
      </w:r>
      <w:r w:rsidRPr="00282F47">
        <w:rPr>
          <w:rFonts w:ascii="Arial" w:hAnsi="Arial" w:cs="Arial"/>
          <w:i/>
          <w:iCs/>
          <w:sz w:val="24"/>
          <w:szCs w:val="24"/>
        </w:rPr>
        <w:t>in vivo</w:t>
      </w:r>
      <w:r w:rsidRPr="00282F47">
        <w:rPr>
          <w:rFonts w:ascii="Arial" w:hAnsi="Arial" w:cs="Arial"/>
          <w:sz w:val="24"/>
          <w:szCs w:val="24"/>
        </w:rPr>
        <w:t xml:space="preserve"> administration was performed to ensure that treatments with squaraine compounds were non-toxic to the evaluated animals. Assessment of histology showed little morphological changes outside the usual, indicating no treatment-imposed tissue damage (</w:t>
      </w:r>
      <w:r w:rsidRPr="00282F47">
        <w:rPr>
          <w:rFonts w:ascii="Arial" w:hAnsi="Arial" w:cs="Arial"/>
          <w:b/>
          <w:sz w:val="24"/>
          <w:szCs w:val="24"/>
        </w:rPr>
        <w:t>Figure 2.9C</w:t>
      </w:r>
      <w:r w:rsidRPr="00282F47">
        <w:rPr>
          <w:rFonts w:ascii="Arial" w:hAnsi="Arial" w:cs="Arial"/>
          <w:sz w:val="24"/>
          <w:szCs w:val="24"/>
        </w:rPr>
        <w:t>). In combination with lack of cellular toxicity (</w:t>
      </w:r>
      <w:r w:rsidRPr="00282F47">
        <w:rPr>
          <w:rFonts w:ascii="Arial" w:hAnsi="Arial" w:cs="Arial"/>
          <w:b/>
          <w:bCs/>
          <w:sz w:val="24"/>
          <w:szCs w:val="24"/>
        </w:rPr>
        <w:t>Figure 2.7</w:t>
      </w:r>
      <w:r w:rsidRPr="00282F47">
        <w:rPr>
          <w:rFonts w:ascii="Arial" w:hAnsi="Arial" w:cs="Arial"/>
          <w:sz w:val="24"/>
          <w:szCs w:val="24"/>
        </w:rPr>
        <w:t>), TMAB substituted halogenated squaraine dyes give no indication of toxicity.</w:t>
      </w:r>
    </w:p>
    <w:p w14:paraId="290DE009" w14:textId="77777777" w:rsidR="002027D2" w:rsidRPr="00282F47" w:rsidRDefault="002027D2" w:rsidP="004219B7">
      <w:pPr>
        <w:spacing w:line="276" w:lineRule="auto"/>
        <w:jc w:val="both"/>
        <w:rPr>
          <w:rFonts w:ascii="Arial" w:hAnsi="Arial" w:cs="Arial"/>
          <w:b/>
          <w:bCs/>
          <w:sz w:val="24"/>
          <w:szCs w:val="24"/>
        </w:rPr>
      </w:pPr>
      <w:r w:rsidRPr="00282F47">
        <w:rPr>
          <w:rFonts w:ascii="Arial" w:hAnsi="Arial" w:cs="Arial"/>
          <w:b/>
          <w:bCs/>
          <w:sz w:val="24"/>
          <w:szCs w:val="24"/>
        </w:rPr>
        <w:t>2.4.6 Halogenated Cyanine Dyes</w:t>
      </w:r>
    </w:p>
    <w:p w14:paraId="1458719E" w14:textId="3B68C2D2" w:rsidR="002027D2" w:rsidRPr="00282F47" w:rsidRDefault="002027D2" w:rsidP="00E16872">
      <w:pPr>
        <w:spacing w:line="480" w:lineRule="auto"/>
        <w:jc w:val="both"/>
        <w:rPr>
          <w:rFonts w:ascii="Arial" w:hAnsi="Arial" w:cs="Arial"/>
          <w:sz w:val="24"/>
          <w:szCs w:val="24"/>
        </w:rPr>
      </w:pPr>
      <w:r w:rsidRPr="00282F47">
        <w:rPr>
          <w:rFonts w:ascii="Arial" w:hAnsi="Arial" w:cs="Arial"/>
          <w:sz w:val="24"/>
          <w:szCs w:val="24"/>
        </w:rPr>
        <w:t xml:space="preserve">To ensure that changes in halogenation are not limited to squaraine molecules, an additional set of cyanine </w:t>
      </w:r>
      <w:r w:rsidR="00A57850">
        <w:rPr>
          <w:rFonts w:ascii="Arial" w:hAnsi="Arial" w:cs="Arial"/>
          <w:sz w:val="24"/>
          <w:szCs w:val="24"/>
        </w:rPr>
        <w:t xml:space="preserve">(CY) </w:t>
      </w:r>
      <w:r w:rsidRPr="00282F47">
        <w:rPr>
          <w:rFonts w:ascii="Arial" w:hAnsi="Arial" w:cs="Arial"/>
          <w:sz w:val="24"/>
          <w:szCs w:val="24"/>
        </w:rPr>
        <w:t xml:space="preserve">dyes were synthesized according to information derived from halogenated squaraines, coined as </w:t>
      </w:r>
      <w:r w:rsidRPr="00282F47">
        <w:rPr>
          <w:rFonts w:ascii="Arial" w:hAnsi="Arial" w:cs="Arial"/>
          <w:b/>
          <w:bCs/>
          <w:sz w:val="24"/>
          <w:szCs w:val="24"/>
        </w:rPr>
        <w:t>CY H, CY Cl</w:t>
      </w:r>
      <w:r w:rsidRPr="00282F47">
        <w:rPr>
          <w:rFonts w:ascii="Arial" w:hAnsi="Arial" w:cs="Arial"/>
          <w:sz w:val="24"/>
          <w:szCs w:val="24"/>
        </w:rPr>
        <w:t xml:space="preserve">, and </w:t>
      </w:r>
      <w:r w:rsidRPr="00282F47">
        <w:rPr>
          <w:rFonts w:ascii="Arial" w:hAnsi="Arial" w:cs="Arial"/>
          <w:b/>
          <w:bCs/>
          <w:sz w:val="24"/>
          <w:szCs w:val="24"/>
        </w:rPr>
        <w:t>CY Br</w:t>
      </w:r>
      <w:r w:rsidRPr="00282F47">
        <w:rPr>
          <w:rFonts w:ascii="Arial" w:hAnsi="Arial" w:cs="Arial"/>
          <w:sz w:val="24"/>
          <w:szCs w:val="24"/>
        </w:rPr>
        <w:t xml:space="preserve"> (</w:t>
      </w:r>
      <w:r w:rsidRPr="00282F47">
        <w:rPr>
          <w:rFonts w:ascii="Arial" w:hAnsi="Arial" w:cs="Arial"/>
          <w:b/>
          <w:bCs/>
          <w:sz w:val="24"/>
          <w:szCs w:val="24"/>
        </w:rPr>
        <w:t>Supporting Figures S2.1, S2.17-S2.22</w:t>
      </w:r>
      <w:r w:rsidRPr="00282F47">
        <w:rPr>
          <w:rFonts w:ascii="Arial" w:hAnsi="Arial" w:cs="Arial"/>
          <w:sz w:val="24"/>
          <w:szCs w:val="24"/>
        </w:rPr>
        <w:t xml:space="preserve">). Notably, </w:t>
      </w:r>
      <w:r w:rsidRPr="00282F47">
        <w:rPr>
          <w:rFonts w:ascii="Arial" w:hAnsi="Arial" w:cs="Arial"/>
          <w:i/>
          <w:iCs/>
          <w:sz w:val="24"/>
          <w:szCs w:val="24"/>
        </w:rPr>
        <w:t xml:space="preserve">in vitro </w:t>
      </w:r>
      <w:r w:rsidRPr="00282F47">
        <w:rPr>
          <w:rFonts w:ascii="Arial" w:hAnsi="Arial" w:cs="Arial"/>
          <w:sz w:val="24"/>
          <w:szCs w:val="24"/>
        </w:rPr>
        <w:t>evaluation of CY dyes corroborated results from squaraine analogs; bromination (</w:t>
      </w:r>
      <w:r w:rsidRPr="00282F47">
        <w:rPr>
          <w:rFonts w:ascii="Arial" w:hAnsi="Arial" w:cs="Arial"/>
          <w:b/>
          <w:bCs/>
          <w:sz w:val="24"/>
          <w:szCs w:val="24"/>
        </w:rPr>
        <w:t>CY Br</w:t>
      </w:r>
      <w:r w:rsidRPr="00282F47">
        <w:rPr>
          <w:rFonts w:ascii="Arial" w:hAnsi="Arial" w:cs="Arial"/>
          <w:sz w:val="24"/>
          <w:szCs w:val="24"/>
        </w:rPr>
        <w:t>) resulting in the largest increase in optoacoustic activity, followed by chlorination (</w:t>
      </w:r>
      <w:r w:rsidRPr="00282F47">
        <w:rPr>
          <w:rFonts w:ascii="Arial" w:hAnsi="Arial" w:cs="Arial"/>
          <w:b/>
          <w:bCs/>
          <w:sz w:val="24"/>
          <w:szCs w:val="24"/>
        </w:rPr>
        <w:t>CY Cl</w:t>
      </w:r>
      <w:r w:rsidRPr="00282F47">
        <w:rPr>
          <w:rFonts w:ascii="Arial" w:hAnsi="Arial" w:cs="Arial"/>
          <w:sz w:val="24"/>
          <w:szCs w:val="24"/>
        </w:rPr>
        <w:t>), with non-halogenated counterpart (</w:t>
      </w:r>
      <w:r w:rsidRPr="00282F47">
        <w:rPr>
          <w:rFonts w:ascii="Arial" w:hAnsi="Arial" w:cs="Arial"/>
          <w:b/>
          <w:bCs/>
          <w:sz w:val="24"/>
          <w:szCs w:val="24"/>
        </w:rPr>
        <w:t>CY H</w:t>
      </w:r>
      <w:r w:rsidRPr="00282F47">
        <w:rPr>
          <w:rFonts w:ascii="Arial" w:hAnsi="Arial" w:cs="Arial"/>
          <w:sz w:val="24"/>
          <w:szCs w:val="24"/>
        </w:rPr>
        <w:t>) exhibiting the least optoacoustic signal (</w:t>
      </w:r>
      <w:r w:rsidRPr="00282F47">
        <w:rPr>
          <w:rFonts w:ascii="Arial" w:hAnsi="Arial" w:cs="Arial"/>
          <w:b/>
          <w:bCs/>
          <w:sz w:val="24"/>
          <w:szCs w:val="24"/>
        </w:rPr>
        <w:t>Supporting Figure S2.31</w:t>
      </w:r>
      <w:r w:rsidRPr="00282F47">
        <w:rPr>
          <w:rFonts w:ascii="Arial" w:hAnsi="Arial" w:cs="Arial"/>
          <w:sz w:val="24"/>
          <w:szCs w:val="24"/>
        </w:rPr>
        <w:t>). In addition, full DFT/TD-DFT calculations were performed to ensure trends in vibrational entropy, oscillator strength, and transition dipole moment were consistent with heavy halogenation (</w:t>
      </w:r>
      <w:r w:rsidRPr="00282F47">
        <w:rPr>
          <w:rFonts w:ascii="Arial" w:hAnsi="Arial" w:cs="Arial"/>
          <w:b/>
          <w:bCs/>
          <w:sz w:val="24"/>
          <w:szCs w:val="24"/>
        </w:rPr>
        <w:t>Supporting Figures S2.32-2.35</w:t>
      </w:r>
      <w:r w:rsidRPr="00282F47">
        <w:rPr>
          <w:rFonts w:ascii="Arial" w:hAnsi="Arial" w:cs="Arial"/>
          <w:sz w:val="24"/>
          <w:szCs w:val="24"/>
        </w:rPr>
        <w:t xml:space="preserve">). While CY dyes show significantly lower optoacoustic relevant oscillator strengths, the trends were constant with squaraine compounds, with the largest strengths observed in the bromine substituted </w:t>
      </w:r>
      <w:r w:rsidRPr="00282F47">
        <w:rPr>
          <w:rFonts w:ascii="Arial" w:hAnsi="Arial" w:cs="Arial"/>
          <w:b/>
          <w:bCs/>
          <w:sz w:val="24"/>
          <w:szCs w:val="24"/>
        </w:rPr>
        <w:t>CY Br</w:t>
      </w:r>
      <w:r w:rsidRPr="00282F47">
        <w:rPr>
          <w:rFonts w:ascii="Arial" w:hAnsi="Arial" w:cs="Arial"/>
          <w:sz w:val="24"/>
          <w:szCs w:val="24"/>
        </w:rPr>
        <w:t xml:space="preserve">, compared to chlorine substituted </w:t>
      </w:r>
      <w:r w:rsidRPr="00282F47">
        <w:rPr>
          <w:rFonts w:ascii="Arial" w:hAnsi="Arial" w:cs="Arial"/>
          <w:b/>
          <w:bCs/>
          <w:sz w:val="24"/>
          <w:szCs w:val="24"/>
        </w:rPr>
        <w:t>CY Cl</w:t>
      </w:r>
      <w:r w:rsidRPr="00282F47">
        <w:rPr>
          <w:rFonts w:ascii="Arial" w:hAnsi="Arial" w:cs="Arial"/>
          <w:sz w:val="24"/>
          <w:szCs w:val="24"/>
        </w:rPr>
        <w:t xml:space="preserve">, and non-halogenated </w:t>
      </w:r>
      <w:r w:rsidRPr="00282F47">
        <w:rPr>
          <w:rFonts w:ascii="Arial" w:hAnsi="Arial" w:cs="Arial"/>
          <w:b/>
          <w:bCs/>
          <w:sz w:val="24"/>
          <w:szCs w:val="24"/>
        </w:rPr>
        <w:t>CY H</w:t>
      </w:r>
      <w:r w:rsidRPr="00282F47">
        <w:rPr>
          <w:rFonts w:ascii="Arial" w:hAnsi="Arial" w:cs="Arial"/>
          <w:sz w:val="24"/>
          <w:szCs w:val="24"/>
        </w:rPr>
        <w:t xml:space="preserve">. Cell viability studies were performed </w:t>
      </w:r>
      <w:r w:rsidRPr="00282F47">
        <w:rPr>
          <w:rFonts w:ascii="Arial" w:hAnsi="Arial" w:cs="Arial"/>
          <w:sz w:val="24"/>
          <w:szCs w:val="24"/>
        </w:rPr>
        <w:lastRenderedPageBreak/>
        <w:t>(</w:t>
      </w:r>
      <w:r w:rsidRPr="00282F47">
        <w:rPr>
          <w:rFonts w:ascii="Arial" w:hAnsi="Arial" w:cs="Arial"/>
          <w:b/>
          <w:bCs/>
          <w:sz w:val="24"/>
          <w:szCs w:val="24"/>
        </w:rPr>
        <w:t>Supporting Figure S2.40</w:t>
      </w:r>
      <w:r w:rsidRPr="00282F47">
        <w:rPr>
          <w:rFonts w:ascii="Arial" w:hAnsi="Arial" w:cs="Arial"/>
          <w:sz w:val="24"/>
          <w:szCs w:val="24"/>
        </w:rPr>
        <w:t xml:space="preserve">) prior to </w:t>
      </w:r>
      <w:r w:rsidRPr="00282F47">
        <w:rPr>
          <w:rFonts w:ascii="Arial" w:hAnsi="Arial" w:cs="Arial"/>
          <w:i/>
          <w:iCs/>
          <w:sz w:val="24"/>
          <w:szCs w:val="24"/>
        </w:rPr>
        <w:t xml:space="preserve">in vivo </w:t>
      </w:r>
      <w:r w:rsidRPr="00282F47">
        <w:rPr>
          <w:rFonts w:ascii="Arial" w:hAnsi="Arial" w:cs="Arial"/>
          <w:sz w:val="24"/>
          <w:szCs w:val="24"/>
        </w:rPr>
        <w:t xml:space="preserve">studies to ensure non-toxicity for oral administration. </w:t>
      </w:r>
      <w:r w:rsidRPr="00282F47">
        <w:rPr>
          <w:rFonts w:ascii="Arial" w:hAnsi="Arial" w:cs="Arial"/>
          <w:i/>
          <w:iCs/>
          <w:sz w:val="24"/>
          <w:szCs w:val="24"/>
        </w:rPr>
        <w:t xml:space="preserve">In vivo </w:t>
      </w:r>
      <w:r w:rsidRPr="00282F47">
        <w:rPr>
          <w:rFonts w:ascii="Arial" w:hAnsi="Arial" w:cs="Arial"/>
          <w:sz w:val="24"/>
          <w:szCs w:val="24"/>
        </w:rPr>
        <w:t xml:space="preserve">evaluation of CY dyes confirmed </w:t>
      </w:r>
      <w:r w:rsidRPr="00282F47">
        <w:rPr>
          <w:rFonts w:ascii="Arial" w:hAnsi="Arial" w:cs="Arial"/>
          <w:i/>
          <w:iCs/>
          <w:sz w:val="24"/>
          <w:szCs w:val="24"/>
        </w:rPr>
        <w:t xml:space="preserve">in vitro </w:t>
      </w:r>
      <w:r w:rsidRPr="00282F47">
        <w:rPr>
          <w:rFonts w:ascii="Arial" w:hAnsi="Arial" w:cs="Arial"/>
          <w:sz w:val="24"/>
          <w:szCs w:val="24"/>
        </w:rPr>
        <w:t xml:space="preserve">studies and corroborate information from squaraine compounds. </w:t>
      </w:r>
      <w:r w:rsidRPr="00282F47">
        <w:rPr>
          <w:rFonts w:ascii="Arial" w:hAnsi="Arial" w:cs="Arial"/>
          <w:b/>
          <w:bCs/>
          <w:sz w:val="24"/>
          <w:szCs w:val="24"/>
        </w:rPr>
        <w:t>CY Br</w:t>
      </w:r>
      <w:r w:rsidRPr="00282F47">
        <w:rPr>
          <w:rFonts w:ascii="Arial" w:hAnsi="Arial" w:cs="Arial"/>
          <w:sz w:val="24"/>
          <w:szCs w:val="24"/>
        </w:rPr>
        <w:t xml:space="preserve"> showed the highest optoacoustic signal </w:t>
      </w:r>
      <w:r w:rsidRPr="00282F47">
        <w:rPr>
          <w:rFonts w:ascii="Arial" w:hAnsi="Arial" w:cs="Arial"/>
          <w:i/>
          <w:iCs/>
          <w:sz w:val="24"/>
          <w:szCs w:val="24"/>
        </w:rPr>
        <w:t>in vivo</w:t>
      </w:r>
      <w:r w:rsidRPr="00282F47">
        <w:rPr>
          <w:rFonts w:ascii="Arial" w:hAnsi="Arial" w:cs="Arial"/>
          <w:sz w:val="24"/>
          <w:szCs w:val="24"/>
        </w:rPr>
        <w:t xml:space="preserve"> (1.12 a.u.), followed by </w:t>
      </w:r>
      <w:r w:rsidRPr="00282F47">
        <w:rPr>
          <w:rFonts w:ascii="Arial" w:hAnsi="Arial" w:cs="Arial"/>
          <w:b/>
          <w:bCs/>
          <w:sz w:val="24"/>
          <w:szCs w:val="24"/>
        </w:rPr>
        <w:t>CY Cl</w:t>
      </w:r>
      <w:r w:rsidRPr="00282F47">
        <w:rPr>
          <w:rFonts w:ascii="Arial" w:hAnsi="Arial" w:cs="Arial"/>
          <w:sz w:val="24"/>
          <w:szCs w:val="24"/>
        </w:rPr>
        <w:t xml:space="preserve"> (0.70 a.u.), and the least signal from </w:t>
      </w:r>
      <w:r w:rsidRPr="00282F47">
        <w:rPr>
          <w:rFonts w:ascii="Arial" w:hAnsi="Arial" w:cs="Arial"/>
          <w:b/>
          <w:bCs/>
          <w:sz w:val="24"/>
          <w:szCs w:val="24"/>
        </w:rPr>
        <w:t>CY H</w:t>
      </w:r>
      <w:r w:rsidRPr="00282F47">
        <w:rPr>
          <w:rFonts w:ascii="Arial" w:hAnsi="Arial" w:cs="Arial"/>
          <w:sz w:val="24"/>
          <w:szCs w:val="24"/>
        </w:rPr>
        <w:t xml:space="preserve"> (0.25 a.u.), indicating the trend of bromination &gt; chlorination &gt; non-halogenation. Fluorescence whole-body animal imaging and </w:t>
      </w:r>
      <w:r w:rsidRPr="00282F47">
        <w:rPr>
          <w:rFonts w:ascii="Arial" w:hAnsi="Arial" w:cs="Arial"/>
          <w:i/>
          <w:iCs/>
          <w:sz w:val="24"/>
          <w:szCs w:val="24"/>
        </w:rPr>
        <w:t xml:space="preserve">ex vivo </w:t>
      </w:r>
      <w:r w:rsidRPr="00282F47">
        <w:rPr>
          <w:rFonts w:ascii="Arial" w:hAnsi="Arial" w:cs="Arial"/>
          <w:sz w:val="24"/>
          <w:szCs w:val="24"/>
        </w:rPr>
        <w:t>imaging was performed consistent with previous squaraine studies (</w:t>
      </w:r>
      <w:r w:rsidRPr="00282F47">
        <w:rPr>
          <w:rFonts w:ascii="Arial" w:hAnsi="Arial" w:cs="Arial"/>
          <w:b/>
          <w:bCs/>
          <w:sz w:val="24"/>
          <w:szCs w:val="24"/>
        </w:rPr>
        <w:t>Supporting Figure S2.41</w:t>
      </w:r>
      <w:r w:rsidRPr="00282F47">
        <w:rPr>
          <w:rFonts w:ascii="Arial" w:hAnsi="Arial" w:cs="Arial"/>
          <w:sz w:val="24"/>
          <w:szCs w:val="24"/>
        </w:rPr>
        <w:t>). These data suggest that heavy halogenation for the purposes of increasing optoacoustic intensity is a universal property may be utilized in the development of optoacoustic contrast agents.</w:t>
      </w:r>
    </w:p>
    <w:p w14:paraId="200B84A8" w14:textId="77777777" w:rsidR="002027D2" w:rsidRPr="00282F47" w:rsidRDefault="002027D2" w:rsidP="00F73DFD">
      <w:pPr>
        <w:pStyle w:val="Style4"/>
        <w:spacing w:after="240"/>
        <w:rPr>
          <w:color w:val="auto"/>
        </w:rPr>
      </w:pPr>
      <w:bookmarkStart w:id="20" w:name="_Toc152874264"/>
      <w:r w:rsidRPr="00282F47">
        <w:rPr>
          <w:color w:val="auto"/>
        </w:rPr>
        <w:t>2.5 Conclusions:</w:t>
      </w:r>
      <w:bookmarkEnd w:id="20"/>
    </w:p>
    <w:p w14:paraId="74ECD4BB" w14:textId="77777777" w:rsidR="002027D2" w:rsidRPr="00282F47" w:rsidRDefault="002027D2" w:rsidP="009F1834">
      <w:pPr>
        <w:tabs>
          <w:tab w:val="left" w:pos="3516"/>
        </w:tabs>
        <w:spacing w:line="480" w:lineRule="auto"/>
        <w:jc w:val="both"/>
        <w:rPr>
          <w:rFonts w:ascii="Arial" w:hAnsi="Arial" w:cs="Arial"/>
          <w:sz w:val="24"/>
          <w:szCs w:val="24"/>
        </w:rPr>
      </w:pPr>
      <w:r w:rsidRPr="00282F47">
        <w:rPr>
          <w:rFonts w:ascii="Arial" w:hAnsi="Arial" w:cs="Arial"/>
          <w:sz w:val="24"/>
          <w:szCs w:val="24"/>
        </w:rPr>
        <w:t xml:space="preserve">This work had a focus on utilizing squaraine dyes modified with trimethylpropylammonium and halogen atoms for an emerging, clinically relevant optoacoustic imaging modality, MSOT. As previously mentioned, MSOT is a rapidly developing modality that has proven efficacy in clinical trials due to intrinsic advantages over traditional imaging techniques. With a current lack of guidelines for developing optimized optoacoustic contrast agents, the purpose of this study was to investigate how variations in squaraine dyes affect optoacoustic signal generation. Replacement of a methyl group with a trimethylpropylammonium pendant group resulted in significant increases in optoacoustic signal due to increased rotational bonds and vibrational entropy. Using DFT/TD-DFT, increases in the oscillatory strength was attributed to larger transition dipole moments arising from varied frontier orbital character. </w:t>
      </w:r>
      <w:r w:rsidRPr="00282F47">
        <w:rPr>
          <w:rFonts w:ascii="Arial" w:hAnsi="Arial" w:cs="Arial"/>
          <w:i/>
          <w:iCs/>
          <w:sz w:val="24"/>
          <w:szCs w:val="24"/>
        </w:rPr>
        <w:t>In vivo</w:t>
      </w:r>
      <w:r w:rsidRPr="00282F47">
        <w:rPr>
          <w:rFonts w:ascii="Arial" w:hAnsi="Arial" w:cs="Arial"/>
          <w:sz w:val="24"/>
          <w:szCs w:val="24"/>
        </w:rPr>
        <w:t xml:space="preserve"> analysis of a mouse model corroborated observations that heavy halogen squaraine compounds with dual trimethylpropylammonium groups resulted in high resolution optoacoustic imaging. In </w:t>
      </w:r>
      <w:r w:rsidRPr="00282F47">
        <w:rPr>
          <w:rFonts w:ascii="Arial" w:hAnsi="Arial" w:cs="Arial"/>
          <w:sz w:val="24"/>
          <w:szCs w:val="24"/>
        </w:rPr>
        <w:lastRenderedPageBreak/>
        <w:t xml:space="preserve">addition, a second compound class (CY) was synthesized to ensure utilization of heavy halogenation to boost optoacoustic signal is a universal property. While this study utilized oral gavage as the method of administration of contrast agent to ensure equally as strong concentrated areas of compounds </w:t>
      </w:r>
      <w:r w:rsidRPr="00282F47">
        <w:rPr>
          <w:rFonts w:ascii="Arial" w:hAnsi="Arial" w:cs="Arial"/>
          <w:i/>
          <w:iCs/>
          <w:sz w:val="24"/>
          <w:szCs w:val="24"/>
        </w:rPr>
        <w:t>in vivo</w:t>
      </w:r>
      <w:r w:rsidRPr="00282F47">
        <w:rPr>
          <w:rFonts w:ascii="Arial" w:hAnsi="Arial" w:cs="Arial"/>
          <w:sz w:val="24"/>
          <w:szCs w:val="24"/>
        </w:rPr>
        <w:t>, this is different than application in a clinical setting. Further developments of squaraines as well as other contrast agents will continue to increase the relevance and value of MSOT in a clinical setting; through spectral unmixing, several different contrast agents can be differentiated based on spectral signature</w:t>
      </w:r>
      <w:r w:rsidRPr="00282F47">
        <w:rPr>
          <w:rFonts w:ascii="Arial" w:hAnsi="Arial" w:cs="Arial"/>
          <w:noProof/>
          <w:sz w:val="24"/>
          <w:szCs w:val="24"/>
          <w:vertAlign w:val="superscript"/>
        </w:rPr>
        <w:t>22</w:t>
      </w:r>
      <w:r w:rsidRPr="00282F47">
        <w:rPr>
          <w:rFonts w:ascii="Arial" w:hAnsi="Arial" w:cs="Arial"/>
          <w:sz w:val="24"/>
          <w:szCs w:val="24"/>
        </w:rPr>
        <w:t>.</w:t>
      </w:r>
    </w:p>
    <w:p w14:paraId="3CA9F083" w14:textId="77777777" w:rsidR="002027D2" w:rsidRPr="00282F47" w:rsidRDefault="002027D2" w:rsidP="00F73DFD">
      <w:pPr>
        <w:pStyle w:val="Style4"/>
        <w:spacing w:after="240"/>
        <w:rPr>
          <w:color w:val="auto"/>
        </w:rPr>
      </w:pPr>
      <w:bookmarkStart w:id="21" w:name="_Toc152874265"/>
      <w:r w:rsidRPr="00282F47">
        <w:rPr>
          <w:color w:val="auto"/>
        </w:rPr>
        <w:t>2.6 Acknowledgements and Funding:</w:t>
      </w:r>
      <w:bookmarkEnd w:id="21"/>
    </w:p>
    <w:p w14:paraId="5E7C9EB1" w14:textId="77777777" w:rsidR="002027D2" w:rsidRPr="00282F47" w:rsidRDefault="002027D2" w:rsidP="009F1834">
      <w:pPr>
        <w:spacing w:line="480" w:lineRule="auto"/>
        <w:jc w:val="both"/>
        <w:rPr>
          <w:rFonts w:ascii="Arial" w:hAnsi="Arial" w:cs="Arial"/>
          <w:sz w:val="24"/>
          <w:szCs w:val="24"/>
        </w:rPr>
      </w:pPr>
      <w:r w:rsidRPr="00282F47">
        <w:rPr>
          <w:rFonts w:ascii="Arial" w:hAnsi="Arial" w:cs="Arial"/>
          <w:sz w:val="24"/>
          <w:szCs w:val="24"/>
        </w:rPr>
        <w:t>We acknowledge funding from the National Institutes of Health under grants F31CA261044, R01CA205941, R01CA212350, R01GM135392, and P30CA225520. Acknowledgements to Dr. Emmanuel Buabeng for collecting the thermal stability and some of the fluorescence data as well as participating in the project discussion.</w:t>
      </w:r>
    </w:p>
    <w:p w14:paraId="6DE0C29E" w14:textId="77777777" w:rsidR="002027D2" w:rsidRPr="00282F47" w:rsidRDefault="002027D2" w:rsidP="00356F32">
      <w:pPr>
        <w:rPr>
          <w:rFonts w:ascii="Arial" w:hAnsi="Arial" w:cs="Arial"/>
          <w:sz w:val="24"/>
          <w:szCs w:val="24"/>
        </w:rPr>
      </w:pPr>
    </w:p>
    <w:p w14:paraId="62970AD4" w14:textId="77777777" w:rsidR="002027D2" w:rsidRPr="00282F47" w:rsidRDefault="002027D2" w:rsidP="00356F32">
      <w:pPr>
        <w:rPr>
          <w:rFonts w:ascii="Arial" w:hAnsi="Arial" w:cs="Arial"/>
          <w:sz w:val="24"/>
          <w:szCs w:val="24"/>
        </w:rPr>
      </w:pPr>
    </w:p>
    <w:p w14:paraId="5787425A" w14:textId="77777777" w:rsidR="002027D2" w:rsidRPr="00282F47" w:rsidRDefault="002027D2" w:rsidP="00356F32">
      <w:pPr>
        <w:rPr>
          <w:rFonts w:ascii="Arial" w:hAnsi="Arial" w:cs="Arial"/>
          <w:sz w:val="24"/>
          <w:szCs w:val="24"/>
        </w:rPr>
      </w:pPr>
    </w:p>
    <w:p w14:paraId="7B0960A4" w14:textId="77777777" w:rsidR="002027D2" w:rsidRPr="00282F47" w:rsidRDefault="002027D2" w:rsidP="00356F32">
      <w:pPr>
        <w:rPr>
          <w:rFonts w:ascii="Arial" w:hAnsi="Arial" w:cs="Arial"/>
          <w:sz w:val="24"/>
          <w:szCs w:val="24"/>
        </w:rPr>
      </w:pPr>
    </w:p>
    <w:p w14:paraId="31CD6DA3" w14:textId="77777777" w:rsidR="002027D2" w:rsidRPr="00282F47" w:rsidRDefault="002027D2" w:rsidP="00356F32">
      <w:pPr>
        <w:rPr>
          <w:rFonts w:ascii="Arial" w:hAnsi="Arial" w:cs="Arial"/>
          <w:sz w:val="24"/>
          <w:szCs w:val="24"/>
        </w:rPr>
      </w:pPr>
    </w:p>
    <w:p w14:paraId="30F3DC02" w14:textId="77777777" w:rsidR="002027D2" w:rsidRPr="00282F47" w:rsidRDefault="002027D2" w:rsidP="00356F32">
      <w:pPr>
        <w:rPr>
          <w:rFonts w:ascii="Arial" w:hAnsi="Arial" w:cs="Arial"/>
          <w:sz w:val="24"/>
          <w:szCs w:val="24"/>
        </w:rPr>
      </w:pPr>
    </w:p>
    <w:p w14:paraId="164C11BF" w14:textId="77777777" w:rsidR="002027D2" w:rsidRPr="00282F47" w:rsidRDefault="002027D2" w:rsidP="00356F32">
      <w:pPr>
        <w:rPr>
          <w:rFonts w:ascii="Arial" w:hAnsi="Arial" w:cs="Arial"/>
          <w:sz w:val="24"/>
          <w:szCs w:val="24"/>
        </w:rPr>
      </w:pPr>
    </w:p>
    <w:p w14:paraId="7F5177C4" w14:textId="77777777" w:rsidR="002027D2" w:rsidRPr="00282F47" w:rsidRDefault="002027D2" w:rsidP="00356F32">
      <w:pPr>
        <w:rPr>
          <w:rFonts w:ascii="Arial" w:hAnsi="Arial" w:cs="Arial"/>
          <w:sz w:val="24"/>
          <w:szCs w:val="24"/>
        </w:rPr>
      </w:pPr>
    </w:p>
    <w:p w14:paraId="736CA0EC" w14:textId="77777777" w:rsidR="002027D2" w:rsidRPr="00282F47" w:rsidRDefault="002027D2" w:rsidP="00356F32">
      <w:pPr>
        <w:rPr>
          <w:rFonts w:ascii="Arial" w:hAnsi="Arial" w:cs="Arial"/>
          <w:sz w:val="24"/>
          <w:szCs w:val="24"/>
        </w:rPr>
      </w:pPr>
    </w:p>
    <w:p w14:paraId="29666E5A" w14:textId="77777777" w:rsidR="002027D2" w:rsidRPr="00282F47" w:rsidRDefault="002027D2" w:rsidP="00356F32">
      <w:pPr>
        <w:rPr>
          <w:rFonts w:ascii="Arial" w:hAnsi="Arial" w:cs="Arial"/>
          <w:sz w:val="24"/>
          <w:szCs w:val="24"/>
        </w:rPr>
      </w:pPr>
    </w:p>
    <w:p w14:paraId="72627776" w14:textId="77777777" w:rsidR="002027D2" w:rsidRDefault="002027D2" w:rsidP="00356F32">
      <w:pPr>
        <w:rPr>
          <w:rFonts w:ascii="Arial" w:hAnsi="Arial" w:cs="Arial"/>
          <w:sz w:val="24"/>
          <w:szCs w:val="24"/>
        </w:rPr>
      </w:pPr>
    </w:p>
    <w:p w14:paraId="3B2E4EC2" w14:textId="77777777" w:rsidR="004B4BA2" w:rsidRPr="00282F47" w:rsidRDefault="004B4BA2" w:rsidP="00356F32">
      <w:pPr>
        <w:rPr>
          <w:rFonts w:ascii="Arial" w:hAnsi="Arial" w:cs="Arial"/>
          <w:sz w:val="24"/>
          <w:szCs w:val="24"/>
        </w:rPr>
      </w:pPr>
    </w:p>
    <w:p w14:paraId="468DE0A1" w14:textId="77777777" w:rsidR="002027D2" w:rsidRPr="00282F47" w:rsidRDefault="002027D2" w:rsidP="00F73DFD">
      <w:pPr>
        <w:pStyle w:val="Style3"/>
        <w:spacing w:after="240"/>
        <w:rPr>
          <w:color w:val="auto"/>
        </w:rPr>
      </w:pPr>
      <w:bookmarkStart w:id="22" w:name="_Toc152874266"/>
      <w:r w:rsidRPr="00282F47">
        <w:rPr>
          <w:color w:val="auto"/>
        </w:rPr>
        <w:lastRenderedPageBreak/>
        <w:t>Chapter 3 – Optimization of Optoacoustic Contrast Agents through Twisted Intramolecular Charge Transfer</w:t>
      </w:r>
      <w:bookmarkEnd w:id="22"/>
    </w:p>
    <w:p w14:paraId="4BEF5695" w14:textId="77777777" w:rsidR="002027D2" w:rsidRPr="00282F47" w:rsidRDefault="002027D2" w:rsidP="00DC6439">
      <w:pPr>
        <w:rPr>
          <w:rFonts w:ascii="Arial" w:hAnsi="Arial" w:cs="Arial"/>
          <w:sz w:val="24"/>
          <w:szCs w:val="24"/>
        </w:rPr>
      </w:pPr>
      <w:r w:rsidRPr="00282F47">
        <w:rPr>
          <w:rFonts w:ascii="Arial" w:hAnsi="Arial" w:cs="Arial"/>
          <w:sz w:val="24"/>
          <w:szCs w:val="24"/>
        </w:rPr>
        <w:t>This chapter is being prepared as a manuscript for submission.</w:t>
      </w:r>
    </w:p>
    <w:p w14:paraId="37D960A8" w14:textId="77777777" w:rsidR="002027D2" w:rsidRPr="00282F47" w:rsidRDefault="002027D2" w:rsidP="00DC6439">
      <w:pPr>
        <w:rPr>
          <w:rFonts w:ascii="Arial" w:hAnsi="Arial" w:cs="Arial"/>
          <w:sz w:val="24"/>
          <w:szCs w:val="24"/>
        </w:rPr>
      </w:pPr>
    </w:p>
    <w:p w14:paraId="295DCE4C" w14:textId="77777777" w:rsidR="002027D2" w:rsidRPr="00282F47" w:rsidRDefault="002027D2" w:rsidP="00F73DFD">
      <w:pPr>
        <w:pStyle w:val="Style4"/>
        <w:spacing w:after="240"/>
        <w:rPr>
          <w:color w:val="auto"/>
        </w:rPr>
      </w:pPr>
      <w:bookmarkStart w:id="23" w:name="_Toc152874267"/>
      <w:r w:rsidRPr="00282F47">
        <w:rPr>
          <w:color w:val="auto"/>
        </w:rPr>
        <w:t>3.1 Abstract:</w:t>
      </w:r>
      <w:bookmarkEnd w:id="23"/>
    </w:p>
    <w:p w14:paraId="0EBFF51B" w14:textId="09D93C61" w:rsidR="002027D2" w:rsidRPr="00282F47" w:rsidRDefault="002027D2" w:rsidP="0089486E">
      <w:pPr>
        <w:spacing w:line="480" w:lineRule="auto"/>
        <w:jc w:val="both"/>
        <w:rPr>
          <w:rFonts w:ascii="Arial" w:hAnsi="Arial" w:cs="Arial"/>
          <w:sz w:val="24"/>
          <w:szCs w:val="24"/>
        </w:rPr>
      </w:pPr>
      <w:bookmarkStart w:id="24" w:name="_Hlk149820919"/>
      <w:r w:rsidRPr="00282F47">
        <w:rPr>
          <w:rFonts w:ascii="Arial" w:hAnsi="Arial" w:cs="Arial"/>
          <w:sz w:val="24"/>
          <w:szCs w:val="24"/>
        </w:rPr>
        <w:t xml:space="preserve">Hemicyanine dyes have been regarded with great research interest due to diverse biomedical applications, including biomarkers and imaging detection in real-time. Such studies modify hemicyanines with functional groups for exploitation of properties for individual applications. This manuscript details synthesis of hemicyanine dyes with hydroxyl, amine, dimethylamino, and diethylamino functional groups on a xanthene donor moiety for use as optoacoustic contrast agents. Through utilization of polar solvents to stabilize a twisted intramolecular charge transfer state, unique optoacoustic contrast agents were synthesized. The hemicyanine compounds synthesized here provide a scaffold and baseline for future optoacoustic contrast agent development. As a majority of optoacoustic contrast agents exhibit peak signal generation at 650 – 700 nm, exploitation of the </w:t>
      </w:r>
      <w:r w:rsidR="00A57850">
        <w:rPr>
          <w:rFonts w:ascii="Arial" w:hAnsi="Arial" w:cs="Arial"/>
          <w:sz w:val="24"/>
          <w:szCs w:val="24"/>
        </w:rPr>
        <w:t>twisted intramolecular charge transfer</w:t>
      </w:r>
      <w:r w:rsidRPr="00282F47">
        <w:rPr>
          <w:rFonts w:ascii="Arial" w:hAnsi="Arial" w:cs="Arial"/>
          <w:sz w:val="24"/>
          <w:szCs w:val="24"/>
        </w:rPr>
        <w:t xml:space="preserve"> state on compounds 13 and 14 allow optoacoustic signal to peak further into the near-infrared window; at 790 – 810 nm. These compounds were validated by </w:t>
      </w:r>
      <w:r w:rsidRPr="00282F47">
        <w:rPr>
          <w:rFonts w:ascii="Arial" w:hAnsi="Arial" w:cs="Arial"/>
          <w:i/>
          <w:iCs/>
          <w:sz w:val="24"/>
          <w:szCs w:val="24"/>
        </w:rPr>
        <w:t xml:space="preserve">in vivo </w:t>
      </w:r>
      <w:r w:rsidRPr="00282F47">
        <w:rPr>
          <w:rFonts w:ascii="Arial" w:hAnsi="Arial" w:cs="Arial"/>
          <w:sz w:val="24"/>
          <w:szCs w:val="24"/>
        </w:rPr>
        <w:t>optoacoustic imaging of compounds in the pancreas of a murine model. As the current library of optoacoustic contrast agents expands, the relevance and applications of optoacoustic imaging in a clinical setting will expand proportionately.</w:t>
      </w:r>
    </w:p>
    <w:p w14:paraId="752AC8D3" w14:textId="77777777" w:rsidR="002027D2" w:rsidRPr="00282F47" w:rsidRDefault="002027D2" w:rsidP="00F73DFD">
      <w:pPr>
        <w:pStyle w:val="Style4"/>
        <w:spacing w:after="240"/>
        <w:rPr>
          <w:color w:val="auto"/>
        </w:rPr>
      </w:pPr>
      <w:bookmarkStart w:id="25" w:name="_Toc152874268"/>
      <w:bookmarkEnd w:id="24"/>
      <w:r w:rsidRPr="00282F47">
        <w:rPr>
          <w:color w:val="auto"/>
        </w:rPr>
        <w:t>3.2 Introduction:</w:t>
      </w:r>
      <w:bookmarkEnd w:id="25"/>
    </w:p>
    <w:p w14:paraId="05673374" w14:textId="77777777" w:rsidR="002027D2" w:rsidRPr="00282F47" w:rsidRDefault="002027D2" w:rsidP="000B4F1C">
      <w:pPr>
        <w:spacing w:line="480" w:lineRule="auto"/>
        <w:jc w:val="both"/>
        <w:rPr>
          <w:rFonts w:ascii="Arial" w:hAnsi="Arial" w:cs="Arial"/>
          <w:sz w:val="24"/>
          <w:szCs w:val="24"/>
        </w:rPr>
      </w:pPr>
      <w:r w:rsidRPr="00282F47">
        <w:rPr>
          <w:rFonts w:ascii="Arial" w:hAnsi="Arial" w:cs="Arial"/>
          <w:sz w:val="24"/>
          <w:szCs w:val="24"/>
        </w:rPr>
        <w:t>The optoacoustic effect was first reported by Alexander Graham Bell in the late 1800s</w:t>
      </w:r>
      <w:r w:rsidRPr="00282F47">
        <w:rPr>
          <w:rFonts w:ascii="Arial" w:hAnsi="Arial" w:cs="Arial"/>
          <w:noProof/>
          <w:sz w:val="24"/>
          <w:szCs w:val="24"/>
          <w:vertAlign w:val="superscript"/>
        </w:rPr>
        <w:t>102</w:t>
      </w:r>
      <w:r w:rsidRPr="00282F47">
        <w:rPr>
          <w:rFonts w:ascii="Arial" w:hAnsi="Arial" w:cs="Arial"/>
          <w:sz w:val="24"/>
          <w:szCs w:val="24"/>
        </w:rPr>
        <w:t xml:space="preserve">. This effect is the process by which a pulsed incident light source is used to excite a </w:t>
      </w:r>
      <w:r w:rsidRPr="00282F47">
        <w:rPr>
          <w:rFonts w:ascii="Arial" w:hAnsi="Arial" w:cs="Arial"/>
          <w:sz w:val="24"/>
          <w:szCs w:val="24"/>
        </w:rPr>
        <w:lastRenderedPageBreak/>
        <w:t>material, thus increasing the temperature of the material, resulting in continuous thermal expansion and retraction. The thermal movement generates ultrasound waves, which may be recorded to measure and reveal material-specific properties related to absorbance and optoacoustic signal generation</w:t>
      </w:r>
      <w:r w:rsidRPr="00282F47">
        <w:rPr>
          <w:rFonts w:ascii="Arial" w:hAnsi="Arial" w:cs="Arial"/>
          <w:noProof/>
          <w:sz w:val="24"/>
          <w:szCs w:val="24"/>
          <w:vertAlign w:val="superscript"/>
        </w:rPr>
        <w:t>65</w:t>
      </w:r>
      <w:r w:rsidRPr="00282F47">
        <w:rPr>
          <w:rFonts w:ascii="Arial" w:hAnsi="Arial" w:cs="Arial"/>
          <w:sz w:val="24"/>
          <w:szCs w:val="24"/>
        </w:rPr>
        <w:t>. The optoacoustic effect may be exploited for the purpose of medical imaging, where the optoacoustic material is used as a reporter in the body. This technique rivals conventional imaging due to improved image quality by circumventing the unavoidable resolution and imaging depth tradeoff in optical imaging</w:t>
      </w:r>
      <w:r w:rsidRPr="00282F47">
        <w:rPr>
          <w:rFonts w:ascii="Arial" w:hAnsi="Arial" w:cs="Arial"/>
          <w:noProof/>
          <w:sz w:val="24"/>
          <w:szCs w:val="24"/>
          <w:vertAlign w:val="superscript"/>
        </w:rPr>
        <w:t>4,68</w:t>
      </w:r>
      <w:r w:rsidRPr="00282F47">
        <w:rPr>
          <w:rFonts w:ascii="Arial" w:hAnsi="Arial" w:cs="Arial"/>
          <w:sz w:val="24"/>
          <w:szCs w:val="24"/>
        </w:rPr>
        <w:t>. As thermal expansions are low-energy by comparison to fluorescence, near-infrared light is utilized in optoacoustic imaging, which passes through biological tissue with lower scatter and absorption rates than higher energy light</w:t>
      </w:r>
      <w:r w:rsidRPr="00282F47">
        <w:rPr>
          <w:rFonts w:ascii="Arial" w:hAnsi="Arial" w:cs="Arial"/>
          <w:noProof/>
          <w:sz w:val="24"/>
          <w:szCs w:val="24"/>
          <w:vertAlign w:val="superscript"/>
        </w:rPr>
        <w:t>103</w:t>
      </w:r>
      <w:r w:rsidRPr="00282F47">
        <w:rPr>
          <w:rFonts w:ascii="Arial" w:hAnsi="Arial" w:cs="Arial"/>
          <w:sz w:val="24"/>
          <w:szCs w:val="24"/>
        </w:rPr>
        <w:t>. In addition, generated ultrasound waves do not undergo scatter and attenuation similarly to optical imaging, thus protecting image resolution and allowing for increased imaging depth. Also, many optoacoustic imaging platforms are equipped with multispectral processing; the ability to separate the total signal of an optoacoustic image into distinct components based on the contrast agents in the signal</w:t>
      </w:r>
      <w:r w:rsidRPr="00282F47">
        <w:rPr>
          <w:rFonts w:ascii="Arial" w:hAnsi="Arial" w:cs="Arial"/>
          <w:noProof/>
          <w:sz w:val="24"/>
          <w:szCs w:val="24"/>
          <w:vertAlign w:val="superscript"/>
        </w:rPr>
        <w:t>5,6,16,36</w:t>
      </w:r>
      <w:r w:rsidRPr="00282F47">
        <w:rPr>
          <w:rFonts w:ascii="Arial" w:hAnsi="Arial" w:cs="Arial"/>
          <w:sz w:val="24"/>
          <w:szCs w:val="24"/>
        </w:rPr>
        <w:t>. As such, a variety of imaging platforms that rely on the optoacoustic effect have emerged and been used in a clinical setting to visualize differentials of oxy/deoxyhemoglobin, the most common endogenous optoacoustic agents. This allows for identification of ischemia, hypoxia, angiogenesis and the relationship to conditions such as irritable bowel syndrome, inflammatory diseases, and cancer</w:t>
      </w:r>
      <w:r w:rsidRPr="00282F47">
        <w:rPr>
          <w:rFonts w:ascii="Arial" w:hAnsi="Arial" w:cs="Arial"/>
          <w:noProof/>
          <w:sz w:val="24"/>
          <w:szCs w:val="24"/>
          <w:vertAlign w:val="superscript"/>
        </w:rPr>
        <w:t>1,3,16,74</w:t>
      </w:r>
      <w:r w:rsidRPr="00282F47">
        <w:rPr>
          <w:rFonts w:ascii="Arial" w:hAnsi="Arial" w:cs="Arial"/>
          <w:sz w:val="24"/>
          <w:szCs w:val="24"/>
        </w:rPr>
        <w:t>. However, with few exogenous agents, the clinical applications of optoacoustic imaging are limited to conditions with differential oxygenation, collagen, or melanin. As the library of optoacoustic contrast agents expands, the biomedical applications of optoacoustic imaging will proportionally expand.</w:t>
      </w:r>
    </w:p>
    <w:p w14:paraId="632D92B9" w14:textId="11DE9C0F" w:rsidR="002027D2" w:rsidRPr="00282F47" w:rsidRDefault="002027D2" w:rsidP="000B4F1C">
      <w:pPr>
        <w:spacing w:line="480" w:lineRule="auto"/>
        <w:jc w:val="both"/>
        <w:rPr>
          <w:rFonts w:ascii="Arial" w:hAnsi="Arial" w:cs="Arial"/>
          <w:sz w:val="24"/>
          <w:szCs w:val="24"/>
        </w:rPr>
      </w:pPr>
      <w:r w:rsidRPr="00282F47">
        <w:rPr>
          <w:rFonts w:ascii="Arial" w:hAnsi="Arial" w:cs="Arial"/>
          <w:sz w:val="24"/>
          <w:szCs w:val="24"/>
        </w:rPr>
        <w:lastRenderedPageBreak/>
        <w:t>Optoacoustic imaging has traditionally used near-infrared fluorescence agents that provide optoacoustic signal in addition to fluorescence. Since the two pathways are varying methods of energy dissipation, signal strength is hypothetically inversely related; maximization of optoacoustic signal will result by minimization of fluorescence. For example, IR780, indocyanine green</w:t>
      </w:r>
      <w:r w:rsidR="0057785B">
        <w:rPr>
          <w:rFonts w:ascii="Arial" w:hAnsi="Arial" w:cs="Arial"/>
          <w:sz w:val="24"/>
          <w:szCs w:val="24"/>
        </w:rPr>
        <w:t xml:space="preserve"> (ICG)</w:t>
      </w:r>
      <w:r w:rsidRPr="00282F47">
        <w:rPr>
          <w:rFonts w:ascii="Arial" w:hAnsi="Arial" w:cs="Arial"/>
          <w:sz w:val="24"/>
          <w:szCs w:val="24"/>
        </w:rPr>
        <w:t>, and methylene blue have been utilized as optoacoustic agents, but were primarily developed for near-infrared fluorescence. While the development of fluorescence agents is well-studied and detailed</w:t>
      </w:r>
      <w:r w:rsidRPr="00282F47">
        <w:rPr>
          <w:rFonts w:ascii="Arial" w:hAnsi="Arial" w:cs="Arial"/>
          <w:noProof/>
          <w:sz w:val="24"/>
          <w:szCs w:val="24"/>
          <w:vertAlign w:val="superscript"/>
        </w:rPr>
        <w:t>104</w:t>
      </w:r>
      <w:r w:rsidRPr="00282F47">
        <w:rPr>
          <w:rFonts w:ascii="Arial" w:hAnsi="Arial" w:cs="Arial"/>
          <w:sz w:val="24"/>
          <w:szCs w:val="24"/>
        </w:rPr>
        <w:t xml:space="preserve">, there is less understanding of how to construct </w:t>
      </w:r>
      <w:r w:rsidR="00A57850" w:rsidRPr="00282F47">
        <w:rPr>
          <w:rFonts w:ascii="Arial" w:hAnsi="Arial" w:cs="Arial"/>
          <w:sz w:val="24"/>
          <w:szCs w:val="24"/>
        </w:rPr>
        <w:t>a</w:t>
      </w:r>
      <w:r w:rsidRPr="00282F47">
        <w:rPr>
          <w:rFonts w:ascii="Arial" w:hAnsi="Arial" w:cs="Arial"/>
          <w:sz w:val="24"/>
          <w:szCs w:val="24"/>
        </w:rPr>
        <w:t xml:space="preserve"> strong optoacoustic contrast agent with a unique spectral signature. The addition of strong electron withdrawing groups has shown to increase the amplitude optoacoustic signal by reduction of charge-transfer character of relevant absorption peaks</w:t>
      </w:r>
      <w:r w:rsidRPr="00282F47">
        <w:rPr>
          <w:rFonts w:ascii="Arial" w:hAnsi="Arial" w:cs="Arial"/>
          <w:noProof/>
          <w:sz w:val="24"/>
          <w:szCs w:val="24"/>
          <w:vertAlign w:val="superscript"/>
        </w:rPr>
        <w:t>78</w:t>
      </w:r>
      <w:r w:rsidRPr="00282F47">
        <w:rPr>
          <w:rFonts w:ascii="Arial" w:hAnsi="Arial" w:cs="Arial"/>
          <w:sz w:val="24"/>
          <w:szCs w:val="24"/>
        </w:rPr>
        <w:t>. However, inciting bathochromic shifts in the optoacoustic spectra is critical for optimization of optoacoustic contrast agents and the creation of unique spectral signatures and has not been adequately studied.</w:t>
      </w:r>
    </w:p>
    <w:p w14:paraId="6662BC24" w14:textId="1EC20EF4" w:rsidR="002027D2" w:rsidRPr="00282F47" w:rsidRDefault="002027D2" w:rsidP="000B4F1C">
      <w:pPr>
        <w:spacing w:line="480" w:lineRule="auto"/>
        <w:jc w:val="both"/>
        <w:rPr>
          <w:rFonts w:ascii="Arial" w:hAnsi="Arial" w:cs="Arial"/>
          <w:sz w:val="24"/>
          <w:szCs w:val="24"/>
        </w:rPr>
      </w:pPr>
      <w:r w:rsidRPr="00282F47">
        <w:rPr>
          <w:rFonts w:ascii="Arial" w:hAnsi="Arial" w:cs="Arial"/>
          <w:sz w:val="24"/>
          <w:szCs w:val="24"/>
        </w:rPr>
        <w:t>Recently, hemicyanine dyes (HCs) have attracted attention for different applications, including non-invasive real-time sensing, biomarkers, and chemosensors</w:t>
      </w:r>
      <w:r w:rsidRPr="00282F47">
        <w:rPr>
          <w:rFonts w:ascii="Arial" w:hAnsi="Arial" w:cs="Arial"/>
          <w:noProof/>
          <w:sz w:val="24"/>
          <w:szCs w:val="24"/>
          <w:vertAlign w:val="superscript"/>
        </w:rPr>
        <w:t>105,106</w:t>
      </w:r>
      <w:r w:rsidRPr="00282F47">
        <w:rPr>
          <w:rFonts w:ascii="Arial" w:hAnsi="Arial" w:cs="Arial"/>
          <w:sz w:val="24"/>
          <w:szCs w:val="24"/>
        </w:rPr>
        <w:t>. The structure of HCs resembles a donor-π-acceptor scaffold where the indolium moiety is the acceptor and the xanthene group is the donor unit. The intramolecular charge transfer (ICT) within the system is from xanthene donor unit to the heterocyclic indolium acceptor moiety</w:t>
      </w:r>
      <w:r w:rsidRPr="00282F47">
        <w:rPr>
          <w:rFonts w:ascii="Arial" w:hAnsi="Arial" w:cs="Arial"/>
          <w:noProof/>
          <w:sz w:val="24"/>
          <w:szCs w:val="24"/>
          <w:vertAlign w:val="superscript"/>
        </w:rPr>
        <w:t>107</w:t>
      </w:r>
      <w:r w:rsidRPr="00282F47">
        <w:rPr>
          <w:rFonts w:ascii="Arial" w:hAnsi="Arial" w:cs="Arial"/>
          <w:sz w:val="24"/>
          <w:szCs w:val="24"/>
        </w:rPr>
        <w:t>. Modifications on the xanthene unit provide shifts in the absorbance wavelength maxima of the HC, which is often below 700 nm. However, with further modifications on the xanthene moiety, the absorbance maxima can be shifted to</w:t>
      </w:r>
      <w:r w:rsidR="00EB0BCC">
        <w:rPr>
          <w:rFonts w:ascii="Arial" w:hAnsi="Arial" w:cs="Arial"/>
          <w:sz w:val="24"/>
          <w:szCs w:val="24"/>
        </w:rPr>
        <w:t xml:space="preserve"> near-infrared</w:t>
      </w:r>
      <w:r w:rsidRPr="00282F47">
        <w:rPr>
          <w:rFonts w:ascii="Arial" w:hAnsi="Arial" w:cs="Arial"/>
          <w:sz w:val="24"/>
          <w:szCs w:val="24"/>
        </w:rPr>
        <w:t xml:space="preserve"> </w:t>
      </w:r>
      <w:r w:rsidR="00EB0BCC">
        <w:rPr>
          <w:rFonts w:ascii="Arial" w:hAnsi="Arial" w:cs="Arial"/>
          <w:sz w:val="24"/>
          <w:szCs w:val="24"/>
        </w:rPr>
        <w:t>(</w:t>
      </w:r>
      <w:r w:rsidRPr="00282F47">
        <w:rPr>
          <w:rFonts w:ascii="Arial" w:hAnsi="Arial" w:cs="Arial"/>
          <w:sz w:val="24"/>
          <w:szCs w:val="24"/>
        </w:rPr>
        <w:t>NIR</w:t>
      </w:r>
      <w:r w:rsidR="00EB0BCC">
        <w:rPr>
          <w:rFonts w:ascii="Arial" w:hAnsi="Arial" w:cs="Arial"/>
          <w:sz w:val="24"/>
          <w:szCs w:val="24"/>
        </w:rPr>
        <w:t>)</w:t>
      </w:r>
      <w:r w:rsidRPr="00282F47">
        <w:rPr>
          <w:rFonts w:ascii="Arial" w:hAnsi="Arial" w:cs="Arial"/>
          <w:sz w:val="24"/>
          <w:szCs w:val="24"/>
        </w:rPr>
        <w:t xml:space="preserve"> region (650-850 nm), which could further optimize HCs for optoacoustic imaging</w:t>
      </w:r>
      <w:r w:rsidRPr="00282F47">
        <w:rPr>
          <w:rFonts w:ascii="Arial" w:hAnsi="Arial" w:cs="Arial"/>
          <w:noProof/>
          <w:sz w:val="24"/>
          <w:szCs w:val="24"/>
          <w:vertAlign w:val="superscript"/>
        </w:rPr>
        <w:t>6,107</w:t>
      </w:r>
      <w:r w:rsidRPr="00282F47">
        <w:rPr>
          <w:rFonts w:ascii="Arial" w:hAnsi="Arial" w:cs="Arial"/>
          <w:sz w:val="24"/>
          <w:szCs w:val="24"/>
        </w:rPr>
        <w:t>.</w:t>
      </w:r>
    </w:p>
    <w:p w14:paraId="74D8915C" w14:textId="77777777" w:rsidR="002027D2" w:rsidRPr="00282F47" w:rsidRDefault="002027D2" w:rsidP="000B4F1C">
      <w:pPr>
        <w:spacing w:line="480" w:lineRule="auto"/>
        <w:jc w:val="both"/>
        <w:rPr>
          <w:rFonts w:ascii="Arial" w:hAnsi="Arial" w:cs="Arial"/>
          <w:sz w:val="24"/>
          <w:szCs w:val="24"/>
        </w:rPr>
      </w:pPr>
      <w:r w:rsidRPr="00282F47">
        <w:rPr>
          <w:rFonts w:ascii="Arial" w:hAnsi="Arial" w:cs="Arial"/>
          <w:sz w:val="24"/>
          <w:szCs w:val="24"/>
        </w:rPr>
        <w:lastRenderedPageBreak/>
        <w:t>The presence of different functional groups (hydroxyl, amino, etc.) allows feasible modification with bio-conjugations to trigger analyte response</w:t>
      </w:r>
      <w:r w:rsidRPr="00282F47">
        <w:rPr>
          <w:rFonts w:ascii="Arial" w:hAnsi="Arial" w:cs="Arial"/>
          <w:noProof/>
          <w:sz w:val="24"/>
          <w:szCs w:val="24"/>
          <w:vertAlign w:val="superscript"/>
        </w:rPr>
        <w:t>108</w:t>
      </w:r>
      <w:r w:rsidRPr="00282F47">
        <w:rPr>
          <w:rFonts w:ascii="Arial" w:hAnsi="Arial" w:cs="Arial"/>
          <w:sz w:val="24"/>
          <w:szCs w:val="24"/>
        </w:rPr>
        <w:t>. The synthesis of the derivatives with different functional groups changed the optical properties of HCs and increased their versatility in various applications</w:t>
      </w:r>
      <w:r w:rsidRPr="00282F47">
        <w:rPr>
          <w:rFonts w:ascii="Arial" w:hAnsi="Arial" w:cs="Arial"/>
          <w:noProof/>
          <w:sz w:val="24"/>
          <w:szCs w:val="24"/>
          <w:vertAlign w:val="superscript"/>
        </w:rPr>
        <w:t>107</w:t>
      </w:r>
      <w:r w:rsidRPr="00282F47">
        <w:rPr>
          <w:rFonts w:ascii="Arial" w:hAnsi="Arial" w:cs="Arial"/>
          <w:sz w:val="24"/>
          <w:szCs w:val="24"/>
        </w:rPr>
        <w:t>. Optoacoustic imaging agents require high molar extinction coefficients to allow the maximal amount of light absorption, and thus, optoacoustic signal. In addition, strong optoacoustic contrast agents should exhibit low fluorescence quantum yield to enhance the energy dissipating through nonradiative pathways</w:t>
      </w:r>
      <w:r w:rsidRPr="00282F47">
        <w:rPr>
          <w:rFonts w:ascii="Arial" w:hAnsi="Arial" w:cs="Arial"/>
          <w:noProof/>
          <w:sz w:val="24"/>
          <w:szCs w:val="24"/>
          <w:vertAlign w:val="superscript"/>
        </w:rPr>
        <w:t>109</w:t>
      </w:r>
      <w:r w:rsidRPr="00282F47">
        <w:rPr>
          <w:rFonts w:ascii="Arial" w:hAnsi="Arial" w:cs="Arial"/>
          <w:sz w:val="24"/>
          <w:szCs w:val="24"/>
        </w:rPr>
        <w:t>. Based on previous research, the structural features, such as hydrophobicity, heavy atom effect, and rotatable bonds, may be utilized to increase amplitude of generated ultrasonic waves in contrast agents for optoacoustic imaging</w:t>
      </w:r>
      <w:r w:rsidRPr="00282F47">
        <w:rPr>
          <w:rFonts w:ascii="Arial" w:hAnsi="Arial" w:cs="Arial"/>
          <w:noProof/>
          <w:sz w:val="24"/>
          <w:szCs w:val="24"/>
          <w:vertAlign w:val="superscript"/>
        </w:rPr>
        <w:t>89,110</w:t>
      </w:r>
      <w:r w:rsidRPr="00282F47">
        <w:rPr>
          <w:rFonts w:ascii="Arial" w:hAnsi="Arial" w:cs="Arial"/>
          <w:sz w:val="24"/>
          <w:szCs w:val="24"/>
        </w:rPr>
        <w:t>.</w:t>
      </w:r>
    </w:p>
    <w:p w14:paraId="334D5FEC" w14:textId="0312100B" w:rsidR="002027D2" w:rsidRPr="00282F47" w:rsidRDefault="002027D2" w:rsidP="000B4F1C">
      <w:pPr>
        <w:spacing w:line="480" w:lineRule="auto"/>
        <w:jc w:val="both"/>
        <w:rPr>
          <w:rFonts w:ascii="Arial" w:hAnsi="Arial" w:cs="Arial"/>
          <w:sz w:val="24"/>
          <w:szCs w:val="24"/>
        </w:rPr>
      </w:pPr>
      <w:r w:rsidRPr="00282F47">
        <w:rPr>
          <w:rFonts w:ascii="Arial" w:hAnsi="Arial" w:cs="Arial"/>
          <w:sz w:val="24"/>
          <w:szCs w:val="24"/>
        </w:rPr>
        <w:t>In this study, hemicyanine compounds with varying functional groups (hydroxy, amine, dimethyl amino, and diethyl amino groups) were synthesized in efforts to optimize optoacoustic signal, by bathochromic spectral shifts, through a twisted intramolecular charge transfer state (TICT). Twisting around a bond subsequent to absorption of light, i.e., molecular excitation, can lower the energy of the molecule, forming the TICT state</w:t>
      </w:r>
      <w:r w:rsidRPr="00282F47">
        <w:rPr>
          <w:rFonts w:ascii="Arial" w:hAnsi="Arial" w:cs="Arial"/>
          <w:noProof/>
          <w:sz w:val="24"/>
          <w:szCs w:val="24"/>
          <w:vertAlign w:val="superscript"/>
        </w:rPr>
        <w:t>111,112</w:t>
      </w:r>
      <w:r w:rsidRPr="00282F47">
        <w:rPr>
          <w:rFonts w:ascii="Arial" w:hAnsi="Arial" w:cs="Arial"/>
          <w:sz w:val="24"/>
          <w:szCs w:val="24"/>
        </w:rPr>
        <w:t xml:space="preserve"> (</w:t>
      </w:r>
      <w:r w:rsidRPr="00282F47">
        <w:rPr>
          <w:rFonts w:ascii="Arial" w:hAnsi="Arial" w:cs="Arial"/>
          <w:b/>
          <w:bCs/>
          <w:sz w:val="24"/>
          <w:szCs w:val="24"/>
        </w:rPr>
        <w:t>Figure 3.1</w:t>
      </w:r>
      <w:r w:rsidRPr="00282F47">
        <w:rPr>
          <w:rFonts w:ascii="Arial" w:hAnsi="Arial" w:cs="Arial"/>
          <w:sz w:val="24"/>
          <w:szCs w:val="24"/>
        </w:rPr>
        <w:t>)</w:t>
      </w:r>
      <w:r w:rsidR="00A57850">
        <w:rPr>
          <w:rFonts w:ascii="Arial" w:hAnsi="Arial" w:cs="Arial"/>
          <w:sz w:val="24"/>
          <w:szCs w:val="24"/>
        </w:rPr>
        <w:t>.</w:t>
      </w:r>
      <w:r w:rsidRPr="00282F47">
        <w:rPr>
          <w:rFonts w:ascii="Arial" w:hAnsi="Arial" w:cs="Arial"/>
          <w:sz w:val="24"/>
          <w:szCs w:val="24"/>
        </w:rPr>
        <w:t xml:space="preserve"> For example, a phenoxazine/triphenyl-triazine molecule has been synthesized previously to result in red-shifted emission.</w:t>
      </w:r>
      <w:r w:rsidRPr="00282F47">
        <w:rPr>
          <w:rFonts w:ascii="Arial" w:hAnsi="Arial" w:cs="Arial"/>
          <w:noProof/>
          <w:sz w:val="24"/>
          <w:szCs w:val="24"/>
          <w:vertAlign w:val="superscript"/>
        </w:rPr>
        <w:t>113</w:t>
      </w:r>
      <w:r w:rsidRPr="00282F47">
        <w:rPr>
          <w:rFonts w:ascii="Arial" w:hAnsi="Arial" w:cs="Arial"/>
          <w:sz w:val="24"/>
          <w:szCs w:val="24"/>
        </w:rPr>
        <w:t xml:space="preserve"> Electronic relaxation in the TICT state leads to a twisted ground state (TGS) and can result in fluorescence emission with large Stokes shifts</w:t>
      </w:r>
      <w:r w:rsidRPr="00282F47">
        <w:rPr>
          <w:rFonts w:ascii="Arial" w:hAnsi="Arial" w:cs="Arial"/>
          <w:noProof/>
          <w:sz w:val="24"/>
          <w:szCs w:val="24"/>
          <w:vertAlign w:val="superscript"/>
        </w:rPr>
        <w:t>114,115</w:t>
      </w:r>
      <w:r w:rsidRPr="00282F47">
        <w:rPr>
          <w:rFonts w:ascii="Arial" w:hAnsi="Arial" w:cs="Arial"/>
          <w:sz w:val="24"/>
          <w:szCs w:val="24"/>
        </w:rPr>
        <w:t>, or interestingly in this context, thermoelastic expansions/contractions that correspond to bathochromic shifts. TICT states are relatively unique as high polarity donor and acceptor groups must be stabilized in a polar solvent to allow for efficient charge separation</w:t>
      </w:r>
      <w:r w:rsidRPr="00282F47">
        <w:rPr>
          <w:rFonts w:ascii="Arial" w:hAnsi="Arial" w:cs="Arial"/>
          <w:noProof/>
          <w:sz w:val="24"/>
          <w:szCs w:val="24"/>
          <w:vertAlign w:val="superscript"/>
        </w:rPr>
        <w:t>111,114</w:t>
      </w:r>
      <w:r w:rsidRPr="00282F47">
        <w:rPr>
          <w:rFonts w:ascii="Arial" w:hAnsi="Arial" w:cs="Arial"/>
          <w:sz w:val="24"/>
          <w:szCs w:val="24"/>
        </w:rPr>
        <w:t xml:space="preserve">. The compounds synthesized in this study include amino functional groups that allow for transition into a TICT state when </w:t>
      </w:r>
      <w:r w:rsidRPr="00282F47">
        <w:rPr>
          <w:rFonts w:ascii="Arial" w:hAnsi="Arial" w:cs="Arial"/>
          <w:sz w:val="24"/>
          <w:szCs w:val="24"/>
        </w:rPr>
        <w:lastRenderedPageBreak/>
        <w:t>surrounded by solvents with sufficiently high dielectric constants</w:t>
      </w:r>
      <w:r w:rsidRPr="00282F47">
        <w:rPr>
          <w:rFonts w:ascii="Arial" w:hAnsi="Arial" w:cs="Arial"/>
          <w:noProof/>
          <w:sz w:val="24"/>
          <w:szCs w:val="24"/>
          <w:vertAlign w:val="superscript"/>
        </w:rPr>
        <w:t>114</w:t>
      </w:r>
      <w:r w:rsidRPr="00282F47">
        <w:rPr>
          <w:rFonts w:ascii="Arial" w:hAnsi="Arial" w:cs="Arial"/>
          <w:sz w:val="24"/>
          <w:szCs w:val="24"/>
        </w:rPr>
        <w:t>. Through exploitation of the TICT state, optoacoustic contrast agents may be red-shifted to show unique red-shifted spectral signatures, thus expanding the current library of optoacoustic dyes.</w:t>
      </w:r>
    </w:p>
    <w:p w14:paraId="3A65B0FC" w14:textId="77777777" w:rsidR="002027D2" w:rsidRPr="00282F47" w:rsidRDefault="002027D2" w:rsidP="002A4DB5">
      <w:pPr>
        <w:spacing w:line="480" w:lineRule="auto"/>
        <w:jc w:val="center"/>
        <w:rPr>
          <w:rFonts w:ascii="Arial" w:hAnsi="Arial" w:cs="Arial"/>
          <w:sz w:val="24"/>
          <w:szCs w:val="24"/>
        </w:rPr>
      </w:pPr>
      <w:r w:rsidRPr="00282F47">
        <w:rPr>
          <w:rFonts w:ascii="Arial" w:hAnsi="Arial" w:cs="Arial"/>
          <w:noProof/>
          <w:sz w:val="24"/>
          <w:szCs w:val="24"/>
        </w:rPr>
        <w:drawing>
          <wp:inline distT="0" distB="0" distL="0" distR="0" wp14:anchorId="10E3CCB4" wp14:editId="3DD7DF48">
            <wp:extent cx="5829300" cy="1721739"/>
            <wp:effectExtent l="0" t="0" r="0" b="0"/>
            <wp:docPr id="1982644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72144" cy="1763929"/>
                    </a:xfrm>
                    <a:prstGeom prst="rect">
                      <a:avLst/>
                    </a:prstGeom>
                    <a:noFill/>
                  </pic:spPr>
                </pic:pic>
              </a:graphicData>
            </a:graphic>
          </wp:inline>
        </w:drawing>
      </w:r>
    </w:p>
    <w:p w14:paraId="39EA9F4A" w14:textId="37AC9D10" w:rsidR="002027D2" w:rsidRDefault="002027D2" w:rsidP="004B4BA2">
      <w:pPr>
        <w:spacing w:after="0" w:line="276" w:lineRule="auto"/>
        <w:jc w:val="both"/>
        <w:rPr>
          <w:rFonts w:ascii="Arial" w:hAnsi="Arial" w:cs="Arial"/>
          <w:sz w:val="24"/>
          <w:szCs w:val="24"/>
        </w:rPr>
      </w:pPr>
      <w:r w:rsidRPr="00282F47">
        <w:rPr>
          <w:rFonts w:ascii="Arial" w:hAnsi="Arial" w:cs="Arial"/>
          <w:b/>
          <w:bCs/>
          <w:sz w:val="24"/>
          <w:szCs w:val="24"/>
        </w:rPr>
        <w:t xml:space="preserve">Figure 3.1: </w:t>
      </w:r>
      <w:r w:rsidRPr="00282F47">
        <w:rPr>
          <w:rFonts w:ascii="Arial" w:hAnsi="Arial" w:cs="Arial"/>
          <w:sz w:val="24"/>
          <w:szCs w:val="24"/>
        </w:rPr>
        <w:t>Diagrams of relevant energy systems for imaging. Following absorption of light and energy increase to an excited state, chromophores relax to ground state through radiative emission, or fluorescence (A), or non-radiative emission, or optoacoustic signal (B). In cases with high polarity donor/acceptor groups and a sufficiently polar solvent, intramolecular charge transfer may cause emission corresponding to wavelengths deeper into the near-infrared window for fluorescence (C) or optoacoustic signal (D).</w:t>
      </w:r>
    </w:p>
    <w:p w14:paraId="7A3B1A34" w14:textId="77777777" w:rsidR="004B4BA2" w:rsidRPr="00282F47" w:rsidRDefault="004B4BA2" w:rsidP="004B4BA2">
      <w:pPr>
        <w:spacing w:after="0" w:line="276" w:lineRule="auto"/>
        <w:jc w:val="both"/>
        <w:rPr>
          <w:rFonts w:ascii="Arial" w:hAnsi="Arial" w:cs="Arial"/>
          <w:sz w:val="24"/>
          <w:szCs w:val="24"/>
        </w:rPr>
      </w:pPr>
    </w:p>
    <w:p w14:paraId="78ED9E84" w14:textId="77777777" w:rsidR="002027D2" w:rsidRPr="00282F47" w:rsidRDefault="002027D2" w:rsidP="00F73DFD">
      <w:pPr>
        <w:pStyle w:val="Style4"/>
        <w:spacing w:after="240"/>
        <w:rPr>
          <w:color w:val="auto"/>
        </w:rPr>
      </w:pPr>
      <w:bookmarkStart w:id="26" w:name="_Toc152874269"/>
      <w:r w:rsidRPr="00282F47">
        <w:rPr>
          <w:color w:val="auto"/>
        </w:rPr>
        <w:t>3.3 Materials and Methods:</w:t>
      </w:r>
      <w:bookmarkEnd w:id="26"/>
    </w:p>
    <w:p w14:paraId="4EE7167A"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3.3.1 Chemicals</w:t>
      </w:r>
    </w:p>
    <w:p w14:paraId="12562F26" w14:textId="06FC8120" w:rsidR="002027D2" w:rsidRPr="00282F47" w:rsidRDefault="002027D2" w:rsidP="001E3906">
      <w:pPr>
        <w:spacing w:line="480" w:lineRule="auto"/>
        <w:jc w:val="both"/>
        <w:rPr>
          <w:rFonts w:ascii="Arial" w:hAnsi="Arial" w:cs="Arial"/>
          <w:sz w:val="24"/>
          <w:szCs w:val="24"/>
        </w:rPr>
      </w:pPr>
      <w:bookmarkStart w:id="27" w:name="_Hlk149821699"/>
      <w:r w:rsidRPr="00282F47">
        <w:rPr>
          <w:rFonts w:ascii="Arial" w:hAnsi="Arial" w:cs="Arial"/>
          <w:sz w:val="24"/>
          <w:szCs w:val="24"/>
        </w:rPr>
        <w:t xml:space="preserve">Chemicals used are </w:t>
      </w:r>
      <w:r w:rsidR="00A57850">
        <w:rPr>
          <w:rFonts w:ascii="Arial" w:hAnsi="Arial" w:cs="Arial"/>
          <w:sz w:val="24"/>
          <w:szCs w:val="24"/>
        </w:rPr>
        <w:t>American Chemical Society</w:t>
      </w:r>
      <w:r w:rsidRPr="00282F47">
        <w:rPr>
          <w:rFonts w:ascii="Arial" w:hAnsi="Arial" w:cs="Arial"/>
          <w:sz w:val="24"/>
          <w:szCs w:val="24"/>
        </w:rPr>
        <w:t xml:space="preserve"> or </w:t>
      </w:r>
      <w:r w:rsidR="00A57850">
        <w:rPr>
          <w:rFonts w:ascii="Arial" w:hAnsi="Arial" w:cs="Arial"/>
          <w:sz w:val="24"/>
          <w:szCs w:val="24"/>
        </w:rPr>
        <w:t>high-performance liquid chromatography</w:t>
      </w:r>
      <w:r w:rsidRPr="00282F47">
        <w:rPr>
          <w:rFonts w:ascii="Arial" w:hAnsi="Arial" w:cs="Arial"/>
          <w:sz w:val="24"/>
          <w:szCs w:val="24"/>
        </w:rPr>
        <w:t xml:space="preserve"> grade, purchased from Sigma Aldrich (Saint Louis, MO), Thermo Fisher Scientific and TCI America (Waltham, MA). </w:t>
      </w:r>
      <w:r w:rsidRPr="00282F47">
        <w:rPr>
          <w:rFonts w:ascii="Arial" w:hAnsi="Arial" w:cs="Arial"/>
          <w:sz w:val="24"/>
          <w:szCs w:val="24"/>
          <w:vertAlign w:val="superscript"/>
        </w:rPr>
        <w:t>1</w:t>
      </w:r>
      <w:r w:rsidRPr="00282F47">
        <w:rPr>
          <w:rFonts w:ascii="Arial" w:hAnsi="Arial" w:cs="Arial"/>
          <w:sz w:val="24"/>
          <w:szCs w:val="24"/>
        </w:rPr>
        <w:t>H-</w:t>
      </w:r>
      <w:r w:rsidR="00A57850">
        <w:rPr>
          <w:rFonts w:ascii="Arial" w:hAnsi="Arial" w:cs="Arial"/>
          <w:sz w:val="24"/>
          <w:szCs w:val="24"/>
        </w:rPr>
        <w:t xml:space="preserve"> nuclear magnetic resonance (</w:t>
      </w:r>
      <w:r w:rsidRPr="00282F47">
        <w:rPr>
          <w:rFonts w:ascii="Arial" w:hAnsi="Arial" w:cs="Arial"/>
          <w:sz w:val="24"/>
          <w:szCs w:val="24"/>
        </w:rPr>
        <w:t>NMR</w:t>
      </w:r>
      <w:r w:rsidR="00A57850">
        <w:rPr>
          <w:rFonts w:ascii="Arial" w:hAnsi="Arial" w:cs="Arial"/>
          <w:sz w:val="24"/>
          <w:szCs w:val="24"/>
        </w:rPr>
        <w:t>)</w:t>
      </w:r>
      <w:r w:rsidRPr="00282F47">
        <w:rPr>
          <w:rFonts w:ascii="Arial" w:hAnsi="Arial" w:cs="Arial"/>
          <w:sz w:val="24"/>
          <w:szCs w:val="24"/>
        </w:rPr>
        <w:t xml:space="preserve"> (400 MHz) and </w:t>
      </w:r>
      <w:r w:rsidRPr="00282F47">
        <w:rPr>
          <w:rFonts w:ascii="Arial" w:hAnsi="Arial" w:cs="Arial"/>
          <w:sz w:val="24"/>
          <w:szCs w:val="24"/>
          <w:vertAlign w:val="superscript"/>
        </w:rPr>
        <w:t>13</w:t>
      </w:r>
      <w:r w:rsidRPr="00282F47">
        <w:rPr>
          <w:rFonts w:ascii="Arial" w:hAnsi="Arial" w:cs="Arial"/>
          <w:sz w:val="24"/>
          <w:szCs w:val="24"/>
        </w:rPr>
        <w:t xml:space="preserve">C-NMR (100 MHz) spectra were recorded using a Bruker Avance spectrometer with </w:t>
      </w:r>
      <w:r w:rsidR="00A57850">
        <w:rPr>
          <w:rFonts w:ascii="Arial" w:hAnsi="Arial" w:cs="Arial"/>
          <w:sz w:val="24"/>
          <w:szCs w:val="24"/>
        </w:rPr>
        <w:t>dimethyl sulfoxide-</w:t>
      </w:r>
      <w:r w:rsidRPr="00282F47">
        <w:rPr>
          <w:rFonts w:ascii="Arial" w:hAnsi="Arial" w:cs="Arial"/>
          <w:sz w:val="24"/>
          <w:szCs w:val="24"/>
        </w:rPr>
        <w:t>d6 (Cambridge Isotope Laboratories, Andover, MA) and CDCl</w:t>
      </w:r>
      <w:r w:rsidRPr="00282F47">
        <w:rPr>
          <w:rFonts w:ascii="Arial" w:hAnsi="Arial" w:cs="Arial"/>
          <w:sz w:val="24"/>
          <w:szCs w:val="24"/>
          <w:vertAlign w:val="subscript"/>
        </w:rPr>
        <w:t>3</w:t>
      </w:r>
      <w:r w:rsidRPr="00282F47">
        <w:rPr>
          <w:rFonts w:ascii="Arial" w:hAnsi="Arial" w:cs="Arial"/>
          <w:sz w:val="24"/>
          <w:szCs w:val="24"/>
        </w:rPr>
        <w:t xml:space="preserve"> (Sigma-Aldrich, Burlington, MA) containing tetramethylsilane (TMS) as a calibration standard. The melting points were measured with open capillary tubes and Thomas Hoover apparatus. The </w:t>
      </w:r>
      <w:r w:rsidR="00A57850">
        <w:rPr>
          <w:rFonts w:ascii="Arial" w:hAnsi="Arial" w:cs="Arial"/>
          <w:sz w:val="24"/>
          <w:szCs w:val="24"/>
        </w:rPr>
        <w:t>ultraviolet-visible (</w:t>
      </w:r>
      <w:r w:rsidRPr="00282F47">
        <w:rPr>
          <w:rFonts w:ascii="Arial" w:hAnsi="Arial" w:cs="Arial"/>
          <w:sz w:val="24"/>
          <w:szCs w:val="24"/>
        </w:rPr>
        <w:t>UV-</w:t>
      </w:r>
      <w:r w:rsidR="00A57850">
        <w:rPr>
          <w:rFonts w:ascii="Arial" w:hAnsi="Arial" w:cs="Arial"/>
          <w:sz w:val="24"/>
          <w:szCs w:val="24"/>
        </w:rPr>
        <w:t>VIS)</w:t>
      </w:r>
      <w:r w:rsidRPr="00282F47">
        <w:rPr>
          <w:rFonts w:ascii="Arial" w:hAnsi="Arial" w:cs="Arial"/>
          <w:sz w:val="24"/>
          <w:szCs w:val="24"/>
        </w:rPr>
        <w:t xml:space="preserve"> absorptions and fluorescence emission were measured using a Varian Cary 50 spectrophotometer (Santa Clara, CA) </w:t>
      </w:r>
      <w:r w:rsidRPr="00282F47">
        <w:rPr>
          <w:rFonts w:ascii="Arial" w:hAnsi="Arial" w:cs="Arial"/>
          <w:sz w:val="24"/>
          <w:szCs w:val="24"/>
        </w:rPr>
        <w:lastRenderedPageBreak/>
        <w:t>and Shimadzu RF-5301 PC spectrofluorometer, respectively. VWR disposable polystyrene cuvettes with path length 1 cm were utilized to dissolve the dye in solvents for measurement. The quantum yields of dyes were measured according to the reported method with reference to ICG.</w:t>
      </w:r>
    </w:p>
    <w:bookmarkEnd w:id="27"/>
    <w:p w14:paraId="0F5B7CB4"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3.3.2 Compound synthesis</w:t>
      </w:r>
    </w:p>
    <w:p w14:paraId="43CBCC33"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3.3.2a Synthetic procedure of heptamethine cyanine dyes (9 and 10)</w:t>
      </w:r>
    </w:p>
    <w:p w14:paraId="7C658CF3" w14:textId="035E590D" w:rsidR="002027D2" w:rsidRPr="00282F47" w:rsidRDefault="002027D2" w:rsidP="001E3906">
      <w:pPr>
        <w:spacing w:line="480" w:lineRule="auto"/>
        <w:jc w:val="both"/>
        <w:rPr>
          <w:rFonts w:ascii="Arial" w:hAnsi="Arial" w:cs="Arial"/>
          <w:sz w:val="24"/>
          <w:szCs w:val="24"/>
        </w:rPr>
      </w:pPr>
      <w:bookmarkStart w:id="28" w:name="_Hlk149821707"/>
      <w:r w:rsidRPr="00282F47">
        <w:rPr>
          <w:rFonts w:ascii="Arial" w:hAnsi="Arial" w:cs="Arial"/>
          <w:sz w:val="24"/>
          <w:szCs w:val="24"/>
        </w:rPr>
        <w:t>Heptamethine cyanine dyes 9 and 10 were synthesized according to the previously reported procedure.</w:t>
      </w:r>
      <w:r w:rsidRPr="00282F47">
        <w:rPr>
          <w:rFonts w:ascii="Arial" w:hAnsi="Arial" w:cs="Arial"/>
          <w:noProof/>
          <w:sz w:val="24"/>
          <w:szCs w:val="24"/>
          <w:vertAlign w:val="superscript"/>
        </w:rPr>
        <w:t>116-118</w:t>
      </w:r>
      <w:r w:rsidRPr="00282F47">
        <w:rPr>
          <w:rFonts w:ascii="Arial" w:hAnsi="Arial" w:cs="Arial"/>
          <w:sz w:val="24"/>
          <w:szCs w:val="24"/>
        </w:rPr>
        <w:t xml:space="preserve"> As shown in </w:t>
      </w:r>
      <w:r w:rsidRPr="00282F47">
        <w:rPr>
          <w:rFonts w:ascii="Arial" w:hAnsi="Arial" w:cs="Arial"/>
          <w:b/>
          <w:bCs/>
          <w:sz w:val="24"/>
          <w:szCs w:val="24"/>
        </w:rPr>
        <w:t>Figure 3.2</w:t>
      </w:r>
      <w:r w:rsidRPr="00282F47">
        <w:rPr>
          <w:rFonts w:ascii="Arial" w:hAnsi="Arial" w:cs="Arial"/>
          <w:sz w:val="24"/>
          <w:szCs w:val="24"/>
        </w:rPr>
        <w:t xml:space="preserve">, the heptamethine cyanine dyes were formed by the condensation of substituted indolium salt (synthesis outlined in </w:t>
      </w:r>
      <w:r w:rsidRPr="00282F47">
        <w:rPr>
          <w:rFonts w:ascii="Arial" w:hAnsi="Arial" w:cs="Arial"/>
          <w:b/>
          <w:bCs/>
          <w:sz w:val="24"/>
          <w:szCs w:val="24"/>
        </w:rPr>
        <w:t>Chapter 2.3.2</w:t>
      </w:r>
      <w:r w:rsidRPr="00282F47">
        <w:rPr>
          <w:rFonts w:ascii="Arial" w:hAnsi="Arial" w:cs="Arial"/>
          <w:sz w:val="24"/>
          <w:szCs w:val="24"/>
        </w:rPr>
        <w:t>) and the Vilsmeier Haack linker.</w:t>
      </w:r>
      <w:r w:rsidRPr="00282F47">
        <w:rPr>
          <w:rFonts w:ascii="Arial" w:hAnsi="Arial" w:cs="Arial"/>
          <w:noProof/>
          <w:sz w:val="24"/>
          <w:szCs w:val="24"/>
          <w:vertAlign w:val="superscript"/>
        </w:rPr>
        <w:t>118</w:t>
      </w:r>
      <w:r w:rsidRPr="00282F47">
        <w:rPr>
          <w:rFonts w:ascii="Arial" w:hAnsi="Arial" w:cs="Arial"/>
          <w:sz w:val="24"/>
          <w:szCs w:val="24"/>
        </w:rPr>
        <w:t xml:space="preserve"> The indolium salt (2 mol), substituted linker 3 (2 mol), and sodium acetate (3 mol) were added into a round bottomed flask and dissolved with 5 mL of acetic anhydride. The reaction was refluxed for 2-4 h at 70 °C. The reaction was monitored by UV spectrophotometer. After completion, the mixture was cooled down and precipitated with ether to crystallize. The solid was filtered and recrystallized with methanol and ethyl acetate (10:100). The products 9 and 10 yielded green solids.</w:t>
      </w:r>
    </w:p>
    <w:bookmarkEnd w:id="28"/>
    <w:p w14:paraId="5EDD50F8"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 xml:space="preserve">3.3.2b </w:t>
      </w:r>
      <w:bookmarkStart w:id="29" w:name="_Hlk149821745"/>
      <w:r w:rsidRPr="00282F47">
        <w:rPr>
          <w:rFonts w:ascii="Arial" w:hAnsi="Arial" w:cs="Arial"/>
          <w:b/>
          <w:bCs/>
          <w:sz w:val="24"/>
          <w:szCs w:val="24"/>
        </w:rPr>
        <w:t>Synthetic procedure for hemicyanine dyes 11A and 11B</w:t>
      </w:r>
    </w:p>
    <w:p w14:paraId="6B781C53" w14:textId="77777777" w:rsidR="002027D2" w:rsidRPr="00282F47" w:rsidRDefault="002027D2" w:rsidP="001E3906">
      <w:pPr>
        <w:spacing w:line="480" w:lineRule="auto"/>
        <w:jc w:val="both"/>
        <w:rPr>
          <w:rFonts w:ascii="Arial" w:hAnsi="Arial" w:cs="Arial"/>
          <w:sz w:val="24"/>
          <w:szCs w:val="24"/>
        </w:rPr>
      </w:pPr>
      <w:r w:rsidRPr="00282F47">
        <w:rPr>
          <w:rFonts w:ascii="Arial" w:hAnsi="Arial" w:cs="Arial"/>
          <w:sz w:val="24"/>
          <w:szCs w:val="24"/>
        </w:rPr>
        <w:t xml:space="preserve">The addition of resorcinol to heptamethine dye under basic conditions allowed the retro-Knoevenagel to occur. The resorcinol (2.5 mmol) was dissolved in acetonitrile (3 mL) under nitrogen atmosphere. Triethylamine (2.5 mmol) was added to the mixture and stirred for 15 min. Heptamethine cyanine dye (9 or 10, 1 mol) was added to the mixture. The reaction was refluxed at 80 </w:t>
      </w:r>
      <w:r w:rsidRPr="00282F47">
        <w:rPr>
          <w:rFonts w:ascii="Cambria Math" w:hAnsi="Cambria Math" w:cs="Cambria Math"/>
          <w:sz w:val="24"/>
          <w:szCs w:val="24"/>
        </w:rPr>
        <w:t>℃</w:t>
      </w:r>
      <w:r w:rsidRPr="00282F47">
        <w:rPr>
          <w:rFonts w:ascii="Arial" w:hAnsi="Arial" w:cs="Arial"/>
          <w:sz w:val="24"/>
          <w:szCs w:val="24"/>
        </w:rPr>
        <w:t xml:space="preserve"> for 2-4 h. The reaction was monitored with UV. After completion, the mixture was reduced and purify with silica gel column chromatography </w:t>
      </w:r>
      <w:r w:rsidRPr="00282F47">
        <w:rPr>
          <w:rFonts w:ascii="Arial" w:hAnsi="Arial" w:cs="Arial"/>
          <w:sz w:val="24"/>
          <w:szCs w:val="24"/>
        </w:rPr>
        <w:lastRenderedPageBreak/>
        <w:t>using DCM-MeOH (90:10). The fractions were collected and dried with the vacuum. The solid was recrystallized and filtered. The product yielded dark blue solids.</w:t>
      </w:r>
    </w:p>
    <w:bookmarkEnd w:id="29"/>
    <w:p w14:paraId="79E37B02"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 xml:space="preserve">3.3.2c </w:t>
      </w:r>
      <w:bookmarkStart w:id="30" w:name="_Hlk149821767"/>
      <w:r w:rsidRPr="00282F47">
        <w:rPr>
          <w:rFonts w:ascii="Arial" w:hAnsi="Arial" w:cs="Arial"/>
          <w:b/>
          <w:bCs/>
          <w:sz w:val="24"/>
          <w:szCs w:val="24"/>
        </w:rPr>
        <w:t>Synthetic procedure for hemicyanine dyes 12A and 12B</w:t>
      </w:r>
    </w:p>
    <w:p w14:paraId="26F2FA6F" w14:textId="15A90F50" w:rsidR="002027D2" w:rsidRPr="00282F47" w:rsidRDefault="002027D2" w:rsidP="001E3906">
      <w:pPr>
        <w:spacing w:line="480" w:lineRule="auto"/>
        <w:jc w:val="both"/>
        <w:rPr>
          <w:rFonts w:ascii="Arial" w:hAnsi="Arial" w:cs="Arial"/>
          <w:b/>
          <w:bCs/>
          <w:sz w:val="24"/>
          <w:szCs w:val="24"/>
        </w:rPr>
      </w:pPr>
      <w:r w:rsidRPr="00282F47">
        <w:rPr>
          <w:rFonts w:ascii="Arial" w:hAnsi="Arial" w:cs="Arial"/>
          <w:sz w:val="24"/>
          <w:szCs w:val="24"/>
        </w:rPr>
        <w:t>3-nitro phenol (3 mmol) and potassium carbonate (3 mmol) were dissolved in acetonitrile (3 mL) by stirring for 15 mins at room temperature under nitrogen atmosphere. Then, the heptamethine cyanine dyes (9 or 10, 1 mmol) dissolved in acetonitrile were added to the reaction flask and refluxed at 80 °C for 12 hours. The reaction monitored by UV-</w:t>
      </w:r>
      <w:r w:rsidR="0057785B">
        <w:rPr>
          <w:rFonts w:ascii="Arial" w:hAnsi="Arial" w:cs="Arial"/>
          <w:sz w:val="24"/>
          <w:szCs w:val="24"/>
        </w:rPr>
        <w:t>VIS</w:t>
      </w:r>
      <w:r w:rsidRPr="00282F47">
        <w:rPr>
          <w:rFonts w:ascii="Arial" w:hAnsi="Arial" w:cs="Arial"/>
          <w:sz w:val="24"/>
          <w:szCs w:val="24"/>
        </w:rPr>
        <w:t xml:space="preserve"> spectroscopy and upon completion, the solvent was evaporated. To reduce the dye, it was dissolved in 20 mL methanol and SnCl</w:t>
      </w:r>
      <w:r w:rsidRPr="00282F47">
        <w:rPr>
          <w:rFonts w:ascii="Arial" w:hAnsi="Arial" w:cs="Arial"/>
          <w:sz w:val="24"/>
          <w:szCs w:val="24"/>
          <w:vertAlign w:val="subscript"/>
        </w:rPr>
        <w:t>2</w:t>
      </w:r>
      <w:r w:rsidRPr="00282F47">
        <w:rPr>
          <w:rFonts w:ascii="Arial" w:hAnsi="Arial" w:cs="Arial"/>
          <w:sz w:val="24"/>
          <w:szCs w:val="24"/>
        </w:rPr>
        <w:t xml:space="preserve"> (10 mmol) in diluted HCl solution (2 mL) was added. The mixture refluxed at 80 °C overnight. The solution was neutralized by NaCO3 and filtered. The filtrate was collected by washing several times with DCM and solvent evaporated. The solid was purified by silica gel column chromatography using DCM: MeOH (95:5) and recrystallized with MeOH: EtOAc (5:95) to yield green solids.</w:t>
      </w:r>
    </w:p>
    <w:bookmarkEnd w:id="30"/>
    <w:p w14:paraId="527E2DCB"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 xml:space="preserve">3.3.2d </w:t>
      </w:r>
      <w:bookmarkStart w:id="31" w:name="_Hlk149821775"/>
      <w:r w:rsidRPr="00282F47">
        <w:rPr>
          <w:rFonts w:ascii="Arial" w:hAnsi="Arial" w:cs="Arial"/>
          <w:b/>
          <w:bCs/>
          <w:sz w:val="24"/>
          <w:szCs w:val="24"/>
        </w:rPr>
        <w:t>Synthetic procedure for hemicyanine dyes 13A, 13B, 14A, and 14B</w:t>
      </w:r>
    </w:p>
    <w:p w14:paraId="4DAFAACC" w14:textId="77777777" w:rsidR="002027D2" w:rsidRPr="00282F47" w:rsidRDefault="002027D2" w:rsidP="001E3906">
      <w:pPr>
        <w:spacing w:line="480" w:lineRule="auto"/>
        <w:jc w:val="both"/>
        <w:rPr>
          <w:rFonts w:ascii="Arial" w:hAnsi="Arial" w:cs="Arial"/>
          <w:sz w:val="24"/>
          <w:szCs w:val="24"/>
        </w:rPr>
      </w:pPr>
      <w:r w:rsidRPr="00282F47">
        <w:rPr>
          <w:rFonts w:ascii="Arial" w:hAnsi="Arial" w:cs="Arial"/>
          <w:sz w:val="24"/>
          <w:szCs w:val="24"/>
        </w:rPr>
        <w:t>The 3-(dimethylamino) phenol for 13a and 13b, and 3-(dimethylamino) phenol for 14a an 14b, (2.5 mmol) was dissolved in acetonitrile (3 mL). Triethylamine (2.5 mol) was added to the mixture and stirred for 15 min. Heptamethine cyanine dye (1 mmol) was also added to the mixture. The reaction was refluxed at 80</w:t>
      </w:r>
      <w:r w:rsidRPr="00282F47">
        <w:rPr>
          <w:rFonts w:ascii="Cambria Math" w:hAnsi="Cambria Math" w:cs="Cambria Math"/>
          <w:sz w:val="24"/>
          <w:szCs w:val="24"/>
        </w:rPr>
        <w:t>℃</w:t>
      </w:r>
      <w:r w:rsidRPr="00282F47">
        <w:rPr>
          <w:rFonts w:ascii="Arial" w:hAnsi="Arial" w:cs="Arial"/>
          <w:sz w:val="24"/>
          <w:szCs w:val="24"/>
        </w:rPr>
        <w:t xml:space="preserve"> for 4 h. The reaction was monitored with UV. After completion, the mixture was reduced and purified with silica gel column chromatography using DCM-MeOH (90:10). The fractions were collected and dried under vacuum. The solid was recrystallized and filtered. The product yielded dark blue solids.</w:t>
      </w:r>
    </w:p>
    <w:bookmarkEnd w:id="31"/>
    <w:p w14:paraId="67383D15"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3.3.3 Compound characterization</w:t>
      </w:r>
    </w:p>
    <w:p w14:paraId="738C3AD3"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3.3.3a Molecular properties</w:t>
      </w:r>
    </w:p>
    <w:p w14:paraId="65B99594" w14:textId="77777777" w:rsidR="002027D2" w:rsidRPr="00282F47" w:rsidRDefault="002027D2" w:rsidP="00312681">
      <w:pPr>
        <w:spacing w:line="480" w:lineRule="auto"/>
        <w:jc w:val="both"/>
        <w:rPr>
          <w:rFonts w:ascii="Arial" w:hAnsi="Arial" w:cs="Arial"/>
          <w:sz w:val="24"/>
          <w:szCs w:val="24"/>
        </w:rPr>
      </w:pPr>
      <w:bookmarkStart w:id="32" w:name="_Hlk149821801"/>
      <w:r w:rsidRPr="00282F47">
        <w:rPr>
          <w:rFonts w:ascii="Arial" w:hAnsi="Arial" w:cs="Arial"/>
          <w:sz w:val="24"/>
          <w:szCs w:val="24"/>
        </w:rPr>
        <w:lastRenderedPageBreak/>
        <w:t>Molecular properties of hemicyanine compounds were calculated with ChemDoodle Web Components.</w:t>
      </w:r>
    </w:p>
    <w:bookmarkEnd w:id="32"/>
    <w:p w14:paraId="1BAC4262"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3.3.3b Absorbance</w:t>
      </w:r>
    </w:p>
    <w:p w14:paraId="3A7B677E" w14:textId="6CC72FFB" w:rsidR="002027D2" w:rsidRPr="00282F47" w:rsidRDefault="002027D2" w:rsidP="001E3906">
      <w:pPr>
        <w:spacing w:line="480" w:lineRule="auto"/>
        <w:jc w:val="both"/>
        <w:rPr>
          <w:rFonts w:ascii="Arial" w:hAnsi="Arial" w:cs="Arial"/>
          <w:sz w:val="24"/>
          <w:szCs w:val="24"/>
        </w:rPr>
      </w:pPr>
      <w:r w:rsidRPr="00282F47">
        <w:rPr>
          <w:rFonts w:ascii="Arial" w:hAnsi="Arial" w:cs="Arial"/>
          <w:sz w:val="24"/>
          <w:szCs w:val="24"/>
        </w:rPr>
        <w:t>Following compound synthesis, each were diluted in ethanol (50%) to a dilution of 1 mM. Compounds were further diluted to lesser concentrations of 100 μM, 10 μM, and 1 μM. The absorbance of each of the dilutions were measured and recorded using a UV-</w:t>
      </w:r>
      <w:r w:rsidR="0057785B">
        <w:rPr>
          <w:rFonts w:ascii="Arial" w:hAnsi="Arial" w:cs="Arial"/>
          <w:sz w:val="24"/>
          <w:szCs w:val="24"/>
        </w:rPr>
        <w:t>VIS</w:t>
      </w:r>
      <w:r w:rsidRPr="00282F47">
        <w:rPr>
          <w:rFonts w:ascii="Arial" w:hAnsi="Arial" w:cs="Arial"/>
          <w:sz w:val="24"/>
          <w:szCs w:val="24"/>
        </w:rPr>
        <w:t xml:space="preserve"> Varian Cary 50 spectrophotometer.</w:t>
      </w:r>
    </w:p>
    <w:p w14:paraId="2B3E27F6"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3.3.3c Optoacoustic spectra acquisition</w:t>
      </w:r>
    </w:p>
    <w:p w14:paraId="0A8FE462" w14:textId="77777777" w:rsidR="002027D2" w:rsidRPr="00282F47" w:rsidRDefault="002027D2" w:rsidP="00CA4B9F">
      <w:pPr>
        <w:spacing w:line="480" w:lineRule="auto"/>
        <w:jc w:val="both"/>
        <w:rPr>
          <w:rFonts w:ascii="Arial" w:hAnsi="Arial" w:cs="Arial"/>
          <w:sz w:val="24"/>
          <w:szCs w:val="24"/>
        </w:rPr>
      </w:pPr>
      <w:r w:rsidRPr="00282F47">
        <w:rPr>
          <w:rFonts w:ascii="Arial" w:hAnsi="Arial" w:cs="Arial"/>
          <w:sz w:val="24"/>
          <w:szCs w:val="24"/>
        </w:rPr>
        <w:t>Dilutions that were utilized in absorbance measurements were similarly used for optoacoustic signal quantification. 200 μL of solutions noted above were loaded into 0.5 mL microcentrifuge tubes and encapsulation within agar-based tissue mimicking phantoms. Samples were quantified using an iThera Medical InVision 512 TF MSOT. Samples were irradiated with a pulsed, tunable laser source at wavelengths at 10 nm intervals between 680 nm and 900 nm to measure optoacoustic signal as a function of wavelength of irradiated light. Single-wavelength measurements at 710, 730, 740, 810, and 830 nm were also acquired.</w:t>
      </w:r>
    </w:p>
    <w:p w14:paraId="4D39392D"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3.3.4 Evaluation of solvent effects</w:t>
      </w:r>
    </w:p>
    <w:p w14:paraId="27534851" w14:textId="74541161" w:rsidR="002027D2" w:rsidRPr="00282F47" w:rsidRDefault="002027D2" w:rsidP="00CA4B9F">
      <w:pPr>
        <w:spacing w:line="480" w:lineRule="auto"/>
        <w:jc w:val="both"/>
        <w:rPr>
          <w:rFonts w:ascii="Arial" w:hAnsi="Arial" w:cs="Arial"/>
          <w:sz w:val="24"/>
          <w:szCs w:val="24"/>
        </w:rPr>
      </w:pPr>
      <w:r w:rsidRPr="00282F47">
        <w:rPr>
          <w:rFonts w:ascii="Arial" w:hAnsi="Arial" w:cs="Arial"/>
          <w:sz w:val="24"/>
          <w:szCs w:val="24"/>
        </w:rPr>
        <w:t xml:space="preserve">To evaluate the effects of solvent polarity on the stabilization of the TICT state, multiple solvents with varying polarities were used to solvate compounds prior to absorbance and optoacoustic signal quantification. Solvents used and respective dielectric constants include: </w:t>
      </w:r>
      <w:r w:rsidR="005633B0">
        <w:rPr>
          <w:rFonts w:ascii="Arial" w:hAnsi="Arial" w:cs="Arial"/>
          <w:sz w:val="24"/>
          <w:szCs w:val="24"/>
        </w:rPr>
        <w:t>d</w:t>
      </w:r>
      <w:r w:rsidRPr="00282F47">
        <w:rPr>
          <w:rFonts w:ascii="Arial" w:hAnsi="Arial" w:cs="Arial"/>
          <w:sz w:val="24"/>
          <w:szCs w:val="24"/>
        </w:rPr>
        <w:t xml:space="preserve">iethyl ether – 4.3; </w:t>
      </w:r>
      <w:r w:rsidR="005633B0">
        <w:rPr>
          <w:rFonts w:ascii="Arial" w:hAnsi="Arial" w:cs="Arial"/>
          <w:sz w:val="24"/>
          <w:szCs w:val="24"/>
        </w:rPr>
        <w:t>a</w:t>
      </w:r>
      <w:r w:rsidRPr="00282F47">
        <w:rPr>
          <w:rFonts w:ascii="Arial" w:hAnsi="Arial" w:cs="Arial"/>
          <w:sz w:val="24"/>
          <w:szCs w:val="24"/>
        </w:rPr>
        <w:t xml:space="preserve">cetic </w:t>
      </w:r>
      <w:r w:rsidR="005633B0">
        <w:rPr>
          <w:rFonts w:ascii="Arial" w:hAnsi="Arial" w:cs="Arial"/>
          <w:sz w:val="24"/>
          <w:szCs w:val="24"/>
        </w:rPr>
        <w:t>a</w:t>
      </w:r>
      <w:r w:rsidRPr="00282F47">
        <w:rPr>
          <w:rFonts w:ascii="Arial" w:hAnsi="Arial" w:cs="Arial"/>
          <w:sz w:val="24"/>
          <w:szCs w:val="24"/>
        </w:rPr>
        <w:t xml:space="preserve">cid – 6; </w:t>
      </w:r>
      <w:r w:rsidR="005633B0">
        <w:rPr>
          <w:rFonts w:ascii="Arial" w:hAnsi="Arial" w:cs="Arial"/>
          <w:sz w:val="24"/>
          <w:szCs w:val="24"/>
        </w:rPr>
        <w:t>d</w:t>
      </w:r>
      <w:r w:rsidRPr="00282F47">
        <w:rPr>
          <w:rFonts w:ascii="Arial" w:hAnsi="Arial" w:cs="Arial"/>
          <w:sz w:val="24"/>
          <w:szCs w:val="24"/>
        </w:rPr>
        <w:t xml:space="preserve">ichloromethane – 9.1; </w:t>
      </w:r>
      <w:r w:rsidR="005633B0">
        <w:rPr>
          <w:rFonts w:ascii="Arial" w:hAnsi="Arial" w:cs="Arial"/>
          <w:sz w:val="24"/>
          <w:szCs w:val="24"/>
        </w:rPr>
        <w:t>a</w:t>
      </w:r>
      <w:r w:rsidRPr="00282F47">
        <w:rPr>
          <w:rFonts w:ascii="Arial" w:hAnsi="Arial" w:cs="Arial"/>
          <w:sz w:val="24"/>
          <w:szCs w:val="24"/>
        </w:rPr>
        <w:t xml:space="preserve">cetone – 18; </w:t>
      </w:r>
      <w:r w:rsidR="005633B0">
        <w:rPr>
          <w:rFonts w:ascii="Arial" w:hAnsi="Arial" w:cs="Arial"/>
          <w:sz w:val="24"/>
          <w:szCs w:val="24"/>
        </w:rPr>
        <w:t>e</w:t>
      </w:r>
      <w:r w:rsidRPr="00282F47">
        <w:rPr>
          <w:rFonts w:ascii="Arial" w:hAnsi="Arial" w:cs="Arial"/>
          <w:sz w:val="24"/>
          <w:szCs w:val="24"/>
        </w:rPr>
        <w:t xml:space="preserve">thanol (50%) – 45. As compounds varied in solubility depending on solvents, spectra were normalized to allow for comparison of spectral shape rather than magnitude. In addition, </w:t>
      </w:r>
      <w:r w:rsidRPr="00282F47">
        <w:rPr>
          <w:rFonts w:ascii="Arial" w:hAnsi="Arial" w:cs="Arial"/>
          <w:sz w:val="24"/>
          <w:szCs w:val="24"/>
        </w:rPr>
        <w:lastRenderedPageBreak/>
        <w:t>diethyl ether, dichloromethane, and acetone were unable to produce stable absorbance measurements, and therefore were included only in optoacoustic measurements.</w:t>
      </w:r>
    </w:p>
    <w:p w14:paraId="410A2484"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3.3.5 Evaluation of metal sensitivity</w:t>
      </w:r>
    </w:p>
    <w:p w14:paraId="3D27B4AB" w14:textId="582B9938" w:rsidR="002027D2" w:rsidRPr="00282F47" w:rsidRDefault="002027D2" w:rsidP="003A7B80">
      <w:pPr>
        <w:spacing w:line="480" w:lineRule="auto"/>
        <w:jc w:val="both"/>
        <w:rPr>
          <w:rFonts w:ascii="Arial" w:hAnsi="Arial" w:cs="Arial"/>
          <w:sz w:val="24"/>
          <w:szCs w:val="24"/>
        </w:rPr>
      </w:pPr>
      <w:r w:rsidRPr="00282F47">
        <w:rPr>
          <w:rFonts w:ascii="Arial" w:hAnsi="Arial" w:cs="Arial"/>
          <w:sz w:val="24"/>
          <w:szCs w:val="24"/>
        </w:rPr>
        <w:t>To evaluate if amino lone pairs results in varied optoacoustic/absorbance spectra, multiple concentrations (1:1, 10:1) of copper, zinc, iron, and sodium were added to 1</w:t>
      </w:r>
      <w:r w:rsidR="005633B0">
        <w:rPr>
          <w:rFonts w:ascii="Arial" w:hAnsi="Arial" w:cs="Arial"/>
          <w:sz w:val="24"/>
          <w:szCs w:val="24"/>
        </w:rPr>
        <w:t xml:space="preserve"> </w:t>
      </w:r>
      <w:r w:rsidRPr="00282F47">
        <w:rPr>
          <w:rFonts w:ascii="Arial" w:hAnsi="Arial" w:cs="Arial"/>
          <w:sz w:val="24"/>
          <w:szCs w:val="24"/>
        </w:rPr>
        <w:t>mM solutions of compounds. Absorbance and optoacoustic spectra were recorded with each sample (Supporting Information)</w:t>
      </w:r>
    </w:p>
    <w:p w14:paraId="374AE05C"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3.3.6 Cell lines</w:t>
      </w:r>
    </w:p>
    <w:p w14:paraId="4E8DF3E6" w14:textId="4150D2F5" w:rsidR="002027D2" w:rsidRPr="00282F47" w:rsidRDefault="002027D2" w:rsidP="00CA4B9F">
      <w:pPr>
        <w:spacing w:line="480" w:lineRule="auto"/>
        <w:jc w:val="both"/>
        <w:rPr>
          <w:rFonts w:ascii="Arial" w:hAnsi="Arial" w:cs="Arial"/>
          <w:sz w:val="24"/>
          <w:szCs w:val="24"/>
        </w:rPr>
      </w:pPr>
      <w:r w:rsidRPr="00282F47">
        <w:rPr>
          <w:rFonts w:ascii="Arial" w:hAnsi="Arial" w:cs="Arial"/>
          <w:sz w:val="24"/>
          <w:szCs w:val="24"/>
        </w:rPr>
        <w:t xml:space="preserve">Human kidney cells (293), human liver cells (HEP3B), human lung cells (A427), and human umbilical vein cells (HUVEC) were acquired from American Type Culture Collection. All cells were grown in standard </w:t>
      </w:r>
      <w:r w:rsidR="0047360B" w:rsidRPr="00282F47">
        <w:rPr>
          <w:rFonts w:ascii="Arial" w:hAnsi="Arial" w:cs="Arial"/>
          <w:sz w:val="24"/>
          <w:szCs w:val="24"/>
        </w:rPr>
        <w:t xml:space="preserve">Dulbecco’s Modified Eagle Medium </w:t>
      </w:r>
      <w:r w:rsidR="0047360B">
        <w:rPr>
          <w:rFonts w:ascii="Arial" w:hAnsi="Arial" w:cs="Arial"/>
          <w:sz w:val="24"/>
          <w:szCs w:val="24"/>
        </w:rPr>
        <w:t>(</w:t>
      </w:r>
      <w:r w:rsidRPr="00282F47">
        <w:rPr>
          <w:rFonts w:ascii="Arial" w:hAnsi="Arial" w:cs="Arial"/>
          <w:sz w:val="24"/>
          <w:szCs w:val="24"/>
        </w:rPr>
        <w:t>DMEM</w:t>
      </w:r>
      <w:r w:rsidR="0047360B">
        <w:rPr>
          <w:rFonts w:ascii="Arial" w:hAnsi="Arial" w:cs="Arial"/>
          <w:sz w:val="24"/>
          <w:szCs w:val="24"/>
        </w:rPr>
        <w:t>)</w:t>
      </w:r>
      <w:r w:rsidRPr="00282F47">
        <w:rPr>
          <w:rFonts w:ascii="Arial" w:hAnsi="Arial" w:cs="Arial"/>
          <w:sz w:val="24"/>
          <w:szCs w:val="24"/>
        </w:rPr>
        <w:t xml:space="preserve"> supplemented with 10% fetal bovine serum</w:t>
      </w:r>
      <w:r w:rsidR="0047360B">
        <w:rPr>
          <w:rFonts w:ascii="Arial" w:hAnsi="Arial" w:cs="Arial"/>
          <w:sz w:val="24"/>
          <w:szCs w:val="24"/>
        </w:rPr>
        <w:t xml:space="preserve"> (FBS)</w:t>
      </w:r>
      <w:r w:rsidRPr="00282F47">
        <w:rPr>
          <w:rFonts w:ascii="Arial" w:hAnsi="Arial" w:cs="Arial"/>
          <w:sz w:val="24"/>
          <w:szCs w:val="24"/>
        </w:rPr>
        <w:t xml:space="preserve"> and 1% L-glutamine and incubated at 37 °C with 5% CO</w:t>
      </w:r>
      <w:r w:rsidRPr="00282F47">
        <w:rPr>
          <w:rFonts w:ascii="Arial" w:hAnsi="Arial" w:cs="Arial"/>
          <w:sz w:val="24"/>
          <w:szCs w:val="24"/>
          <w:vertAlign w:val="subscript"/>
        </w:rPr>
        <w:t>2</w:t>
      </w:r>
      <w:r w:rsidRPr="00282F47">
        <w:rPr>
          <w:rFonts w:ascii="Arial" w:hAnsi="Arial" w:cs="Arial"/>
          <w:sz w:val="24"/>
          <w:szCs w:val="24"/>
        </w:rPr>
        <w:t>.</w:t>
      </w:r>
    </w:p>
    <w:p w14:paraId="36D2AD86"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3.3.7 Cellular viability</w:t>
      </w:r>
    </w:p>
    <w:p w14:paraId="4B57C7E5" w14:textId="269F5DB0" w:rsidR="002027D2" w:rsidRPr="00282F47" w:rsidRDefault="002027D2" w:rsidP="00CA4B9F">
      <w:pPr>
        <w:spacing w:line="480" w:lineRule="auto"/>
        <w:jc w:val="both"/>
        <w:rPr>
          <w:rFonts w:ascii="Arial" w:hAnsi="Arial" w:cs="Arial"/>
          <w:sz w:val="24"/>
          <w:szCs w:val="24"/>
        </w:rPr>
      </w:pPr>
      <w:r w:rsidRPr="00282F47">
        <w:rPr>
          <w:rFonts w:ascii="Arial" w:hAnsi="Arial" w:cs="Arial"/>
          <w:sz w:val="24"/>
          <w:szCs w:val="24"/>
        </w:rPr>
        <w:t xml:space="preserve">Cell lines were plated at 5000 cells per well in a 96 well plate and incubated for 24 h to allow for adherence. Cells were treated with 2.5 μL compounds, as well as methylene blue and </w:t>
      </w:r>
      <w:r w:rsidR="0047360B">
        <w:rPr>
          <w:rFonts w:ascii="Arial" w:hAnsi="Arial" w:cs="Arial"/>
          <w:sz w:val="24"/>
          <w:szCs w:val="24"/>
        </w:rPr>
        <w:t>ICG</w:t>
      </w:r>
      <w:r w:rsidRPr="00282F47">
        <w:rPr>
          <w:rFonts w:ascii="Arial" w:hAnsi="Arial" w:cs="Arial"/>
          <w:sz w:val="24"/>
          <w:szCs w:val="24"/>
        </w:rPr>
        <w:t xml:space="preserve"> controls at 200 μg/mL and 20 μg/mL. 24 h post treatment</w:t>
      </w:r>
      <w:r w:rsidR="0047360B">
        <w:rPr>
          <w:rFonts w:ascii="Arial" w:hAnsi="Arial" w:cs="Arial"/>
          <w:sz w:val="24"/>
          <w:szCs w:val="24"/>
        </w:rPr>
        <w:t xml:space="preserve"> adenosine triphosphate</w:t>
      </w:r>
      <w:r w:rsidRPr="00282F47">
        <w:rPr>
          <w:rFonts w:ascii="Arial" w:hAnsi="Arial" w:cs="Arial"/>
          <w:sz w:val="24"/>
          <w:szCs w:val="24"/>
        </w:rPr>
        <w:t xml:space="preserve"> </w:t>
      </w:r>
      <w:r w:rsidR="0047360B">
        <w:rPr>
          <w:rFonts w:ascii="Arial" w:hAnsi="Arial" w:cs="Arial"/>
          <w:sz w:val="24"/>
          <w:szCs w:val="24"/>
        </w:rPr>
        <w:t>(</w:t>
      </w:r>
      <w:r w:rsidRPr="00282F47">
        <w:rPr>
          <w:rFonts w:ascii="Arial" w:hAnsi="Arial" w:cs="Arial"/>
          <w:sz w:val="24"/>
          <w:szCs w:val="24"/>
        </w:rPr>
        <w:t>ATP</w:t>
      </w:r>
      <w:r w:rsidR="0047360B">
        <w:rPr>
          <w:rFonts w:ascii="Arial" w:hAnsi="Arial" w:cs="Arial"/>
          <w:sz w:val="24"/>
          <w:szCs w:val="24"/>
        </w:rPr>
        <w:t>)</w:t>
      </w:r>
      <w:r w:rsidRPr="00282F47">
        <w:rPr>
          <w:rFonts w:ascii="Arial" w:hAnsi="Arial" w:cs="Arial"/>
          <w:sz w:val="24"/>
          <w:szCs w:val="24"/>
        </w:rPr>
        <w:t xml:space="preserve"> levels were measured via ATPlite</w:t>
      </w:r>
      <w:r w:rsidRPr="00282F47">
        <w:rPr>
          <w:rFonts w:ascii="Arial" w:hAnsi="Arial" w:cs="Arial"/>
          <w:sz w:val="24"/>
          <w:szCs w:val="24"/>
          <w:vertAlign w:val="superscript"/>
        </w:rPr>
        <w:t>TM</w:t>
      </w:r>
      <w:r w:rsidRPr="00282F47">
        <w:rPr>
          <w:rFonts w:ascii="Arial" w:hAnsi="Arial" w:cs="Arial"/>
          <w:sz w:val="24"/>
          <w:szCs w:val="24"/>
        </w:rPr>
        <w:t xml:space="preserve"> to evaluate cellular viability. To avoid potential interactions with other dye-based viability assays (MTT and MTS assays) ATPLite</w:t>
      </w:r>
      <w:r w:rsidRPr="00282F47">
        <w:rPr>
          <w:rFonts w:ascii="Arial" w:hAnsi="Arial" w:cs="Arial"/>
          <w:sz w:val="24"/>
          <w:szCs w:val="24"/>
          <w:vertAlign w:val="superscript"/>
        </w:rPr>
        <w:t>TM</w:t>
      </w:r>
      <w:r w:rsidRPr="00282F47">
        <w:rPr>
          <w:rFonts w:ascii="Arial" w:hAnsi="Arial" w:cs="Arial"/>
          <w:sz w:val="24"/>
          <w:szCs w:val="24"/>
        </w:rPr>
        <w:t xml:space="preserve"> was utilized.</w:t>
      </w:r>
    </w:p>
    <w:p w14:paraId="019C6A59"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3.3.8 Murine model</w:t>
      </w:r>
    </w:p>
    <w:p w14:paraId="68A876C0" w14:textId="77777777" w:rsidR="002027D2" w:rsidRPr="00282F47" w:rsidRDefault="002027D2" w:rsidP="00CA4B9F">
      <w:pPr>
        <w:spacing w:line="480" w:lineRule="auto"/>
        <w:jc w:val="both"/>
        <w:rPr>
          <w:rFonts w:ascii="Arial" w:hAnsi="Arial" w:cs="Arial"/>
          <w:sz w:val="24"/>
          <w:szCs w:val="24"/>
        </w:rPr>
      </w:pPr>
      <w:r w:rsidRPr="00282F47">
        <w:rPr>
          <w:rFonts w:ascii="Arial" w:hAnsi="Arial" w:cs="Arial"/>
          <w:sz w:val="24"/>
          <w:szCs w:val="24"/>
        </w:rPr>
        <w:t xml:space="preserve">Female athymic nude mice aged 4 weeks were used for this study. Without hair, athymic mice are preferred for optoacoustic imaging due to a smooth connection between skin </w:t>
      </w:r>
      <w:r w:rsidRPr="00282F47">
        <w:rPr>
          <w:rFonts w:ascii="Arial" w:hAnsi="Arial" w:cs="Arial"/>
          <w:sz w:val="24"/>
          <w:szCs w:val="24"/>
        </w:rPr>
        <w:lastRenderedPageBreak/>
        <w:t xml:space="preserve">and ultrasonic transducers. Immunocompetent mice with hair would require shaving/hair removal to eliminate the possibility of obscured signal. All experiments outlined herein are in strict adherence to the Oklahoma University Health Science Center Animal Care and Use Committee approved protocol (IACUC 302166). Mice were fed a special diet (2920 X alfalfa free feed and ultrapure water) to reduce background </w:t>
      </w:r>
      <w:r w:rsidRPr="00282F47">
        <w:rPr>
          <w:rFonts w:ascii="Arial" w:hAnsi="Arial" w:cs="Arial"/>
          <w:i/>
          <w:iCs/>
          <w:sz w:val="24"/>
          <w:szCs w:val="24"/>
        </w:rPr>
        <w:t xml:space="preserve">in vivo </w:t>
      </w:r>
      <w:r w:rsidRPr="00282F47">
        <w:rPr>
          <w:rFonts w:ascii="Arial" w:hAnsi="Arial" w:cs="Arial"/>
          <w:sz w:val="24"/>
          <w:szCs w:val="24"/>
        </w:rPr>
        <w:t>signal.</w:t>
      </w:r>
    </w:p>
    <w:p w14:paraId="21E09A37"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 xml:space="preserve">3.3.9 </w:t>
      </w:r>
      <w:r w:rsidRPr="00282F47">
        <w:rPr>
          <w:rFonts w:ascii="Arial" w:hAnsi="Arial" w:cs="Arial"/>
          <w:b/>
          <w:bCs/>
          <w:i/>
          <w:iCs/>
          <w:sz w:val="24"/>
          <w:szCs w:val="24"/>
        </w:rPr>
        <w:t>In vivo</w:t>
      </w:r>
      <w:r w:rsidRPr="00282F47">
        <w:rPr>
          <w:rFonts w:ascii="Arial" w:hAnsi="Arial" w:cs="Arial"/>
          <w:b/>
          <w:bCs/>
          <w:sz w:val="24"/>
          <w:szCs w:val="24"/>
        </w:rPr>
        <w:t xml:space="preserve"> compound characterization</w:t>
      </w:r>
    </w:p>
    <w:p w14:paraId="4088F597" w14:textId="77777777" w:rsidR="002027D2" w:rsidRPr="00282F47" w:rsidRDefault="002027D2" w:rsidP="00CA4B9F">
      <w:pPr>
        <w:spacing w:line="480" w:lineRule="auto"/>
        <w:jc w:val="both"/>
        <w:rPr>
          <w:rFonts w:ascii="Arial" w:hAnsi="Arial" w:cs="Arial"/>
          <w:sz w:val="24"/>
          <w:szCs w:val="24"/>
        </w:rPr>
      </w:pPr>
      <w:r w:rsidRPr="00282F47">
        <w:rPr>
          <w:rFonts w:ascii="Arial" w:hAnsi="Arial" w:cs="Arial"/>
          <w:sz w:val="24"/>
          <w:szCs w:val="24"/>
        </w:rPr>
        <w:t>Mice were anesthetized with isoflurane and the abdomen was cleaned with betadine. An incision of 1 cm was made in the upper left quadrant of the abdomen. Using forceps, the spleen was retracted to expose the pancreas. 1 mM of the hemicyanine compounds were diluted to 100 μM in sterilized ultrasound gel, and 100 μL of diluted compounds were injected into a secluded region of the pancreas with a 25-gauge needle. Injected compounds were deemed successful if the injection site and compounds within could be visually identified. The organs were returned to the abdomen and the incisions were closed using 5-0 prolene sutures.</w:t>
      </w:r>
    </w:p>
    <w:p w14:paraId="614271E1" w14:textId="77777777" w:rsidR="002027D2" w:rsidRPr="00282F47" w:rsidRDefault="002027D2" w:rsidP="00CA4B9F">
      <w:pPr>
        <w:spacing w:line="480" w:lineRule="auto"/>
        <w:jc w:val="both"/>
        <w:rPr>
          <w:rFonts w:ascii="Arial" w:hAnsi="Arial" w:cs="Arial"/>
          <w:sz w:val="24"/>
          <w:szCs w:val="24"/>
        </w:rPr>
      </w:pPr>
      <w:r w:rsidRPr="00282F47">
        <w:rPr>
          <w:rFonts w:ascii="Arial" w:hAnsi="Arial" w:cs="Arial"/>
          <w:sz w:val="24"/>
          <w:szCs w:val="24"/>
        </w:rPr>
        <w:t>Mice were placed into the InVision 512 TF MSOT (iThera Medical, Munich, Germany) ventral side up and delivered constant anesthesia (1.5% isoflurane in 0.8 L/min medical air and 0.2 L/min oxygen). Serial slices of the abdomen were acquired at axial slices of 0.1 mm at intervals of 10 nm from 700 nm to 900 nm. 20 acquisitions (10 μs each) of each wavelength were recorded at each axial slice to minimize breathing artifacts. In addition, single wavelength signals were acquired at 710, 730, 740, 810, and 830 nm at a single slice with maximum compound presence. Through direct video feed of the animal, and through observation of breathing according to optoacoustic imaging, signs of distress were constantly monitored throughout optoacoustic imaging.</w:t>
      </w:r>
    </w:p>
    <w:p w14:paraId="4D179E47" w14:textId="3F601258" w:rsidR="002027D2" w:rsidRPr="00282F47" w:rsidRDefault="002027D2" w:rsidP="00CA4B9F">
      <w:pPr>
        <w:spacing w:line="480" w:lineRule="auto"/>
        <w:jc w:val="both"/>
        <w:rPr>
          <w:rFonts w:ascii="Arial" w:hAnsi="Arial" w:cs="Arial"/>
          <w:sz w:val="24"/>
          <w:szCs w:val="24"/>
        </w:rPr>
      </w:pPr>
      <w:r w:rsidRPr="00282F47">
        <w:rPr>
          <w:rFonts w:ascii="Arial" w:hAnsi="Arial" w:cs="Arial"/>
          <w:sz w:val="24"/>
          <w:szCs w:val="24"/>
        </w:rPr>
        <w:lastRenderedPageBreak/>
        <w:t>Following optoacoustic imaging, mice were imag</w:t>
      </w:r>
      <w:r w:rsidR="0047360B">
        <w:rPr>
          <w:rFonts w:ascii="Arial" w:hAnsi="Arial" w:cs="Arial"/>
          <w:sz w:val="24"/>
          <w:szCs w:val="24"/>
        </w:rPr>
        <w:t>ed</w:t>
      </w:r>
      <w:r w:rsidRPr="00282F47">
        <w:rPr>
          <w:rFonts w:ascii="Arial" w:hAnsi="Arial" w:cs="Arial"/>
          <w:sz w:val="24"/>
          <w:szCs w:val="24"/>
        </w:rPr>
        <w:t xml:space="preserve"> using </w:t>
      </w:r>
      <w:r w:rsidR="0047360B">
        <w:rPr>
          <w:rFonts w:ascii="Arial" w:hAnsi="Arial" w:cs="Arial"/>
          <w:sz w:val="24"/>
          <w:szCs w:val="24"/>
        </w:rPr>
        <w:t>NIR</w:t>
      </w:r>
      <w:r w:rsidRPr="00282F47">
        <w:rPr>
          <w:rFonts w:ascii="Arial" w:hAnsi="Arial" w:cs="Arial"/>
          <w:sz w:val="24"/>
          <w:szCs w:val="24"/>
        </w:rPr>
        <w:t xml:space="preserve"> fluorescence</w:t>
      </w:r>
      <w:r w:rsidR="0047360B">
        <w:rPr>
          <w:rFonts w:ascii="Arial" w:hAnsi="Arial" w:cs="Arial"/>
          <w:sz w:val="24"/>
          <w:szCs w:val="24"/>
        </w:rPr>
        <w:t xml:space="preserve"> with an</w:t>
      </w:r>
      <w:r w:rsidRPr="00282F47">
        <w:rPr>
          <w:rFonts w:ascii="Arial" w:hAnsi="Arial" w:cs="Arial"/>
          <w:sz w:val="24"/>
          <w:szCs w:val="24"/>
        </w:rPr>
        <w:t xml:space="preserve"> </w:t>
      </w:r>
      <w:r w:rsidR="0047360B">
        <w:rPr>
          <w:rFonts w:ascii="Arial" w:hAnsi="Arial" w:cs="Arial"/>
          <w:sz w:val="24"/>
          <w:szCs w:val="24"/>
        </w:rPr>
        <w:t>advanced molecular imager (</w:t>
      </w:r>
      <w:r w:rsidRPr="00282F47">
        <w:rPr>
          <w:rFonts w:ascii="Arial" w:hAnsi="Arial" w:cs="Arial"/>
          <w:sz w:val="24"/>
          <w:szCs w:val="24"/>
        </w:rPr>
        <w:t>AMI</w:t>
      </w:r>
      <w:r w:rsidR="0047360B">
        <w:rPr>
          <w:rFonts w:ascii="Arial" w:hAnsi="Arial" w:cs="Arial"/>
          <w:sz w:val="24"/>
          <w:szCs w:val="24"/>
        </w:rPr>
        <w:t>)</w:t>
      </w:r>
      <w:r w:rsidRPr="00282F47">
        <w:rPr>
          <w:rFonts w:ascii="Arial" w:hAnsi="Arial" w:cs="Arial"/>
          <w:sz w:val="24"/>
          <w:szCs w:val="24"/>
        </w:rPr>
        <w:t xml:space="preserve"> </w:t>
      </w:r>
      <w:r w:rsidR="0047360B">
        <w:rPr>
          <w:rFonts w:ascii="Arial" w:hAnsi="Arial" w:cs="Arial"/>
          <w:sz w:val="24"/>
          <w:szCs w:val="24"/>
        </w:rPr>
        <w:t>(</w:t>
      </w:r>
      <w:r w:rsidRPr="00282F47">
        <w:rPr>
          <w:rFonts w:ascii="Arial" w:hAnsi="Arial" w:cs="Arial"/>
          <w:sz w:val="24"/>
          <w:szCs w:val="24"/>
        </w:rPr>
        <w:t>Spectral Imaging Instruments, Tucson, AZ, USA). Mice were anesthetized as previously mentioned and imaged using multiple excitation and emission filters between 640 nm and 850 nm at 5 s of exposure for each image to confirm the presence of compounds.</w:t>
      </w:r>
    </w:p>
    <w:p w14:paraId="1E1FE5F5"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 xml:space="preserve">3.3.10 </w:t>
      </w:r>
      <w:r w:rsidRPr="00282F47">
        <w:rPr>
          <w:rFonts w:ascii="Arial" w:hAnsi="Arial" w:cs="Arial"/>
          <w:b/>
          <w:bCs/>
          <w:i/>
          <w:iCs/>
          <w:sz w:val="24"/>
          <w:szCs w:val="24"/>
        </w:rPr>
        <w:t>Ex vivo</w:t>
      </w:r>
      <w:r w:rsidRPr="00282F47">
        <w:rPr>
          <w:rFonts w:ascii="Arial" w:hAnsi="Arial" w:cs="Arial"/>
          <w:b/>
          <w:bCs/>
          <w:sz w:val="24"/>
          <w:szCs w:val="24"/>
        </w:rPr>
        <w:t xml:space="preserve"> organ analysis</w:t>
      </w:r>
    </w:p>
    <w:p w14:paraId="48C5AB84" w14:textId="5103D9C4" w:rsidR="002027D2" w:rsidRPr="00282F47" w:rsidRDefault="002027D2" w:rsidP="00CA4B9F">
      <w:pPr>
        <w:spacing w:line="480" w:lineRule="auto"/>
        <w:jc w:val="both"/>
        <w:rPr>
          <w:rFonts w:ascii="Arial" w:hAnsi="Arial" w:cs="Arial"/>
          <w:sz w:val="24"/>
          <w:szCs w:val="24"/>
        </w:rPr>
      </w:pPr>
      <w:r w:rsidRPr="00282F47">
        <w:rPr>
          <w:rFonts w:ascii="Arial" w:hAnsi="Arial" w:cs="Arial"/>
          <w:sz w:val="24"/>
          <w:szCs w:val="24"/>
        </w:rPr>
        <w:t xml:space="preserve">Following </w:t>
      </w:r>
      <w:r w:rsidRPr="00282F47">
        <w:rPr>
          <w:rFonts w:ascii="Arial" w:hAnsi="Arial" w:cs="Arial"/>
          <w:i/>
          <w:iCs/>
          <w:sz w:val="24"/>
          <w:szCs w:val="24"/>
        </w:rPr>
        <w:t xml:space="preserve">in vivo </w:t>
      </w:r>
      <w:r w:rsidRPr="00282F47">
        <w:rPr>
          <w:rFonts w:ascii="Arial" w:hAnsi="Arial" w:cs="Arial"/>
          <w:sz w:val="24"/>
          <w:szCs w:val="24"/>
        </w:rPr>
        <w:t xml:space="preserve">imaging, mice were euthanized by isoflurane overdose and cervical dislocation. Vital organs including the pancreas, liver, kidney, spleen, heart, and lung were excised and evaluated using NIR fluorescence to confirm the presence or absence of compounds in relationship to </w:t>
      </w:r>
      <w:r w:rsidRPr="00282F47">
        <w:rPr>
          <w:rFonts w:ascii="Arial" w:hAnsi="Arial" w:cs="Arial"/>
          <w:i/>
          <w:iCs/>
          <w:sz w:val="24"/>
          <w:szCs w:val="24"/>
        </w:rPr>
        <w:t xml:space="preserve">in vivo </w:t>
      </w:r>
      <w:r w:rsidRPr="00282F47">
        <w:rPr>
          <w:rFonts w:ascii="Arial" w:hAnsi="Arial" w:cs="Arial"/>
          <w:sz w:val="24"/>
          <w:szCs w:val="24"/>
        </w:rPr>
        <w:t xml:space="preserve">NIR fluorescence and optoacoustic imaging. Organs were also fixed in formalin and </w:t>
      </w:r>
      <w:r w:rsidR="0047360B">
        <w:rPr>
          <w:rFonts w:ascii="Arial" w:hAnsi="Arial" w:cs="Arial"/>
          <w:sz w:val="24"/>
          <w:szCs w:val="24"/>
        </w:rPr>
        <w:t>hematoxylin and eosin (</w:t>
      </w:r>
      <w:r w:rsidRPr="00282F47">
        <w:rPr>
          <w:rFonts w:ascii="Arial" w:hAnsi="Arial" w:cs="Arial"/>
          <w:sz w:val="24"/>
          <w:szCs w:val="24"/>
        </w:rPr>
        <w:t>H&amp;E</w:t>
      </w:r>
      <w:r w:rsidR="0047360B">
        <w:rPr>
          <w:rFonts w:ascii="Arial" w:hAnsi="Arial" w:cs="Arial"/>
          <w:sz w:val="24"/>
          <w:szCs w:val="24"/>
        </w:rPr>
        <w:t>)</w:t>
      </w:r>
      <w:r w:rsidRPr="00282F47">
        <w:rPr>
          <w:rFonts w:ascii="Arial" w:hAnsi="Arial" w:cs="Arial"/>
          <w:sz w:val="24"/>
          <w:szCs w:val="24"/>
        </w:rPr>
        <w:t xml:space="preserve"> stained to assess toxicity.</w:t>
      </w:r>
    </w:p>
    <w:p w14:paraId="6251B3AE"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3.3.11 Statistics</w:t>
      </w:r>
    </w:p>
    <w:p w14:paraId="7366F40C" w14:textId="429FD3E5" w:rsidR="002027D2" w:rsidRPr="00282F47" w:rsidRDefault="002027D2" w:rsidP="00CA4B9F">
      <w:pPr>
        <w:spacing w:line="480" w:lineRule="auto"/>
        <w:jc w:val="both"/>
        <w:rPr>
          <w:rFonts w:ascii="Arial" w:hAnsi="Arial" w:cs="Arial"/>
          <w:sz w:val="24"/>
          <w:szCs w:val="24"/>
        </w:rPr>
      </w:pPr>
      <w:r w:rsidRPr="00282F47">
        <w:rPr>
          <w:rFonts w:ascii="Arial" w:hAnsi="Arial" w:cs="Arial"/>
          <w:sz w:val="24"/>
          <w:szCs w:val="24"/>
        </w:rPr>
        <w:t xml:space="preserve">Differences in optoacoustic signal of compounds were evaluated with </w:t>
      </w:r>
      <w:r w:rsidR="0047360B">
        <w:rPr>
          <w:rFonts w:ascii="Arial" w:hAnsi="Arial" w:cs="Arial"/>
          <w:sz w:val="24"/>
          <w:szCs w:val="24"/>
        </w:rPr>
        <w:t>analysis of variance (</w:t>
      </w:r>
      <w:r w:rsidRPr="00282F47">
        <w:rPr>
          <w:rFonts w:ascii="Arial" w:hAnsi="Arial" w:cs="Arial"/>
          <w:sz w:val="24"/>
          <w:szCs w:val="24"/>
        </w:rPr>
        <w:t>ANOVA</w:t>
      </w:r>
      <w:r w:rsidR="0047360B">
        <w:rPr>
          <w:rFonts w:ascii="Arial" w:hAnsi="Arial" w:cs="Arial"/>
          <w:sz w:val="24"/>
          <w:szCs w:val="24"/>
        </w:rPr>
        <w:t>)</w:t>
      </w:r>
      <w:r w:rsidRPr="00282F47">
        <w:rPr>
          <w:rFonts w:ascii="Arial" w:hAnsi="Arial" w:cs="Arial"/>
          <w:sz w:val="24"/>
          <w:szCs w:val="24"/>
        </w:rPr>
        <w:t xml:space="preserve"> and post hoc comparisons. Tukey and Bonferroni corrections were utilized to adjust p-values due to multiple comparisons. Significance in this context: (* - p&lt;0.08, ** - p&lt;0.01, *** - p&lt;0.001).</w:t>
      </w:r>
    </w:p>
    <w:p w14:paraId="4FAD6865" w14:textId="77777777" w:rsidR="002027D2" w:rsidRPr="00282F47" w:rsidRDefault="002027D2" w:rsidP="00F73DFD">
      <w:pPr>
        <w:pStyle w:val="Style4"/>
        <w:spacing w:after="240"/>
        <w:rPr>
          <w:color w:val="auto"/>
        </w:rPr>
      </w:pPr>
      <w:bookmarkStart w:id="33" w:name="_Toc152874270"/>
      <w:r w:rsidRPr="00282F47">
        <w:rPr>
          <w:color w:val="auto"/>
        </w:rPr>
        <w:t>3.4 Results and Discussion:</w:t>
      </w:r>
      <w:bookmarkEnd w:id="33"/>
    </w:p>
    <w:p w14:paraId="4A8AC43B"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3.4.1 Dye synthesis</w:t>
      </w:r>
    </w:p>
    <w:p w14:paraId="4896E798" w14:textId="77777777" w:rsidR="002027D2" w:rsidRPr="00282F47" w:rsidRDefault="002027D2" w:rsidP="00F06336">
      <w:pPr>
        <w:spacing w:line="480" w:lineRule="auto"/>
        <w:jc w:val="both"/>
        <w:rPr>
          <w:rFonts w:ascii="Arial" w:hAnsi="Arial" w:cs="Arial"/>
          <w:sz w:val="24"/>
          <w:szCs w:val="24"/>
        </w:rPr>
      </w:pPr>
      <w:r w:rsidRPr="00282F47">
        <w:rPr>
          <w:rFonts w:ascii="Arial" w:hAnsi="Arial" w:cs="Arial"/>
          <w:sz w:val="24"/>
          <w:szCs w:val="24"/>
        </w:rPr>
        <w:t xml:space="preserve">The development of unique optoacoustic contrast agents is a necessity for advancement of optoacoustic imaging as a clinically relevant imaging modality. Hemicyanine dyes have shown favorable features an both fluorescence and optoacoustic imaging agents due to strong absorbance in the near-infrared window, and ease of tunability. Therefore, a hemicyanine scaffold was chosen as the base of this study and equipped with high </w:t>
      </w:r>
      <w:r w:rsidRPr="00282F47">
        <w:rPr>
          <w:rFonts w:ascii="Arial" w:hAnsi="Arial" w:cs="Arial"/>
          <w:sz w:val="24"/>
          <w:szCs w:val="24"/>
        </w:rPr>
        <w:lastRenderedPageBreak/>
        <w:t xml:space="preserve">polarity functional groups for the purposes of causing a twisted intramolecular charge transfer state. The synthesis for these compounds is outlined in </w:t>
      </w:r>
      <w:r w:rsidRPr="00282F47">
        <w:rPr>
          <w:rFonts w:ascii="Arial" w:hAnsi="Arial" w:cs="Arial"/>
          <w:b/>
          <w:bCs/>
          <w:sz w:val="24"/>
          <w:szCs w:val="24"/>
        </w:rPr>
        <w:t>Figure 3.2</w:t>
      </w:r>
      <w:r w:rsidRPr="00282F47">
        <w:rPr>
          <w:rFonts w:ascii="Arial" w:hAnsi="Arial" w:cs="Arial"/>
          <w:sz w:val="24"/>
          <w:szCs w:val="24"/>
        </w:rPr>
        <w:t>.</w:t>
      </w:r>
    </w:p>
    <w:p w14:paraId="603F9C17" w14:textId="77777777" w:rsidR="002027D2" w:rsidRPr="00282F47" w:rsidRDefault="002027D2" w:rsidP="009C0040">
      <w:pPr>
        <w:spacing w:line="480" w:lineRule="auto"/>
        <w:jc w:val="center"/>
        <w:rPr>
          <w:rFonts w:ascii="Arial" w:hAnsi="Arial" w:cs="Arial"/>
          <w:sz w:val="24"/>
          <w:szCs w:val="24"/>
        </w:rPr>
      </w:pPr>
      <w:r w:rsidRPr="00282F47">
        <w:rPr>
          <w:rFonts w:ascii="Arial" w:hAnsi="Arial" w:cs="Arial"/>
          <w:noProof/>
          <w:sz w:val="24"/>
          <w:szCs w:val="24"/>
        </w:rPr>
        <w:drawing>
          <wp:inline distT="0" distB="0" distL="0" distR="0" wp14:anchorId="044B53A6" wp14:editId="57ECF495">
            <wp:extent cx="5824330" cy="4054315"/>
            <wp:effectExtent l="0" t="0" r="5080" b="0"/>
            <wp:docPr id="2138303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39985" cy="4065212"/>
                    </a:xfrm>
                    <a:prstGeom prst="rect">
                      <a:avLst/>
                    </a:prstGeom>
                    <a:noFill/>
                  </pic:spPr>
                </pic:pic>
              </a:graphicData>
            </a:graphic>
          </wp:inline>
        </w:drawing>
      </w:r>
    </w:p>
    <w:p w14:paraId="4B2E1C41" w14:textId="2CDA1EA1"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3.2:</w:t>
      </w:r>
      <w:r w:rsidRPr="00282F47">
        <w:rPr>
          <w:rFonts w:ascii="Arial" w:hAnsi="Arial" w:cs="Arial"/>
          <w:sz w:val="24"/>
          <w:szCs w:val="24"/>
        </w:rPr>
        <w:t xml:space="preserve"> Synthesis of hemicyanine compounds with modified xanthene donor units.</w:t>
      </w:r>
      <w:bookmarkStart w:id="34" w:name="_Hlk149821886"/>
    </w:p>
    <w:p w14:paraId="15149350" w14:textId="77777777" w:rsidR="004B4BA2" w:rsidRPr="00282F47" w:rsidRDefault="004B4BA2" w:rsidP="004B4BA2">
      <w:pPr>
        <w:spacing w:line="276" w:lineRule="auto"/>
        <w:jc w:val="both"/>
        <w:rPr>
          <w:rFonts w:ascii="Arial" w:hAnsi="Arial" w:cs="Arial"/>
          <w:sz w:val="24"/>
          <w:szCs w:val="24"/>
        </w:rPr>
      </w:pPr>
    </w:p>
    <w:p w14:paraId="42FEBB4A" w14:textId="7357FA40" w:rsidR="002027D2" w:rsidRPr="00282F47" w:rsidRDefault="002027D2" w:rsidP="00D24D22">
      <w:pPr>
        <w:spacing w:line="480" w:lineRule="auto"/>
        <w:jc w:val="both"/>
        <w:rPr>
          <w:rFonts w:ascii="Arial" w:hAnsi="Arial" w:cs="Arial"/>
          <w:sz w:val="24"/>
          <w:szCs w:val="24"/>
        </w:rPr>
      </w:pPr>
      <w:r w:rsidRPr="00282F47">
        <w:rPr>
          <w:rFonts w:ascii="Arial" w:hAnsi="Arial" w:cs="Arial"/>
          <w:sz w:val="24"/>
          <w:szCs w:val="24"/>
        </w:rPr>
        <w:t xml:space="preserve">Heptamethine compounds 9 and 10 were synthesized by condensation of substituted indolium salt and the Vilsmeier Haack linker. Indolium salt, linker 3, and sodium acetate were dissolved with acetic anhydride, and refluxed, cooled, and filtered. From compounds 9 and 10, compounds 11A-14B had slightly different synthesis procedures. For compounds 11A and 11B, resorcinol was added to triethylamine and compound 9 or 10. Compounds 11A and 11B were yielded following </w:t>
      </w:r>
      <w:r w:rsidR="0047360B" w:rsidRPr="00282F47">
        <w:rPr>
          <w:rFonts w:ascii="Arial" w:hAnsi="Arial" w:cs="Arial"/>
          <w:sz w:val="24"/>
          <w:szCs w:val="24"/>
        </w:rPr>
        <w:t>re</w:t>
      </w:r>
      <w:r w:rsidR="0047360B">
        <w:rPr>
          <w:rFonts w:ascii="Arial" w:hAnsi="Arial" w:cs="Arial"/>
          <w:sz w:val="24"/>
          <w:szCs w:val="24"/>
        </w:rPr>
        <w:t>fl</w:t>
      </w:r>
      <w:r w:rsidR="0047360B" w:rsidRPr="00282F47">
        <w:rPr>
          <w:rFonts w:ascii="Arial" w:hAnsi="Arial" w:cs="Arial"/>
          <w:sz w:val="24"/>
          <w:szCs w:val="24"/>
        </w:rPr>
        <w:t>ux</w:t>
      </w:r>
      <w:r w:rsidRPr="00282F47">
        <w:rPr>
          <w:rFonts w:ascii="Arial" w:hAnsi="Arial" w:cs="Arial"/>
          <w:sz w:val="24"/>
          <w:szCs w:val="24"/>
        </w:rPr>
        <w:t xml:space="preserve"> and purification. 3-nitro phenol and potassium carbonate were added to compound 9 and 10 to yield compounds 12A </w:t>
      </w:r>
      <w:r w:rsidRPr="00282F47">
        <w:rPr>
          <w:rFonts w:ascii="Arial" w:hAnsi="Arial" w:cs="Arial"/>
          <w:sz w:val="24"/>
          <w:szCs w:val="24"/>
        </w:rPr>
        <w:lastRenderedPageBreak/>
        <w:t xml:space="preserve">and 12B. Dimethylamino phenol or diethylamino phenol were added with triethylamine and compounds 9 and 10 to yield compound 13A and compound 13B or compound 14A and compound 14B. </w:t>
      </w:r>
      <w:bookmarkEnd w:id="34"/>
      <w:r w:rsidRPr="00282F47">
        <w:rPr>
          <w:rFonts w:ascii="Arial" w:hAnsi="Arial" w:cs="Arial"/>
          <w:sz w:val="24"/>
          <w:szCs w:val="24"/>
          <w:vertAlign w:val="superscript"/>
        </w:rPr>
        <w:t>1</w:t>
      </w:r>
      <w:r w:rsidRPr="00282F47">
        <w:rPr>
          <w:rFonts w:ascii="Arial" w:hAnsi="Arial" w:cs="Arial"/>
          <w:sz w:val="24"/>
          <w:szCs w:val="24"/>
        </w:rPr>
        <w:t xml:space="preserve">H NMR and </w:t>
      </w:r>
      <w:r w:rsidRPr="00282F47">
        <w:rPr>
          <w:rFonts w:ascii="Arial" w:hAnsi="Arial" w:cs="Arial"/>
          <w:sz w:val="24"/>
          <w:szCs w:val="24"/>
          <w:vertAlign w:val="superscript"/>
        </w:rPr>
        <w:t>13</w:t>
      </w:r>
      <w:r w:rsidRPr="00282F47">
        <w:rPr>
          <w:rFonts w:ascii="Arial" w:hAnsi="Arial" w:cs="Arial"/>
          <w:sz w:val="24"/>
          <w:szCs w:val="24"/>
        </w:rPr>
        <w:t>C NMR spectra of final compounds can be found in the supporting information (</w:t>
      </w:r>
      <w:r w:rsidRPr="00282F47">
        <w:rPr>
          <w:rFonts w:ascii="Arial" w:hAnsi="Arial" w:cs="Arial"/>
          <w:b/>
          <w:bCs/>
          <w:sz w:val="24"/>
          <w:szCs w:val="24"/>
        </w:rPr>
        <w:t>Supporting Figure S3.1-3.18</w:t>
      </w:r>
      <w:r w:rsidRPr="00282F47">
        <w:rPr>
          <w:rFonts w:ascii="Arial" w:hAnsi="Arial" w:cs="Arial"/>
          <w:sz w:val="24"/>
          <w:szCs w:val="24"/>
        </w:rPr>
        <w:t>).</w:t>
      </w:r>
    </w:p>
    <w:p w14:paraId="4163CFEA"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3.4.2 Compound characterization</w:t>
      </w:r>
    </w:p>
    <w:p w14:paraId="0D688334" w14:textId="3B7662DE" w:rsidR="002027D2" w:rsidRDefault="002027D2" w:rsidP="004B4BA2">
      <w:pPr>
        <w:spacing w:line="480" w:lineRule="auto"/>
        <w:jc w:val="both"/>
        <w:rPr>
          <w:rFonts w:ascii="Arial" w:hAnsi="Arial" w:cs="Arial"/>
          <w:sz w:val="24"/>
          <w:szCs w:val="24"/>
        </w:rPr>
      </w:pPr>
      <w:r w:rsidRPr="00282F47">
        <w:rPr>
          <w:rFonts w:ascii="Arial" w:hAnsi="Arial" w:cs="Arial"/>
          <w:sz w:val="24"/>
          <w:szCs w:val="24"/>
        </w:rPr>
        <w:t xml:space="preserve">Molecular properties are outlined in </w:t>
      </w:r>
      <w:r w:rsidRPr="00282F47">
        <w:rPr>
          <w:rFonts w:ascii="Arial" w:hAnsi="Arial" w:cs="Arial"/>
          <w:b/>
          <w:bCs/>
          <w:sz w:val="24"/>
          <w:szCs w:val="24"/>
        </w:rPr>
        <w:t>Table 3.1.</w:t>
      </w:r>
      <w:r w:rsidRPr="00282F47">
        <w:rPr>
          <w:rFonts w:ascii="Arial" w:hAnsi="Arial" w:cs="Arial"/>
          <w:sz w:val="24"/>
          <w:szCs w:val="24"/>
        </w:rPr>
        <w:t xml:space="preserve"> Following compound synthesis and purification, each molecule was characterized in terms of molecular properties.</w:t>
      </w:r>
    </w:p>
    <w:p w14:paraId="06093773" w14:textId="77777777" w:rsidR="004B4BA2" w:rsidRPr="00282F47" w:rsidRDefault="004B4BA2" w:rsidP="0047360B">
      <w:pPr>
        <w:spacing w:line="276" w:lineRule="auto"/>
        <w:jc w:val="both"/>
        <w:rPr>
          <w:rFonts w:ascii="Arial" w:hAnsi="Arial" w:cs="Arial"/>
          <w:sz w:val="24"/>
          <w:szCs w:val="24"/>
        </w:rPr>
      </w:pPr>
    </w:p>
    <w:p w14:paraId="7D7E076D" w14:textId="77777777" w:rsidR="002027D2" w:rsidRPr="00282F47" w:rsidRDefault="002027D2" w:rsidP="00297884">
      <w:pPr>
        <w:jc w:val="both"/>
        <w:rPr>
          <w:rFonts w:ascii="Arial" w:hAnsi="Arial" w:cs="Arial"/>
          <w:sz w:val="24"/>
          <w:szCs w:val="24"/>
        </w:rPr>
      </w:pPr>
      <w:r w:rsidRPr="00282F47">
        <w:rPr>
          <w:rFonts w:ascii="Arial" w:hAnsi="Arial" w:cs="Arial"/>
          <w:b/>
          <w:bCs/>
          <w:sz w:val="24"/>
          <w:szCs w:val="24"/>
        </w:rPr>
        <w:t xml:space="preserve">Table 3.1: </w:t>
      </w:r>
      <w:r w:rsidRPr="00282F47">
        <w:rPr>
          <w:rFonts w:ascii="Arial" w:hAnsi="Arial" w:cs="Arial"/>
          <w:sz w:val="24"/>
          <w:szCs w:val="24"/>
        </w:rPr>
        <w:t>Molecular properties of hemicyanine compounds 11A-14B</w:t>
      </w:r>
    </w:p>
    <w:p w14:paraId="66EFE0DF" w14:textId="77777777" w:rsidR="002027D2" w:rsidRPr="00282F47" w:rsidRDefault="002027D2" w:rsidP="009C0040">
      <w:pPr>
        <w:spacing w:line="480" w:lineRule="auto"/>
        <w:jc w:val="center"/>
        <w:rPr>
          <w:rFonts w:ascii="Arial" w:hAnsi="Arial" w:cs="Arial"/>
          <w:b/>
          <w:bCs/>
          <w:sz w:val="24"/>
          <w:szCs w:val="24"/>
        </w:rPr>
      </w:pPr>
      <w:r w:rsidRPr="00282F47">
        <w:rPr>
          <w:rFonts w:ascii="Arial" w:hAnsi="Arial" w:cs="Arial"/>
          <w:b/>
          <w:bCs/>
          <w:noProof/>
          <w:sz w:val="24"/>
          <w:szCs w:val="24"/>
        </w:rPr>
        <w:drawing>
          <wp:inline distT="0" distB="0" distL="0" distR="0" wp14:anchorId="7167FAD9" wp14:editId="3D0F3DB6">
            <wp:extent cx="4672209" cy="1811487"/>
            <wp:effectExtent l="0" t="0" r="0" b="0"/>
            <wp:docPr id="10644075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09099" cy="1825790"/>
                    </a:xfrm>
                    <a:prstGeom prst="rect">
                      <a:avLst/>
                    </a:prstGeom>
                    <a:noFill/>
                  </pic:spPr>
                </pic:pic>
              </a:graphicData>
            </a:graphic>
          </wp:inline>
        </w:drawing>
      </w:r>
    </w:p>
    <w:p w14:paraId="1B92CA05" w14:textId="77777777" w:rsidR="002027D2" w:rsidRPr="00282F47" w:rsidRDefault="002027D2" w:rsidP="009C0040">
      <w:pPr>
        <w:spacing w:line="480" w:lineRule="auto"/>
        <w:jc w:val="both"/>
        <w:rPr>
          <w:rFonts w:ascii="Arial" w:hAnsi="Arial" w:cs="Arial"/>
          <w:sz w:val="24"/>
          <w:szCs w:val="24"/>
        </w:rPr>
      </w:pPr>
      <w:r w:rsidRPr="00282F47">
        <w:rPr>
          <w:rFonts w:ascii="Arial" w:hAnsi="Arial" w:cs="Arial"/>
          <w:sz w:val="24"/>
          <w:szCs w:val="24"/>
        </w:rPr>
        <w:t>Absorbance measurements of compounds 11A-14B reveal dual absorbance peaks for each molecule, which are relatively consistent between the A and B versions of each compound (</w:t>
      </w:r>
      <w:r w:rsidRPr="00282F47">
        <w:rPr>
          <w:rFonts w:ascii="Arial" w:hAnsi="Arial" w:cs="Arial"/>
          <w:b/>
          <w:bCs/>
          <w:sz w:val="24"/>
          <w:szCs w:val="24"/>
        </w:rPr>
        <w:t>Figure 3.3</w:t>
      </w:r>
      <w:r w:rsidRPr="00282F47">
        <w:rPr>
          <w:rFonts w:ascii="Arial" w:hAnsi="Arial" w:cs="Arial"/>
          <w:sz w:val="24"/>
          <w:szCs w:val="24"/>
        </w:rPr>
        <w:t>). Compound 11A-B show absorbance peaks at approximately 610 nm and 660 nm, 12A-B at about 632 nm and 691 nm, 13A-B at about 665 nm and 725 nm, and 14A-B at approximately 666 nm and 718 nm. Overall, dimethyl amino and diethyl amino functionalized hemicyanines (Compounds 13 and 14) exhibit very similar dual absorbance peaks, while compounds 11 and 12 are less red-shifted.</w:t>
      </w:r>
    </w:p>
    <w:p w14:paraId="695CD0B8" w14:textId="77777777" w:rsidR="002027D2" w:rsidRPr="00282F47" w:rsidRDefault="002027D2" w:rsidP="000032FC">
      <w:pPr>
        <w:spacing w:after="0" w:line="480" w:lineRule="auto"/>
        <w:jc w:val="center"/>
        <w:rPr>
          <w:rFonts w:ascii="Arial" w:hAnsi="Arial" w:cs="Arial"/>
          <w:b/>
          <w:bCs/>
          <w:sz w:val="24"/>
          <w:szCs w:val="24"/>
        </w:rPr>
      </w:pPr>
      <w:r w:rsidRPr="00282F47">
        <w:rPr>
          <w:rFonts w:ascii="Arial" w:hAnsi="Arial" w:cs="Arial"/>
          <w:noProof/>
          <w:sz w:val="24"/>
          <w:szCs w:val="24"/>
        </w:rPr>
        <w:lastRenderedPageBreak/>
        <w:drawing>
          <wp:inline distT="0" distB="0" distL="0" distR="0" wp14:anchorId="0CBF31BB" wp14:editId="17CE1449">
            <wp:extent cx="3757808" cy="6018037"/>
            <wp:effectExtent l="0" t="0" r="0" b="0"/>
            <wp:docPr id="812947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79075" cy="6052095"/>
                    </a:xfrm>
                    <a:prstGeom prst="rect">
                      <a:avLst/>
                    </a:prstGeom>
                    <a:noFill/>
                  </pic:spPr>
                </pic:pic>
              </a:graphicData>
            </a:graphic>
          </wp:inline>
        </w:drawing>
      </w:r>
    </w:p>
    <w:p w14:paraId="6C5E286D" w14:textId="0E7A58C8"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3.3:</w:t>
      </w:r>
      <w:r w:rsidRPr="00282F47">
        <w:rPr>
          <w:rFonts w:ascii="Arial" w:hAnsi="Arial" w:cs="Arial"/>
          <w:sz w:val="24"/>
          <w:szCs w:val="24"/>
        </w:rPr>
        <w:t xml:space="preserve"> UV-VIS absorbance spectra of compounds 11A-14B in 50% ethanol in water (orange) and acetic acid (blue). A) Compound 11A, B) Compound 11B, C) Compound 12A, D) Compound 12B, E) Compound 13A, F) Compound 13B, G) Compound 14A, H) Compound 14B. Solvent polarity did not alter absorbance spectra of compounds evaluated. No p-values to report.</w:t>
      </w:r>
    </w:p>
    <w:p w14:paraId="26B46E73" w14:textId="77777777" w:rsidR="004B4BA2" w:rsidRPr="00282F47" w:rsidRDefault="004B4BA2" w:rsidP="004B4BA2">
      <w:pPr>
        <w:spacing w:line="276" w:lineRule="auto"/>
        <w:jc w:val="both"/>
        <w:rPr>
          <w:rFonts w:ascii="Arial" w:hAnsi="Arial" w:cs="Arial"/>
          <w:sz w:val="24"/>
          <w:szCs w:val="24"/>
        </w:rPr>
      </w:pPr>
    </w:p>
    <w:p w14:paraId="7341E1B2" w14:textId="77777777" w:rsidR="002027D2" w:rsidRPr="00282F47" w:rsidRDefault="002027D2" w:rsidP="00367F8D">
      <w:pPr>
        <w:spacing w:line="480" w:lineRule="auto"/>
        <w:jc w:val="both"/>
        <w:rPr>
          <w:rFonts w:ascii="Arial" w:hAnsi="Arial" w:cs="Arial"/>
          <w:sz w:val="24"/>
          <w:szCs w:val="24"/>
        </w:rPr>
      </w:pPr>
      <w:r w:rsidRPr="00282F47">
        <w:rPr>
          <w:rFonts w:ascii="Arial" w:hAnsi="Arial" w:cs="Arial"/>
          <w:sz w:val="24"/>
          <w:szCs w:val="24"/>
        </w:rPr>
        <w:t>Subsequent to absorbance measurements, optoacoustic signal was measured (</w:t>
      </w:r>
      <w:r w:rsidRPr="00282F47">
        <w:rPr>
          <w:rFonts w:ascii="Arial" w:hAnsi="Arial" w:cs="Arial"/>
          <w:b/>
          <w:bCs/>
          <w:sz w:val="24"/>
          <w:szCs w:val="24"/>
        </w:rPr>
        <w:t>Figure 3.4</w:t>
      </w:r>
      <w:r w:rsidRPr="00282F47">
        <w:rPr>
          <w:rFonts w:ascii="Arial" w:hAnsi="Arial" w:cs="Arial"/>
          <w:sz w:val="24"/>
          <w:szCs w:val="24"/>
        </w:rPr>
        <w:t xml:space="preserve">). Optoacoustic spectra often correspond to absorbance measurements, due to </w:t>
      </w:r>
      <w:r w:rsidRPr="00282F47">
        <w:rPr>
          <w:rFonts w:ascii="Arial" w:hAnsi="Arial" w:cs="Arial"/>
          <w:sz w:val="24"/>
          <w:szCs w:val="24"/>
        </w:rPr>
        <w:lastRenderedPageBreak/>
        <w:t>immediate relaxation of excited molecules, and thus, generation of ultrasonic waves through non-radiative decay. However, several compounds exhibit red-shifted optoacoustic signal compared to absorbance. To ensure the phenomenon was not occurring due to aggregation, multiple wavelengths were used to confirm. Largely, concentration of HCs resulted in only optoacoustic intensity differences, and not spectral shifts. Compound 13A was the sole exception to this observation, and shows a maximum peak shift due to formations of J-aggregates.</w:t>
      </w:r>
      <w:r w:rsidRPr="00282F47">
        <w:rPr>
          <w:rFonts w:ascii="Arial" w:hAnsi="Arial" w:cs="Arial"/>
          <w:noProof/>
          <w:sz w:val="24"/>
          <w:szCs w:val="24"/>
          <w:vertAlign w:val="superscript"/>
        </w:rPr>
        <w:t>119</w:t>
      </w:r>
    </w:p>
    <w:p w14:paraId="417C4C7F" w14:textId="77777777" w:rsidR="002027D2" w:rsidRPr="00282F47" w:rsidRDefault="002027D2" w:rsidP="009C0040">
      <w:pPr>
        <w:spacing w:line="480" w:lineRule="auto"/>
        <w:jc w:val="center"/>
        <w:rPr>
          <w:rFonts w:ascii="Arial" w:hAnsi="Arial" w:cs="Arial"/>
          <w:b/>
          <w:bCs/>
          <w:sz w:val="24"/>
          <w:szCs w:val="24"/>
        </w:rPr>
      </w:pPr>
      <w:r w:rsidRPr="00282F47">
        <w:rPr>
          <w:rFonts w:ascii="Arial" w:hAnsi="Arial" w:cs="Arial"/>
          <w:noProof/>
          <w:sz w:val="24"/>
          <w:szCs w:val="24"/>
        </w:rPr>
        <w:lastRenderedPageBreak/>
        <w:drawing>
          <wp:inline distT="0" distB="0" distL="0" distR="0" wp14:anchorId="3F687C22" wp14:editId="266EF188">
            <wp:extent cx="5298510" cy="6996444"/>
            <wp:effectExtent l="0" t="0" r="0" b="0"/>
            <wp:docPr id="10523826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16825" cy="7020628"/>
                    </a:xfrm>
                    <a:prstGeom prst="rect">
                      <a:avLst/>
                    </a:prstGeom>
                    <a:noFill/>
                  </pic:spPr>
                </pic:pic>
              </a:graphicData>
            </a:graphic>
          </wp:inline>
        </w:drawing>
      </w:r>
    </w:p>
    <w:p w14:paraId="117F4CEA" w14:textId="646A8CC8"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3.4:</w:t>
      </w:r>
      <w:r w:rsidRPr="00282F47">
        <w:rPr>
          <w:rFonts w:ascii="Arial" w:hAnsi="Arial" w:cs="Arial"/>
          <w:sz w:val="24"/>
          <w:szCs w:val="24"/>
        </w:rPr>
        <w:t xml:space="preserve"> Optoacoustic spectra for compounds 11A-14B at a variety of concentrations between 1 mM and 1 μM to evaluate aggregation-based spectral shifts. A) Compound 11A, B) Compound 11B, C) Compound 12A, D) Compound 12B, E) Compound 13A, F) Compound 13B, G) Compound 14A, H) Compound 14B. No p-values to report.</w:t>
      </w:r>
    </w:p>
    <w:p w14:paraId="4A178D39" w14:textId="77777777" w:rsidR="004B4BA2" w:rsidRPr="004B4BA2" w:rsidRDefault="004B4BA2" w:rsidP="004B4BA2">
      <w:pPr>
        <w:spacing w:line="276" w:lineRule="auto"/>
        <w:jc w:val="both"/>
        <w:rPr>
          <w:rFonts w:ascii="Arial" w:hAnsi="Arial" w:cs="Arial"/>
          <w:sz w:val="24"/>
          <w:szCs w:val="24"/>
        </w:rPr>
      </w:pPr>
    </w:p>
    <w:p w14:paraId="5BB65757" w14:textId="77777777" w:rsidR="002027D2" w:rsidRPr="00282F47" w:rsidRDefault="002027D2" w:rsidP="00367F8D">
      <w:pPr>
        <w:spacing w:line="480" w:lineRule="auto"/>
        <w:jc w:val="both"/>
        <w:rPr>
          <w:rFonts w:ascii="Arial" w:hAnsi="Arial" w:cs="Arial"/>
          <w:sz w:val="24"/>
          <w:szCs w:val="24"/>
        </w:rPr>
      </w:pPr>
      <w:r w:rsidRPr="00282F47">
        <w:rPr>
          <w:rFonts w:ascii="Arial" w:hAnsi="Arial" w:cs="Arial"/>
          <w:sz w:val="24"/>
          <w:szCs w:val="24"/>
        </w:rPr>
        <w:t>Stabilization by polar solvent is required to observe molecule effects while in a TICT state</w:t>
      </w:r>
      <w:r w:rsidRPr="00282F47">
        <w:rPr>
          <w:rFonts w:ascii="Arial" w:hAnsi="Arial" w:cs="Arial"/>
          <w:noProof/>
          <w:sz w:val="24"/>
          <w:szCs w:val="24"/>
          <w:vertAlign w:val="superscript"/>
        </w:rPr>
        <w:t>111,114</w:t>
      </w:r>
      <w:r w:rsidRPr="00282F47">
        <w:rPr>
          <w:rFonts w:ascii="Arial" w:hAnsi="Arial" w:cs="Arial"/>
          <w:sz w:val="24"/>
          <w:szCs w:val="24"/>
        </w:rPr>
        <w:t>. In addition to ensuring metal sensing through nitrogen lone pair interactions (</w:t>
      </w:r>
      <w:r w:rsidRPr="00282F47">
        <w:rPr>
          <w:rFonts w:ascii="Arial" w:hAnsi="Arial" w:cs="Arial"/>
          <w:b/>
          <w:bCs/>
          <w:sz w:val="24"/>
          <w:szCs w:val="24"/>
        </w:rPr>
        <w:t>Supporting Figure S3.19</w:t>
      </w:r>
      <w:r w:rsidRPr="00282F47">
        <w:rPr>
          <w:rFonts w:ascii="Arial" w:hAnsi="Arial" w:cs="Arial"/>
          <w:sz w:val="24"/>
          <w:szCs w:val="24"/>
        </w:rPr>
        <w:t>) was not responsible for red-shifted optoacoustic signal, compounds 11A-14B were measured in solvents of varying dielectric constants, thus, polarity (</w:t>
      </w:r>
      <w:r w:rsidRPr="00282F47">
        <w:rPr>
          <w:rFonts w:ascii="Arial" w:hAnsi="Arial" w:cs="Arial"/>
          <w:b/>
          <w:bCs/>
          <w:sz w:val="24"/>
          <w:szCs w:val="24"/>
        </w:rPr>
        <w:t>Figure 3.5</w:t>
      </w:r>
      <w:r w:rsidRPr="00282F47">
        <w:rPr>
          <w:rFonts w:ascii="Arial" w:hAnsi="Arial" w:cs="Arial"/>
          <w:sz w:val="24"/>
          <w:szCs w:val="24"/>
        </w:rPr>
        <w:t xml:space="preserve">). Compounds 11 and 12 had insignificant changes in terms of spectral shifts dependent on solvent polarity. However, compounds 13 and 14 exhibited large differences in spectral signature. Notably, high polarity solvents (50% ethanol, 45 dielectric constant) in compound 14 result in red-shifted optoacoustic signal in which a maximum peak of approximately 810 nm was observed. As polarity of solvents were lowered, optoacoustic spectral signatures became blue-shifted; acetone (18 dielectric constant) peaked at 785 nm and dichloromethane (9.1 dielectric constant), acetic acid (6 dielectric constant), and diethyl ether (4.3 dielectric constant) each peaked at 735 nm. </w:t>
      </w:r>
      <w:r w:rsidRPr="00282F47">
        <w:rPr>
          <w:rFonts w:ascii="Arial" w:hAnsi="Arial" w:cs="Arial"/>
          <w:b/>
          <w:bCs/>
          <w:sz w:val="24"/>
          <w:szCs w:val="24"/>
        </w:rPr>
        <w:t>Figure 3.3</w:t>
      </w:r>
      <w:r w:rsidRPr="00282F47">
        <w:rPr>
          <w:rFonts w:ascii="Arial" w:hAnsi="Arial" w:cs="Arial"/>
          <w:sz w:val="24"/>
          <w:szCs w:val="24"/>
        </w:rPr>
        <w:t xml:space="preserve"> indicated no changes in absorbance were observed between 50% ethanol and acetic acid, indicating the shift in optoacoustic signal was unable to be explained by solvent-driven absorbance shifts. Further, single-wavelength measurements were acquired for each compound and solvent to eliminate the possibility of delayed non-radiative responses from previous irradiation (</w:t>
      </w:r>
      <w:r w:rsidRPr="00282F47">
        <w:rPr>
          <w:rFonts w:ascii="Arial" w:hAnsi="Arial" w:cs="Arial"/>
          <w:b/>
          <w:bCs/>
          <w:sz w:val="24"/>
          <w:szCs w:val="24"/>
        </w:rPr>
        <w:t>Supporting Figures S3.20-3.23</w:t>
      </w:r>
      <w:r w:rsidRPr="00282F47">
        <w:rPr>
          <w:rFonts w:ascii="Arial" w:hAnsi="Arial" w:cs="Arial"/>
          <w:sz w:val="24"/>
          <w:szCs w:val="24"/>
        </w:rPr>
        <w:t xml:space="preserve">). Through stabilization of the twisted intramolecular charge transfer state with a high polarity solvent, non-radiative decay of compounds 13 and 14 result in large red-shifted shifts in optoacoustic signal; potentially establishing each of the compounds as a relevant contrast agent for optoacoustic imaging </w:t>
      </w:r>
      <w:r w:rsidRPr="00282F47">
        <w:rPr>
          <w:rFonts w:ascii="Arial" w:hAnsi="Arial" w:cs="Arial"/>
          <w:i/>
          <w:iCs/>
          <w:sz w:val="24"/>
          <w:szCs w:val="24"/>
        </w:rPr>
        <w:t>in vivo</w:t>
      </w:r>
      <w:r w:rsidRPr="00282F47">
        <w:rPr>
          <w:rFonts w:ascii="Arial" w:hAnsi="Arial" w:cs="Arial"/>
          <w:sz w:val="24"/>
          <w:szCs w:val="24"/>
        </w:rPr>
        <w:t>.</w:t>
      </w:r>
    </w:p>
    <w:p w14:paraId="7D41967E" w14:textId="77777777" w:rsidR="002027D2" w:rsidRPr="00282F47" w:rsidRDefault="002027D2" w:rsidP="009C0040">
      <w:pPr>
        <w:spacing w:line="480" w:lineRule="auto"/>
        <w:jc w:val="center"/>
        <w:rPr>
          <w:rFonts w:ascii="Arial" w:hAnsi="Arial" w:cs="Arial"/>
          <w:b/>
          <w:bCs/>
          <w:sz w:val="24"/>
          <w:szCs w:val="24"/>
        </w:rPr>
      </w:pPr>
      <w:r w:rsidRPr="00282F47">
        <w:rPr>
          <w:rFonts w:ascii="Arial" w:hAnsi="Arial" w:cs="Arial"/>
          <w:noProof/>
          <w:sz w:val="24"/>
          <w:szCs w:val="24"/>
        </w:rPr>
        <w:lastRenderedPageBreak/>
        <w:drawing>
          <wp:inline distT="0" distB="0" distL="0" distR="0" wp14:anchorId="0934A555" wp14:editId="43B766D3">
            <wp:extent cx="5792978" cy="6425852"/>
            <wp:effectExtent l="0" t="0" r="0" b="0"/>
            <wp:docPr id="20326553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04809" cy="6438976"/>
                    </a:xfrm>
                    <a:prstGeom prst="rect">
                      <a:avLst/>
                    </a:prstGeom>
                    <a:noFill/>
                  </pic:spPr>
                </pic:pic>
              </a:graphicData>
            </a:graphic>
          </wp:inline>
        </w:drawing>
      </w:r>
    </w:p>
    <w:p w14:paraId="5FF3C55C" w14:textId="0A8FB8B8"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3.5:</w:t>
      </w:r>
      <w:r w:rsidRPr="00282F47">
        <w:rPr>
          <w:rFonts w:ascii="Arial" w:hAnsi="Arial" w:cs="Arial"/>
          <w:sz w:val="24"/>
          <w:szCs w:val="24"/>
        </w:rPr>
        <w:t xml:space="preserve"> Optoacoustic signal as a function of wavelength in solvents of varying polarity, including 50% ethanol (45), acetone (18), dichloromethane (9.1), acetic acid (6), and diethyl ether (4.3). A) Compound 11A, B) Compound 11B, C) Compound 12A, D) Compound 12B, E) Compound 13A, F) Compound 13B, G) Compound 14A, H) Compound 14B. No p-values to report.</w:t>
      </w:r>
    </w:p>
    <w:p w14:paraId="21A877A2" w14:textId="77777777" w:rsidR="004B4BA2" w:rsidRPr="004B4BA2" w:rsidRDefault="004B4BA2" w:rsidP="004B4BA2">
      <w:pPr>
        <w:spacing w:line="276" w:lineRule="auto"/>
        <w:jc w:val="both"/>
        <w:rPr>
          <w:rFonts w:ascii="Arial" w:hAnsi="Arial" w:cs="Arial"/>
          <w:sz w:val="24"/>
          <w:szCs w:val="24"/>
        </w:rPr>
      </w:pPr>
    </w:p>
    <w:p w14:paraId="25E734CA"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lastRenderedPageBreak/>
        <w:t>3.4.3 Cellular viability</w:t>
      </w:r>
    </w:p>
    <w:p w14:paraId="31E0DF1C" w14:textId="365EBAE3" w:rsidR="002027D2" w:rsidRPr="00282F47" w:rsidRDefault="002027D2" w:rsidP="00367F8D">
      <w:pPr>
        <w:spacing w:line="480" w:lineRule="auto"/>
        <w:jc w:val="both"/>
        <w:rPr>
          <w:rFonts w:ascii="Arial" w:hAnsi="Arial" w:cs="Arial"/>
          <w:sz w:val="24"/>
          <w:szCs w:val="24"/>
        </w:rPr>
      </w:pPr>
      <w:r w:rsidRPr="00282F47">
        <w:rPr>
          <w:rFonts w:ascii="Arial" w:hAnsi="Arial" w:cs="Arial"/>
          <w:sz w:val="24"/>
          <w:szCs w:val="24"/>
        </w:rPr>
        <w:t xml:space="preserve">Prior to evaluation of synthesized hemicyanine dyes </w:t>
      </w:r>
      <w:r w:rsidRPr="00282F47">
        <w:rPr>
          <w:rFonts w:ascii="Arial" w:hAnsi="Arial" w:cs="Arial"/>
          <w:i/>
          <w:iCs/>
          <w:sz w:val="24"/>
          <w:szCs w:val="24"/>
        </w:rPr>
        <w:t xml:space="preserve">in vivo, </w:t>
      </w:r>
      <w:r w:rsidRPr="00282F47">
        <w:rPr>
          <w:rFonts w:ascii="Arial" w:hAnsi="Arial" w:cs="Arial"/>
          <w:sz w:val="24"/>
          <w:szCs w:val="24"/>
        </w:rPr>
        <w:t xml:space="preserve">cellular viability was evaluated </w:t>
      </w:r>
      <w:r w:rsidRPr="00282F47">
        <w:rPr>
          <w:rFonts w:ascii="Arial" w:hAnsi="Arial" w:cs="Arial"/>
          <w:i/>
          <w:iCs/>
          <w:sz w:val="24"/>
          <w:szCs w:val="24"/>
        </w:rPr>
        <w:t>in vitro</w:t>
      </w:r>
      <w:r w:rsidRPr="00282F47">
        <w:rPr>
          <w:rFonts w:ascii="Arial" w:hAnsi="Arial" w:cs="Arial"/>
          <w:sz w:val="24"/>
          <w:szCs w:val="24"/>
        </w:rPr>
        <w:t xml:space="preserve"> using human cell lines from kidney, liver, lung, and umbilical vein. Cells were treated with each hemicyanine compound (11A-14B) in addition to standard, commercial control dyes, methylene blue and</w:t>
      </w:r>
      <w:r w:rsidR="00EB0BCC">
        <w:rPr>
          <w:rFonts w:ascii="Arial" w:hAnsi="Arial" w:cs="Arial"/>
          <w:sz w:val="24"/>
          <w:szCs w:val="24"/>
        </w:rPr>
        <w:t xml:space="preserve"> ICG</w:t>
      </w:r>
      <w:r w:rsidRPr="00282F47">
        <w:rPr>
          <w:rFonts w:ascii="Arial" w:hAnsi="Arial" w:cs="Arial"/>
          <w:sz w:val="24"/>
          <w:szCs w:val="24"/>
        </w:rPr>
        <w:t xml:space="preserve">. 24 h post-treatment, cells were evaluated for viability using ATPLite. </w:t>
      </w:r>
      <w:r w:rsidRPr="00282F47">
        <w:rPr>
          <w:rFonts w:ascii="Arial" w:hAnsi="Arial" w:cs="Arial"/>
          <w:b/>
          <w:bCs/>
          <w:sz w:val="24"/>
          <w:szCs w:val="24"/>
        </w:rPr>
        <w:t>Figure 3.6</w:t>
      </w:r>
      <w:r w:rsidRPr="00282F47">
        <w:rPr>
          <w:rFonts w:ascii="Arial" w:hAnsi="Arial" w:cs="Arial"/>
          <w:sz w:val="24"/>
          <w:szCs w:val="24"/>
        </w:rPr>
        <w:t xml:space="preserve"> shows that at both 200 μg/mL and 20 μg/mL, compounds 11A-14B had little impact of the viability of cell lines utilized. While umbilical vein cells are often utilized in viability assays due to results being transferable to other endothelial cell types</w:t>
      </w:r>
      <w:r w:rsidRPr="00282F47">
        <w:rPr>
          <w:rFonts w:ascii="Arial" w:hAnsi="Arial" w:cs="Arial"/>
          <w:noProof/>
          <w:sz w:val="24"/>
          <w:szCs w:val="24"/>
          <w:vertAlign w:val="superscript"/>
        </w:rPr>
        <w:t>101</w:t>
      </w:r>
      <w:r w:rsidRPr="00282F47">
        <w:rPr>
          <w:rFonts w:ascii="Arial" w:hAnsi="Arial" w:cs="Arial"/>
          <w:sz w:val="24"/>
          <w:szCs w:val="24"/>
        </w:rPr>
        <w:t>, kidney, liver, and lung cells are major locations of drug accumulation following intravenous injection</w:t>
      </w:r>
      <w:r w:rsidRPr="00282F47">
        <w:rPr>
          <w:rFonts w:ascii="Arial" w:hAnsi="Arial" w:cs="Arial"/>
          <w:noProof/>
          <w:sz w:val="24"/>
          <w:szCs w:val="24"/>
          <w:vertAlign w:val="superscript"/>
        </w:rPr>
        <w:t>100</w:t>
      </w:r>
      <w:r w:rsidRPr="00282F47">
        <w:rPr>
          <w:rFonts w:ascii="Arial" w:hAnsi="Arial" w:cs="Arial"/>
          <w:sz w:val="24"/>
          <w:szCs w:val="24"/>
        </w:rPr>
        <w:t xml:space="preserve">. The results of the viability assay depicted in </w:t>
      </w:r>
      <w:r w:rsidRPr="00282F47">
        <w:rPr>
          <w:rFonts w:ascii="Arial" w:hAnsi="Arial" w:cs="Arial"/>
          <w:b/>
          <w:bCs/>
          <w:sz w:val="24"/>
          <w:szCs w:val="24"/>
        </w:rPr>
        <w:t>Figure 3.6</w:t>
      </w:r>
      <w:r w:rsidRPr="00282F47">
        <w:rPr>
          <w:rFonts w:ascii="Arial" w:hAnsi="Arial" w:cs="Arial"/>
          <w:sz w:val="24"/>
          <w:szCs w:val="24"/>
        </w:rPr>
        <w:t xml:space="preserve"> support the hemicyanine dyes as potential </w:t>
      </w:r>
      <w:r w:rsidRPr="00282F47">
        <w:rPr>
          <w:rFonts w:ascii="Arial" w:hAnsi="Arial" w:cs="Arial"/>
          <w:i/>
          <w:iCs/>
          <w:sz w:val="24"/>
          <w:szCs w:val="24"/>
        </w:rPr>
        <w:t xml:space="preserve">in vivo </w:t>
      </w:r>
      <w:r w:rsidRPr="00282F47">
        <w:rPr>
          <w:rFonts w:ascii="Arial" w:hAnsi="Arial" w:cs="Arial"/>
          <w:sz w:val="24"/>
          <w:szCs w:val="24"/>
        </w:rPr>
        <w:t>contrast agents for optoacoustic imaging.</w:t>
      </w:r>
    </w:p>
    <w:p w14:paraId="1ADBF1B7" w14:textId="77777777" w:rsidR="002027D2" w:rsidRPr="00282F47" w:rsidRDefault="002027D2" w:rsidP="00972E3D">
      <w:pPr>
        <w:spacing w:line="48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6DF0884A" wp14:editId="3FA95E58">
            <wp:extent cx="4647156" cy="5979174"/>
            <wp:effectExtent l="0" t="0" r="1270" b="2540"/>
            <wp:docPr id="3093555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67730" cy="6005645"/>
                    </a:xfrm>
                    <a:prstGeom prst="rect">
                      <a:avLst/>
                    </a:prstGeom>
                    <a:noFill/>
                  </pic:spPr>
                </pic:pic>
              </a:graphicData>
            </a:graphic>
          </wp:inline>
        </w:drawing>
      </w:r>
    </w:p>
    <w:p w14:paraId="3862D1FB" w14:textId="092ABE2E"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 xml:space="preserve">Figure 3.6: </w:t>
      </w:r>
      <w:r w:rsidRPr="00282F47">
        <w:rPr>
          <w:rFonts w:ascii="Arial" w:hAnsi="Arial" w:cs="Arial"/>
          <w:sz w:val="24"/>
          <w:szCs w:val="24"/>
        </w:rPr>
        <w:t>ATPLite cellular viability assays of hemicyanines 11A-14B and standard infrared dyes indocyanine green and methylene blue compared to positive (untreated) controls. Cell lines used include A, B) human kidney cells (293), C, D) human liver cells (HEP3B), E, F) human lung cells (A427), and G, H) Human umbilical vein endothelial cells. Cells were treated at 200 μg/mL (column 1 – A, C, E, G) and 20 μg/mL (Column 2 – B, D, F, H). No significance was observed (p&gt;0.05).</w:t>
      </w:r>
    </w:p>
    <w:p w14:paraId="5A80C12A" w14:textId="77777777" w:rsidR="004B4BA2" w:rsidRPr="00282F47" w:rsidRDefault="004B4BA2" w:rsidP="004B4BA2">
      <w:pPr>
        <w:spacing w:line="276" w:lineRule="auto"/>
        <w:jc w:val="both"/>
        <w:rPr>
          <w:rFonts w:ascii="Arial" w:hAnsi="Arial" w:cs="Arial"/>
          <w:sz w:val="24"/>
          <w:szCs w:val="24"/>
        </w:rPr>
      </w:pPr>
    </w:p>
    <w:p w14:paraId="421E5F61"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 xml:space="preserve">3.4.4 </w:t>
      </w:r>
      <w:r w:rsidRPr="00282F47">
        <w:rPr>
          <w:rFonts w:ascii="Arial" w:hAnsi="Arial" w:cs="Arial"/>
          <w:b/>
          <w:bCs/>
          <w:i/>
          <w:iCs/>
          <w:sz w:val="24"/>
          <w:szCs w:val="24"/>
        </w:rPr>
        <w:t xml:space="preserve">In vivo </w:t>
      </w:r>
      <w:r w:rsidRPr="00282F47">
        <w:rPr>
          <w:rFonts w:ascii="Arial" w:hAnsi="Arial" w:cs="Arial"/>
          <w:b/>
          <w:bCs/>
          <w:sz w:val="24"/>
          <w:szCs w:val="24"/>
        </w:rPr>
        <w:t>imaging</w:t>
      </w:r>
    </w:p>
    <w:p w14:paraId="223DEAE0" w14:textId="265D2AF6" w:rsidR="002027D2" w:rsidRPr="00282F47" w:rsidRDefault="002027D2" w:rsidP="0076052E">
      <w:pPr>
        <w:spacing w:line="480" w:lineRule="auto"/>
        <w:jc w:val="both"/>
        <w:rPr>
          <w:rFonts w:ascii="Arial" w:hAnsi="Arial" w:cs="Arial"/>
          <w:sz w:val="24"/>
          <w:szCs w:val="24"/>
        </w:rPr>
      </w:pPr>
      <w:bookmarkStart w:id="35" w:name="_Hlk149821949"/>
      <w:r w:rsidRPr="00282F47">
        <w:rPr>
          <w:rFonts w:ascii="Arial" w:hAnsi="Arial" w:cs="Arial"/>
          <w:i/>
          <w:iCs/>
          <w:sz w:val="24"/>
          <w:szCs w:val="24"/>
        </w:rPr>
        <w:lastRenderedPageBreak/>
        <w:t xml:space="preserve">In vivo </w:t>
      </w:r>
      <w:r w:rsidRPr="00282F47">
        <w:rPr>
          <w:rFonts w:ascii="Arial" w:hAnsi="Arial" w:cs="Arial"/>
          <w:sz w:val="24"/>
          <w:szCs w:val="24"/>
        </w:rPr>
        <w:t xml:space="preserve">evaluation of hemicyanine compounds were determined with </w:t>
      </w:r>
      <w:r w:rsidR="00EB0BCC">
        <w:rPr>
          <w:rFonts w:ascii="Arial" w:hAnsi="Arial" w:cs="Arial"/>
          <w:sz w:val="24"/>
          <w:szCs w:val="24"/>
        </w:rPr>
        <w:t>multispectral optoacoustic tomography (</w:t>
      </w:r>
      <w:r w:rsidRPr="00282F47">
        <w:rPr>
          <w:rFonts w:ascii="Arial" w:hAnsi="Arial" w:cs="Arial"/>
          <w:sz w:val="24"/>
          <w:szCs w:val="24"/>
        </w:rPr>
        <w:t>MSOT</w:t>
      </w:r>
      <w:r w:rsidR="00EB0BCC">
        <w:rPr>
          <w:rFonts w:ascii="Arial" w:hAnsi="Arial" w:cs="Arial"/>
          <w:sz w:val="24"/>
          <w:szCs w:val="24"/>
        </w:rPr>
        <w:t>)</w:t>
      </w:r>
      <w:r w:rsidRPr="00282F47">
        <w:rPr>
          <w:rFonts w:ascii="Arial" w:hAnsi="Arial" w:cs="Arial"/>
          <w:sz w:val="24"/>
          <w:szCs w:val="24"/>
        </w:rPr>
        <w:t xml:space="preserve"> following injection of each compound into the pancreas of the mouse. Each animal received approximately 100 μL of 100 μM compounds that were mixed with sterilized ultrasound gel to increase structural stability and reduce chance of leakage. Results were consistent with prior findings; as compound 14B exhibited increased signal at aforementioned, red-shifted wavelengths as signals were spectrally unmixed utilizing the reference spectra corresponding to each compound (</w:t>
      </w:r>
      <w:r w:rsidRPr="00282F47">
        <w:rPr>
          <w:rFonts w:ascii="Arial" w:hAnsi="Arial" w:cs="Arial"/>
          <w:b/>
          <w:bCs/>
          <w:sz w:val="24"/>
          <w:szCs w:val="24"/>
        </w:rPr>
        <w:t>Figure 3.7A-B</w:t>
      </w:r>
      <w:r w:rsidRPr="00282F47">
        <w:rPr>
          <w:rFonts w:ascii="Arial" w:hAnsi="Arial" w:cs="Arial"/>
          <w:sz w:val="24"/>
          <w:szCs w:val="24"/>
        </w:rPr>
        <w:t xml:space="preserve">). With an average signal of 0.737 a.u., compound 11A showed significantly more signal than each other the other compounds (11B – 0.307 a.u., p&lt;0.01; 12A – 0.187 a.u., p&lt;0.001; 12B – 0.095 a.u., p&lt;0.001; 13A – 0.078 a.u., p&lt;0.001; 13B – 0.097 a.u., p&lt;0.001; 14A – 0.061, p&lt;0.001; and 14B – 0.410, p&lt;0.08). In addition, compound 14B showed significantly more signal than compounds 12B, 13A, 13B, and 14A (all p&lt;0.05). Of note, </w:t>
      </w:r>
      <w:r w:rsidRPr="00282F47">
        <w:rPr>
          <w:rFonts w:ascii="Arial" w:hAnsi="Arial" w:cs="Arial"/>
          <w:i/>
          <w:iCs/>
          <w:sz w:val="24"/>
          <w:szCs w:val="24"/>
        </w:rPr>
        <w:t xml:space="preserve">in vivo </w:t>
      </w:r>
      <w:r w:rsidRPr="00282F47">
        <w:rPr>
          <w:rFonts w:ascii="Arial" w:hAnsi="Arial" w:cs="Arial"/>
          <w:sz w:val="24"/>
          <w:szCs w:val="24"/>
        </w:rPr>
        <w:t>data inherently compare</w:t>
      </w:r>
      <w:r w:rsidR="004B7279">
        <w:rPr>
          <w:rFonts w:ascii="Arial" w:hAnsi="Arial" w:cs="Arial"/>
          <w:sz w:val="24"/>
          <w:szCs w:val="24"/>
        </w:rPr>
        <w:t>s</w:t>
      </w:r>
      <w:r w:rsidRPr="00282F47">
        <w:rPr>
          <w:rFonts w:ascii="Arial" w:hAnsi="Arial" w:cs="Arial"/>
          <w:sz w:val="24"/>
          <w:szCs w:val="24"/>
        </w:rPr>
        <w:t xml:space="preserve"> signal amplitude, rather than emphasizing red-shifted signal observed with diethyl and dimethyl amino groups. While not a perfect comparison, all compounds were also quantified using the spectra of compound 14B to specifically evaluate red-shifted signal portrayed in compounds 13 and 14 (</w:t>
      </w:r>
      <w:r w:rsidRPr="00282F47">
        <w:rPr>
          <w:rFonts w:ascii="Arial" w:hAnsi="Arial" w:cs="Arial"/>
          <w:b/>
          <w:bCs/>
          <w:sz w:val="24"/>
          <w:szCs w:val="24"/>
        </w:rPr>
        <w:t>Supporting Figure S3.24</w:t>
      </w:r>
      <w:r w:rsidRPr="00282F47">
        <w:rPr>
          <w:rFonts w:ascii="Arial" w:hAnsi="Arial" w:cs="Arial"/>
          <w:sz w:val="24"/>
          <w:szCs w:val="24"/>
        </w:rPr>
        <w:t>). This data confirms that compound 14B provides the most optoacoustic signal generation at wavelengths deeper into the NIR window. This may be due in part to compounds 13 and 14 being capable of reaching the TICT state, thus occluding typical optoacoustic signal generation at absorbance wavelengths.</w:t>
      </w:r>
      <w:bookmarkEnd w:id="35"/>
    </w:p>
    <w:p w14:paraId="3C6856A9" w14:textId="77777777" w:rsidR="002027D2" w:rsidRPr="00282F47" w:rsidRDefault="002027D2" w:rsidP="0076052E">
      <w:pPr>
        <w:spacing w:line="480" w:lineRule="auto"/>
        <w:jc w:val="both"/>
        <w:rPr>
          <w:rFonts w:ascii="Arial" w:hAnsi="Arial" w:cs="Arial"/>
          <w:sz w:val="24"/>
          <w:szCs w:val="24"/>
        </w:rPr>
      </w:pPr>
      <w:bookmarkStart w:id="36" w:name="_Hlk149821998"/>
      <w:r w:rsidRPr="00282F47">
        <w:rPr>
          <w:rFonts w:ascii="Arial" w:hAnsi="Arial" w:cs="Arial"/>
          <w:sz w:val="24"/>
          <w:szCs w:val="24"/>
        </w:rPr>
        <w:t>Following optoacoustic imaging, whole-body near-infrared fluorescence was used to confirm presence of compounds in the pancreas of the animals (</w:t>
      </w:r>
      <w:r w:rsidRPr="00282F47">
        <w:rPr>
          <w:rFonts w:ascii="Arial" w:hAnsi="Arial" w:cs="Arial"/>
          <w:b/>
          <w:bCs/>
          <w:sz w:val="24"/>
          <w:szCs w:val="24"/>
        </w:rPr>
        <w:t>Figure 3.7C-D</w:t>
      </w:r>
      <w:r w:rsidRPr="00282F47">
        <w:rPr>
          <w:rFonts w:ascii="Arial" w:hAnsi="Arial" w:cs="Arial"/>
          <w:sz w:val="24"/>
          <w:szCs w:val="24"/>
        </w:rPr>
        <w:t xml:space="preserve">). Differences in fluorescence signal were revealed, however, such differences were </w:t>
      </w:r>
      <w:r w:rsidRPr="00282F47">
        <w:rPr>
          <w:rFonts w:ascii="Arial" w:hAnsi="Arial" w:cs="Arial"/>
          <w:sz w:val="24"/>
          <w:szCs w:val="24"/>
        </w:rPr>
        <w:lastRenderedPageBreak/>
        <w:t>inconsistent compared to optoacoustic signal. For example, compounds 12A and 12B, which were among the lowest optoacoustic signal, were significantly higher in terms of fluorescence signal than other compounds. Specifically, compound 12A (1.61x10</w:t>
      </w:r>
      <w:r w:rsidRPr="00282F47">
        <w:rPr>
          <w:rFonts w:ascii="Arial" w:hAnsi="Arial" w:cs="Arial"/>
          <w:sz w:val="24"/>
          <w:szCs w:val="24"/>
          <w:vertAlign w:val="superscript"/>
        </w:rPr>
        <w:t xml:space="preserve">9 </w:t>
      </w:r>
      <w:r w:rsidRPr="00282F47">
        <w:rPr>
          <w:rFonts w:ascii="Arial" w:hAnsi="Arial" w:cs="Arial"/>
          <w:sz w:val="24"/>
          <w:szCs w:val="24"/>
        </w:rPr>
        <w:t>counts) was significantly higher than all other compounds excluding compound 12B (1.41x10</w:t>
      </w:r>
      <w:r w:rsidRPr="00282F47">
        <w:rPr>
          <w:rFonts w:ascii="Arial" w:hAnsi="Arial" w:cs="Arial"/>
          <w:sz w:val="24"/>
          <w:szCs w:val="24"/>
          <w:vertAlign w:val="superscript"/>
        </w:rPr>
        <w:t xml:space="preserve">9 </w:t>
      </w:r>
      <w:r w:rsidRPr="00282F47">
        <w:rPr>
          <w:rFonts w:ascii="Arial" w:hAnsi="Arial" w:cs="Arial"/>
          <w:sz w:val="24"/>
          <w:szCs w:val="24"/>
        </w:rPr>
        <w:t>counts) (p&lt;0.001). Further, compound 12B is also significantly higher than all other compounds excluding 12A and 14B (8.96x10</w:t>
      </w:r>
      <w:r w:rsidRPr="00282F47">
        <w:rPr>
          <w:rFonts w:ascii="Arial" w:hAnsi="Arial" w:cs="Arial"/>
          <w:sz w:val="24"/>
          <w:szCs w:val="24"/>
          <w:vertAlign w:val="superscript"/>
        </w:rPr>
        <w:t xml:space="preserve">8 </w:t>
      </w:r>
      <w:r w:rsidRPr="00282F47">
        <w:rPr>
          <w:rFonts w:ascii="Arial" w:hAnsi="Arial" w:cs="Arial"/>
          <w:sz w:val="24"/>
          <w:szCs w:val="24"/>
        </w:rPr>
        <w:t>counts) (p&lt;0.001). Direct comparison between optoacoustic and fluorescence values may be nuanced and difficult, however, there appears to be an inverse trend, which is consistent with TICT state theory and potential pathways of energy dissipation following excitation</w:t>
      </w:r>
      <w:r w:rsidRPr="00282F47">
        <w:rPr>
          <w:rFonts w:ascii="Arial" w:hAnsi="Arial" w:cs="Arial"/>
          <w:noProof/>
          <w:sz w:val="24"/>
          <w:szCs w:val="24"/>
          <w:vertAlign w:val="superscript"/>
        </w:rPr>
        <w:t>111,112,114,115</w:t>
      </w:r>
      <w:r w:rsidRPr="00282F47">
        <w:rPr>
          <w:rFonts w:ascii="Arial" w:hAnsi="Arial" w:cs="Arial"/>
          <w:sz w:val="24"/>
          <w:szCs w:val="24"/>
        </w:rPr>
        <w:t>. Data exhibited herein supports and encouraging the use of TICT state to increase optoacoustic signal generation at higher wavelength for creation and optimization of unique optoacoustic contrast agents.</w:t>
      </w:r>
    </w:p>
    <w:bookmarkEnd w:id="36"/>
    <w:p w14:paraId="09D16F95" w14:textId="77777777" w:rsidR="002027D2" w:rsidRPr="00282F47" w:rsidRDefault="002027D2" w:rsidP="0076052E">
      <w:pPr>
        <w:spacing w:line="480" w:lineRule="auto"/>
        <w:jc w:val="both"/>
        <w:rPr>
          <w:rFonts w:ascii="Arial" w:hAnsi="Arial" w:cs="Arial"/>
          <w:sz w:val="24"/>
          <w:szCs w:val="24"/>
        </w:rPr>
      </w:pPr>
    </w:p>
    <w:p w14:paraId="42B266F8" w14:textId="77777777" w:rsidR="002027D2" w:rsidRPr="00282F47" w:rsidRDefault="002027D2" w:rsidP="004B39BC">
      <w:pPr>
        <w:spacing w:line="48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5F951954" wp14:editId="75F990AA">
            <wp:extent cx="5795036" cy="4800600"/>
            <wp:effectExtent l="0" t="0" r="0" b="0"/>
            <wp:docPr id="20648248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07902" cy="4811258"/>
                    </a:xfrm>
                    <a:prstGeom prst="rect">
                      <a:avLst/>
                    </a:prstGeom>
                    <a:noFill/>
                  </pic:spPr>
                </pic:pic>
              </a:graphicData>
            </a:graphic>
          </wp:inline>
        </w:drawing>
      </w:r>
    </w:p>
    <w:p w14:paraId="14C95F89" w14:textId="53B0A556" w:rsidR="002027D2" w:rsidRDefault="002027D2" w:rsidP="004B4BA2">
      <w:pPr>
        <w:spacing w:line="276" w:lineRule="auto"/>
        <w:jc w:val="both"/>
        <w:rPr>
          <w:rFonts w:ascii="Arial" w:hAnsi="Arial" w:cs="Arial"/>
          <w:sz w:val="24"/>
          <w:szCs w:val="24"/>
        </w:rPr>
      </w:pPr>
      <w:bookmarkStart w:id="37" w:name="_Hlk149822059"/>
      <w:r w:rsidRPr="00282F47">
        <w:rPr>
          <w:rFonts w:ascii="Arial" w:hAnsi="Arial" w:cs="Arial"/>
          <w:b/>
          <w:bCs/>
          <w:sz w:val="24"/>
          <w:szCs w:val="24"/>
        </w:rPr>
        <w:t xml:space="preserve">Figure 3.7: </w:t>
      </w:r>
      <w:r w:rsidRPr="00282F47">
        <w:rPr>
          <w:rFonts w:ascii="Arial" w:hAnsi="Arial" w:cs="Arial"/>
          <w:i/>
          <w:iCs/>
          <w:sz w:val="24"/>
          <w:szCs w:val="24"/>
        </w:rPr>
        <w:t xml:space="preserve">In vivo </w:t>
      </w:r>
      <w:r w:rsidRPr="00282F47">
        <w:rPr>
          <w:rFonts w:ascii="Arial" w:hAnsi="Arial" w:cs="Arial"/>
          <w:sz w:val="24"/>
          <w:szCs w:val="24"/>
        </w:rPr>
        <w:t xml:space="preserve">visualization of compounds 11A-14B. A) Optoacoustic tomographic slices within treated animals. Higher slice numbers (top) indicate cross sections closer to the tail of mice. Refer to </w:t>
      </w:r>
      <w:r w:rsidRPr="00282F47">
        <w:rPr>
          <w:rFonts w:ascii="Arial" w:hAnsi="Arial" w:cs="Arial"/>
          <w:b/>
          <w:bCs/>
          <w:sz w:val="24"/>
          <w:szCs w:val="24"/>
        </w:rPr>
        <w:t>Figure S1.1</w:t>
      </w:r>
      <w:r w:rsidRPr="00282F47">
        <w:rPr>
          <w:rFonts w:ascii="Arial" w:hAnsi="Arial" w:cs="Arial"/>
          <w:sz w:val="24"/>
          <w:szCs w:val="24"/>
        </w:rPr>
        <w:t xml:space="preserve"> for organ locations for tomographic cross sections.  B) Quantification of signal from A. C) Near-infrared fluorescence whole-body images of treated animal. D) Quantification of signal from B. * = p&lt;0.05, ** = p&lt;0.01, *** = p&lt;0.001.</w:t>
      </w:r>
      <w:bookmarkEnd w:id="37"/>
    </w:p>
    <w:p w14:paraId="01981AAF" w14:textId="77777777" w:rsidR="004B4BA2" w:rsidRPr="00282F47" w:rsidRDefault="004B4BA2" w:rsidP="004B4BA2">
      <w:pPr>
        <w:spacing w:line="276" w:lineRule="auto"/>
        <w:jc w:val="both"/>
        <w:rPr>
          <w:rFonts w:ascii="Arial" w:hAnsi="Arial" w:cs="Arial"/>
          <w:sz w:val="24"/>
          <w:szCs w:val="24"/>
        </w:rPr>
      </w:pPr>
    </w:p>
    <w:p w14:paraId="0C62CA16" w14:textId="77777777" w:rsidR="002027D2" w:rsidRPr="00282F47" w:rsidRDefault="002027D2" w:rsidP="00DC6439">
      <w:pPr>
        <w:rPr>
          <w:rFonts w:ascii="Arial" w:hAnsi="Arial" w:cs="Arial"/>
          <w:b/>
          <w:bCs/>
          <w:sz w:val="24"/>
          <w:szCs w:val="24"/>
        </w:rPr>
      </w:pPr>
      <w:r w:rsidRPr="00282F47">
        <w:rPr>
          <w:rFonts w:ascii="Arial" w:hAnsi="Arial" w:cs="Arial"/>
          <w:b/>
          <w:bCs/>
          <w:sz w:val="24"/>
          <w:szCs w:val="24"/>
        </w:rPr>
        <w:t xml:space="preserve">3.4.5 </w:t>
      </w:r>
      <w:r w:rsidRPr="00282F47">
        <w:rPr>
          <w:rFonts w:ascii="Arial" w:hAnsi="Arial" w:cs="Arial"/>
          <w:b/>
          <w:bCs/>
          <w:i/>
          <w:iCs/>
          <w:sz w:val="24"/>
          <w:szCs w:val="24"/>
        </w:rPr>
        <w:t xml:space="preserve">Ex vivo </w:t>
      </w:r>
      <w:r w:rsidRPr="00282F47">
        <w:rPr>
          <w:rFonts w:ascii="Arial" w:hAnsi="Arial" w:cs="Arial"/>
          <w:b/>
          <w:bCs/>
          <w:sz w:val="24"/>
          <w:szCs w:val="24"/>
        </w:rPr>
        <w:t>confirmation</w:t>
      </w:r>
    </w:p>
    <w:p w14:paraId="44EF7420" w14:textId="77777777" w:rsidR="002027D2" w:rsidRPr="00282F47" w:rsidRDefault="002027D2" w:rsidP="007F5DF0">
      <w:pPr>
        <w:spacing w:line="480" w:lineRule="auto"/>
        <w:jc w:val="both"/>
        <w:rPr>
          <w:rFonts w:ascii="Arial" w:hAnsi="Arial" w:cs="Arial"/>
          <w:sz w:val="24"/>
          <w:szCs w:val="24"/>
        </w:rPr>
      </w:pPr>
      <w:bookmarkStart w:id="38" w:name="_Hlk149822098"/>
      <w:r w:rsidRPr="00282F47">
        <w:rPr>
          <w:rFonts w:ascii="Arial" w:hAnsi="Arial" w:cs="Arial"/>
          <w:sz w:val="24"/>
          <w:szCs w:val="24"/>
        </w:rPr>
        <w:t xml:space="preserve">Subsequent to </w:t>
      </w:r>
      <w:r w:rsidRPr="00282F47">
        <w:rPr>
          <w:rFonts w:ascii="Arial" w:hAnsi="Arial" w:cs="Arial"/>
          <w:i/>
          <w:iCs/>
          <w:sz w:val="24"/>
          <w:szCs w:val="24"/>
        </w:rPr>
        <w:t xml:space="preserve">in vivo </w:t>
      </w:r>
      <w:r w:rsidRPr="00282F47">
        <w:rPr>
          <w:rFonts w:ascii="Arial" w:hAnsi="Arial" w:cs="Arial"/>
          <w:sz w:val="24"/>
          <w:szCs w:val="24"/>
        </w:rPr>
        <w:t xml:space="preserve">evaluation of hemicyanine compounds, organs were excised and imaged with NIR fluorescence to further confirm presence of compounds in the pancreas exclusively. As expected, fluorescence signal from the pancreas of animals treated with </w:t>
      </w:r>
      <w:r w:rsidRPr="00282F47">
        <w:rPr>
          <w:rFonts w:ascii="Arial" w:hAnsi="Arial" w:cs="Arial"/>
          <w:sz w:val="24"/>
          <w:szCs w:val="24"/>
        </w:rPr>
        <w:lastRenderedPageBreak/>
        <w:t>compounds 11A-14B were significantly higher than all other organs tested (kidney, liver, spleen, lung, heart) (p&lt;0.001) (</w:t>
      </w:r>
      <w:r w:rsidRPr="00282F47">
        <w:rPr>
          <w:rFonts w:ascii="Arial" w:hAnsi="Arial" w:cs="Arial"/>
          <w:b/>
          <w:bCs/>
          <w:sz w:val="24"/>
          <w:szCs w:val="24"/>
        </w:rPr>
        <w:t>Figure 3.8</w:t>
      </w:r>
      <w:r w:rsidRPr="00282F47">
        <w:rPr>
          <w:rFonts w:ascii="Arial" w:hAnsi="Arial" w:cs="Arial"/>
          <w:sz w:val="24"/>
          <w:szCs w:val="24"/>
        </w:rPr>
        <w:t xml:space="preserve">). </w:t>
      </w:r>
    </w:p>
    <w:bookmarkEnd w:id="38"/>
    <w:p w14:paraId="3146CA11" w14:textId="77777777" w:rsidR="002027D2" w:rsidRPr="00282F47" w:rsidRDefault="002027D2" w:rsidP="002269C9">
      <w:pPr>
        <w:spacing w:line="480" w:lineRule="auto"/>
        <w:jc w:val="center"/>
        <w:rPr>
          <w:rFonts w:ascii="Arial" w:hAnsi="Arial" w:cs="Arial"/>
          <w:sz w:val="24"/>
          <w:szCs w:val="24"/>
        </w:rPr>
      </w:pPr>
      <w:r w:rsidRPr="00282F47">
        <w:rPr>
          <w:rFonts w:ascii="Arial" w:hAnsi="Arial" w:cs="Arial"/>
          <w:noProof/>
          <w:sz w:val="24"/>
          <w:szCs w:val="24"/>
        </w:rPr>
        <w:drawing>
          <wp:inline distT="0" distB="0" distL="0" distR="0" wp14:anchorId="022FD235" wp14:editId="7F9FE5E2">
            <wp:extent cx="5516217" cy="5860522"/>
            <wp:effectExtent l="0" t="0" r="0" b="6985"/>
            <wp:docPr id="14723709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41065" cy="5886921"/>
                    </a:xfrm>
                    <a:prstGeom prst="rect">
                      <a:avLst/>
                    </a:prstGeom>
                    <a:noFill/>
                  </pic:spPr>
                </pic:pic>
              </a:graphicData>
            </a:graphic>
          </wp:inline>
        </w:drawing>
      </w:r>
    </w:p>
    <w:p w14:paraId="5E21E56E" w14:textId="08EFEA26" w:rsidR="002027D2" w:rsidRDefault="002027D2" w:rsidP="004B4BA2">
      <w:pPr>
        <w:spacing w:line="276" w:lineRule="auto"/>
        <w:jc w:val="both"/>
        <w:rPr>
          <w:rFonts w:ascii="Arial" w:hAnsi="Arial" w:cs="Arial"/>
          <w:sz w:val="24"/>
          <w:szCs w:val="24"/>
        </w:rPr>
      </w:pPr>
      <w:bookmarkStart w:id="39" w:name="_Hlk149822124"/>
      <w:r w:rsidRPr="00282F47">
        <w:rPr>
          <w:rFonts w:ascii="Arial" w:hAnsi="Arial" w:cs="Arial"/>
          <w:b/>
          <w:bCs/>
          <w:sz w:val="24"/>
          <w:szCs w:val="24"/>
        </w:rPr>
        <w:t xml:space="preserve">Figure 3.8: </w:t>
      </w:r>
      <w:r w:rsidRPr="00282F47">
        <w:rPr>
          <w:rFonts w:ascii="Arial" w:hAnsi="Arial" w:cs="Arial"/>
          <w:i/>
          <w:iCs/>
          <w:sz w:val="24"/>
          <w:szCs w:val="24"/>
        </w:rPr>
        <w:t xml:space="preserve">Ex vivo </w:t>
      </w:r>
      <w:r w:rsidRPr="00282F47">
        <w:rPr>
          <w:rFonts w:ascii="Arial" w:hAnsi="Arial" w:cs="Arial"/>
          <w:sz w:val="24"/>
          <w:szCs w:val="24"/>
        </w:rPr>
        <w:t>evaluation of animals treated with compounds 11A-14B. A) Visualization of NIR fluorescence signal in the pancreas, spleen, liver, kidney, heart, and lung. B) Quantification of NIR fluorescence from A. * = p&lt;0.05, ** = p&lt;0.01, *** = p&lt;0.001.</w:t>
      </w:r>
      <w:bookmarkEnd w:id="39"/>
    </w:p>
    <w:p w14:paraId="2BAD9D45" w14:textId="77777777" w:rsidR="004B4BA2" w:rsidRPr="00282F47" w:rsidRDefault="004B4BA2" w:rsidP="004B4BA2">
      <w:pPr>
        <w:spacing w:line="276" w:lineRule="auto"/>
        <w:jc w:val="both"/>
        <w:rPr>
          <w:rFonts w:ascii="Arial" w:hAnsi="Arial" w:cs="Arial"/>
          <w:sz w:val="24"/>
          <w:szCs w:val="24"/>
        </w:rPr>
      </w:pPr>
    </w:p>
    <w:p w14:paraId="556BA48C" w14:textId="608158D1" w:rsidR="002027D2" w:rsidRPr="00282F47" w:rsidRDefault="002027D2" w:rsidP="000514C4">
      <w:pPr>
        <w:spacing w:line="480" w:lineRule="auto"/>
        <w:jc w:val="both"/>
        <w:rPr>
          <w:rFonts w:ascii="Arial" w:hAnsi="Arial" w:cs="Arial"/>
          <w:sz w:val="24"/>
          <w:szCs w:val="24"/>
        </w:rPr>
      </w:pPr>
      <w:r w:rsidRPr="00282F47">
        <w:rPr>
          <w:rFonts w:ascii="Arial" w:hAnsi="Arial" w:cs="Arial"/>
          <w:sz w:val="24"/>
          <w:szCs w:val="24"/>
        </w:rPr>
        <w:lastRenderedPageBreak/>
        <w:t xml:space="preserve">Following full </w:t>
      </w:r>
      <w:r w:rsidRPr="00282F47">
        <w:rPr>
          <w:rFonts w:ascii="Arial" w:hAnsi="Arial" w:cs="Arial"/>
          <w:i/>
          <w:iCs/>
          <w:sz w:val="24"/>
          <w:szCs w:val="24"/>
        </w:rPr>
        <w:t xml:space="preserve">in vivo </w:t>
      </w:r>
      <w:r w:rsidRPr="00282F47">
        <w:rPr>
          <w:rFonts w:ascii="Arial" w:hAnsi="Arial" w:cs="Arial"/>
          <w:sz w:val="24"/>
          <w:szCs w:val="24"/>
        </w:rPr>
        <w:t xml:space="preserve">and </w:t>
      </w:r>
      <w:r w:rsidRPr="00282F47">
        <w:rPr>
          <w:rFonts w:ascii="Arial" w:hAnsi="Arial" w:cs="Arial"/>
          <w:i/>
          <w:iCs/>
          <w:sz w:val="24"/>
          <w:szCs w:val="24"/>
        </w:rPr>
        <w:t xml:space="preserve">ex vivo </w:t>
      </w:r>
      <w:r w:rsidRPr="00282F47">
        <w:rPr>
          <w:rFonts w:ascii="Arial" w:hAnsi="Arial" w:cs="Arial"/>
          <w:sz w:val="24"/>
          <w:szCs w:val="24"/>
        </w:rPr>
        <w:t xml:space="preserve">experimentation, portions of </w:t>
      </w:r>
      <w:r w:rsidR="00EB0BCC">
        <w:rPr>
          <w:rFonts w:ascii="Arial" w:hAnsi="Arial" w:cs="Arial"/>
          <w:sz w:val="24"/>
          <w:szCs w:val="24"/>
        </w:rPr>
        <w:t>excised</w:t>
      </w:r>
      <w:r w:rsidRPr="00282F47">
        <w:rPr>
          <w:rFonts w:ascii="Arial" w:hAnsi="Arial" w:cs="Arial"/>
          <w:sz w:val="24"/>
          <w:szCs w:val="24"/>
        </w:rPr>
        <w:t xml:space="preserve"> organs (pancreas, spleen, liver, kidney, heart, and lung) were fixed in formalin and standard H&amp;E stained. Histological evaluation showed that hemicyanine compounds were non-toxic to all animals. No morphological changes were observed, indicating no tissue damage.</w:t>
      </w:r>
    </w:p>
    <w:p w14:paraId="1D9464CE" w14:textId="77777777" w:rsidR="002027D2" w:rsidRPr="00282F47" w:rsidRDefault="002027D2" w:rsidP="00F73DFD">
      <w:pPr>
        <w:pStyle w:val="Style4"/>
        <w:spacing w:after="240"/>
        <w:rPr>
          <w:color w:val="auto"/>
        </w:rPr>
      </w:pPr>
      <w:bookmarkStart w:id="40" w:name="_Toc152874271"/>
      <w:r w:rsidRPr="00282F47">
        <w:rPr>
          <w:color w:val="auto"/>
        </w:rPr>
        <w:t>3.5 Conclusions:</w:t>
      </w:r>
      <w:bookmarkEnd w:id="40"/>
    </w:p>
    <w:p w14:paraId="60EBF36C" w14:textId="581ED382" w:rsidR="002027D2" w:rsidRPr="00282F47" w:rsidRDefault="002027D2" w:rsidP="000514C4">
      <w:pPr>
        <w:spacing w:line="480" w:lineRule="auto"/>
        <w:jc w:val="both"/>
        <w:rPr>
          <w:rFonts w:ascii="Arial" w:hAnsi="Arial" w:cs="Arial"/>
          <w:sz w:val="24"/>
          <w:szCs w:val="24"/>
        </w:rPr>
      </w:pPr>
      <w:bookmarkStart w:id="41" w:name="_Hlk149822145"/>
      <w:r w:rsidRPr="00282F47">
        <w:rPr>
          <w:rFonts w:ascii="Arial" w:hAnsi="Arial" w:cs="Arial"/>
          <w:sz w:val="24"/>
          <w:szCs w:val="24"/>
        </w:rPr>
        <w:t>This manuscript focused on developing functionalized hemicyanine compounds for use as unique optoacoustic contrast agents. MSOT</w:t>
      </w:r>
      <w:r w:rsidR="00EB0BCC">
        <w:rPr>
          <w:rFonts w:ascii="Arial" w:hAnsi="Arial" w:cs="Arial"/>
          <w:sz w:val="24"/>
          <w:szCs w:val="24"/>
        </w:rPr>
        <w:t xml:space="preserve"> </w:t>
      </w:r>
      <w:r w:rsidRPr="00282F47">
        <w:rPr>
          <w:rFonts w:ascii="Arial" w:hAnsi="Arial" w:cs="Arial"/>
          <w:sz w:val="24"/>
          <w:szCs w:val="24"/>
        </w:rPr>
        <w:t>is a developing</w:t>
      </w:r>
      <w:r w:rsidR="00EB0BCC">
        <w:rPr>
          <w:rFonts w:ascii="Arial" w:hAnsi="Arial" w:cs="Arial"/>
          <w:sz w:val="24"/>
          <w:szCs w:val="24"/>
        </w:rPr>
        <w:t xml:space="preserve"> optoacoustic</w:t>
      </w:r>
      <w:r w:rsidRPr="00282F47">
        <w:rPr>
          <w:rFonts w:ascii="Arial" w:hAnsi="Arial" w:cs="Arial"/>
          <w:sz w:val="24"/>
          <w:szCs w:val="24"/>
        </w:rPr>
        <w:t xml:space="preserve"> modality that has shown high potential in a clinical setting due to intrinsic advantages over many optical-based imaging modality such as increased imaging depth. However, a lack of unique contrast agents has limited MSOT. The hemicyanine dyes evaluated herein exploit twisted intramolecular charge transfer to shift optoacoustic signal generation to a unique wavelength range, given an appropriate solvent polarity. Data was validated </w:t>
      </w:r>
      <w:r w:rsidRPr="00282F47">
        <w:rPr>
          <w:rFonts w:ascii="Arial" w:hAnsi="Arial" w:cs="Arial"/>
          <w:i/>
          <w:iCs/>
          <w:sz w:val="24"/>
          <w:szCs w:val="24"/>
        </w:rPr>
        <w:t xml:space="preserve">in vivo </w:t>
      </w:r>
      <w:r w:rsidRPr="00282F47">
        <w:rPr>
          <w:rFonts w:ascii="Arial" w:hAnsi="Arial" w:cs="Arial"/>
          <w:sz w:val="24"/>
          <w:szCs w:val="24"/>
        </w:rPr>
        <w:t>in the pancreas of a murine model. Utilization of the TICT state can be incorporated into future optoacoustic contrast agent development to progress optoacoustic imaging applications in a clinical setting.</w:t>
      </w:r>
    </w:p>
    <w:p w14:paraId="56E6661A" w14:textId="77777777" w:rsidR="002027D2" w:rsidRPr="00282F47" w:rsidRDefault="002027D2" w:rsidP="00F73DFD">
      <w:pPr>
        <w:pStyle w:val="Style4"/>
        <w:spacing w:after="240"/>
        <w:rPr>
          <w:color w:val="auto"/>
        </w:rPr>
      </w:pPr>
      <w:bookmarkStart w:id="42" w:name="_Toc152874272"/>
      <w:bookmarkEnd w:id="41"/>
      <w:r w:rsidRPr="00282F47">
        <w:rPr>
          <w:color w:val="auto"/>
        </w:rPr>
        <w:t>3.6 Acknowledgement and Funding:</w:t>
      </w:r>
      <w:bookmarkEnd w:id="42"/>
      <w:r w:rsidRPr="00282F47">
        <w:rPr>
          <w:color w:val="auto"/>
        </w:rPr>
        <w:t xml:space="preserve"> </w:t>
      </w:r>
    </w:p>
    <w:p w14:paraId="5FE7D48D" w14:textId="77777777" w:rsidR="002027D2" w:rsidRPr="00282F47" w:rsidRDefault="002027D2" w:rsidP="007D105E">
      <w:pPr>
        <w:spacing w:line="480" w:lineRule="auto"/>
        <w:jc w:val="both"/>
        <w:rPr>
          <w:rFonts w:ascii="Arial" w:hAnsi="Arial" w:cs="Arial"/>
          <w:sz w:val="24"/>
          <w:szCs w:val="24"/>
        </w:rPr>
      </w:pPr>
      <w:r w:rsidRPr="00282F47">
        <w:rPr>
          <w:rFonts w:ascii="Arial" w:hAnsi="Arial" w:cs="Arial"/>
          <w:sz w:val="24"/>
          <w:szCs w:val="24"/>
        </w:rPr>
        <w:t>This manuscript was supported by NIH grants F31CA261044, R01CA205941, R01CA212350, R01GM135392, and P30CA225520.</w:t>
      </w:r>
    </w:p>
    <w:p w14:paraId="5BD20EA5" w14:textId="77777777" w:rsidR="002027D2" w:rsidRDefault="002027D2" w:rsidP="007D105E">
      <w:pPr>
        <w:spacing w:line="480" w:lineRule="auto"/>
        <w:jc w:val="both"/>
        <w:rPr>
          <w:rFonts w:ascii="Arial" w:hAnsi="Arial" w:cs="Arial"/>
          <w:sz w:val="24"/>
          <w:szCs w:val="24"/>
        </w:rPr>
      </w:pPr>
    </w:p>
    <w:p w14:paraId="79F9045F" w14:textId="77777777" w:rsidR="004B4BA2" w:rsidRPr="00282F47" w:rsidRDefault="004B4BA2" w:rsidP="007D105E">
      <w:pPr>
        <w:spacing w:line="480" w:lineRule="auto"/>
        <w:jc w:val="both"/>
        <w:rPr>
          <w:rFonts w:ascii="Arial" w:hAnsi="Arial" w:cs="Arial"/>
          <w:sz w:val="24"/>
          <w:szCs w:val="24"/>
        </w:rPr>
      </w:pPr>
    </w:p>
    <w:p w14:paraId="2488BF96" w14:textId="77777777" w:rsidR="002027D2" w:rsidRPr="00282F47" w:rsidRDefault="002027D2" w:rsidP="00F73DFD">
      <w:pPr>
        <w:pStyle w:val="Style3"/>
        <w:spacing w:after="240"/>
        <w:rPr>
          <w:color w:val="auto"/>
        </w:rPr>
      </w:pPr>
      <w:bookmarkStart w:id="43" w:name="_Toc152874273"/>
      <w:r w:rsidRPr="00282F47">
        <w:rPr>
          <w:color w:val="auto"/>
        </w:rPr>
        <w:lastRenderedPageBreak/>
        <w:t>Chapter 4 – Toxicity Assessment of Mesoporous Silica Nanoparticles upon Intravenous Injection in Mice: Implications for Drug Delivery</w:t>
      </w:r>
      <w:bookmarkEnd w:id="43"/>
    </w:p>
    <w:p w14:paraId="2D2AA9B2" w14:textId="77777777" w:rsidR="002027D2" w:rsidRPr="00282F47" w:rsidRDefault="002027D2" w:rsidP="004E4169">
      <w:pPr>
        <w:jc w:val="both"/>
        <w:rPr>
          <w:rFonts w:ascii="Arial" w:hAnsi="Arial" w:cs="Arial"/>
          <w:sz w:val="24"/>
          <w:szCs w:val="24"/>
        </w:rPr>
      </w:pPr>
      <w:r w:rsidRPr="00282F47">
        <w:rPr>
          <w:rFonts w:ascii="Arial" w:hAnsi="Arial" w:cs="Arial"/>
          <w:sz w:val="24"/>
          <w:szCs w:val="24"/>
        </w:rPr>
        <w:t xml:space="preserve">This chapter has been published as a research manuscript in </w:t>
      </w:r>
      <w:r w:rsidRPr="00282F47">
        <w:rPr>
          <w:rFonts w:ascii="Arial" w:hAnsi="Arial" w:cs="Arial"/>
          <w:i/>
          <w:iCs/>
          <w:sz w:val="24"/>
          <w:szCs w:val="24"/>
        </w:rPr>
        <w:t>Pharmaceutics</w:t>
      </w:r>
      <w:r w:rsidRPr="00282F47">
        <w:rPr>
          <w:rFonts w:ascii="Arial" w:hAnsi="Arial" w:cs="Arial"/>
          <w:sz w:val="24"/>
          <w:szCs w:val="24"/>
        </w:rPr>
        <w:t>:</w:t>
      </w:r>
    </w:p>
    <w:p w14:paraId="58BCE116" w14:textId="77777777" w:rsidR="002027D2" w:rsidRPr="00282F47" w:rsidRDefault="002027D2" w:rsidP="004E4169">
      <w:pPr>
        <w:jc w:val="both"/>
        <w:rPr>
          <w:rFonts w:ascii="Arial" w:hAnsi="Arial" w:cs="Arial"/>
          <w:sz w:val="24"/>
          <w:szCs w:val="24"/>
        </w:rPr>
      </w:pPr>
      <w:r w:rsidRPr="00282F47">
        <w:rPr>
          <w:rFonts w:ascii="Arial" w:hAnsi="Arial" w:cs="Arial"/>
          <w:b/>
          <w:bCs/>
          <w:sz w:val="24"/>
          <w:szCs w:val="24"/>
        </w:rPr>
        <w:t>William M MacCuaig</w:t>
      </w:r>
      <w:r w:rsidRPr="00282F47">
        <w:rPr>
          <w:rFonts w:ascii="Arial" w:hAnsi="Arial" w:cs="Arial"/>
          <w:sz w:val="24"/>
          <w:szCs w:val="24"/>
        </w:rPr>
        <w:t xml:space="preserve">, Abhilash Samykutty, Jeremy Foote, Wenyi Luo, Alexander Filatenkov, Min Li, Courtney Houchen, William E Grizzle, Lacey R McNally. “Toxicity Assessment of Mesoporous Silica Nanoparticles upon Intravenous Injection in Mice: Implications for Drug Delivery” </w:t>
      </w:r>
      <w:r w:rsidRPr="00282F47">
        <w:rPr>
          <w:rFonts w:ascii="Arial" w:hAnsi="Arial" w:cs="Arial"/>
          <w:i/>
          <w:iCs/>
          <w:sz w:val="24"/>
          <w:szCs w:val="24"/>
        </w:rPr>
        <w:t xml:space="preserve">Pharmaceutics </w:t>
      </w:r>
      <w:r w:rsidRPr="00282F47">
        <w:rPr>
          <w:rFonts w:ascii="Arial" w:hAnsi="Arial" w:cs="Arial"/>
          <w:sz w:val="24"/>
          <w:szCs w:val="24"/>
        </w:rPr>
        <w:t>2022 Apr 30; 14(5):969. doi: 10.3390/pharmaceutics14050969</w:t>
      </w:r>
    </w:p>
    <w:p w14:paraId="6113F782" w14:textId="77777777" w:rsidR="002027D2" w:rsidRPr="00282F47" w:rsidRDefault="002027D2" w:rsidP="004E4169">
      <w:pPr>
        <w:jc w:val="both"/>
        <w:rPr>
          <w:rFonts w:ascii="Arial" w:hAnsi="Arial" w:cs="Arial"/>
          <w:sz w:val="24"/>
          <w:szCs w:val="24"/>
        </w:rPr>
      </w:pPr>
    </w:p>
    <w:p w14:paraId="560B335B" w14:textId="77777777" w:rsidR="002027D2" w:rsidRPr="00282F47" w:rsidRDefault="002027D2" w:rsidP="00F73DFD">
      <w:pPr>
        <w:pStyle w:val="Style4"/>
        <w:spacing w:after="240"/>
        <w:rPr>
          <w:color w:val="auto"/>
        </w:rPr>
      </w:pPr>
      <w:bookmarkStart w:id="44" w:name="_Toc152874274"/>
      <w:r w:rsidRPr="00282F47">
        <w:rPr>
          <w:color w:val="auto"/>
        </w:rPr>
        <w:t>4.1 Abstract:</w:t>
      </w:r>
      <w:bookmarkEnd w:id="44"/>
    </w:p>
    <w:p w14:paraId="06BE10F0" w14:textId="77777777" w:rsidR="002027D2" w:rsidRPr="00282F47" w:rsidRDefault="002027D2" w:rsidP="00D24D22">
      <w:pPr>
        <w:spacing w:line="480" w:lineRule="auto"/>
        <w:jc w:val="both"/>
        <w:rPr>
          <w:rFonts w:ascii="Arial" w:hAnsi="Arial" w:cs="Arial"/>
          <w:sz w:val="24"/>
          <w:szCs w:val="24"/>
        </w:rPr>
      </w:pPr>
      <w:r w:rsidRPr="00282F47">
        <w:rPr>
          <w:rFonts w:ascii="Arial" w:hAnsi="Arial" w:cs="Arial"/>
          <w:sz w:val="24"/>
          <w:szCs w:val="24"/>
        </w:rPr>
        <w:t xml:space="preserve">Nanoparticles are popular tools utilized to selectively deliver drugs and contrast agents for identification and treatment of disease. To determine the translational potential of mesoporous silica nanoparticles (MSNs), further evaluations of toxicity are required. MSNs are among the most utilized nano-delivery systems due to ease of synthesis, pore structure, and functionalization. This study aims to elucidate toxicity as a result of intravenous injection of 25 nm MSNs coated with chitosan (C) or polyethylene glycol (PEG) in mice. Following acute and chronic injections, blood was evaluated for standard blood chemistry and complete blood count analyses. Blood chemistry results primarily indicated that no abnormalities were present following acute or chronic injections of MSNs, or C/PEG-coated MSNs. After four weekly administered treatments, vital organs showed minor exacerbation of pre-existing lesions in the 35KPEG-MSN and moderate exacerbation of pre-existing lesions in uncoated MSN and 2KPEG-MSN treatment groups. In contrast, C-MSN treatment groups had minimal changes compared to controls. This study suggests 25 nm MSNs coated with chitosan should elicit minimal toxicity when administered as either single or multiple intravenous injections, but MSNs coated with PEG, especially 2KPEG may exacerbate pre-existing vascular conditions. Further studies </w:t>
      </w:r>
      <w:r w:rsidRPr="00282F47">
        <w:rPr>
          <w:rFonts w:ascii="Arial" w:hAnsi="Arial" w:cs="Arial"/>
          <w:sz w:val="24"/>
          <w:szCs w:val="24"/>
        </w:rPr>
        <w:lastRenderedPageBreak/>
        <w:t xml:space="preserve">should evaluate varying sizes and types of nanoparticles to provide a better overall understanding on the relation between nanoparticles and </w:t>
      </w:r>
      <w:r w:rsidRPr="00282F47">
        <w:rPr>
          <w:rFonts w:ascii="Arial" w:hAnsi="Arial" w:cs="Arial"/>
          <w:i/>
          <w:iCs/>
          <w:sz w:val="24"/>
          <w:szCs w:val="24"/>
        </w:rPr>
        <w:t>in vivo</w:t>
      </w:r>
      <w:r w:rsidRPr="00282F47">
        <w:rPr>
          <w:rFonts w:ascii="Arial" w:hAnsi="Arial" w:cs="Arial"/>
          <w:sz w:val="24"/>
          <w:szCs w:val="24"/>
        </w:rPr>
        <w:t xml:space="preserve"> toxicity.</w:t>
      </w:r>
    </w:p>
    <w:p w14:paraId="449C89B9" w14:textId="77777777" w:rsidR="002027D2" w:rsidRPr="00282F47" w:rsidRDefault="002027D2" w:rsidP="00F73DFD">
      <w:pPr>
        <w:pStyle w:val="Style4"/>
        <w:spacing w:after="240"/>
        <w:rPr>
          <w:color w:val="auto"/>
        </w:rPr>
      </w:pPr>
      <w:bookmarkStart w:id="45" w:name="_Toc152874275"/>
      <w:r w:rsidRPr="00282F47">
        <w:rPr>
          <w:color w:val="auto"/>
        </w:rPr>
        <w:t>4.2 Introduction:</w:t>
      </w:r>
      <w:bookmarkEnd w:id="45"/>
    </w:p>
    <w:p w14:paraId="445C636F" w14:textId="43B62C08"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In disease treatment, nanomedicine is a potential solution that provides theranostic capabilities for a variety of applications. Of the wide diversity of nanomaterial formulations, mesoporous silica nanoparticles (MSNs) have emerged as a popular option due to the ability to facilitate specific cargo delivery for imaging, and/or therapeutics</w:t>
      </w:r>
      <w:r w:rsidRPr="00282F47">
        <w:rPr>
          <w:rFonts w:ascii="Arial" w:hAnsi="Arial" w:cs="Arial"/>
          <w:noProof/>
          <w:sz w:val="24"/>
          <w:szCs w:val="24"/>
          <w:vertAlign w:val="superscript"/>
        </w:rPr>
        <w:t>120</w:t>
      </w:r>
      <w:r w:rsidRPr="00282F47">
        <w:rPr>
          <w:rFonts w:ascii="Arial" w:hAnsi="Arial" w:cs="Arial"/>
          <w:sz w:val="24"/>
          <w:szCs w:val="24"/>
        </w:rPr>
        <w:t>. The increase in popularity of MSNs as nano-delivery vehicles owes to uniformity in synthesis, tunability, and facile functionalization</w:t>
      </w:r>
      <w:r w:rsidRPr="00282F47">
        <w:rPr>
          <w:rFonts w:ascii="Arial" w:hAnsi="Arial" w:cs="Arial"/>
          <w:noProof/>
          <w:sz w:val="24"/>
          <w:szCs w:val="24"/>
          <w:vertAlign w:val="superscript"/>
        </w:rPr>
        <w:t>121,122</w:t>
      </w:r>
      <w:r w:rsidRPr="00282F47">
        <w:rPr>
          <w:rFonts w:ascii="Arial" w:hAnsi="Arial" w:cs="Arial"/>
          <w:sz w:val="24"/>
          <w:szCs w:val="24"/>
        </w:rPr>
        <w:t xml:space="preserve">. MSNs can be synthesized in a uniform size range and the mesoporous structure can encapsulate a drug for treatment or medical imaging using clinically relevant modalities including </w:t>
      </w:r>
      <w:r w:rsidR="00335A40">
        <w:rPr>
          <w:rFonts w:ascii="Arial" w:hAnsi="Arial" w:cs="Arial"/>
          <w:sz w:val="24"/>
          <w:szCs w:val="24"/>
        </w:rPr>
        <w:t>magnetic resonance imaging (</w:t>
      </w:r>
      <w:r w:rsidRPr="00282F47">
        <w:rPr>
          <w:rFonts w:ascii="Arial" w:hAnsi="Arial" w:cs="Arial"/>
          <w:sz w:val="24"/>
          <w:szCs w:val="24"/>
        </w:rPr>
        <w:t>MRI</w:t>
      </w:r>
      <w:r w:rsidR="00335A40">
        <w:rPr>
          <w:rFonts w:ascii="Arial" w:hAnsi="Arial" w:cs="Arial"/>
          <w:sz w:val="24"/>
          <w:szCs w:val="24"/>
        </w:rPr>
        <w:t>)</w:t>
      </w:r>
      <w:r w:rsidRPr="00282F47">
        <w:rPr>
          <w:rFonts w:ascii="Arial" w:hAnsi="Arial" w:cs="Arial"/>
          <w:sz w:val="24"/>
          <w:szCs w:val="24"/>
        </w:rPr>
        <w:t xml:space="preserve"> or fluorescence</w:t>
      </w:r>
      <w:r w:rsidRPr="00282F47">
        <w:rPr>
          <w:rFonts w:ascii="Arial" w:hAnsi="Arial" w:cs="Arial"/>
          <w:noProof/>
          <w:sz w:val="24"/>
          <w:szCs w:val="24"/>
          <w:vertAlign w:val="superscript"/>
        </w:rPr>
        <w:t>123,124</w:t>
      </w:r>
      <w:r w:rsidRPr="00282F47">
        <w:rPr>
          <w:rFonts w:ascii="Arial" w:hAnsi="Arial" w:cs="Arial"/>
          <w:sz w:val="24"/>
          <w:szCs w:val="24"/>
        </w:rPr>
        <w:t>. Surface modifications of MSNs permit targeting to disease-specific features within the body, such as unique extracellular receptors</w:t>
      </w:r>
      <w:r w:rsidRPr="00282F47">
        <w:rPr>
          <w:rFonts w:ascii="Arial" w:hAnsi="Arial" w:cs="Arial"/>
          <w:noProof/>
          <w:sz w:val="24"/>
          <w:szCs w:val="24"/>
          <w:vertAlign w:val="superscript"/>
        </w:rPr>
        <w:t>125-127</w:t>
      </w:r>
      <w:r w:rsidRPr="00282F47">
        <w:rPr>
          <w:rFonts w:ascii="Arial" w:hAnsi="Arial" w:cs="Arial"/>
          <w:sz w:val="24"/>
          <w:szCs w:val="24"/>
        </w:rPr>
        <w:t>. With such advantages, MSNs are intriguing for potential translation to a clinical setting.</w:t>
      </w:r>
    </w:p>
    <w:p w14:paraId="275F8260"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Despite the potential for theranostic application of MSNs, concerns of toxicity have been partially responsible for impeded clinical translation. Historically, toxicity as a result of silica was associated with utilization of micro-scale particles, resulting in the development of autoimmune diseases</w:t>
      </w:r>
      <w:r w:rsidRPr="00282F47">
        <w:rPr>
          <w:rFonts w:ascii="Arial" w:hAnsi="Arial" w:cs="Arial"/>
          <w:noProof/>
          <w:sz w:val="24"/>
          <w:szCs w:val="24"/>
          <w:vertAlign w:val="superscript"/>
        </w:rPr>
        <w:t>128</w:t>
      </w:r>
      <w:r w:rsidRPr="00282F47">
        <w:rPr>
          <w:rFonts w:ascii="Arial" w:hAnsi="Arial" w:cs="Arial"/>
          <w:sz w:val="24"/>
          <w:szCs w:val="24"/>
        </w:rPr>
        <w:t>. Studies using silica nanoparticles have resulted in fibrosis and liver/kidney injury due to rapid renal clearance or sequestration to the liver</w:t>
      </w:r>
      <w:r w:rsidRPr="00282F47">
        <w:rPr>
          <w:rFonts w:ascii="Arial" w:hAnsi="Arial" w:cs="Arial"/>
          <w:noProof/>
          <w:sz w:val="24"/>
          <w:szCs w:val="24"/>
          <w:vertAlign w:val="superscript"/>
        </w:rPr>
        <w:t>129,130</w:t>
      </w:r>
      <w:r w:rsidRPr="00282F47">
        <w:rPr>
          <w:rFonts w:ascii="Arial" w:hAnsi="Arial" w:cs="Arial"/>
          <w:sz w:val="24"/>
          <w:szCs w:val="24"/>
        </w:rPr>
        <w:t xml:space="preserve">. In contrast, several </w:t>
      </w:r>
      <w:r w:rsidRPr="00282F47">
        <w:rPr>
          <w:rFonts w:ascii="Arial" w:hAnsi="Arial" w:cs="Arial"/>
          <w:i/>
          <w:iCs/>
          <w:sz w:val="24"/>
          <w:szCs w:val="24"/>
        </w:rPr>
        <w:t>in vivo</w:t>
      </w:r>
      <w:r w:rsidRPr="00282F47">
        <w:rPr>
          <w:rFonts w:ascii="Arial" w:hAnsi="Arial" w:cs="Arial"/>
          <w:sz w:val="24"/>
          <w:szCs w:val="24"/>
        </w:rPr>
        <w:t xml:space="preserve"> studies indicate that silica nanoparticles are not toxic</w:t>
      </w:r>
      <w:r w:rsidRPr="00282F47">
        <w:rPr>
          <w:rFonts w:ascii="Arial" w:hAnsi="Arial" w:cs="Arial"/>
          <w:noProof/>
          <w:sz w:val="24"/>
          <w:szCs w:val="24"/>
          <w:vertAlign w:val="superscript"/>
        </w:rPr>
        <w:t>131,132</w:t>
      </w:r>
      <w:r w:rsidRPr="00282F47">
        <w:rPr>
          <w:rFonts w:ascii="Arial" w:hAnsi="Arial" w:cs="Arial"/>
          <w:sz w:val="24"/>
          <w:szCs w:val="24"/>
        </w:rPr>
        <w:t xml:space="preserve">. Inconsistent results in the evaluation of MSNs, and many types of nanoparticles, often occur due to multiple confounding factors in the nanoparticle system. That is, the nanoparticle type, cargo, functionalization, conjugation linkers, etc., all contribute to the </w:t>
      </w:r>
      <w:r w:rsidRPr="00282F47">
        <w:rPr>
          <w:rFonts w:ascii="Arial" w:hAnsi="Arial" w:cs="Arial"/>
          <w:sz w:val="24"/>
          <w:szCs w:val="24"/>
        </w:rPr>
        <w:lastRenderedPageBreak/>
        <w:t>toxicity response, or lack thereof. With the increasing popularity and opportunity for clinical translation, head-to-head comparisons of MSNs with commonly used functionalization are required.</w:t>
      </w:r>
    </w:p>
    <w:p w14:paraId="161969AE"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As mentioned, evaluation of the toxicity of functionalized MSNs is crucial for translational studies. MSNs are rarely used without being functionalized via external coating; cargo would rapidly exit from the porous silica into the surrounding environment without inclusion of an external coating. In addition, such coatings are often utilized to provide stealth in the body and/or specificity for application, therefore absence would greatly diminish efficacy</w:t>
      </w:r>
      <w:r w:rsidRPr="00282F47">
        <w:rPr>
          <w:rFonts w:ascii="Arial" w:hAnsi="Arial" w:cs="Arial"/>
          <w:noProof/>
          <w:sz w:val="24"/>
          <w:szCs w:val="24"/>
          <w:vertAlign w:val="superscript"/>
        </w:rPr>
        <w:t>133-135</w:t>
      </w:r>
      <w:r w:rsidRPr="00282F47">
        <w:rPr>
          <w:rFonts w:ascii="Arial" w:hAnsi="Arial" w:cs="Arial"/>
          <w:sz w:val="24"/>
          <w:szCs w:val="24"/>
        </w:rPr>
        <w:t>. While studies have observed that the use of an external coating on MSNs can mitigate toxicity and fibrosis</w:t>
      </w:r>
      <w:r w:rsidRPr="00282F47">
        <w:rPr>
          <w:rFonts w:ascii="Arial" w:hAnsi="Arial" w:cs="Arial"/>
          <w:noProof/>
          <w:sz w:val="24"/>
          <w:szCs w:val="24"/>
          <w:vertAlign w:val="superscript"/>
        </w:rPr>
        <w:t>136</w:t>
      </w:r>
      <w:r w:rsidRPr="00282F47">
        <w:rPr>
          <w:rFonts w:ascii="Arial" w:hAnsi="Arial" w:cs="Arial"/>
          <w:sz w:val="24"/>
          <w:szCs w:val="24"/>
        </w:rPr>
        <w:t xml:space="preserve">, there are few head-to-head comparisons that carry clinical implications. </w:t>
      </w:r>
    </w:p>
    <w:p w14:paraId="67F7F2A7"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Polyethylene glycol (PEG) is a popular biocompatible polymer. When functionalized to nanoparticles such as MSNs, PEG adds stealth/targeting to permit nanoparticles to escape phagocytosis, leading to longer circulation in the bloodstream</w:t>
      </w:r>
      <w:r w:rsidRPr="00282F47">
        <w:rPr>
          <w:rFonts w:ascii="Arial" w:hAnsi="Arial" w:cs="Arial"/>
          <w:noProof/>
          <w:sz w:val="24"/>
          <w:szCs w:val="24"/>
          <w:vertAlign w:val="superscript"/>
        </w:rPr>
        <w:t>137</w:t>
      </w:r>
      <w:r w:rsidRPr="00282F47">
        <w:rPr>
          <w:rFonts w:ascii="Arial" w:hAnsi="Arial" w:cs="Arial"/>
          <w:sz w:val="24"/>
          <w:szCs w:val="24"/>
        </w:rPr>
        <w:t xml:space="preserve">. PEG can degrade </w:t>
      </w:r>
      <w:r w:rsidRPr="00282F47">
        <w:rPr>
          <w:rFonts w:ascii="Arial" w:hAnsi="Arial" w:cs="Arial"/>
          <w:i/>
          <w:iCs/>
          <w:sz w:val="24"/>
          <w:szCs w:val="24"/>
        </w:rPr>
        <w:t>in vivo</w:t>
      </w:r>
      <w:r w:rsidRPr="00282F47">
        <w:rPr>
          <w:rFonts w:ascii="Arial" w:hAnsi="Arial" w:cs="Arial"/>
          <w:sz w:val="24"/>
          <w:szCs w:val="24"/>
        </w:rPr>
        <w:t>, permitting cargo release, while maintaining minimal non-specific interactions</w:t>
      </w:r>
      <w:r w:rsidRPr="00282F47">
        <w:rPr>
          <w:rFonts w:ascii="Arial" w:hAnsi="Arial" w:cs="Arial"/>
          <w:noProof/>
          <w:sz w:val="24"/>
          <w:szCs w:val="24"/>
          <w:vertAlign w:val="superscript"/>
        </w:rPr>
        <w:t>138</w:t>
      </w:r>
      <w:r w:rsidRPr="00282F47">
        <w:rPr>
          <w:rFonts w:ascii="Arial" w:hAnsi="Arial" w:cs="Arial"/>
          <w:sz w:val="24"/>
          <w:szCs w:val="24"/>
        </w:rPr>
        <w:t>. However, PEG has been found to decrease uptake and interactions with target cells through too much of “stealth effect”, leading to decreased theranostic efficacy</w:t>
      </w:r>
      <w:r w:rsidRPr="00282F47">
        <w:rPr>
          <w:rFonts w:ascii="Arial" w:hAnsi="Arial" w:cs="Arial"/>
          <w:noProof/>
          <w:sz w:val="24"/>
          <w:szCs w:val="24"/>
          <w:vertAlign w:val="superscript"/>
        </w:rPr>
        <w:t>139,140</w:t>
      </w:r>
      <w:r w:rsidRPr="00282F47">
        <w:rPr>
          <w:rFonts w:ascii="Arial" w:hAnsi="Arial" w:cs="Arial"/>
          <w:sz w:val="24"/>
          <w:szCs w:val="24"/>
        </w:rPr>
        <w:t xml:space="preserve">. PEGylated nanomaterials have also been associated with renal toxicity and anaphylactic shock </w:t>
      </w:r>
      <w:r w:rsidRPr="00282F47">
        <w:rPr>
          <w:rFonts w:ascii="Arial" w:hAnsi="Arial" w:cs="Arial"/>
          <w:i/>
          <w:iCs/>
          <w:sz w:val="24"/>
          <w:szCs w:val="24"/>
        </w:rPr>
        <w:t>in vivo</w:t>
      </w:r>
      <w:r w:rsidRPr="00282F47">
        <w:rPr>
          <w:rFonts w:ascii="Arial" w:hAnsi="Arial" w:cs="Arial"/>
          <w:noProof/>
          <w:sz w:val="24"/>
          <w:szCs w:val="24"/>
          <w:vertAlign w:val="superscript"/>
        </w:rPr>
        <w:t>141,142</w:t>
      </w:r>
      <w:r w:rsidRPr="00282F47">
        <w:rPr>
          <w:rFonts w:ascii="Arial" w:hAnsi="Arial" w:cs="Arial"/>
          <w:sz w:val="24"/>
          <w:szCs w:val="24"/>
        </w:rPr>
        <w:t>.</w:t>
      </w:r>
    </w:p>
    <w:p w14:paraId="2E24E495"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Chitosan is another commonly used biomaterial and nanoparticle coating </w:t>
      </w:r>
      <w:r w:rsidRPr="00282F47">
        <w:rPr>
          <w:rFonts w:ascii="Arial" w:hAnsi="Arial" w:cs="Arial"/>
          <w:i/>
          <w:iCs/>
          <w:sz w:val="24"/>
          <w:szCs w:val="24"/>
        </w:rPr>
        <w:t>in vivo</w:t>
      </w:r>
      <w:r w:rsidRPr="00282F47">
        <w:rPr>
          <w:rFonts w:ascii="Arial" w:hAnsi="Arial" w:cs="Arial"/>
          <w:sz w:val="24"/>
          <w:szCs w:val="24"/>
        </w:rPr>
        <w:t>. Chitosan is a deacylated form of naturally occurring polysaccharide chitin, and often is used as a nanomaterial due to pH-responsivity in biological relevant levels</w:t>
      </w:r>
      <w:r w:rsidRPr="00282F47">
        <w:rPr>
          <w:rFonts w:ascii="Arial" w:hAnsi="Arial" w:cs="Arial"/>
          <w:noProof/>
          <w:sz w:val="24"/>
          <w:szCs w:val="24"/>
          <w:vertAlign w:val="superscript"/>
        </w:rPr>
        <w:t>22,143-145</w:t>
      </w:r>
      <w:r w:rsidRPr="00282F47">
        <w:rPr>
          <w:rFonts w:ascii="Arial" w:hAnsi="Arial" w:cs="Arial"/>
          <w:sz w:val="24"/>
          <w:szCs w:val="24"/>
        </w:rPr>
        <w:t xml:space="preserve">. Protonation of an amine results in charge-based molecular swelling, allowing cargo </w:t>
      </w:r>
      <w:r w:rsidRPr="00282F47">
        <w:rPr>
          <w:rFonts w:ascii="Arial" w:hAnsi="Arial" w:cs="Arial"/>
          <w:sz w:val="24"/>
          <w:szCs w:val="24"/>
        </w:rPr>
        <w:lastRenderedPageBreak/>
        <w:t>release specifically in acidic environments, including malignancies</w:t>
      </w:r>
      <w:r w:rsidRPr="00282F47">
        <w:rPr>
          <w:rFonts w:ascii="Arial" w:hAnsi="Arial" w:cs="Arial"/>
          <w:noProof/>
          <w:sz w:val="24"/>
          <w:szCs w:val="24"/>
          <w:vertAlign w:val="superscript"/>
        </w:rPr>
        <w:t>146</w:t>
      </w:r>
      <w:r w:rsidRPr="00282F47">
        <w:rPr>
          <w:rFonts w:ascii="Arial" w:hAnsi="Arial" w:cs="Arial"/>
          <w:sz w:val="24"/>
          <w:szCs w:val="24"/>
        </w:rPr>
        <w:t>. Chitosan also provides a “stealth effect” like PEG, since chitosan is naturally occurring, although positive surface potential often leads to non-specific interactions in the body</w:t>
      </w:r>
      <w:r w:rsidRPr="00282F47">
        <w:rPr>
          <w:rFonts w:ascii="Arial" w:hAnsi="Arial" w:cs="Arial"/>
          <w:noProof/>
          <w:sz w:val="24"/>
          <w:szCs w:val="24"/>
          <w:vertAlign w:val="superscript"/>
        </w:rPr>
        <w:t>145</w:t>
      </w:r>
      <w:r w:rsidRPr="00282F47">
        <w:rPr>
          <w:rFonts w:ascii="Arial" w:hAnsi="Arial" w:cs="Arial"/>
          <w:sz w:val="24"/>
          <w:szCs w:val="24"/>
        </w:rPr>
        <w:t>. While studies have successfully used chitosan as a non-toxic nanomaterial</w:t>
      </w:r>
      <w:r w:rsidRPr="00282F47">
        <w:rPr>
          <w:rFonts w:ascii="Arial" w:hAnsi="Arial" w:cs="Arial"/>
          <w:noProof/>
          <w:sz w:val="24"/>
          <w:szCs w:val="24"/>
          <w:vertAlign w:val="superscript"/>
        </w:rPr>
        <w:t>145,147</w:t>
      </w:r>
      <w:r w:rsidRPr="00282F47">
        <w:rPr>
          <w:rFonts w:ascii="Arial" w:hAnsi="Arial" w:cs="Arial"/>
          <w:sz w:val="24"/>
          <w:szCs w:val="24"/>
        </w:rPr>
        <w:t>, some studies report toxicity as a result of agglomeration</w:t>
      </w:r>
      <w:r w:rsidRPr="00282F47">
        <w:rPr>
          <w:rFonts w:ascii="Arial" w:hAnsi="Arial" w:cs="Arial"/>
          <w:noProof/>
          <w:sz w:val="24"/>
          <w:szCs w:val="24"/>
          <w:vertAlign w:val="superscript"/>
        </w:rPr>
        <w:t>148,149</w:t>
      </w:r>
      <w:r w:rsidRPr="00282F47">
        <w:rPr>
          <w:rFonts w:ascii="Arial" w:hAnsi="Arial" w:cs="Arial"/>
          <w:sz w:val="24"/>
          <w:szCs w:val="24"/>
        </w:rPr>
        <w:t>, warranting further investigation. PEG and chitosan are proper examples of nanomaterials that should be evaluated in head-to-head toxicity studies as MSN external coatings.</w:t>
      </w:r>
    </w:p>
    <w:p w14:paraId="586201E4" w14:textId="48A75ECD" w:rsidR="002027D2" w:rsidRPr="00282F47" w:rsidRDefault="002027D2" w:rsidP="00D24D22">
      <w:pPr>
        <w:spacing w:line="480" w:lineRule="auto"/>
        <w:jc w:val="both"/>
        <w:rPr>
          <w:rFonts w:ascii="Arial" w:hAnsi="Arial" w:cs="Arial"/>
          <w:sz w:val="24"/>
          <w:szCs w:val="24"/>
        </w:rPr>
      </w:pPr>
      <w:r w:rsidRPr="00282F47">
        <w:rPr>
          <w:rFonts w:ascii="Arial" w:hAnsi="Arial" w:cs="Arial"/>
          <w:sz w:val="24"/>
          <w:szCs w:val="24"/>
        </w:rPr>
        <w:t>This study sought to isolate, assess, and compare the relative toxicity elicited as a result of MSNs coating. Such a study to isolate the base silica nanoparticle and external coating, without cargo and further functionalization, has thus far been absent from the literature, particularly when evaluating toxicity with both single and multiple injections. Most often, nanoparticle formulations are complex with numerous components preventing specific assessment of an individual component, i.e., coating, and overall leading to inconsistent toxicity results. Determination of the toxicity elicited by various aspects of a single nanoparticle system, e.g., nanoparticle base material, shape, size, conjugation, coating, drug, etc., is near impossible. To maintain clinical similarity to treatments such as chemotherapy, MSNs of each type would be intravenously injected once for acute assessment, and once a week for a month for chronic assessment. Following treatment with MSNs or coated MSNs, blood can be measured for complete blood count and blood chemistry, both in the short term, and longer term following multiple injections. Utilization of an immunocompetent mouse model provides key information relating to the toxicity as a result of MSN treatment. CD</w:t>
      </w:r>
      <w:r w:rsidR="001B7E04">
        <w:rPr>
          <w:rFonts w:ascii="Arial" w:hAnsi="Arial" w:cs="Arial"/>
          <w:sz w:val="24"/>
          <w:szCs w:val="24"/>
        </w:rPr>
        <w:t>-</w:t>
      </w:r>
      <w:r w:rsidRPr="00282F47">
        <w:rPr>
          <w:rFonts w:ascii="Arial" w:hAnsi="Arial" w:cs="Arial"/>
          <w:sz w:val="24"/>
          <w:szCs w:val="24"/>
        </w:rPr>
        <w:t>1 female mice were the subject of this study due to extensive history of utilization for toxicology and pharmacology experimentation</w:t>
      </w:r>
      <w:r w:rsidRPr="00282F47">
        <w:rPr>
          <w:rFonts w:ascii="Arial" w:hAnsi="Arial" w:cs="Arial"/>
          <w:noProof/>
          <w:sz w:val="24"/>
          <w:szCs w:val="24"/>
          <w:vertAlign w:val="superscript"/>
        </w:rPr>
        <w:t>150-152</w:t>
      </w:r>
      <w:r w:rsidRPr="00282F47">
        <w:rPr>
          <w:rFonts w:ascii="Arial" w:hAnsi="Arial" w:cs="Arial"/>
          <w:sz w:val="24"/>
          <w:szCs w:val="24"/>
        </w:rPr>
        <w:t xml:space="preserve">. </w:t>
      </w:r>
      <w:r w:rsidRPr="00282F47">
        <w:rPr>
          <w:rFonts w:ascii="Arial" w:hAnsi="Arial" w:cs="Arial"/>
          <w:sz w:val="24"/>
          <w:szCs w:val="24"/>
        </w:rPr>
        <w:lastRenderedPageBreak/>
        <w:t>Large size, tail vein access, and low aggressiveness contribute to popularity of CD</w:t>
      </w:r>
      <w:r w:rsidR="001B7E04">
        <w:rPr>
          <w:rFonts w:ascii="Arial" w:hAnsi="Arial" w:cs="Arial"/>
          <w:sz w:val="24"/>
          <w:szCs w:val="24"/>
        </w:rPr>
        <w:t>-</w:t>
      </w:r>
      <w:r w:rsidRPr="00282F47">
        <w:rPr>
          <w:rFonts w:ascii="Arial" w:hAnsi="Arial" w:cs="Arial"/>
          <w:sz w:val="24"/>
          <w:szCs w:val="24"/>
        </w:rPr>
        <w:t>1 mouse utilization in such studies. Following blood tests, mouse organs were harvested to evaluate if treatments caused toxicity through histopathology.</w:t>
      </w:r>
    </w:p>
    <w:p w14:paraId="42EF78E5" w14:textId="77777777" w:rsidR="002027D2" w:rsidRPr="00282F47" w:rsidRDefault="002027D2" w:rsidP="00F73DFD">
      <w:pPr>
        <w:pStyle w:val="Style4"/>
        <w:spacing w:after="240"/>
        <w:rPr>
          <w:color w:val="auto"/>
        </w:rPr>
      </w:pPr>
      <w:bookmarkStart w:id="46" w:name="_Toc152874276"/>
      <w:r w:rsidRPr="00282F47">
        <w:rPr>
          <w:color w:val="auto"/>
        </w:rPr>
        <w:t>4.3 Materials and Methods:</w:t>
      </w:r>
      <w:bookmarkEnd w:id="46"/>
    </w:p>
    <w:p w14:paraId="77FDC6B3" w14:textId="77777777" w:rsidR="002027D2" w:rsidRPr="00282F47" w:rsidRDefault="002027D2" w:rsidP="009008A0">
      <w:pPr>
        <w:rPr>
          <w:rFonts w:ascii="Arial" w:hAnsi="Arial" w:cs="Arial"/>
          <w:b/>
          <w:bCs/>
          <w:sz w:val="24"/>
          <w:szCs w:val="24"/>
        </w:rPr>
      </w:pPr>
      <w:r w:rsidRPr="00282F47">
        <w:rPr>
          <w:rFonts w:ascii="Arial" w:hAnsi="Arial" w:cs="Arial"/>
          <w:b/>
          <w:bCs/>
          <w:sz w:val="24"/>
          <w:szCs w:val="24"/>
        </w:rPr>
        <w:t>4.3.1 Materials</w:t>
      </w:r>
    </w:p>
    <w:p w14:paraId="5DBCB53D" w14:textId="25EFE86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Reagents from Sigma Aldrich (St. Louis, MO, USA): CTAB (hexadecyltrimethylammonium bromide) (molecular biology, ≥99%, H6269), low molecular weight chitosan (448,869), 2KPEG (poly (ethylene glycol)) (MW: 2000, 84,797), 35KPEG (poly (ethylene glycol)) (MW: 35,000, 81,310), GPTMS (3-glycidyloxypropyl) trimethoxysilane (≥98%, 440,167), TMOS tetramethyl orthosilicate (≥99%, 341,436), benzoylated dialysis tubing (D7884), TEA triethanolamine (gas chromatography, ≥99.0%, 90,279). Other materials and reagents: Milli-Q water dispensed through Milli-Pore Sigma (Sigma-Aldrich, St. Louis, MO, USA); glacial acetic acid (certified</w:t>
      </w:r>
      <w:r w:rsidR="00335A40">
        <w:rPr>
          <w:rFonts w:ascii="Arial" w:hAnsi="Arial" w:cs="Arial"/>
          <w:sz w:val="24"/>
          <w:szCs w:val="24"/>
        </w:rPr>
        <w:t xml:space="preserve"> American Chemical Society</w:t>
      </w:r>
      <w:r w:rsidRPr="00282F47">
        <w:rPr>
          <w:rFonts w:ascii="Arial" w:hAnsi="Arial" w:cs="Arial"/>
          <w:sz w:val="24"/>
          <w:szCs w:val="24"/>
        </w:rPr>
        <w:t>, ≥99.7%, A38C-212) (Waltham, MA, USA); ethyl alcohol (anhydrous, 200 proof) (Warner Graham Company, Cockeysville, MD, USA); Dulbecco’s modified Eagle medium (DMEM) (ThermoFisher Scientific, Waltham, MA, USA); fetal bovine serum (FBS) (R&amp;D Systems, Minneapolis, MN, USA).</w:t>
      </w:r>
    </w:p>
    <w:p w14:paraId="2B81DAE0" w14:textId="77777777" w:rsidR="002027D2" w:rsidRPr="00282F47" w:rsidRDefault="002027D2" w:rsidP="004E4169">
      <w:pPr>
        <w:jc w:val="both"/>
        <w:rPr>
          <w:rFonts w:ascii="Arial" w:hAnsi="Arial" w:cs="Arial"/>
          <w:b/>
          <w:bCs/>
          <w:sz w:val="24"/>
          <w:szCs w:val="24"/>
        </w:rPr>
      </w:pPr>
      <w:r w:rsidRPr="00282F47">
        <w:rPr>
          <w:rFonts w:ascii="Arial" w:hAnsi="Arial" w:cs="Arial"/>
          <w:b/>
          <w:bCs/>
          <w:sz w:val="24"/>
          <w:szCs w:val="24"/>
        </w:rPr>
        <w:t>4.3.2 Nanoparticle Synthesis</w:t>
      </w:r>
    </w:p>
    <w:p w14:paraId="2FB68490" w14:textId="0C53D27F"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Mesoporous silica nanoparticles (MSNs) were prepared by modified Stober synthesis (</w:t>
      </w:r>
      <w:r w:rsidRPr="00282F47">
        <w:rPr>
          <w:rFonts w:ascii="Arial" w:hAnsi="Arial" w:cs="Arial"/>
          <w:b/>
          <w:bCs/>
          <w:sz w:val="24"/>
          <w:szCs w:val="24"/>
        </w:rPr>
        <w:t>Figure 4.1</w:t>
      </w:r>
      <w:r w:rsidRPr="00282F47">
        <w:rPr>
          <w:rFonts w:ascii="Arial" w:hAnsi="Arial" w:cs="Arial"/>
          <w:sz w:val="24"/>
          <w:szCs w:val="24"/>
        </w:rPr>
        <w:t xml:space="preserve">). A total of 2.00 g of CTAB was added to 240 mL of purified Milli-Q (MilliPore) water at 80 °C. After allowing the solution to reach 80 °C again, 0.42 g of TEA was added to the solution with moderate (400 rpm) stirring. Once heated to 80 °C, 11.0 mmol of TMOS was added and stirred on heat for 16 h. At completion, the reaction bottle was </w:t>
      </w:r>
      <w:r w:rsidRPr="00282F47">
        <w:rPr>
          <w:rFonts w:ascii="Arial" w:hAnsi="Arial" w:cs="Arial"/>
          <w:sz w:val="24"/>
          <w:szCs w:val="24"/>
        </w:rPr>
        <w:lastRenderedPageBreak/>
        <w:t xml:space="preserve">removed from heating/stirring and allowed to cool to room temperature. To remove the CTAB surfactant scaffold from the MSNs, a 1:1 (v/v) solution of 2 M glacial acetic acid and ethanol was used to clean the MSNs. About 50 mL of MSNs were added to 2000 </w:t>
      </w:r>
      <w:r w:rsidR="001B7E04">
        <w:rPr>
          <w:rFonts w:ascii="Arial" w:hAnsi="Arial" w:cs="Arial"/>
          <w:sz w:val="24"/>
          <w:szCs w:val="24"/>
        </w:rPr>
        <w:t>molecular weight cut off</w:t>
      </w:r>
      <w:r w:rsidRPr="00282F47">
        <w:rPr>
          <w:rFonts w:ascii="Arial" w:hAnsi="Arial" w:cs="Arial"/>
          <w:sz w:val="24"/>
          <w:szCs w:val="24"/>
        </w:rPr>
        <w:t xml:space="preserve"> dialysis tubing and placed into a 1 L solution of aforementioned acid</w:t>
      </w:r>
      <w:r w:rsidR="001B7E04">
        <w:rPr>
          <w:rFonts w:ascii="Arial" w:hAnsi="Arial" w:cs="Arial"/>
          <w:sz w:val="24"/>
          <w:szCs w:val="24"/>
        </w:rPr>
        <w:t xml:space="preserve"> and </w:t>
      </w:r>
      <w:r w:rsidRPr="00282F47">
        <w:rPr>
          <w:rFonts w:ascii="Arial" w:hAnsi="Arial" w:cs="Arial"/>
          <w:sz w:val="24"/>
          <w:szCs w:val="24"/>
        </w:rPr>
        <w:t>ethanol mix with a stir bar (100 rpm). External solution was replaced every 2 h for the first three cycles, and then every 12 h for the next five cycles. MSNs were then dialyzed similarly in MQ water for four cycles, each cycle lasting 12 h. MSNs were removed from dialysis bags and stored in a glass bottle.</w:t>
      </w:r>
    </w:p>
    <w:p w14:paraId="08086334" w14:textId="77777777" w:rsidR="002027D2" w:rsidRPr="00282F47" w:rsidRDefault="002027D2" w:rsidP="0073528D">
      <w:pPr>
        <w:spacing w:line="480" w:lineRule="auto"/>
        <w:jc w:val="center"/>
        <w:rPr>
          <w:rFonts w:ascii="Arial" w:hAnsi="Arial" w:cs="Arial"/>
          <w:sz w:val="24"/>
          <w:szCs w:val="24"/>
        </w:rPr>
      </w:pPr>
      <w:r w:rsidRPr="00282F47">
        <w:rPr>
          <w:rFonts w:ascii="Arial" w:hAnsi="Arial" w:cs="Arial"/>
          <w:noProof/>
          <w:sz w:val="24"/>
          <w:szCs w:val="24"/>
        </w:rPr>
        <w:drawing>
          <wp:inline distT="0" distB="0" distL="0" distR="0" wp14:anchorId="34431CDF" wp14:editId="0DB754AE">
            <wp:extent cx="2329180" cy="2200910"/>
            <wp:effectExtent l="0" t="0" r="0" b="8890"/>
            <wp:docPr id="1771495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29180" cy="2200910"/>
                    </a:xfrm>
                    <a:prstGeom prst="rect">
                      <a:avLst/>
                    </a:prstGeom>
                    <a:noFill/>
                  </pic:spPr>
                </pic:pic>
              </a:graphicData>
            </a:graphic>
          </wp:inline>
        </w:drawing>
      </w:r>
    </w:p>
    <w:p w14:paraId="5AD332F7" w14:textId="236A1453"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4.1:</w:t>
      </w:r>
      <w:r w:rsidRPr="00282F47">
        <w:rPr>
          <w:rFonts w:ascii="Arial" w:hAnsi="Arial" w:cs="Arial"/>
          <w:sz w:val="24"/>
          <w:szCs w:val="24"/>
        </w:rPr>
        <w:t xml:space="preserve"> Schematic illustration of coated MSN preparation. Following synthesis of base MSNs, GPTMS linker is attached for subsequent chitosan, 2KPEG, or 35KPEG conjugation.</w:t>
      </w:r>
    </w:p>
    <w:p w14:paraId="3E436696" w14:textId="77777777" w:rsidR="004B4BA2" w:rsidRPr="00282F47" w:rsidRDefault="004B4BA2" w:rsidP="004B4BA2">
      <w:pPr>
        <w:spacing w:line="276" w:lineRule="auto"/>
        <w:jc w:val="both"/>
        <w:rPr>
          <w:rFonts w:ascii="Arial" w:hAnsi="Arial" w:cs="Arial"/>
          <w:sz w:val="24"/>
          <w:szCs w:val="24"/>
        </w:rPr>
      </w:pPr>
    </w:p>
    <w:p w14:paraId="73570133" w14:textId="77777777" w:rsidR="002027D2" w:rsidRPr="00282F47" w:rsidRDefault="002027D2" w:rsidP="004E4169">
      <w:pPr>
        <w:jc w:val="both"/>
        <w:rPr>
          <w:rFonts w:ascii="Arial" w:hAnsi="Arial" w:cs="Arial"/>
          <w:b/>
          <w:bCs/>
          <w:sz w:val="24"/>
          <w:szCs w:val="24"/>
        </w:rPr>
      </w:pPr>
      <w:r w:rsidRPr="00282F47">
        <w:rPr>
          <w:rFonts w:ascii="Arial" w:hAnsi="Arial" w:cs="Arial"/>
          <w:b/>
          <w:bCs/>
          <w:sz w:val="24"/>
          <w:szCs w:val="24"/>
        </w:rPr>
        <w:t>4.3.3 Nanoparticle Characterization</w:t>
      </w:r>
    </w:p>
    <w:p w14:paraId="6BD5E8B4" w14:textId="4AD62CBF"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A Malvern Zetasizer Nano ZS (Malvern Panalytical, Malvern, UK) was used to analyze MSN diameter, polydispersity index (PDI), concentration, and zeta potential following synthesis, and throughout dialysis. Size parameter measurements were collected in triplicate using </w:t>
      </w:r>
      <w:r w:rsidR="001B7E04">
        <w:rPr>
          <w:rFonts w:ascii="Arial" w:hAnsi="Arial" w:cs="Arial"/>
          <w:sz w:val="24"/>
          <w:szCs w:val="24"/>
        </w:rPr>
        <w:t xml:space="preserve">dynamic light scattering (DLS) and </w:t>
      </w:r>
      <w:r w:rsidRPr="00282F47">
        <w:rPr>
          <w:rFonts w:ascii="Arial" w:hAnsi="Arial" w:cs="Arial"/>
          <w:sz w:val="24"/>
          <w:szCs w:val="24"/>
        </w:rPr>
        <w:t xml:space="preserve">multi-angle dynamic light scattering </w:t>
      </w:r>
      <w:r w:rsidRPr="00282F47">
        <w:rPr>
          <w:rFonts w:ascii="Arial" w:hAnsi="Arial" w:cs="Arial"/>
          <w:sz w:val="24"/>
          <w:szCs w:val="24"/>
        </w:rPr>
        <w:lastRenderedPageBreak/>
        <w:t>(MADLS) at three angles (173°, 90°, 7°). Particle concentration was determined using MADLS with an input of 145 kcps for dispersant mean count rate. An Eppendorf Vacufuge 5301 was used to lyophilize MSNs at a rate of 0.2 mL/h. A TriStar analyzer was utilized to vacuum dry the powders at 120 °C overnight. A seven-point Brauner, Emmett, Teller (BET) isotherm and a 50-point adsorption/desorption isotherm were collected. Specific surface area and pore volume calculations were acquired through BET and Barrett–Joyner–Halenda (BJH) methodology</w:t>
      </w:r>
      <w:r w:rsidRPr="00282F47">
        <w:rPr>
          <w:rFonts w:ascii="Arial" w:hAnsi="Arial" w:cs="Arial"/>
          <w:noProof/>
          <w:sz w:val="24"/>
          <w:szCs w:val="24"/>
          <w:vertAlign w:val="superscript"/>
        </w:rPr>
        <w:t>153</w:t>
      </w:r>
      <w:r w:rsidRPr="00282F47">
        <w:rPr>
          <w:rFonts w:ascii="Arial" w:hAnsi="Arial" w:cs="Arial"/>
          <w:sz w:val="24"/>
          <w:szCs w:val="24"/>
        </w:rPr>
        <w:t>.</w:t>
      </w:r>
    </w:p>
    <w:p w14:paraId="084D1FE1" w14:textId="77777777" w:rsidR="002027D2" w:rsidRPr="00282F47" w:rsidRDefault="002027D2" w:rsidP="004E4169">
      <w:pPr>
        <w:jc w:val="both"/>
        <w:rPr>
          <w:rFonts w:ascii="Arial" w:hAnsi="Arial" w:cs="Arial"/>
          <w:b/>
          <w:bCs/>
          <w:sz w:val="24"/>
          <w:szCs w:val="24"/>
        </w:rPr>
      </w:pPr>
      <w:r w:rsidRPr="00282F47">
        <w:rPr>
          <w:rFonts w:ascii="Arial" w:hAnsi="Arial" w:cs="Arial"/>
          <w:b/>
          <w:bCs/>
          <w:sz w:val="24"/>
          <w:szCs w:val="24"/>
        </w:rPr>
        <w:t>4.3.4 Nanoparticle Functionalization</w:t>
      </w:r>
    </w:p>
    <w:p w14:paraId="11CCB02A"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Dialyzed MSNs were diluted in ethanol (4:1) and ultrasonicated for 1 min at room temperature to ensure dispersion. MSNs were functionalized for subsequent attachment of polymer gatekeeper. Before coating, GPTMS (0.45 mmol, 0.1 mL) was added to 5 mL of 100% ethanol, and 20 mL of dialyzed MSN. The solution was gently stirred at room temperature for 3 h for grafting to MSNs. MSNs with silane linker were acidified to pH 3.5 via dropwise addition of 100 mM HCl for conjugation of chitosan. MSNs with silane linker were basified to pH 10 by addition of 100 mM NaOH for conjugation of PEG. 1% w/v chitosan, 2KPEG, or 35KPEG was added at a ratio of 6:5. Conjugation of chitosan/PEG occurred through epoxy ring opening of GPTMS. Solutions were shaken at 1000 rpm for 12 h at room temperature. Coated MSNs were isolated by centrifuging solutions at 15,000 rpm for 30 m at room temperature.</w:t>
      </w:r>
    </w:p>
    <w:p w14:paraId="748F0249" w14:textId="77777777" w:rsidR="002027D2" w:rsidRPr="00282F47" w:rsidRDefault="002027D2" w:rsidP="004E4169">
      <w:pPr>
        <w:jc w:val="both"/>
        <w:rPr>
          <w:rFonts w:ascii="Arial" w:hAnsi="Arial" w:cs="Arial"/>
          <w:b/>
          <w:bCs/>
          <w:sz w:val="24"/>
          <w:szCs w:val="24"/>
        </w:rPr>
      </w:pPr>
      <w:r w:rsidRPr="00282F47">
        <w:rPr>
          <w:rFonts w:ascii="Arial" w:hAnsi="Arial" w:cs="Arial"/>
          <w:b/>
          <w:bCs/>
          <w:sz w:val="24"/>
          <w:szCs w:val="24"/>
        </w:rPr>
        <w:t>4.3.5 Functionalized Nanoparticle Characterization</w:t>
      </w:r>
    </w:p>
    <w:p w14:paraId="2D57B237" w14:textId="67665C94"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Following synthesis of C-MSNs, 2KPEG-MSNs, and 35KPEG-MSNs, size, zeta potential, and PDI were reacquired to survey for differences from uncoated MSNs. MSNs, 0.5 mL of C-MSNs, 2KPEG-MSNs, and 35KPEG-MSNs (10</w:t>
      </w:r>
      <w:r w:rsidRPr="00282F47">
        <w:rPr>
          <w:rFonts w:ascii="Arial" w:hAnsi="Arial" w:cs="Arial"/>
          <w:sz w:val="24"/>
          <w:szCs w:val="24"/>
          <w:vertAlign w:val="superscript"/>
        </w:rPr>
        <w:t>10</w:t>
      </w:r>
      <w:r w:rsidRPr="00282F47">
        <w:rPr>
          <w:rFonts w:ascii="Arial" w:hAnsi="Arial" w:cs="Arial"/>
          <w:sz w:val="24"/>
          <w:szCs w:val="24"/>
        </w:rPr>
        <w:t xml:space="preserve"> particles/mL) were exposed to 10% </w:t>
      </w:r>
      <w:r w:rsidRPr="00282F47">
        <w:rPr>
          <w:rFonts w:ascii="Arial" w:hAnsi="Arial" w:cs="Arial"/>
          <w:sz w:val="24"/>
          <w:szCs w:val="24"/>
        </w:rPr>
        <w:lastRenderedPageBreak/>
        <w:t xml:space="preserve">FBS in standard DMEM cell growth media (1.5 mL) to simulate protein corona formation. After 24 h, each MSN group was revaluated using MADLS for differences in size and zeta potential as a result of protein corona formation. Prior to coating conjugation, fluorescence contrast agent IR780 was encapsulated within C-MSNs, 2KPEG-MSNs, and 35KPEG-MSNs to observe mechanism of agent release in hypoxia and biological conditions </w:t>
      </w:r>
      <w:r w:rsidRPr="00282F47">
        <w:rPr>
          <w:rFonts w:ascii="Arial" w:hAnsi="Arial" w:cs="Arial"/>
          <w:b/>
          <w:bCs/>
          <w:sz w:val="24"/>
          <w:szCs w:val="24"/>
        </w:rPr>
        <w:t>(Supporting Figure S4.1</w:t>
      </w:r>
      <w:r w:rsidRPr="00282F47">
        <w:rPr>
          <w:rFonts w:ascii="Arial" w:hAnsi="Arial" w:cs="Arial"/>
          <w:sz w:val="24"/>
          <w:szCs w:val="24"/>
        </w:rPr>
        <w:t xml:space="preserve">). IR780-loaded samples were pH adjusted to 6.6 or 7.4 diluted to an optical density of 1 OD/mL (V-730 </w:t>
      </w:r>
      <w:r w:rsidR="001B7E04">
        <w:rPr>
          <w:rFonts w:ascii="Arial" w:hAnsi="Arial" w:cs="Arial"/>
          <w:sz w:val="24"/>
          <w:szCs w:val="24"/>
        </w:rPr>
        <w:t>ultraviolet</w:t>
      </w:r>
      <w:r w:rsidRPr="00282F47">
        <w:rPr>
          <w:rFonts w:ascii="Arial" w:hAnsi="Arial" w:cs="Arial"/>
          <w:sz w:val="24"/>
          <w:szCs w:val="24"/>
        </w:rPr>
        <w:t>-</w:t>
      </w:r>
      <w:r w:rsidR="001B7E04">
        <w:rPr>
          <w:rFonts w:ascii="Arial" w:hAnsi="Arial" w:cs="Arial"/>
          <w:sz w:val="24"/>
          <w:szCs w:val="24"/>
        </w:rPr>
        <w:t>v</w:t>
      </w:r>
      <w:r w:rsidRPr="00282F47">
        <w:rPr>
          <w:rFonts w:ascii="Arial" w:hAnsi="Arial" w:cs="Arial"/>
          <w:sz w:val="24"/>
          <w:szCs w:val="24"/>
        </w:rPr>
        <w:t>is</w:t>
      </w:r>
      <w:r w:rsidR="001B7E04">
        <w:rPr>
          <w:rFonts w:ascii="Arial" w:hAnsi="Arial" w:cs="Arial"/>
          <w:sz w:val="24"/>
          <w:szCs w:val="24"/>
        </w:rPr>
        <w:t>ible light</w:t>
      </w:r>
      <w:r w:rsidRPr="00282F47">
        <w:rPr>
          <w:rFonts w:ascii="Arial" w:hAnsi="Arial" w:cs="Arial"/>
          <w:sz w:val="24"/>
          <w:szCs w:val="24"/>
        </w:rPr>
        <w:t xml:space="preserve"> </w:t>
      </w:r>
      <w:r w:rsidR="001B7E04">
        <w:rPr>
          <w:rFonts w:ascii="Arial" w:hAnsi="Arial" w:cs="Arial"/>
          <w:sz w:val="24"/>
          <w:szCs w:val="24"/>
        </w:rPr>
        <w:t>s</w:t>
      </w:r>
      <w:r w:rsidRPr="00282F47">
        <w:rPr>
          <w:rFonts w:ascii="Arial" w:hAnsi="Arial" w:cs="Arial"/>
          <w:sz w:val="24"/>
          <w:szCs w:val="24"/>
        </w:rPr>
        <w:t>pectrophotometer, JASCO, Easton, PA, USA). Samples were shaken moderately until repeated measures at distinct time points. Peak absorbance of the supernatant was measured (780 nm) to determine release of contrast agent.</w:t>
      </w:r>
    </w:p>
    <w:p w14:paraId="185CC006" w14:textId="77777777" w:rsidR="002027D2" w:rsidRPr="00282F47" w:rsidRDefault="002027D2" w:rsidP="004E4169">
      <w:pPr>
        <w:jc w:val="both"/>
        <w:rPr>
          <w:rFonts w:ascii="Arial" w:hAnsi="Arial" w:cs="Arial"/>
          <w:b/>
          <w:bCs/>
          <w:sz w:val="24"/>
          <w:szCs w:val="24"/>
        </w:rPr>
      </w:pPr>
      <w:r w:rsidRPr="00282F47">
        <w:rPr>
          <w:rFonts w:ascii="Arial" w:hAnsi="Arial" w:cs="Arial"/>
          <w:b/>
          <w:bCs/>
          <w:sz w:val="24"/>
          <w:szCs w:val="24"/>
        </w:rPr>
        <w:t xml:space="preserve">4.3.6 </w:t>
      </w:r>
      <w:r w:rsidRPr="00282F47">
        <w:rPr>
          <w:rFonts w:ascii="Arial" w:hAnsi="Arial" w:cs="Arial"/>
          <w:b/>
          <w:bCs/>
          <w:i/>
          <w:iCs/>
          <w:sz w:val="24"/>
          <w:szCs w:val="24"/>
        </w:rPr>
        <w:t>In Vivo</w:t>
      </w:r>
      <w:r w:rsidRPr="00282F47">
        <w:rPr>
          <w:rFonts w:ascii="Arial" w:hAnsi="Arial" w:cs="Arial"/>
          <w:b/>
          <w:bCs/>
          <w:sz w:val="24"/>
          <w:szCs w:val="24"/>
        </w:rPr>
        <w:t xml:space="preserve"> Nanoparticle Toxicity</w:t>
      </w:r>
    </w:p>
    <w:p w14:paraId="393F6A11" w14:textId="59CAD922"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Female CD</w:t>
      </w:r>
      <w:r w:rsidR="001B7E04">
        <w:rPr>
          <w:rFonts w:ascii="Arial" w:hAnsi="Arial" w:cs="Arial"/>
          <w:sz w:val="24"/>
          <w:szCs w:val="24"/>
        </w:rPr>
        <w:t>-</w:t>
      </w:r>
      <w:r w:rsidRPr="00282F47">
        <w:rPr>
          <w:rFonts w:ascii="Arial" w:hAnsi="Arial" w:cs="Arial"/>
          <w:sz w:val="24"/>
          <w:szCs w:val="24"/>
        </w:rPr>
        <w:t>1 immunocompetent mice aged 4 weeks were used in strict adherence to the University of Oklahoma Institutional Animal Care and Use Committee approved protocol. CD</w:t>
      </w:r>
      <w:r w:rsidR="001B7E04">
        <w:rPr>
          <w:rFonts w:ascii="Arial" w:hAnsi="Arial" w:cs="Arial"/>
          <w:sz w:val="24"/>
          <w:szCs w:val="24"/>
        </w:rPr>
        <w:t>-</w:t>
      </w:r>
      <w:r w:rsidRPr="00282F47">
        <w:rPr>
          <w:rFonts w:ascii="Arial" w:hAnsi="Arial" w:cs="Arial"/>
          <w:sz w:val="24"/>
          <w:szCs w:val="24"/>
        </w:rPr>
        <w:t>1 mice are a popular subject for pharmacology and toxicology applications. Immunocompetent CD</w:t>
      </w:r>
      <w:r w:rsidR="001B7E04">
        <w:rPr>
          <w:rFonts w:ascii="Arial" w:hAnsi="Arial" w:cs="Arial"/>
          <w:sz w:val="24"/>
          <w:szCs w:val="24"/>
        </w:rPr>
        <w:t>-</w:t>
      </w:r>
      <w:r w:rsidRPr="00282F47">
        <w:rPr>
          <w:rFonts w:ascii="Arial" w:hAnsi="Arial" w:cs="Arial"/>
          <w:sz w:val="24"/>
          <w:szCs w:val="24"/>
        </w:rPr>
        <w:t>1 mice were specifically used in this study opposed to other chapters of this dissertation in order to evaluate the potential immune response elicited by administered particles. One week following receipt from Charles River Laboratories (Wilmington, NC, USA), mice were randomly divided into the following five groups:</w:t>
      </w:r>
    </w:p>
    <w:p w14:paraId="50D4D761" w14:textId="77777777" w:rsidR="002027D2" w:rsidRPr="00282F47" w:rsidRDefault="002027D2" w:rsidP="00E53342">
      <w:pPr>
        <w:pStyle w:val="ListParagraph"/>
        <w:numPr>
          <w:ilvl w:val="0"/>
          <w:numId w:val="2"/>
        </w:numPr>
        <w:spacing w:line="480" w:lineRule="auto"/>
        <w:jc w:val="both"/>
        <w:rPr>
          <w:rFonts w:ascii="Arial" w:hAnsi="Arial" w:cs="Arial"/>
          <w:sz w:val="24"/>
          <w:szCs w:val="24"/>
        </w:rPr>
      </w:pPr>
      <w:r w:rsidRPr="00282F47">
        <w:rPr>
          <w:rFonts w:ascii="Arial" w:hAnsi="Arial" w:cs="Arial"/>
          <w:sz w:val="24"/>
          <w:szCs w:val="24"/>
        </w:rPr>
        <w:t>Controls (C) n = 3.</w:t>
      </w:r>
    </w:p>
    <w:p w14:paraId="10578FD7" w14:textId="77777777" w:rsidR="002027D2" w:rsidRPr="00282F47" w:rsidRDefault="002027D2" w:rsidP="00E53342">
      <w:pPr>
        <w:pStyle w:val="ListParagraph"/>
        <w:numPr>
          <w:ilvl w:val="0"/>
          <w:numId w:val="2"/>
        </w:numPr>
        <w:spacing w:line="480" w:lineRule="auto"/>
        <w:jc w:val="both"/>
        <w:rPr>
          <w:rFonts w:ascii="Arial" w:hAnsi="Arial" w:cs="Arial"/>
          <w:sz w:val="24"/>
          <w:szCs w:val="24"/>
        </w:rPr>
      </w:pPr>
      <w:r w:rsidRPr="00282F47">
        <w:rPr>
          <w:rFonts w:ascii="Arial" w:hAnsi="Arial" w:cs="Arial"/>
          <w:sz w:val="24"/>
          <w:szCs w:val="24"/>
        </w:rPr>
        <w:t>Mesoporous silica nanoparticles with no coating (MSNs) n = 6.</w:t>
      </w:r>
    </w:p>
    <w:p w14:paraId="0A35D84A" w14:textId="77777777" w:rsidR="002027D2" w:rsidRPr="00282F47" w:rsidRDefault="002027D2" w:rsidP="00E53342">
      <w:pPr>
        <w:pStyle w:val="ListParagraph"/>
        <w:numPr>
          <w:ilvl w:val="0"/>
          <w:numId w:val="2"/>
        </w:numPr>
        <w:spacing w:line="480" w:lineRule="auto"/>
        <w:jc w:val="both"/>
        <w:rPr>
          <w:rFonts w:ascii="Arial" w:hAnsi="Arial" w:cs="Arial"/>
          <w:sz w:val="24"/>
          <w:szCs w:val="24"/>
        </w:rPr>
      </w:pPr>
      <w:r w:rsidRPr="00282F47">
        <w:rPr>
          <w:rFonts w:ascii="Arial" w:hAnsi="Arial" w:cs="Arial"/>
          <w:sz w:val="24"/>
          <w:szCs w:val="24"/>
        </w:rPr>
        <w:t>Mesoporous silica nanoparticles coated with chitosan (C-MSNs) n = 6.</w:t>
      </w:r>
    </w:p>
    <w:p w14:paraId="4EB756AA" w14:textId="77777777" w:rsidR="002027D2" w:rsidRPr="00282F47" w:rsidRDefault="002027D2" w:rsidP="00E53342">
      <w:pPr>
        <w:pStyle w:val="ListParagraph"/>
        <w:numPr>
          <w:ilvl w:val="0"/>
          <w:numId w:val="2"/>
        </w:numPr>
        <w:spacing w:line="480" w:lineRule="auto"/>
        <w:jc w:val="both"/>
        <w:rPr>
          <w:rFonts w:ascii="Arial" w:hAnsi="Arial" w:cs="Arial"/>
          <w:sz w:val="24"/>
          <w:szCs w:val="24"/>
        </w:rPr>
      </w:pPr>
      <w:r w:rsidRPr="00282F47">
        <w:rPr>
          <w:rFonts w:ascii="Arial" w:hAnsi="Arial" w:cs="Arial"/>
          <w:sz w:val="24"/>
          <w:szCs w:val="24"/>
        </w:rPr>
        <w:t>Mesoporous silica nanoparticles coated with 2 kDa polypropylene glycol (2KPEG-MSNs) n = 6.</w:t>
      </w:r>
    </w:p>
    <w:p w14:paraId="6A84920B" w14:textId="77777777" w:rsidR="002027D2" w:rsidRPr="00282F47" w:rsidRDefault="002027D2" w:rsidP="00E53342">
      <w:pPr>
        <w:pStyle w:val="ListParagraph"/>
        <w:numPr>
          <w:ilvl w:val="0"/>
          <w:numId w:val="2"/>
        </w:numPr>
        <w:spacing w:line="480" w:lineRule="auto"/>
        <w:jc w:val="both"/>
        <w:rPr>
          <w:rFonts w:ascii="Arial" w:hAnsi="Arial" w:cs="Arial"/>
          <w:sz w:val="24"/>
          <w:szCs w:val="24"/>
        </w:rPr>
      </w:pPr>
      <w:r w:rsidRPr="00282F47">
        <w:rPr>
          <w:rFonts w:ascii="Arial" w:hAnsi="Arial" w:cs="Arial"/>
          <w:sz w:val="24"/>
          <w:szCs w:val="24"/>
        </w:rPr>
        <w:lastRenderedPageBreak/>
        <w:t>Mesoporous silica nanoparticles coated with 35 kDa polypropylene glycol (35KPEG-MSNs) n = 6.</w:t>
      </w:r>
    </w:p>
    <w:p w14:paraId="7AE3AB7A"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Except for controls, which received no injections, each animal received an intravenous tail injection of 10</w:t>
      </w:r>
      <w:r w:rsidRPr="00282F47">
        <w:rPr>
          <w:rFonts w:ascii="Arial" w:hAnsi="Arial" w:cs="Arial"/>
          <w:sz w:val="24"/>
          <w:szCs w:val="24"/>
          <w:vertAlign w:val="superscript"/>
        </w:rPr>
        <w:t>10</w:t>
      </w:r>
      <w:r w:rsidRPr="00282F47">
        <w:rPr>
          <w:rFonts w:ascii="Arial" w:hAnsi="Arial" w:cs="Arial"/>
          <w:sz w:val="24"/>
          <w:szCs w:val="24"/>
        </w:rPr>
        <w:t xml:space="preserve"> particles in 100 μL of treatments as noted in groups 2–5. Two points in time were studied; acute (24 h post-injection) and chronic (1 injection per week for 4 weeks) (</w:t>
      </w:r>
      <w:r w:rsidRPr="00282F47">
        <w:rPr>
          <w:rFonts w:ascii="Arial" w:hAnsi="Arial" w:cs="Arial"/>
          <w:b/>
          <w:bCs/>
          <w:sz w:val="24"/>
          <w:szCs w:val="24"/>
        </w:rPr>
        <w:t>Figure 4.2</w:t>
      </w:r>
      <w:r w:rsidRPr="00282F47">
        <w:rPr>
          <w:rFonts w:ascii="Arial" w:hAnsi="Arial" w:cs="Arial"/>
          <w:sz w:val="24"/>
          <w:szCs w:val="24"/>
        </w:rPr>
        <w:t>). The control animal samples were collected at the same time point as the chronic samples. About 24 h following treatment, blood samples were taken via retroorbital withdrawal from acute mice and analyzed by complete blood count (CBC) and blood chemistry (BC) tests. Chronic timepoint blood collection occurred after treatments 2 and 4, to minimize animal stress through overly frequent blood collection. Blood samples were analyzed using CBC and BC. Following completion of treatment, mice were euthanized via carbon dioxide overdose and cervical dislocation. Organs of interest (liver, spleen, kidney, pancreas, heart, and lung) were rapidly extracted from the euthanized mice and placed in neutral buffered formalin. After 16 h of fixation, tissues were processed to paraffin and embedded in paraffin blocks. Four micrometer tissue sections were cut from each tissue and stained with hematoxylin and eosin (H&amp;E). Slides were analyzed blindly by both a board-certified veterinary pathologist (Foote) and a board certified diagnostic human pathologist with extensive experience in murine pathology (Grizzle, Luo, and Filatenkov).</w:t>
      </w:r>
    </w:p>
    <w:p w14:paraId="0B364E5A" w14:textId="77777777" w:rsidR="002027D2" w:rsidRPr="00282F47" w:rsidRDefault="002027D2" w:rsidP="00A009E6">
      <w:pPr>
        <w:spacing w:line="48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4D385D7E" wp14:editId="06679327">
            <wp:extent cx="4136065" cy="2230992"/>
            <wp:effectExtent l="0" t="0" r="0" b="0"/>
            <wp:docPr id="20232660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46554" cy="2236650"/>
                    </a:xfrm>
                    <a:prstGeom prst="rect">
                      <a:avLst/>
                    </a:prstGeom>
                    <a:noFill/>
                  </pic:spPr>
                </pic:pic>
              </a:graphicData>
            </a:graphic>
          </wp:inline>
        </w:drawing>
      </w:r>
    </w:p>
    <w:p w14:paraId="6C8BA7B1" w14:textId="1220BB87"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4.2:</w:t>
      </w:r>
      <w:r w:rsidRPr="00282F47">
        <w:rPr>
          <w:rFonts w:ascii="Arial" w:hAnsi="Arial" w:cs="Arial"/>
          <w:sz w:val="24"/>
          <w:szCs w:val="24"/>
        </w:rPr>
        <w:t xml:space="preserve"> Timing schematic of </w:t>
      </w:r>
      <w:r w:rsidRPr="00282F47">
        <w:rPr>
          <w:rFonts w:ascii="Arial" w:hAnsi="Arial" w:cs="Arial"/>
          <w:i/>
          <w:iCs/>
          <w:sz w:val="24"/>
          <w:szCs w:val="24"/>
        </w:rPr>
        <w:t>in vivo</w:t>
      </w:r>
      <w:r w:rsidRPr="00282F47">
        <w:rPr>
          <w:rFonts w:ascii="Arial" w:hAnsi="Arial" w:cs="Arial"/>
          <w:sz w:val="24"/>
          <w:szCs w:val="24"/>
        </w:rPr>
        <w:t xml:space="preserve"> toxicity studies with coated MSNs. Acute and chronic treatments began concurrently. Blood collections were held 24 h following select treatments. Tissue collections were held 2 4h following the final treatment for respective treatment groups.</w:t>
      </w:r>
    </w:p>
    <w:p w14:paraId="454F5BED" w14:textId="77777777" w:rsidR="004B4BA2" w:rsidRPr="00282F47" w:rsidRDefault="004B4BA2" w:rsidP="004B4BA2">
      <w:pPr>
        <w:spacing w:line="276" w:lineRule="auto"/>
        <w:jc w:val="both"/>
        <w:rPr>
          <w:rFonts w:ascii="Arial" w:hAnsi="Arial" w:cs="Arial"/>
          <w:sz w:val="24"/>
          <w:szCs w:val="24"/>
        </w:rPr>
      </w:pPr>
    </w:p>
    <w:p w14:paraId="44AD16FB" w14:textId="77777777" w:rsidR="002027D2" w:rsidRPr="00282F47" w:rsidRDefault="002027D2" w:rsidP="009008A0">
      <w:pPr>
        <w:rPr>
          <w:rFonts w:ascii="Arial" w:hAnsi="Arial" w:cs="Arial"/>
          <w:b/>
          <w:bCs/>
          <w:sz w:val="24"/>
          <w:szCs w:val="24"/>
        </w:rPr>
      </w:pPr>
      <w:r w:rsidRPr="00282F47">
        <w:rPr>
          <w:rFonts w:ascii="Arial" w:hAnsi="Arial" w:cs="Arial"/>
          <w:b/>
          <w:bCs/>
          <w:sz w:val="24"/>
          <w:szCs w:val="24"/>
        </w:rPr>
        <w:t>4.3.7 Complete Blood Count and Chemistry Panels</w:t>
      </w:r>
    </w:p>
    <w:p w14:paraId="3F576164"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Following retroorbital blood extraction from mice, complete blood counts were run using a Idexx Procyte DX Hematology Analyze (Idexx Laboratories, Westbrook, ME, USA) using ethylenediaminetetraacetic acid (EDTA) whole blood with 50 μL. Samples take 2 m to run. The Abaxis VetScan VS 2 (Zoetis, Parsippany, NJ, USA) was used for the blood chemistry panel with the Comprehensive Plus rotor. About 100 μL of lithium heparin (LH) whole blood was used to run samples in approximately 13 m.</w:t>
      </w:r>
    </w:p>
    <w:p w14:paraId="16401ABD" w14:textId="77777777" w:rsidR="002027D2" w:rsidRPr="00282F47" w:rsidRDefault="002027D2" w:rsidP="009008A0">
      <w:pPr>
        <w:rPr>
          <w:rFonts w:ascii="Arial" w:hAnsi="Arial" w:cs="Arial"/>
          <w:b/>
          <w:bCs/>
          <w:sz w:val="24"/>
          <w:szCs w:val="24"/>
        </w:rPr>
      </w:pPr>
      <w:r w:rsidRPr="00282F47">
        <w:rPr>
          <w:rFonts w:ascii="Arial" w:hAnsi="Arial" w:cs="Arial"/>
          <w:b/>
          <w:bCs/>
          <w:sz w:val="24"/>
          <w:szCs w:val="24"/>
        </w:rPr>
        <w:t>4.3.8 Statistics</w:t>
      </w:r>
    </w:p>
    <w:p w14:paraId="344E7D3B" w14:textId="77777777" w:rsidR="002027D2" w:rsidRPr="00282F47" w:rsidRDefault="002027D2" w:rsidP="00D24D22">
      <w:pPr>
        <w:spacing w:line="480" w:lineRule="auto"/>
        <w:jc w:val="both"/>
        <w:rPr>
          <w:rFonts w:ascii="Arial" w:hAnsi="Arial" w:cs="Arial"/>
          <w:sz w:val="24"/>
          <w:szCs w:val="24"/>
        </w:rPr>
      </w:pPr>
      <w:r w:rsidRPr="00282F47">
        <w:rPr>
          <w:rFonts w:ascii="Arial" w:hAnsi="Arial" w:cs="Arial"/>
          <w:sz w:val="24"/>
          <w:szCs w:val="24"/>
        </w:rPr>
        <w:t>Statistical evaluation of the BC/CBC blood tests was performed using analysis of variance (ANOVA) and Tukey multiple comparison test with significance defined at p&lt;0.05.</w:t>
      </w:r>
    </w:p>
    <w:p w14:paraId="42271F98" w14:textId="77777777" w:rsidR="002027D2" w:rsidRPr="00282F47" w:rsidRDefault="002027D2" w:rsidP="00F73DFD">
      <w:pPr>
        <w:pStyle w:val="Style4"/>
        <w:spacing w:after="240"/>
        <w:rPr>
          <w:color w:val="auto"/>
        </w:rPr>
      </w:pPr>
      <w:bookmarkStart w:id="47" w:name="_Toc152874277"/>
      <w:r w:rsidRPr="00282F47">
        <w:rPr>
          <w:color w:val="auto"/>
        </w:rPr>
        <w:t>4.4 Results and Discussion:</w:t>
      </w:r>
      <w:bookmarkEnd w:id="47"/>
    </w:p>
    <w:p w14:paraId="71F3D7EB" w14:textId="77777777" w:rsidR="002027D2" w:rsidRPr="00282F47" w:rsidRDefault="002027D2" w:rsidP="004E4169">
      <w:pPr>
        <w:jc w:val="both"/>
        <w:rPr>
          <w:rFonts w:ascii="Arial" w:hAnsi="Arial" w:cs="Arial"/>
          <w:b/>
          <w:bCs/>
          <w:sz w:val="24"/>
          <w:szCs w:val="24"/>
        </w:rPr>
      </w:pPr>
      <w:r w:rsidRPr="00282F47">
        <w:rPr>
          <w:rFonts w:ascii="Arial" w:hAnsi="Arial" w:cs="Arial"/>
          <w:b/>
          <w:bCs/>
          <w:sz w:val="24"/>
          <w:szCs w:val="24"/>
        </w:rPr>
        <w:t>4.4.1 Nanoparticle Synthesis and Characterization</w:t>
      </w:r>
    </w:p>
    <w:p w14:paraId="32AF3A13" w14:textId="77777777" w:rsidR="002027D2" w:rsidRPr="00282F47" w:rsidRDefault="002027D2" w:rsidP="00A009E6">
      <w:pPr>
        <w:spacing w:line="480" w:lineRule="auto"/>
        <w:jc w:val="both"/>
        <w:rPr>
          <w:rFonts w:ascii="Arial" w:hAnsi="Arial" w:cs="Arial"/>
          <w:sz w:val="24"/>
          <w:szCs w:val="24"/>
        </w:rPr>
      </w:pPr>
      <w:r w:rsidRPr="00282F47">
        <w:rPr>
          <w:rFonts w:ascii="Arial" w:hAnsi="Arial" w:cs="Arial"/>
          <w:sz w:val="24"/>
          <w:szCs w:val="24"/>
        </w:rPr>
        <w:lastRenderedPageBreak/>
        <w:t>MSNs were prepared through modified Stober synthesis. An emulsion of surfactant scaffold was formed under high temperature. Silica precursor coats the scaffold to create uniform MSNs of approximately 25 nm, measured with dynamic light scattering (DLS). While many sized MSNs are utilized, 25 nm has been identified as an intriguing size; large enough to avoid rapid glomerular filtration, but small enough to avoid sequestration by Kupffer cells in the liver</w:t>
      </w:r>
      <w:r w:rsidRPr="00282F47">
        <w:rPr>
          <w:rFonts w:ascii="Arial" w:hAnsi="Arial" w:cs="Arial"/>
          <w:noProof/>
          <w:sz w:val="24"/>
          <w:szCs w:val="24"/>
          <w:vertAlign w:val="superscript"/>
        </w:rPr>
        <w:t>154</w:t>
      </w:r>
      <w:r w:rsidRPr="00282F47">
        <w:rPr>
          <w:rFonts w:ascii="Arial" w:hAnsi="Arial" w:cs="Arial"/>
          <w:sz w:val="24"/>
          <w:szCs w:val="24"/>
        </w:rPr>
        <w:t>. Following preparation, MSNs are dialyzed to remove surfactant, preventing the possibility for surfactant-based toxicity. Prior to conjugation of coatings, nitrogen adsorption/desorption isotherms were analyzed with BET/BJH methodology to estimate MSN pore volume of 0.23 cm</w:t>
      </w:r>
      <w:r w:rsidRPr="00282F47">
        <w:rPr>
          <w:rFonts w:ascii="Arial" w:hAnsi="Arial" w:cs="Arial"/>
          <w:sz w:val="24"/>
          <w:szCs w:val="24"/>
          <w:vertAlign w:val="superscript"/>
        </w:rPr>
        <w:t>3</w:t>
      </w:r>
      <w:r w:rsidRPr="00282F47">
        <w:rPr>
          <w:rFonts w:ascii="Arial" w:hAnsi="Arial" w:cs="Arial"/>
          <w:sz w:val="24"/>
          <w:szCs w:val="24"/>
        </w:rPr>
        <w:t>/g, and MSN specific surface area of 750 m</w:t>
      </w:r>
      <w:r w:rsidRPr="00282F47">
        <w:rPr>
          <w:rFonts w:ascii="Arial" w:hAnsi="Arial" w:cs="Arial"/>
          <w:sz w:val="24"/>
          <w:szCs w:val="24"/>
          <w:vertAlign w:val="superscript"/>
        </w:rPr>
        <w:t>2</w:t>
      </w:r>
      <w:r w:rsidRPr="00282F47">
        <w:rPr>
          <w:rFonts w:ascii="Arial" w:hAnsi="Arial" w:cs="Arial"/>
          <w:sz w:val="24"/>
          <w:szCs w:val="24"/>
        </w:rPr>
        <w:t>/kg. Chitosan solution (1% weight by volume) was prepared in acetic acid and water. Due to controversy in toxicity as a result of PEG, PEG solutions with different molecular weights were utilized. PEG2000 and PEG35000 were selected due to a tradeoff between rapid clearance and extended circulation time that is relevant to drug delivery</w:t>
      </w:r>
      <w:r w:rsidRPr="00282F47">
        <w:rPr>
          <w:rFonts w:ascii="Arial" w:hAnsi="Arial" w:cs="Arial"/>
          <w:noProof/>
          <w:sz w:val="24"/>
          <w:szCs w:val="24"/>
          <w:vertAlign w:val="superscript"/>
        </w:rPr>
        <w:t>155</w:t>
      </w:r>
      <w:r w:rsidRPr="00282F47">
        <w:rPr>
          <w:rFonts w:ascii="Arial" w:hAnsi="Arial" w:cs="Arial"/>
          <w:sz w:val="24"/>
          <w:szCs w:val="24"/>
        </w:rPr>
        <w:t>. About 2% weight by volume solutions were prepared in water for molecular weights of 2 kDa (PEG2000) and 35 kDa (PEG35000). Following surfactant removal, MSNs were diluted in ethanol and functionalized using an organosilane-epoxy linker for external coating attachment. PEG2000, PEG35000, and chitosan solutions were added to the MSN solution for attachment of coating. Average diameters were as follows: MSNs - 25.8 (±2.1) nm; C-MSNs - 31.8 (±3.1) nm; 2KPEG-MSNs - 29.7 (±3.6) nm; and 35KPEG-MSNs - 30.1 (±2.3) nm (</w:t>
      </w:r>
      <w:r w:rsidRPr="00282F47">
        <w:rPr>
          <w:rFonts w:ascii="Arial" w:hAnsi="Arial" w:cs="Arial"/>
          <w:b/>
          <w:bCs/>
          <w:sz w:val="24"/>
          <w:szCs w:val="24"/>
        </w:rPr>
        <w:t>Figure 4.3A-B</w:t>
      </w:r>
      <w:r w:rsidRPr="00282F47">
        <w:rPr>
          <w:rFonts w:ascii="Arial" w:hAnsi="Arial" w:cs="Arial"/>
          <w:sz w:val="24"/>
          <w:szCs w:val="24"/>
        </w:rPr>
        <w:t>). Full size distributions are included (</w:t>
      </w:r>
      <w:r w:rsidRPr="00282F47">
        <w:rPr>
          <w:rFonts w:ascii="Arial" w:hAnsi="Arial" w:cs="Arial"/>
          <w:b/>
          <w:bCs/>
          <w:sz w:val="24"/>
          <w:szCs w:val="24"/>
        </w:rPr>
        <w:t>Figure 4.3E–H</w:t>
      </w:r>
      <w:r w:rsidRPr="00282F47">
        <w:rPr>
          <w:rFonts w:ascii="Arial" w:hAnsi="Arial" w:cs="Arial"/>
          <w:sz w:val="24"/>
          <w:szCs w:val="24"/>
        </w:rPr>
        <w:t>). All polydispersity indexes were around or below 0.15, indicating monodisperse samples (</w:t>
      </w:r>
      <w:r w:rsidRPr="00282F47">
        <w:rPr>
          <w:rFonts w:ascii="Arial" w:hAnsi="Arial" w:cs="Arial"/>
          <w:b/>
          <w:bCs/>
          <w:sz w:val="24"/>
          <w:szCs w:val="24"/>
        </w:rPr>
        <w:t>Figure 4.3D</w:t>
      </w:r>
      <w:r w:rsidRPr="00282F47">
        <w:rPr>
          <w:rFonts w:ascii="Arial" w:hAnsi="Arial" w:cs="Arial"/>
          <w:sz w:val="24"/>
          <w:szCs w:val="24"/>
        </w:rPr>
        <w:t xml:space="preserve">). After synthesis, surfactant surrounding MSNs result in zeta potential measurements of 46 mV, which is reduced to −5.6 mV after surfactant removal, </w:t>
      </w:r>
      <w:r w:rsidRPr="00282F47">
        <w:rPr>
          <w:rFonts w:ascii="Arial" w:hAnsi="Arial" w:cs="Arial"/>
          <w:sz w:val="24"/>
          <w:szCs w:val="24"/>
        </w:rPr>
        <w:lastRenderedPageBreak/>
        <w:t>and increased to 11.3 mV following GPTMS addition (</w:t>
      </w:r>
      <w:r w:rsidRPr="00282F47">
        <w:rPr>
          <w:rFonts w:ascii="Arial" w:hAnsi="Arial" w:cs="Arial"/>
          <w:b/>
          <w:bCs/>
          <w:sz w:val="24"/>
          <w:szCs w:val="24"/>
        </w:rPr>
        <w:t>Figure 4.3C</w:t>
      </w:r>
      <w:r w:rsidRPr="00282F47">
        <w:rPr>
          <w:rFonts w:ascii="Arial" w:hAnsi="Arial" w:cs="Arial"/>
          <w:sz w:val="24"/>
          <w:szCs w:val="24"/>
        </w:rPr>
        <w:t>). Conjugation of chitosan was confirmed through increased zeta potential (44.1 mV) due to amine functional groups in physiological pH (7.4)</w:t>
      </w:r>
      <w:r w:rsidRPr="00282F47">
        <w:rPr>
          <w:rFonts w:ascii="Arial" w:hAnsi="Arial" w:cs="Arial"/>
          <w:noProof/>
          <w:sz w:val="24"/>
          <w:szCs w:val="24"/>
          <w:vertAlign w:val="superscript"/>
        </w:rPr>
        <w:t>145,147</w:t>
      </w:r>
      <w:r w:rsidRPr="00282F47">
        <w:rPr>
          <w:rFonts w:ascii="Arial" w:hAnsi="Arial" w:cs="Arial"/>
          <w:sz w:val="24"/>
          <w:szCs w:val="24"/>
        </w:rPr>
        <w:t>. Similarly, zeta potential for 2KPEG-MSNs (−0.6 mV) and 35KPEG-MSNs (−0.9 mV) increased slightly due to coating of silanol groups and decreasing external hydroxyl groups on MSNs, but not as dramatically as C-MSNs due to lack of amine functionality</w:t>
      </w:r>
      <w:r w:rsidRPr="00282F47">
        <w:rPr>
          <w:rFonts w:ascii="Arial" w:hAnsi="Arial" w:cs="Arial"/>
          <w:noProof/>
          <w:sz w:val="24"/>
          <w:szCs w:val="24"/>
          <w:vertAlign w:val="superscript"/>
        </w:rPr>
        <w:t>156</w:t>
      </w:r>
      <w:r w:rsidRPr="00282F47">
        <w:rPr>
          <w:rFonts w:ascii="Arial" w:hAnsi="Arial" w:cs="Arial"/>
          <w:sz w:val="24"/>
          <w:szCs w:val="24"/>
        </w:rPr>
        <w:t>.</w:t>
      </w:r>
    </w:p>
    <w:p w14:paraId="0753AD5E" w14:textId="77777777" w:rsidR="002027D2" w:rsidRPr="00282F47" w:rsidRDefault="002027D2" w:rsidP="00A009E6">
      <w:pPr>
        <w:spacing w:line="48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4E84F39E" wp14:editId="5D82D3EE">
            <wp:extent cx="4559474" cy="6592329"/>
            <wp:effectExtent l="0" t="0" r="0" b="0"/>
            <wp:docPr id="17657770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06144" cy="6659807"/>
                    </a:xfrm>
                    <a:prstGeom prst="rect">
                      <a:avLst/>
                    </a:prstGeom>
                    <a:noFill/>
                  </pic:spPr>
                </pic:pic>
              </a:graphicData>
            </a:graphic>
          </wp:inline>
        </w:drawing>
      </w:r>
    </w:p>
    <w:p w14:paraId="08CB3E2C" w14:textId="57ECC7F8"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4.3:</w:t>
      </w:r>
      <w:r w:rsidRPr="00282F47">
        <w:rPr>
          <w:rFonts w:ascii="Arial" w:hAnsi="Arial" w:cs="Arial"/>
          <w:sz w:val="24"/>
          <w:szCs w:val="24"/>
        </w:rPr>
        <w:t xml:space="preserve"> Characterization of coated MSN size and charge. A) Transmission electron microscopy image of synthesized MSNs. B) Diameters of nanoparticles utilized. Hydrodynamic diameters measured as 25.8 nm, 31.8 nm, 29.7 nm, and 30.1 nm for MSNs, C-MSNs, 2KPEG-MSNs, and 35KPEGMSNs, respectively. C) Zeta potential measurements of surfactant-MSNs, MSNs, C-MSNs, 2KPEG-MSNs, and 35KPEG</w:t>
      </w:r>
      <w:r w:rsidR="001B7E04">
        <w:rPr>
          <w:rFonts w:ascii="Arial" w:hAnsi="Arial" w:cs="Arial"/>
          <w:sz w:val="24"/>
          <w:szCs w:val="24"/>
        </w:rPr>
        <w:t>-</w:t>
      </w:r>
      <w:r w:rsidRPr="00282F47">
        <w:rPr>
          <w:rFonts w:ascii="Arial" w:hAnsi="Arial" w:cs="Arial"/>
          <w:sz w:val="24"/>
          <w:szCs w:val="24"/>
        </w:rPr>
        <w:t xml:space="preserve">MSNs to ensure proper conjugation. D) Polydispersity index of samples throughout synthesis. </w:t>
      </w:r>
      <w:r w:rsidRPr="00282F47">
        <w:rPr>
          <w:rFonts w:ascii="Arial" w:hAnsi="Arial" w:cs="Arial"/>
          <w:sz w:val="24"/>
          <w:szCs w:val="24"/>
        </w:rPr>
        <w:lastRenderedPageBreak/>
        <w:t>E) Full MSN size distribution as determined by DLS measurements. F) Full C-MSN size distribution as determined by DLS measurements. G) Full 2KPEG-MSN size distribution as determined by DLS measurements. H) Full 35KPEG-MSN size distribution as determined by DLS measurements. Error bars represent +/- one standard deviation of the mean. No p-values to report.</w:t>
      </w:r>
    </w:p>
    <w:p w14:paraId="770C052A" w14:textId="77777777" w:rsidR="004B4BA2" w:rsidRPr="00282F47" w:rsidRDefault="004B4BA2" w:rsidP="004B4BA2">
      <w:pPr>
        <w:spacing w:line="276" w:lineRule="auto"/>
        <w:jc w:val="both"/>
        <w:rPr>
          <w:rFonts w:ascii="Arial" w:hAnsi="Arial" w:cs="Arial"/>
          <w:sz w:val="24"/>
          <w:szCs w:val="24"/>
        </w:rPr>
      </w:pPr>
    </w:p>
    <w:p w14:paraId="0DB1B3E1" w14:textId="590D3918" w:rsidR="002027D2" w:rsidRDefault="002027D2" w:rsidP="00A009E6">
      <w:pPr>
        <w:spacing w:line="480" w:lineRule="auto"/>
        <w:jc w:val="both"/>
        <w:rPr>
          <w:rFonts w:ascii="Arial" w:hAnsi="Arial" w:cs="Arial"/>
          <w:sz w:val="24"/>
          <w:szCs w:val="24"/>
        </w:rPr>
      </w:pPr>
      <w:r w:rsidRPr="00282F47">
        <w:rPr>
          <w:rFonts w:ascii="Arial" w:hAnsi="Arial" w:cs="Arial"/>
          <w:sz w:val="24"/>
          <w:szCs w:val="24"/>
        </w:rPr>
        <w:t>Addition of 10</w:t>
      </w:r>
      <w:r w:rsidRPr="00282F47">
        <w:rPr>
          <w:rFonts w:ascii="Arial" w:hAnsi="Arial" w:cs="Arial"/>
          <w:sz w:val="24"/>
          <w:szCs w:val="24"/>
          <w:vertAlign w:val="superscript"/>
        </w:rPr>
        <w:t>5</w:t>
      </w:r>
      <w:r w:rsidRPr="00282F47">
        <w:rPr>
          <w:rFonts w:ascii="Arial" w:hAnsi="Arial" w:cs="Arial"/>
          <w:sz w:val="24"/>
          <w:szCs w:val="24"/>
        </w:rPr>
        <w:t xml:space="preserve"> MSNs into a 1.5 mL solution of 10% FBS in cell growth media resulted in minor increases in coated MSN size and shifts in surface charge (</w:t>
      </w:r>
      <w:r w:rsidRPr="00282F47">
        <w:rPr>
          <w:rFonts w:ascii="Arial" w:hAnsi="Arial" w:cs="Arial"/>
          <w:b/>
          <w:bCs/>
          <w:sz w:val="24"/>
          <w:szCs w:val="24"/>
        </w:rPr>
        <w:t>Table 4.1</w:t>
      </w:r>
      <w:r w:rsidRPr="00282F47">
        <w:rPr>
          <w:rFonts w:ascii="Arial" w:hAnsi="Arial" w:cs="Arial"/>
          <w:sz w:val="24"/>
          <w:szCs w:val="24"/>
        </w:rPr>
        <w:t>). Small increases in size and slight alterations surface charge were observed in MSNs, 2KPEG-MSNs, and 35KPEG-MSNs. C-MSNs were observed to significantly increase in size by 17.1 nm to 48.9 nm following exposure to FBS. Chitosan has a relatively strong positive surface charge, which interacts with proteins in the FBS solution to form a protein corona. Formation of negatively charged proteins around C-MSNs results in a large drop in zeta potential, from +44.1 mV to 12.6 mV. These results suggest that C-MSNs will likely form a protein corona upon introduction into the body.</w:t>
      </w:r>
    </w:p>
    <w:p w14:paraId="16D4A6BE" w14:textId="77777777" w:rsidR="004B4BA2" w:rsidRPr="00282F47" w:rsidRDefault="004B4BA2" w:rsidP="00A009E6">
      <w:pPr>
        <w:spacing w:line="480" w:lineRule="auto"/>
        <w:jc w:val="both"/>
        <w:rPr>
          <w:rFonts w:ascii="Arial" w:hAnsi="Arial" w:cs="Arial"/>
          <w:sz w:val="24"/>
          <w:szCs w:val="24"/>
        </w:rPr>
      </w:pPr>
    </w:p>
    <w:p w14:paraId="754E877E" w14:textId="77777777" w:rsidR="002027D2" w:rsidRPr="00282F47" w:rsidRDefault="002027D2" w:rsidP="004B4BA2">
      <w:pPr>
        <w:spacing w:line="276" w:lineRule="auto"/>
        <w:jc w:val="both"/>
        <w:rPr>
          <w:rFonts w:ascii="Arial" w:hAnsi="Arial" w:cs="Arial"/>
          <w:sz w:val="24"/>
          <w:szCs w:val="24"/>
        </w:rPr>
      </w:pPr>
      <w:r w:rsidRPr="00282F47">
        <w:rPr>
          <w:rFonts w:ascii="Arial" w:hAnsi="Arial" w:cs="Arial"/>
          <w:b/>
          <w:bCs/>
          <w:sz w:val="24"/>
          <w:szCs w:val="24"/>
        </w:rPr>
        <w:t>Table 4.1:</w:t>
      </w:r>
      <w:r w:rsidRPr="00282F47">
        <w:rPr>
          <w:rFonts w:ascii="Arial" w:hAnsi="Arial" w:cs="Arial"/>
          <w:sz w:val="24"/>
          <w:szCs w:val="24"/>
        </w:rPr>
        <w:t xml:space="preserve"> Size and charge characteristics of MSNs and coated MSNs following 24 h exposure to 10% FBS in cell growth media.</w:t>
      </w:r>
    </w:p>
    <w:tbl>
      <w:tblPr>
        <w:tblW w:w="7849" w:type="dxa"/>
        <w:jc w:val="center"/>
        <w:tblCellMar>
          <w:left w:w="0" w:type="dxa"/>
          <w:right w:w="0" w:type="dxa"/>
        </w:tblCellMar>
        <w:tblLook w:val="0600" w:firstRow="0" w:lastRow="0" w:firstColumn="0" w:lastColumn="0" w:noHBand="1" w:noVBand="1"/>
      </w:tblPr>
      <w:tblGrid>
        <w:gridCol w:w="1846"/>
        <w:gridCol w:w="1043"/>
        <w:gridCol w:w="1061"/>
        <w:gridCol w:w="871"/>
        <w:gridCol w:w="1043"/>
        <w:gridCol w:w="1114"/>
        <w:gridCol w:w="871"/>
      </w:tblGrid>
      <w:tr w:rsidR="002027D2" w:rsidRPr="00282F47" w14:paraId="36AF6F54" w14:textId="77777777" w:rsidTr="00AC22B6">
        <w:trPr>
          <w:trHeight w:val="144"/>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0B0D4EC" w14:textId="77777777" w:rsidR="002027D2" w:rsidRPr="00282F47" w:rsidRDefault="002027D2" w:rsidP="00A039DD">
            <w:pPr>
              <w:spacing w:line="240" w:lineRule="auto"/>
              <w:jc w:val="center"/>
              <w:rPr>
                <w:rFonts w:ascii="Arial" w:eastAsia="Times New Roman" w:hAnsi="Arial" w:cs="Arial"/>
                <w:sz w:val="24"/>
                <w:szCs w:val="24"/>
              </w:rPr>
            </w:pPr>
            <w:r w:rsidRPr="00282F47">
              <w:rPr>
                <w:rFonts w:ascii="Arial" w:eastAsia="Times New Roman" w:hAnsi="Arial" w:cs="Arial"/>
                <w:sz w:val="24"/>
                <w:szCs w:val="24"/>
              </w:rPr>
              <w:t>FBS treatment characterizations</w:t>
            </w:r>
          </w:p>
        </w:tc>
        <w:tc>
          <w:tcPr>
            <w:tcW w:w="3150" w:type="dxa"/>
            <w:gridSpan w:val="3"/>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AE54E27"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Diameter by DLS (nm)</w:t>
            </w:r>
          </w:p>
        </w:tc>
        <w:tc>
          <w:tcPr>
            <w:tcW w:w="3259" w:type="dxa"/>
            <w:gridSpan w:val="3"/>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9F42800"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Zeta Potential (mV)</w:t>
            </w:r>
          </w:p>
        </w:tc>
      </w:tr>
      <w:tr w:rsidR="002027D2" w:rsidRPr="00282F47" w14:paraId="77C4B619" w14:textId="77777777" w:rsidTr="00AC22B6">
        <w:trPr>
          <w:trHeight w:val="144"/>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034EAF81"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MSN coating</w:t>
            </w:r>
          </w:p>
        </w:tc>
        <w:tc>
          <w:tcPr>
            <w:tcW w:w="108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CAF8E00"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As-prepared</w:t>
            </w:r>
          </w:p>
        </w:tc>
        <w:tc>
          <w:tcPr>
            <w:tcW w:w="126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5E7814C"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FBS-treated</w:t>
            </w:r>
          </w:p>
        </w:tc>
        <w:tc>
          <w:tcPr>
            <w:tcW w:w="81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D5835B9"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Change</w:t>
            </w:r>
          </w:p>
        </w:tc>
        <w:tc>
          <w:tcPr>
            <w:tcW w:w="108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C11D073"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As-prepared</w:t>
            </w:r>
          </w:p>
        </w:tc>
        <w:tc>
          <w:tcPr>
            <w:tcW w:w="135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276A83D"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FBS-treated</w:t>
            </w:r>
          </w:p>
        </w:tc>
        <w:tc>
          <w:tcPr>
            <w:tcW w:w="829"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D210B8A"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Change</w:t>
            </w:r>
          </w:p>
        </w:tc>
      </w:tr>
      <w:tr w:rsidR="002027D2" w:rsidRPr="00282F47" w14:paraId="0AB0AC9F" w14:textId="77777777" w:rsidTr="00AC22B6">
        <w:trPr>
          <w:trHeight w:val="144"/>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508ADEC8"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MSN</w:t>
            </w:r>
          </w:p>
        </w:tc>
        <w:tc>
          <w:tcPr>
            <w:tcW w:w="108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A9188AD"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25.8</w:t>
            </w:r>
          </w:p>
        </w:tc>
        <w:tc>
          <w:tcPr>
            <w:tcW w:w="126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C3555E0"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28</w:t>
            </w:r>
          </w:p>
        </w:tc>
        <w:tc>
          <w:tcPr>
            <w:tcW w:w="81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52C441F"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+2.2</w:t>
            </w:r>
          </w:p>
        </w:tc>
        <w:tc>
          <w:tcPr>
            <w:tcW w:w="108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E3E399E"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-5.59</w:t>
            </w:r>
          </w:p>
        </w:tc>
        <w:tc>
          <w:tcPr>
            <w:tcW w:w="135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43552DD"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-2.84</w:t>
            </w:r>
          </w:p>
        </w:tc>
        <w:tc>
          <w:tcPr>
            <w:tcW w:w="829"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CB8DAD9"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+2.75</w:t>
            </w:r>
          </w:p>
        </w:tc>
      </w:tr>
      <w:tr w:rsidR="002027D2" w:rsidRPr="00282F47" w14:paraId="405372EE" w14:textId="77777777" w:rsidTr="00AC22B6">
        <w:trPr>
          <w:trHeight w:val="144"/>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6DB17EB"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C-MSN</w:t>
            </w:r>
          </w:p>
        </w:tc>
        <w:tc>
          <w:tcPr>
            <w:tcW w:w="108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0E316924"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31.8</w:t>
            </w:r>
          </w:p>
        </w:tc>
        <w:tc>
          <w:tcPr>
            <w:tcW w:w="126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89B4A98"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48.9</w:t>
            </w:r>
          </w:p>
        </w:tc>
        <w:tc>
          <w:tcPr>
            <w:tcW w:w="81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8896BC2"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+17.1</w:t>
            </w:r>
          </w:p>
        </w:tc>
        <w:tc>
          <w:tcPr>
            <w:tcW w:w="108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6AF7B057"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44.07</w:t>
            </w:r>
          </w:p>
        </w:tc>
        <w:tc>
          <w:tcPr>
            <w:tcW w:w="135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B34E2A8"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12.62</w:t>
            </w:r>
          </w:p>
        </w:tc>
        <w:tc>
          <w:tcPr>
            <w:tcW w:w="829"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6E813FB"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-31.45</w:t>
            </w:r>
          </w:p>
        </w:tc>
      </w:tr>
      <w:tr w:rsidR="002027D2" w:rsidRPr="00282F47" w14:paraId="4741C1A3" w14:textId="77777777" w:rsidTr="00AC22B6">
        <w:trPr>
          <w:trHeight w:val="144"/>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5C6CD9EB"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2KPEG-MSN</w:t>
            </w:r>
          </w:p>
        </w:tc>
        <w:tc>
          <w:tcPr>
            <w:tcW w:w="108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56F0F4D2"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29.7</w:t>
            </w:r>
          </w:p>
        </w:tc>
        <w:tc>
          <w:tcPr>
            <w:tcW w:w="126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4ECFE11"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29.9</w:t>
            </w:r>
          </w:p>
        </w:tc>
        <w:tc>
          <w:tcPr>
            <w:tcW w:w="81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2DBD3F4"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+0.2</w:t>
            </w:r>
          </w:p>
        </w:tc>
        <w:tc>
          <w:tcPr>
            <w:tcW w:w="108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065F0233"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-0.58</w:t>
            </w:r>
          </w:p>
        </w:tc>
        <w:tc>
          <w:tcPr>
            <w:tcW w:w="135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05E407BE"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-1.35</w:t>
            </w:r>
          </w:p>
        </w:tc>
        <w:tc>
          <w:tcPr>
            <w:tcW w:w="829"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1809B3C1"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-0.77</w:t>
            </w:r>
          </w:p>
        </w:tc>
      </w:tr>
      <w:tr w:rsidR="002027D2" w:rsidRPr="00282F47" w14:paraId="3803D5C6" w14:textId="77777777" w:rsidTr="00AC22B6">
        <w:trPr>
          <w:trHeight w:val="144"/>
          <w:jc w:val="center"/>
        </w:trPr>
        <w:tc>
          <w:tcPr>
            <w:tcW w:w="144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0AE71D7"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35KPEG-MSN</w:t>
            </w:r>
          </w:p>
        </w:tc>
        <w:tc>
          <w:tcPr>
            <w:tcW w:w="108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7F5226F5"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30.1</w:t>
            </w:r>
          </w:p>
        </w:tc>
        <w:tc>
          <w:tcPr>
            <w:tcW w:w="126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0DAD8DC0"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30.3</w:t>
            </w:r>
          </w:p>
        </w:tc>
        <w:tc>
          <w:tcPr>
            <w:tcW w:w="81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5623C542"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+0.2</w:t>
            </w:r>
          </w:p>
        </w:tc>
        <w:tc>
          <w:tcPr>
            <w:tcW w:w="108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35534BE5"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-0.91</w:t>
            </w:r>
          </w:p>
        </w:tc>
        <w:tc>
          <w:tcPr>
            <w:tcW w:w="1350"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57935EA4"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-1.72</w:t>
            </w:r>
          </w:p>
        </w:tc>
        <w:tc>
          <w:tcPr>
            <w:tcW w:w="829" w:type="dxa"/>
            <w:tcBorders>
              <w:top w:val="single" w:sz="8" w:space="0" w:color="000000"/>
              <w:left w:val="single" w:sz="8" w:space="0" w:color="000000"/>
              <w:bottom w:val="single" w:sz="8" w:space="0" w:color="000000"/>
              <w:right w:val="single" w:sz="8" w:space="0" w:color="000000"/>
            </w:tcBorders>
            <w:shd w:val="clear" w:color="auto" w:fill="E7E7E7"/>
            <w:tcMar>
              <w:top w:w="15" w:type="dxa"/>
              <w:left w:w="15" w:type="dxa"/>
              <w:bottom w:w="0" w:type="dxa"/>
              <w:right w:w="15" w:type="dxa"/>
            </w:tcMar>
            <w:vAlign w:val="bottom"/>
            <w:hideMark/>
          </w:tcPr>
          <w:p w14:paraId="4BA29A3C" w14:textId="77777777" w:rsidR="002027D2" w:rsidRPr="00282F47" w:rsidRDefault="002027D2" w:rsidP="00A039DD">
            <w:pPr>
              <w:spacing w:line="240" w:lineRule="auto"/>
              <w:jc w:val="center"/>
              <w:textAlignment w:val="bottom"/>
              <w:rPr>
                <w:rFonts w:ascii="Arial" w:eastAsia="Times New Roman" w:hAnsi="Arial" w:cs="Arial"/>
                <w:sz w:val="24"/>
                <w:szCs w:val="24"/>
              </w:rPr>
            </w:pPr>
            <w:r w:rsidRPr="00282F47">
              <w:rPr>
                <w:rFonts w:ascii="Arial" w:eastAsia="Times New Roman" w:hAnsi="Arial" w:cs="Arial"/>
                <w:kern w:val="24"/>
                <w:sz w:val="24"/>
                <w:szCs w:val="24"/>
              </w:rPr>
              <w:t>-0.81</w:t>
            </w:r>
          </w:p>
        </w:tc>
      </w:tr>
    </w:tbl>
    <w:p w14:paraId="062CEEF1" w14:textId="77777777" w:rsidR="002027D2" w:rsidRPr="00282F47" w:rsidRDefault="002027D2" w:rsidP="00A009E6">
      <w:pPr>
        <w:spacing w:line="480" w:lineRule="auto"/>
        <w:jc w:val="both"/>
        <w:rPr>
          <w:rFonts w:ascii="Arial" w:hAnsi="Arial" w:cs="Arial"/>
          <w:sz w:val="24"/>
          <w:szCs w:val="24"/>
        </w:rPr>
      </w:pPr>
    </w:p>
    <w:p w14:paraId="04D73725" w14:textId="77777777" w:rsidR="002027D2" w:rsidRPr="00282F47" w:rsidRDefault="002027D2" w:rsidP="009008A0">
      <w:pPr>
        <w:rPr>
          <w:rFonts w:ascii="Arial" w:hAnsi="Arial" w:cs="Arial"/>
          <w:b/>
          <w:bCs/>
          <w:sz w:val="24"/>
          <w:szCs w:val="24"/>
        </w:rPr>
      </w:pPr>
      <w:r w:rsidRPr="00282F47">
        <w:rPr>
          <w:rFonts w:ascii="Arial" w:hAnsi="Arial" w:cs="Arial"/>
          <w:b/>
          <w:bCs/>
          <w:sz w:val="24"/>
          <w:szCs w:val="24"/>
        </w:rPr>
        <w:lastRenderedPageBreak/>
        <w:t xml:space="preserve">4.4.2 </w:t>
      </w:r>
      <w:r w:rsidRPr="00282F47">
        <w:rPr>
          <w:rFonts w:ascii="Arial" w:hAnsi="Arial" w:cs="Arial"/>
          <w:b/>
          <w:bCs/>
          <w:i/>
          <w:iCs/>
          <w:sz w:val="24"/>
          <w:szCs w:val="24"/>
        </w:rPr>
        <w:t>In Vivo</w:t>
      </w:r>
      <w:r w:rsidRPr="00282F47">
        <w:rPr>
          <w:rFonts w:ascii="Arial" w:hAnsi="Arial" w:cs="Arial"/>
          <w:b/>
          <w:bCs/>
          <w:sz w:val="24"/>
          <w:szCs w:val="24"/>
        </w:rPr>
        <w:t xml:space="preserve"> Nanoparticle Toxicity</w:t>
      </w:r>
    </w:p>
    <w:p w14:paraId="4F6B44A2" w14:textId="32A672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CD-1 immunocompetent mice were utilized for testing </w:t>
      </w:r>
      <w:r w:rsidRPr="00282F47">
        <w:rPr>
          <w:rFonts w:ascii="Arial" w:hAnsi="Arial" w:cs="Arial"/>
          <w:i/>
          <w:iCs/>
          <w:sz w:val="24"/>
          <w:szCs w:val="24"/>
        </w:rPr>
        <w:t>in vivo</w:t>
      </w:r>
      <w:r w:rsidRPr="00282F47">
        <w:rPr>
          <w:rFonts w:ascii="Arial" w:hAnsi="Arial" w:cs="Arial"/>
          <w:sz w:val="24"/>
          <w:szCs w:val="24"/>
        </w:rPr>
        <w:t xml:space="preserve"> toxicity. Mice were split into acute and chronic experiments, characterized by number of repeat treatments, toxicity evaluations, and time between treatments and measurements. Acute mice were intravenously injected with 10</w:t>
      </w:r>
      <w:r w:rsidRPr="00282F47">
        <w:rPr>
          <w:rFonts w:ascii="Arial" w:hAnsi="Arial" w:cs="Arial"/>
          <w:sz w:val="24"/>
          <w:szCs w:val="24"/>
          <w:vertAlign w:val="superscript"/>
        </w:rPr>
        <w:t>10</w:t>
      </w:r>
      <w:r w:rsidRPr="00282F47">
        <w:rPr>
          <w:rFonts w:ascii="Arial" w:hAnsi="Arial" w:cs="Arial"/>
          <w:sz w:val="24"/>
          <w:szCs w:val="24"/>
        </w:rPr>
        <w:t xml:space="preserve"> MSNs in 100 μL; C-MSNs, 2KPEG-MSNs, </w:t>
      </w:r>
      <w:r w:rsidR="001B7E04">
        <w:rPr>
          <w:rFonts w:ascii="Arial" w:hAnsi="Arial" w:cs="Arial"/>
          <w:sz w:val="24"/>
          <w:szCs w:val="24"/>
        </w:rPr>
        <w:t>a</w:t>
      </w:r>
      <w:r w:rsidRPr="00282F47">
        <w:rPr>
          <w:rFonts w:ascii="Arial" w:hAnsi="Arial" w:cs="Arial"/>
          <w:sz w:val="24"/>
          <w:szCs w:val="24"/>
        </w:rPr>
        <w:t>nd</w:t>
      </w:r>
      <w:r w:rsidR="001B7E04">
        <w:rPr>
          <w:rFonts w:ascii="Arial" w:hAnsi="Arial" w:cs="Arial"/>
          <w:sz w:val="24"/>
          <w:szCs w:val="24"/>
        </w:rPr>
        <w:t xml:space="preserve"> </w:t>
      </w:r>
      <w:r w:rsidRPr="00282F47">
        <w:rPr>
          <w:rFonts w:ascii="Arial" w:hAnsi="Arial" w:cs="Arial"/>
          <w:sz w:val="24"/>
          <w:szCs w:val="24"/>
        </w:rPr>
        <w:t>35KPEG-MSNs. About 24 h following treatment, blood samples were taken via retro-orbital withdrawal and analyzed by CBC</w:t>
      </w:r>
      <w:r w:rsidR="001B7E04">
        <w:rPr>
          <w:rFonts w:ascii="Arial" w:hAnsi="Arial" w:cs="Arial"/>
          <w:sz w:val="24"/>
          <w:szCs w:val="24"/>
        </w:rPr>
        <w:t xml:space="preserve"> </w:t>
      </w:r>
      <w:r w:rsidRPr="00282F47">
        <w:rPr>
          <w:rFonts w:ascii="Arial" w:hAnsi="Arial" w:cs="Arial"/>
          <w:sz w:val="24"/>
          <w:szCs w:val="24"/>
        </w:rPr>
        <w:t>and BC tests (</w:t>
      </w:r>
      <w:r w:rsidRPr="00282F47">
        <w:rPr>
          <w:rFonts w:ascii="Arial" w:hAnsi="Arial" w:cs="Arial"/>
          <w:b/>
          <w:bCs/>
          <w:sz w:val="24"/>
          <w:szCs w:val="24"/>
        </w:rPr>
        <w:t>Table 4.2</w:t>
      </w:r>
      <w:r w:rsidRPr="00282F47">
        <w:rPr>
          <w:rFonts w:ascii="Arial" w:hAnsi="Arial" w:cs="Arial"/>
          <w:sz w:val="24"/>
          <w:szCs w:val="24"/>
        </w:rPr>
        <w:t>). In addition to short-term evaluations, toxicity concerns over time are of great importance and clinical relevance when considering multiple injections. To elucidate chronic toxicity, CD-1 immunocompetent mice were intravenously injected with treatments consistent with the short-term studies (MSNs, C-MSNs, 2KPEG-MSNs, 35KPEG-MSNs), once a week for a total of four treatments. Blood samples were taken via retro-orbital withdrawal 24 h following treatment 2 and 24 h following the final treatment. Blood was not collected after treatment 3 to avoid stress on mice due to frequent collection. Subsequent to final blood collection for both acute and chronic treatment groups, mice were euthanized via CO</w:t>
      </w:r>
      <w:r w:rsidRPr="00282F47">
        <w:rPr>
          <w:rFonts w:ascii="Arial" w:hAnsi="Arial" w:cs="Arial"/>
          <w:sz w:val="24"/>
          <w:szCs w:val="24"/>
          <w:vertAlign w:val="subscript"/>
        </w:rPr>
        <w:t>2</w:t>
      </w:r>
      <w:r w:rsidRPr="00282F47">
        <w:rPr>
          <w:rFonts w:ascii="Arial" w:hAnsi="Arial" w:cs="Arial"/>
          <w:sz w:val="24"/>
          <w:szCs w:val="24"/>
        </w:rPr>
        <w:t xml:space="preserve"> overdose and cervical dislocation. Organs were collected (liver, kidney, spleen, lung, pancreas, heart) for histopathologic evaluation (</w:t>
      </w:r>
      <w:r w:rsidRPr="00282F47">
        <w:rPr>
          <w:rFonts w:ascii="Arial" w:hAnsi="Arial" w:cs="Arial"/>
          <w:b/>
          <w:bCs/>
          <w:sz w:val="24"/>
          <w:szCs w:val="24"/>
        </w:rPr>
        <w:t>Figure 4.4</w:t>
      </w:r>
      <w:r w:rsidRPr="00282F47">
        <w:rPr>
          <w:rFonts w:ascii="Arial" w:hAnsi="Arial" w:cs="Arial"/>
          <w:sz w:val="24"/>
          <w:szCs w:val="24"/>
        </w:rPr>
        <w:t xml:space="preserve"> and </w:t>
      </w:r>
      <w:r w:rsidRPr="00282F47">
        <w:rPr>
          <w:rFonts w:ascii="Arial" w:hAnsi="Arial" w:cs="Arial"/>
          <w:b/>
          <w:bCs/>
          <w:sz w:val="24"/>
          <w:szCs w:val="24"/>
        </w:rPr>
        <w:t>Figure 4.5</w:t>
      </w:r>
      <w:r w:rsidRPr="00282F47">
        <w:rPr>
          <w:rFonts w:ascii="Arial" w:hAnsi="Arial" w:cs="Arial"/>
          <w:sz w:val="24"/>
          <w:szCs w:val="24"/>
        </w:rPr>
        <w:t>).</w:t>
      </w:r>
    </w:p>
    <w:p w14:paraId="6134CB8C" w14:textId="77777777" w:rsidR="002027D2" w:rsidRPr="00282F47" w:rsidRDefault="002027D2" w:rsidP="00AC22B6">
      <w:pPr>
        <w:spacing w:line="48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7F094200" wp14:editId="2135F376">
            <wp:extent cx="5829300" cy="5341763"/>
            <wp:effectExtent l="0" t="0" r="0" b="0"/>
            <wp:docPr id="21262482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31100" cy="5343412"/>
                    </a:xfrm>
                    <a:prstGeom prst="rect">
                      <a:avLst/>
                    </a:prstGeom>
                    <a:noFill/>
                  </pic:spPr>
                </pic:pic>
              </a:graphicData>
            </a:graphic>
          </wp:inline>
        </w:drawing>
      </w:r>
    </w:p>
    <w:p w14:paraId="4171ABC0" w14:textId="77777777" w:rsidR="002027D2" w:rsidRPr="00282F47"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4.4:</w:t>
      </w:r>
      <w:r w:rsidRPr="00282F47">
        <w:rPr>
          <w:rFonts w:ascii="Arial" w:hAnsi="Arial" w:cs="Arial"/>
          <w:sz w:val="24"/>
          <w:szCs w:val="24"/>
        </w:rPr>
        <w:t xml:space="preserve"> H&amp;E-stained histological evaluation of vital organs following acute treatment with coated MSNs. Images were acquired at 10 X magnification.</w:t>
      </w:r>
    </w:p>
    <w:p w14:paraId="40D6C230" w14:textId="77777777" w:rsidR="002027D2" w:rsidRPr="00282F47" w:rsidRDefault="002027D2" w:rsidP="00E53342">
      <w:pPr>
        <w:spacing w:line="480" w:lineRule="auto"/>
        <w:jc w:val="both"/>
        <w:rPr>
          <w:rFonts w:ascii="Arial" w:hAnsi="Arial" w:cs="Arial"/>
          <w:sz w:val="24"/>
          <w:szCs w:val="24"/>
        </w:rPr>
      </w:pPr>
    </w:p>
    <w:p w14:paraId="09E47253" w14:textId="77777777" w:rsidR="002027D2" w:rsidRPr="00282F47" w:rsidRDefault="002027D2" w:rsidP="00AC22B6">
      <w:pPr>
        <w:spacing w:line="48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2DC9BA47" wp14:editId="2EFC096A">
            <wp:extent cx="5829300" cy="5381358"/>
            <wp:effectExtent l="0" t="0" r="0" b="0"/>
            <wp:docPr id="14351653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35694" cy="5387260"/>
                    </a:xfrm>
                    <a:prstGeom prst="rect">
                      <a:avLst/>
                    </a:prstGeom>
                    <a:noFill/>
                  </pic:spPr>
                </pic:pic>
              </a:graphicData>
            </a:graphic>
          </wp:inline>
        </w:drawing>
      </w:r>
    </w:p>
    <w:p w14:paraId="2808F649" w14:textId="66FE34DC"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4.5:</w:t>
      </w:r>
      <w:r w:rsidRPr="00282F47">
        <w:rPr>
          <w:rFonts w:ascii="Arial" w:hAnsi="Arial" w:cs="Arial"/>
          <w:sz w:val="24"/>
          <w:szCs w:val="24"/>
        </w:rPr>
        <w:t xml:space="preserve"> H&amp;E-stained histological evaluation of vital organs following chronic treatment with coated MSNs. Images were acquired at 10X magnification.</w:t>
      </w:r>
    </w:p>
    <w:p w14:paraId="256EDA3D" w14:textId="77777777" w:rsidR="004B4BA2" w:rsidRPr="00282F47" w:rsidRDefault="004B4BA2" w:rsidP="004B4BA2">
      <w:pPr>
        <w:spacing w:line="276" w:lineRule="auto"/>
        <w:jc w:val="both"/>
        <w:rPr>
          <w:rFonts w:ascii="Arial" w:hAnsi="Arial" w:cs="Arial"/>
          <w:sz w:val="24"/>
          <w:szCs w:val="24"/>
        </w:rPr>
      </w:pPr>
    </w:p>
    <w:p w14:paraId="7ADD0AAF"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In general, the histopathology of acute and chronic time points for the C-MSN group was similar to controls and the mice had no areas of fibrosis in any organ or other signs of organ damage. The histological and blood chemistry findings from mice acutely or chronically injected with C-MSN were consistent with control mice. While it would be unlikely to utilize uncoated MSNs as either a drug or contrast agent delivery system, we </w:t>
      </w:r>
      <w:r w:rsidRPr="00282F47">
        <w:rPr>
          <w:rFonts w:ascii="Arial" w:hAnsi="Arial" w:cs="Arial"/>
          <w:sz w:val="24"/>
          <w:szCs w:val="24"/>
        </w:rPr>
        <w:lastRenderedPageBreak/>
        <w:t>found that uncoated MSN resulted in extensive right atrial right ventricle thrombus in one mouse.</w:t>
      </w:r>
    </w:p>
    <w:p w14:paraId="0CEFD64F"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In contrast, our study indicates that PEG may be a risk factor for increases in interstitial fibrin thrombi. Our findings show that 35KPEG-MSN had extensive interstitial fibrin thrombi in the alveoli, sinusoidal immature thrombi/hemorrhages, and had immature thrombi in the left atrium in one mouse. One mouse receiving 35KPEG-MSNs also had some areas of hepatic necrosis. The lower molecular weight PEG, 2KPEG-MSN, had greater and more extensive immature thrombi in the pulmonary arteries and veins estimated to occupy 50% of vessels. There also was an extensive thrombus in the left ventricle. While the 35KPEG-MSN treatment group contained one animal with interstitial fibrin thrombi, all animals in the 2KPEG-MSN group were observed with extensive thrombi in 50% of vessels. This suggests that PEG may be a culprit in increased interstitial fibrin leading to immature thrombi and even mature thrombi as well as pulmonary aggregation. While lower molecular weight PEG has increased propensity for aggregation</w:t>
      </w:r>
      <w:r w:rsidRPr="00282F47">
        <w:rPr>
          <w:rFonts w:ascii="Arial" w:hAnsi="Arial" w:cs="Arial"/>
          <w:noProof/>
          <w:sz w:val="24"/>
          <w:szCs w:val="24"/>
          <w:vertAlign w:val="superscript"/>
        </w:rPr>
        <w:t>157</w:t>
      </w:r>
      <w:r w:rsidRPr="00282F47">
        <w:rPr>
          <w:rFonts w:ascii="Arial" w:hAnsi="Arial" w:cs="Arial"/>
          <w:sz w:val="24"/>
          <w:szCs w:val="24"/>
        </w:rPr>
        <w:t>, this is the first study to report PEG, specifically 2KPEG, and also 35KPEG to a much lesser extent, as a risk factor of increased interstitial fibrin, immature thrombi, fully mature thrombi (in the 2KPEG-MSN group), and pulmonary aggregations following acute and chronic treatments of intravenously injected nanoparticles without extensive complexity, i.e., targeting peptides, drugs, etc.</w:t>
      </w:r>
    </w:p>
    <w:p w14:paraId="67FD5C8E"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Observed tissue changes varied among individual mice in each group and among groups. Of note, tissue changes did not affect organ function per blood analysis, animal weights, or animal behavior. There is concern for an interstitial fibrin and thrombi in the vasculature, alveoli, and large thrombi as all mice receiving 2KPEG-MSNs had similar vascular </w:t>
      </w:r>
      <w:r w:rsidRPr="00282F47">
        <w:rPr>
          <w:rFonts w:ascii="Arial" w:hAnsi="Arial" w:cs="Arial"/>
          <w:sz w:val="24"/>
          <w:szCs w:val="24"/>
        </w:rPr>
        <w:lastRenderedPageBreak/>
        <w:t>pathologies to a great extent and one animal out of six injected with or 35KPEG-MSNs to a much lesser extent. Tissues of mice receiving C-MSNs did not indicate a danger to the mice secondary to receiving these injections. Due to existing lesions in control mice, it is unlikely that these lesions would be induced de novo in cases receiving C- or 35KPEG-MSNs. At worst, the C-MSN or 35KPEG-MSN exacerbate existing conditions or because of these existing lesions may confuse comparisons. Because of preexisting vascular injury in arteries</w:t>
      </w:r>
      <w:r w:rsidRPr="00282F47">
        <w:rPr>
          <w:rFonts w:ascii="Arial" w:hAnsi="Arial" w:cs="Arial"/>
          <w:noProof/>
          <w:sz w:val="24"/>
          <w:szCs w:val="24"/>
          <w:vertAlign w:val="superscript"/>
        </w:rPr>
        <w:t>158</w:t>
      </w:r>
      <w:r w:rsidRPr="00282F47">
        <w:rPr>
          <w:rFonts w:ascii="Arial" w:hAnsi="Arial" w:cs="Arial"/>
          <w:sz w:val="24"/>
          <w:szCs w:val="24"/>
        </w:rPr>
        <w:t>, our results may also suggest a more extensive healing process of injury for mice treated with MSNs and 2KPEG-MSNs compared to C-MSNs and 35KPEG-MSNs.</w:t>
      </w:r>
    </w:p>
    <w:p w14:paraId="3F004C62" w14:textId="28B71FD1" w:rsidR="002027D2" w:rsidRDefault="002027D2" w:rsidP="001B7E04">
      <w:pPr>
        <w:spacing w:after="0" w:line="480" w:lineRule="auto"/>
        <w:jc w:val="both"/>
        <w:rPr>
          <w:rFonts w:ascii="Arial" w:hAnsi="Arial" w:cs="Arial"/>
          <w:sz w:val="24"/>
          <w:szCs w:val="24"/>
        </w:rPr>
      </w:pPr>
      <w:r w:rsidRPr="00282F47">
        <w:rPr>
          <w:rFonts w:ascii="Arial" w:hAnsi="Arial" w:cs="Arial"/>
          <w:sz w:val="24"/>
          <w:szCs w:val="24"/>
        </w:rPr>
        <w:t>For the CD-1 mouse, the histopathology of mice is unusual. Specifically, hepatocytes have cytoplasm which are clear in the morning due to increased glycogen storage</w:t>
      </w:r>
      <w:r w:rsidRPr="00282F47">
        <w:rPr>
          <w:rFonts w:ascii="Arial" w:hAnsi="Arial" w:cs="Arial"/>
          <w:noProof/>
          <w:sz w:val="24"/>
          <w:szCs w:val="24"/>
          <w:vertAlign w:val="superscript"/>
        </w:rPr>
        <w:t>159,160</w:t>
      </w:r>
      <w:r w:rsidRPr="00282F47">
        <w:rPr>
          <w:rFonts w:ascii="Arial" w:hAnsi="Arial" w:cs="Arial"/>
          <w:sz w:val="24"/>
          <w:szCs w:val="24"/>
        </w:rPr>
        <w:t>. However, this may change in a few hours due to the fed-fasting cycle during the sleep cycle of the mouse, deeming it important to sacrifice the mice during the same temporal period</w:t>
      </w:r>
      <w:r w:rsidRPr="00282F47">
        <w:rPr>
          <w:rFonts w:ascii="Arial" w:hAnsi="Arial" w:cs="Arial"/>
          <w:noProof/>
          <w:sz w:val="24"/>
          <w:szCs w:val="24"/>
          <w:vertAlign w:val="superscript"/>
        </w:rPr>
        <w:t>159,160</w:t>
      </w:r>
      <w:r w:rsidRPr="00282F47">
        <w:rPr>
          <w:rFonts w:ascii="Arial" w:hAnsi="Arial" w:cs="Arial"/>
          <w:sz w:val="24"/>
          <w:szCs w:val="24"/>
        </w:rPr>
        <w:t xml:space="preserve">. This change has been described, but sometimes has led to incorrect interpretations that this change is instead a result of therapies. Control mice demonstrated no areas of fibrosis or acute inflammation. Two control mice had immature thrombi in heart, with one having immature thrombi and hemorrhage in the lung. Two of the control mice had multifocal areas of hepatic necrosis, and one was observed to have hepatic atrophy and areas of renal edema and hemorrhage. The control mice demonstrate three major potential pathologies, (1) areas of multifocal hepatocyte necrosis/atrophy; (2) multifocal areas of renal necrosis, edema, and hemorrhage; and (3) multifocal immature thrombi in the vasculature of the lungs, cardiac ventricles, atria, and pulmonary arteries. These lesions may be considered as secondary to existing pathologies as each was </w:t>
      </w:r>
      <w:r w:rsidRPr="00282F47">
        <w:rPr>
          <w:rFonts w:ascii="Arial" w:hAnsi="Arial" w:cs="Arial"/>
          <w:sz w:val="24"/>
          <w:szCs w:val="24"/>
        </w:rPr>
        <w:lastRenderedPageBreak/>
        <w:t>observed in control mice that received no intravenous injections throughout the experimentation period. Notably, thrombosis has been reported as an occasional change consistent with the aging of CD-1 mice</w:t>
      </w:r>
      <w:r w:rsidRPr="00282F47">
        <w:rPr>
          <w:rFonts w:ascii="Arial" w:hAnsi="Arial" w:cs="Arial"/>
          <w:noProof/>
          <w:sz w:val="24"/>
          <w:szCs w:val="24"/>
          <w:vertAlign w:val="superscript"/>
        </w:rPr>
        <w:t>161-163</w:t>
      </w:r>
      <w:r w:rsidRPr="00282F47">
        <w:rPr>
          <w:rFonts w:ascii="Arial" w:hAnsi="Arial" w:cs="Arial"/>
          <w:sz w:val="24"/>
          <w:szCs w:val="24"/>
        </w:rPr>
        <w:t>. Thrombi often occur secondary to spontaneous/induced vasculitis rather than a toxicologically induced legion, possibly explaining thrombi presence in control mice</w:t>
      </w:r>
      <w:r w:rsidRPr="00282F47">
        <w:rPr>
          <w:rFonts w:ascii="Arial" w:hAnsi="Arial" w:cs="Arial"/>
          <w:noProof/>
          <w:sz w:val="24"/>
          <w:szCs w:val="24"/>
          <w:vertAlign w:val="superscript"/>
        </w:rPr>
        <w:t>164</w:t>
      </w:r>
      <w:r w:rsidRPr="00282F47">
        <w:rPr>
          <w:rFonts w:ascii="Arial" w:hAnsi="Arial" w:cs="Arial"/>
          <w:sz w:val="24"/>
          <w:szCs w:val="24"/>
        </w:rPr>
        <w:t>. In this study, while no organ failure is observed, extensive areas of thrombi were present in the lungs of pre-disposed CD-1 mice. Following treatments, PEG-coated MSNs appeared to exacerbate such injuries, where 2KPEG-MSNs treatment groups had larger areas of extensive thrombosis, suggesting increased aggregation propensity of lower molecular weight PEG.</w:t>
      </w:r>
    </w:p>
    <w:p w14:paraId="343D04ED" w14:textId="77777777" w:rsidR="001B7E04" w:rsidRPr="00282F47" w:rsidRDefault="001B7E04" w:rsidP="001B7E04">
      <w:pPr>
        <w:spacing w:line="276" w:lineRule="auto"/>
        <w:jc w:val="both"/>
        <w:rPr>
          <w:rFonts w:ascii="Arial" w:hAnsi="Arial" w:cs="Arial"/>
          <w:sz w:val="24"/>
          <w:szCs w:val="24"/>
        </w:rPr>
      </w:pPr>
    </w:p>
    <w:p w14:paraId="097F1FE6" w14:textId="77777777" w:rsidR="002027D2" w:rsidRPr="00282F47" w:rsidRDefault="002027D2" w:rsidP="004B4BA2">
      <w:pPr>
        <w:spacing w:line="276" w:lineRule="auto"/>
        <w:jc w:val="both"/>
        <w:rPr>
          <w:rFonts w:ascii="Arial" w:hAnsi="Arial" w:cs="Arial"/>
          <w:sz w:val="24"/>
          <w:szCs w:val="24"/>
        </w:rPr>
      </w:pPr>
      <w:r w:rsidRPr="00282F47">
        <w:rPr>
          <w:rFonts w:ascii="Arial" w:hAnsi="Arial" w:cs="Arial"/>
          <w:b/>
          <w:bCs/>
          <w:sz w:val="24"/>
          <w:szCs w:val="24"/>
        </w:rPr>
        <w:t>Table 4.2:</w:t>
      </w:r>
      <w:r w:rsidRPr="00282F47">
        <w:rPr>
          <w:rFonts w:ascii="Arial" w:hAnsi="Arial" w:cs="Arial"/>
          <w:sz w:val="24"/>
          <w:szCs w:val="24"/>
        </w:rPr>
        <w:t xml:space="preserve"> Blood chemistry and complete blood count values as reported from acute and chronic coated MSN treatment groups.</w:t>
      </w:r>
    </w:p>
    <w:p w14:paraId="6CF77B4A" w14:textId="77777777" w:rsidR="002027D2" w:rsidRPr="00282F47" w:rsidRDefault="002027D2" w:rsidP="00AC22B6">
      <w:pPr>
        <w:spacing w:line="480" w:lineRule="auto"/>
        <w:jc w:val="center"/>
        <w:rPr>
          <w:rFonts w:ascii="Arial" w:hAnsi="Arial" w:cs="Arial"/>
          <w:sz w:val="24"/>
          <w:szCs w:val="24"/>
        </w:rPr>
      </w:pPr>
      <w:r w:rsidRPr="00282F47">
        <w:rPr>
          <w:rFonts w:ascii="Arial" w:hAnsi="Arial" w:cs="Arial"/>
          <w:noProof/>
          <w:sz w:val="24"/>
          <w:szCs w:val="24"/>
        </w:rPr>
        <w:drawing>
          <wp:inline distT="0" distB="0" distL="0" distR="0" wp14:anchorId="1601F643" wp14:editId="7ABF4BDB">
            <wp:extent cx="5126811" cy="4258102"/>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64323" cy="4289258"/>
                    </a:xfrm>
                    <a:prstGeom prst="rect">
                      <a:avLst/>
                    </a:prstGeom>
                  </pic:spPr>
                </pic:pic>
              </a:graphicData>
            </a:graphic>
          </wp:inline>
        </w:drawing>
      </w:r>
    </w:p>
    <w:p w14:paraId="6D41C3AF" w14:textId="7F7E536B" w:rsidR="002027D2" w:rsidRPr="00282F47" w:rsidRDefault="002027D2" w:rsidP="00410BDA">
      <w:pPr>
        <w:spacing w:line="480" w:lineRule="auto"/>
        <w:jc w:val="both"/>
        <w:rPr>
          <w:rFonts w:ascii="Arial" w:hAnsi="Arial" w:cs="Arial"/>
          <w:sz w:val="24"/>
          <w:szCs w:val="24"/>
        </w:rPr>
      </w:pPr>
      <w:r w:rsidRPr="00282F47">
        <w:rPr>
          <w:rFonts w:ascii="Arial" w:hAnsi="Arial" w:cs="Arial"/>
          <w:sz w:val="24"/>
          <w:szCs w:val="24"/>
        </w:rPr>
        <w:lastRenderedPageBreak/>
        <w:t>Blood tests revealed small, transient differences in 2KPEG-MSNs as compared to the other groups tested acutely. Specifically, phosphorous levels in the blood were elevated in the 2KPEG-MSN treatment group. High amounts of phosphorous in blood can be indicative of kidney disease, as kidneys are responsible for filtering and removing excess phosphorous from the blood</w:t>
      </w:r>
      <w:r w:rsidRPr="00282F47">
        <w:rPr>
          <w:rFonts w:ascii="Arial" w:hAnsi="Arial" w:cs="Arial"/>
          <w:noProof/>
          <w:sz w:val="24"/>
          <w:szCs w:val="24"/>
          <w:vertAlign w:val="superscript"/>
        </w:rPr>
        <w:t>165</w:t>
      </w:r>
      <w:r w:rsidRPr="00282F47">
        <w:rPr>
          <w:rFonts w:ascii="Arial" w:hAnsi="Arial" w:cs="Arial"/>
          <w:sz w:val="24"/>
          <w:szCs w:val="24"/>
        </w:rPr>
        <w:t>. Consistent with previous reports of kidney ailments, low molecular weight PEG may have negative impact on kidney function</w:t>
      </w:r>
      <w:r w:rsidRPr="00282F47">
        <w:rPr>
          <w:rFonts w:ascii="Arial" w:hAnsi="Arial" w:cs="Arial"/>
          <w:noProof/>
          <w:sz w:val="24"/>
          <w:szCs w:val="24"/>
          <w:vertAlign w:val="superscript"/>
        </w:rPr>
        <w:t>141,142,166</w:t>
      </w:r>
      <w:r w:rsidRPr="00282F47">
        <w:rPr>
          <w:rFonts w:ascii="Arial" w:hAnsi="Arial" w:cs="Arial"/>
          <w:sz w:val="24"/>
          <w:szCs w:val="24"/>
        </w:rPr>
        <w:t>. Specifically, PEG has shown to result in calcium phosphate crystal deposition in renal tubules</w:t>
      </w:r>
      <w:r w:rsidRPr="00282F47">
        <w:rPr>
          <w:rFonts w:ascii="Arial" w:hAnsi="Arial" w:cs="Arial"/>
          <w:noProof/>
          <w:sz w:val="24"/>
          <w:szCs w:val="24"/>
          <w:vertAlign w:val="superscript"/>
        </w:rPr>
        <w:t>167</w:t>
      </w:r>
      <w:r w:rsidRPr="00282F47">
        <w:rPr>
          <w:rFonts w:ascii="Arial" w:hAnsi="Arial" w:cs="Arial"/>
          <w:sz w:val="24"/>
          <w:szCs w:val="24"/>
        </w:rPr>
        <w:t>. The crystal deposition can lead to subsequent nephrocalcinosis and acute renal failure</w:t>
      </w:r>
      <w:r w:rsidRPr="00282F47">
        <w:rPr>
          <w:rFonts w:ascii="Arial" w:hAnsi="Arial" w:cs="Arial"/>
          <w:noProof/>
          <w:sz w:val="24"/>
          <w:szCs w:val="24"/>
          <w:vertAlign w:val="superscript"/>
        </w:rPr>
        <w:t>167</w:t>
      </w:r>
      <w:r w:rsidRPr="00282F47">
        <w:rPr>
          <w:rFonts w:ascii="Arial" w:hAnsi="Arial" w:cs="Arial"/>
          <w:sz w:val="24"/>
          <w:szCs w:val="24"/>
        </w:rPr>
        <w:t>. In addition, sodium levels in 2KPEG-MSN acute treatment groups were slightly elevated, suggesting possible dehydration, which could arise from many variables, including kidney dysfunction</w:t>
      </w:r>
      <w:r w:rsidRPr="00282F47">
        <w:rPr>
          <w:rFonts w:ascii="Arial" w:hAnsi="Arial" w:cs="Arial"/>
          <w:noProof/>
          <w:sz w:val="24"/>
          <w:szCs w:val="24"/>
          <w:vertAlign w:val="superscript"/>
        </w:rPr>
        <w:t>168</w:t>
      </w:r>
      <w:r w:rsidRPr="00282F47">
        <w:rPr>
          <w:rFonts w:ascii="Arial" w:hAnsi="Arial" w:cs="Arial"/>
          <w:sz w:val="24"/>
          <w:szCs w:val="24"/>
        </w:rPr>
        <w:t>. However, while transient differences were observed in the 2KPEG-MSNs acute treatment group, no differences were observed in the chronic treatment groups. No other biomarkers for kidney dysfunction (</w:t>
      </w:r>
      <w:r w:rsidR="001B7E04">
        <w:rPr>
          <w:rFonts w:ascii="Arial" w:hAnsi="Arial" w:cs="Arial"/>
          <w:sz w:val="24"/>
          <w:szCs w:val="24"/>
        </w:rPr>
        <w:t>blood urea nitrogen</w:t>
      </w:r>
      <w:r w:rsidRPr="00282F47">
        <w:rPr>
          <w:rFonts w:ascii="Arial" w:hAnsi="Arial" w:cs="Arial"/>
          <w:sz w:val="24"/>
          <w:szCs w:val="24"/>
        </w:rPr>
        <w:t xml:space="preserve">, </w:t>
      </w:r>
      <w:r w:rsidR="001B7E04">
        <w:rPr>
          <w:rFonts w:ascii="Arial" w:hAnsi="Arial" w:cs="Arial"/>
          <w:sz w:val="24"/>
          <w:szCs w:val="24"/>
        </w:rPr>
        <w:t>creatinine</w:t>
      </w:r>
      <w:r w:rsidRPr="00282F47">
        <w:rPr>
          <w:rFonts w:ascii="Arial" w:hAnsi="Arial" w:cs="Arial"/>
          <w:sz w:val="24"/>
          <w:szCs w:val="24"/>
        </w:rPr>
        <w:t>) were significantly different in the 2KPEG-MSN groups, suggesting only minor calcium phosphate crystal deposition</w:t>
      </w:r>
      <w:r w:rsidRPr="00282F47">
        <w:rPr>
          <w:rFonts w:ascii="Arial" w:hAnsi="Arial" w:cs="Arial"/>
          <w:noProof/>
          <w:sz w:val="24"/>
          <w:szCs w:val="24"/>
          <w:vertAlign w:val="superscript"/>
        </w:rPr>
        <w:t>167</w:t>
      </w:r>
      <w:r w:rsidRPr="00282F47">
        <w:rPr>
          <w:rFonts w:ascii="Arial" w:hAnsi="Arial" w:cs="Arial"/>
          <w:sz w:val="24"/>
          <w:szCs w:val="24"/>
        </w:rPr>
        <w:t>. Apart from these deviations in 2KPEG-MSN acute treatment groups, there were no other significant changes in acute or chronic levels as measured with blood chemistry and complete blood counts. Notably, white blood cells, neutrophils, lymphocytes, monocytes and other related immune system markers were not significantly different in MSN treated groups compared to controls. This indicates that none of the treatment groups elicited an immune response. PEG has a propensity to undergo cellular vacuolation</w:t>
      </w:r>
      <w:r w:rsidRPr="00282F47">
        <w:rPr>
          <w:rFonts w:ascii="Arial" w:hAnsi="Arial" w:cs="Arial"/>
          <w:noProof/>
          <w:sz w:val="24"/>
          <w:szCs w:val="24"/>
          <w:vertAlign w:val="superscript"/>
        </w:rPr>
        <w:t>169,170</w:t>
      </w:r>
      <w:r w:rsidRPr="00282F47">
        <w:rPr>
          <w:rFonts w:ascii="Arial" w:hAnsi="Arial" w:cs="Arial"/>
          <w:sz w:val="24"/>
          <w:szCs w:val="24"/>
        </w:rPr>
        <w:t xml:space="preserve"> and these results suggest nanoparticles that utilize lower molecular weight PEG may be more at-risk for vacuolation.</w:t>
      </w:r>
    </w:p>
    <w:p w14:paraId="0EFD0FE1" w14:textId="77777777" w:rsidR="002027D2" w:rsidRPr="00282F47" w:rsidRDefault="002027D2" w:rsidP="00F73DFD">
      <w:pPr>
        <w:pStyle w:val="Style4"/>
        <w:spacing w:after="240"/>
        <w:rPr>
          <w:color w:val="auto"/>
        </w:rPr>
      </w:pPr>
      <w:bookmarkStart w:id="48" w:name="_Toc152874278"/>
      <w:r w:rsidRPr="00282F47">
        <w:rPr>
          <w:color w:val="auto"/>
        </w:rPr>
        <w:lastRenderedPageBreak/>
        <w:t>4.5 Conclusions:</w:t>
      </w:r>
      <w:bookmarkEnd w:id="48"/>
    </w:p>
    <w:p w14:paraId="1D56F598"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Increased potential of nanomedicine in a clinical setting has raised significant concern in regards to toxicity. Nanoparticles can be difficult to evaluate for toxicity due to inconsistencies with administration routes and a wide variety of nanoparticle base materials, modifications of the surface of nanoparticles, gatekeepers, and even drugs. With typical multifactorial nanoparticles, the toxicity is often assessed with only a single injection, without proper isolation of each factor of the nanoparticle system such as external coatings, conjugated ligands, or encapsulated drugs. MSNs are a specialized set of nanomedicines that contain: (1) A wide range of size from 3 nm to &gt;100 nm in diameter</w:t>
      </w:r>
      <w:r w:rsidRPr="00282F47">
        <w:rPr>
          <w:rFonts w:ascii="Arial" w:hAnsi="Arial" w:cs="Arial"/>
          <w:noProof/>
          <w:sz w:val="24"/>
          <w:szCs w:val="24"/>
          <w:vertAlign w:val="superscript"/>
        </w:rPr>
        <w:t>171-173</w:t>
      </w:r>
      <w:r w:rsidRPr="00282F47">
        <w:rPr>
          <w:rFonts w:ascii="Arial" w:hAnsi="Arial" w:cs="Arial"/>
          <w:sz w:val="24"/>
          <w:szCs w:val="24"/>
        </w:rPr>
        <w:t>; (2) adaptable gatekeeper mechanisms to allow for stimuli-responsive cargo release or stealthing</w:t>
      </w:r>
      <w:r w:rsidRPr="00282F47">
        <w:rPr>
          <w:rFonts w:ascii="Arial" w:hAnsi="Arial" w:cs="Arial"/>
          <w:noProof/>
          <w:sz w:val="24"/>
          <w:szCs w:val="24"/>
          <w:vertAlign w:val="superscript"/>
        </w:rPr>
        <w:t>133,174,175</w:t>
      </w:r>
      <w:r w:rsidRPr="00282F47">
        <w:rPr>
          <w:rFonts w:ascii="Arial" w:hAnsi="Arial" w:cs="Arial"/>
          <w:sz w:val="24"/>
          <w:szCs w:val="24"/>
        </w:rPr>
        <w:t>; and (3) may have additional disease specific-targeting</w:t>
      </w:r>
      <w:r w:rsidRPr="00282F47">
        <w:rPr>
          <w:rFonts w:ascii="Arial" w:hAnsi="Arial" w:cs="Arial"/>
          <w:noProof/>
          <w:sz w:val="24"/>
          <w:szCs w:val="24"/>
          <w:vertAlign w:val="superscript"/>
        </w:rPr>
        <w:t>154,176,177</w:t>
      </w:r>
      <w:r w:rsidRPr="00282F47">
        <w:rPr>
          <w:rFonts w:ascii="Arial" w:hAnsi="Arial" w:cs="Arial"/>
          <w:sz w:val="24"/>
          <w:szCs w:val="24"/>
        </w:rPr>
        <w:t>. However, there is controversy in assessment of MSN toxicity and accumulation due to the numerous and variable features within MSNs. For example, simultaneous determination of elicited toxicity as a result of the nanoparticle core, shape, size, conjugation, drug, etc., is nearly impossible.</w:t>
      </w:r>
    </w:p>
    <w:p w14:paraId="2C188D4E"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This suggests that PEG can exacerbate pre-existing vascular conditions, but that 2KPEG causes greater toxic impact than 35KPEG. This study evaluated MSN toxicity using uncoated MSNs, chitosan, low molecular weight PEG, and high molecular weight PEG administered intravenously in mice. Treatment groups were split into acute (1 injection) and chronic (1 injection per week over 4 weeks) for maintaining clinical relevance, i.e., single vs. multiple rounds of chemotherapy. The chitosan coating on MSNs (C-MSN) did not result in changes in histopathology of acute and chronic time points for the C-MSN group was similar to controls and the mice had no areas of fibrosis in any organ or other </w:t>
      </w:r>
      <w:r w:rsidRPr="00282F47">
        <w:rPr>
          <w:rFonts w:ascii="Arial" w:hAnsi="Arial" w:cs="Arial"/>
          <w:sz w:val="24"/>
          <w:szCs w:val="24"/>
        </w:rPr>
        <w:lastRenderedPageBreak/>
        <w:t>signs of organ damage. The histological and blood chemistry findings from mice acutely or chronically injected with C-MSN were consistent with control mice. In 100% mice receiving 2KPEG-MSNs, the mice had increased interstitial fibrin, immature thrombi, and even fully mature thrombi in up to 50% of the pulmonary arteries and veins. Additionally, one mouse receiving multiple injections 35KPEG-MSN also had increased interstitial fibrin and immature thrombi. Thus, a main finding of this study suggests chitosan coating was safe, but that PEG coating can exacerbate pre-existing vascular conditions with 2KPEG causing much greater toxic impact than 35KPEG.</w:t>
      </w:r>
    </w:p>
    <w:p w14:paraId="44F1AEF2" w14:textId="77777777" w:rsidR="002027D2" w:rsidRPr="00282F47" w:rsidRDefault="002027D2" w:rsidP="002A4DB5">
      <w:pPr>
        <w:spacing w:line="480" w:lineRule="auto"/>
        <w:jc w:val="both"/>
        <w:rPr>
          <w:rFonts w:ascii="Arial" w:hAnsi="Arial" w:cs="Arial"/>
          <w:sz w:val="24"/>
          <w:szCs w:val="24"/>
        </w:rPr>
      </w:pPr>
      <w:r w:rsidRPr="00282F47">
        <w:rPr>
          <w:rFonts w:ascii="Arial" w:hAnsi="Arial" w:cs="Arial"/>
          <w:sz w:val="24"/>
          <w:szCs w:val="24"/>
        </w:rPr>
        <w:t>Efficacious drug delivery has been observed in each of the chosen gatekeepers, chitosan</w:t>
      </w:r>
      <w:r w:rsidRPr="00282F47">
        <w:rPr>
          <w:rFonts w:ascii="Arial" w:hAnsi="Arial" w:cs="Arial"/>
          <w:noProof/>
          <w:sz w:val="24"/>
          <w:szCs w:val="24"/>
          <w:vertAlign w:val="superscript"/>
        </w:rPr>
        <w:t>154</w:t>
      </w:r>
      <w:r w:rsidRPr="00282F47">
        <w:rPr>
          <w:rFonts w:ascii="Arial" w:hAnsi="Arial" w:cs="Arial"/>
          <w:sz w:val="24"/>
          <w:szCs w:val="24"/>
        </w:rPr>
        <w:t>, 2KPEG</w:t>
      </w:r>
      <w:r w:rsidRPr="00282F47">
        <w:rPr>
          <w:rFonts w:ascii="Arial" w:hAnsi="Arial" w:cs="Arial"/>
          <w:noProof/>
          <w:sz w:val="24"/>
          <w:szCs w:val="24"/>
          <w:vertAlign w:val="superscript"/>
        </w:rPr>
        <w:t>178</w:t>
      </w:r>
      <w:r w:rsidRPr="00282F47">
        <w:rPr>
          <w:rFonts w:ascii="Arial" w:hAnsi="Arial" w:cs="Arial"/>
          <w:sz w:val="24"/>
          <w:szCs w:val="24"/>
        </w:rPr>
        <w:t>, and 35KPEG</w:t>
      </w:r>
      <w:r w:rsidRPr="00282F47">
        <w:rPr>
          <w:rFonts w:ascii="Arial" w:hAnsi="Arial" w:cs="Arial"/>
          <w:noProof/>
          <w:sz w:val="24"/>
          <w:szCs w:val="24"/>
          <w:vertAlign w:val="superscript"/>
        </w:rPr>
        <w:t>179</w:t>
      </w:r>
      <w:r w:rsidRPr="00282F47">
        <w:rPr>
          <w:rFonts w:ascii="Arial" w:hAnsi="Arial" w:cs="Arial"/>
          <w:sz w:val="24"/>
          <w:szCs w:val="24"/>
        </w:rPr>
        <w:t>. While 2KPEG shows rapid clearance from the body, 35KPEG benefits from a longer circulation time</w:t>
      </w:r>
      <w:r w:rsidRPr="00282F47">
        <w:rPr>
          <w:rFonts w:ascii="Arial" w:hAnsi="Arial" w:cs="Arial"/>
          <w:noProof/>
          <w:sz w:val="24"/>
          <w:szCs w:val="24"/>
          <w:vertAlign w:val="superscript"/>
        </w:rPr>
        <w:t>155</w:t>
      </w:r>
      <w:r w:rsidRPr="00282F47">
        <w:rPr>
          <w:rFonts w:ascii="Arial" w:hAnsi="Arial" w:cs="Arial"/>
          <w:sz w:val="24"/>
          <w:szCs w:val="24"/>
        </w:rPr>
        <w:t>. Histological evaluation of the tissue suggests exacerbation of pre-existing thrombotic lesions of mice treated with uncoated MSNs and PEG-coated MSNs. These results suggest that PEG may negatively impact and worsen mice that have pre-existing vascular risk. In addition, low molecular weight PEG results in increased exacerbation of vascular injury. Small differences were observed in the blood chemistry (phosphorous, sodium) of acute low molecular weight PEG treatment group that indicated kidney dysfunction, but these results were not supported by other kidney-related biomarkers (blood urea nitrogen, creatinine). Such differences may be a result of increased calcium phosphate depositions as a result of PEG coating</w:t>
      </w:r>
      <w:r w:rsidRPr="00282F47">
        <w:rPr>
          <w:rFonts w:ascii="Arial" w:hAnsi="Arial" w:cs="Arial"/>
          <w:noProof/>
          <w:sz w:val="24"/>
          <w:szCs w:val="24"/>
          <w:vertAlign w:val="superscript"/>
        </w:rPr>
        <w:t>167</w:t>
      </w:r>
      <w:r w:rsidRPr="00282F47">
        <w:rPr>
          <w:rFonts w:ascii="Arial" w:hAnsi="Arial" w:cs="Arial"/>
          <w:sz w:val="24"/>
          <w:szCs w:val="24"/>
        </w:rPr>
        <w:t>, where lower molecular weight PEG may have a higher propensity for cellular vacuolation</w:t>
      </w:r>
      <w:r w:rsidRPr="00282F47">
        <w:rPr>
          <w:rFonts w:ascii="Arial" w:hAnsi="Arial" w:cs="Arial"/>
          <w:noProof/>
          <w:sz w:val="24"/>
          <w:szCs w:val="24"/>
          <w:vertAlign w:val="superscript"/>
        </w:rPr>
        <w:t>169,170</w:t>
      </w:r>
      <w:r w:rsidRPr="00282F47">
        <w:rPr>
          <w:rFonts w:ascii="Arial" w:hAnsi="Arial" w:cs="Arial"/>
          <w:sz w:val="24"/>
          <w:szCs w:val="24"/>
        </w:rPr>
        <w:t xml:space="preserve">. Additional investigations of many molecular weights of PEG and chitosan may provide more valuable information concerning how external coatings affect MSN toxicity. Further studies to accurately define the limits of toxicity depending on </w:t>
      </w:r>
      <w:r w:rsidRPr="00282F47">
        <w:rPr>
          <w:rFonts w:ascii="Arial" w:hAnsi="Arial" w:cs="Arial"/>
          <w:sz w:val="24"/>
          <w:szCs w:val="24"/>
        </w:rPr>
        <w:lastRenderedPageBreak/>
        <w:t>particle size, type, and application will improve translatability of MSNs and general nanomedicine from high potential to clinical translation.</w:t>
      </w:r>
    </w:p>
    <w:p w14:paraId="06D149F1" w14:textId="77777777" w:rsidR="002027D2" w:rsidRPr="00282F47" w:rsidRDefault="002027D2" w:rsidP="00F73DFD">
      <w:pPr>
        <w:pStyle w:val="Style4"/>
        <w:spacing w:after="240"/>
        <w:rPr>
          <w:color w:val="auto"/>
        </w:rPr>
      </w:pPr>
      <w:bookmarkStart w:id="49" w:name="_Toc152874279"/>
      <w:r w:rsidRPr="00282F47">
        <w:rPr>
          <w:color w:val="auto"/>
        </w:rPr>
        <w:t>4.6 Acknowledgements and Funding:</w:t>
      </w:r>
      <w:bookmarkEnd w:id="49"/>
    </w:p>
    <w:p w14:paraId="260E55BB" w14:textId="77777777" w:rsidR="002027D2" w:rsidRDefault="002027D2" w:rsidP="00E53342">
      <w:pPr>
        <w:spacing w:line="480" w:lineRule="auto"/>
        <w:jc w:val="both"/>
        <w:rPr>
          <w:rFonts w:ascii="Arial" w:hAnsi="Arial" w:cs="Arial"/>
          <w:sz w:val="24"/>
          <w:szCs w:val="24"/>
        </w:rPr>
      </w:pPr>
      <w:r w:rsidRPr="00282F47">
        <w:rPr>
          <w:rFonts w:ascii="Arial" w:hAnsi="Arial" w:cs="Arial"/>
          <w:sz w:val="24"/>
          <w:szCs w:val="24"/>
        </w:rPr>
        <w:t>This research was funded by National Cancer Institute Grants R01CA212350, F31CA261044, and P30CA225520 and National Institute for Biomedical imaging and Bioengineering R01EB020125. The pathology samples were prepared with support from the SCC Tissue Pathology Core.</w:t>
      </w:r>
    </w:p>
    <w:p w14:paraId="58DB58F4" w14:textId="77777777" w:rsidR="004B4BA2" w:rsidRDefault="004B4BA2" w:rsidP="00E53342">
      <w:pPr>
        <w:spacing w:line="480" w:lineRule="auto"/>
        <w:jc w:val="both"/>
        <w:rPr>
          <w:rFonts w:ascii="Arial" w:hAnsi="Arial" w:cs="Arial"/>
          <w:sz w:val="24"/>
          <w:szCs w:val="24"/>
        </w:rPr>
      </w:pPr>
    </w:p>
    <w:p w14:paraId="30DEB940" w14:textId="77777777" w:rsidR="004B4BA2" w:rsidRDefault="004B4BA2" w:rsidP="00E53342">
      <w:pPr>
        <w:spacing w:line="480" w:lineRule="auto"/>
        <w:jc w:val="both"/>
        <w:rPr>
          <w:rFonts w:ascii="Arial" w:hAnsi="Arial" w:cs="Arial"/>
          <w:sz w:val="24"/>
          <w:szCs w:val="24"/>
        </w:rPr>
      </w:pPr>
    </w:p>
    <w:p w14:paraId="48C64078" w14:textId="77777777" w:rsidR="004B4BA2" w:rsidRDefault="004B4BA2" w:rsidP="00E53342">
      <w:pPr>
        <w:spacing w:line="480" w:lineRule="auto"/>
        <w:jc w:val="both"/>
        <w:rPr>
          <w:rFonts w:ascii="Arial" w:hAnsi="Arial" w:cs="Arial"/>
          <w:sz w:val="24"/>
          <w:szCs w:val="24"/>
        </w:rPr>
      </w:pPr>
    </w:p>
    <w:p w14:paraId="7348F542" w14:textId="77777777" w:rsidR="004B4BA2" w:rsidRDefault="004B4BA2" w:rsidP="00E53342">
      <w:pPr>
        <w:spacing w:line="480" w:lineRule="auto"/>
        <w:jc w:val="both"/>
        <w:rPr>
          <w:rFonts w:ascii="Arial" w:hAnsi="Arial" w:cs="Arial"/>
          <w:sz w:val="24"/>
          <w:szCs w:val="24"/>
        </w:rPr>
      </w:pPr>
    </w:p>
    <w:p w14:paraId="5E421275" w14:textId="77777777" w:rsidR="004B4BA2" w:rsidRDefault="004B4BA2" w:rsidP="00E53342">
      <w:pPr>
        <w:spacing w:line="480" w:lineRule="auto"/>
        <w:jc w:val="both"/>
        <w:rPr>
          <w:rFonts w:ascii="Arial" w:hAnsi="Arial" w:cs="Arial"/>
          <w:sz w:val="24"/>
          <w:szCs w:val="24"/>
        </w:rPr>
      </w:pPr>
    </w:p>
    <w:p w14:paraId="4F0934A3" w14:textId="77777777" w:rsidR="004B4BA2" w:rsidRDefault="004B4BA2" w:rsidP="00E53342">
      <w:pPr>
        <w:spacing w:line="480" w:lineRule="auto"/>
        <w:jc w:val="both"/>
        <w:rPr>
          <w:rFonts w:ascii="Arial" w:hAnsi="Arial" w:cs="Arial"/>
          <w:sz w:val="24"/>
          <w:szCs w:val="24"/>
        </w:rPr>
      </w:pPr>
    </w:p>
    <w:p w14:paraId="5C933409" w14:textId="77777777" w:rsidR="004B4BA2" w:rsidRDefault="004B4BA2" w:rsidP="00E53342">
      <w:pPr>
        <w:spacing w:line="480" w:lineRule="auto"/>
        <w:jc w:val="both"/>
        <w:rPr>
          <w:rFonts w:ascii="Arial" w:hAnsi="Arial" w:cs="Arial"/>
          <w:sz w:val="24"/>
          <w:szCs w:val="24"/>
        </w:rPr>
      </w:pPr>
    </w:p>
    <w:p w14:paraId="472C65D3" w14:textId="77777777" w:rsidR="004B4BA2" w:rsidRDefault="004B4BA2" w:rsidP="00E53342">
      <w:pPr>
        <w:spacing w:line="480" w:lineRule="auto"/>
        <w:jc w:val="both"/>
        <w:rPr>
          <w:rFonts w:ascii="Arial" w:hAnsi="Arial" w:cs="Arial"/>
          <w:sz w:val="24"/>
          <w:szCs w:val="24"/>
        </w:rPr>
      </w:pPr>
    </w:p>
    <w:p w14:paraId="4A5C3592" w14:textId="77777777" w:rsidR="004B4BA2" w:rsidRDefault="004B4BA2" w:rsidP="00E53342">
      <w:pPr>
        <w:spacing w:line="480" w:lineRule="auto"/>
        <w:jc w:val="both"/>
        <w:rPr>
          <w:rFonts w:ascii="Arial" w:hAnsi="Arial" w:cs="Arial"/>
          <w:sz w:val="24"/>
          <w:szCs w:val="24"/>
        </w:rPr>
      </w:pPr>
    </w:p>
    <w:p w14:paraId="344157A9" w14:textId="77777777" w:rsidR="004B4BA2" w:rsidRDefault="004B4BA2" w:rsidP="00E53342">
      <w:pPr>
        <w:spacing w:line="480" w:lineRule="auto"/>
        <w:jc w:val="both"/>
        <w:rPr>
          <w:rFonts w:ascii="Arial" w:hAnsi="Arial" w:cs="Arial"/>
          <w:sz w:val="24"/>
          <w:szCs w:val="24"/>
        </w:rPr>
      </w:pPr>
    </w:p>
    <w:p w14:paraId="543ACE86" w14:textId="77777777" w:rsidR="004B4BA2" w:rsidRPr="00282F47" w:rsidRDefault="004B4BA2" w:rsidP="00E53342">
      <w:pPr>
        <w:spacing w:line="480" w:lineRule="auto"/>
        <w:jc w:val="both"/>
        <w:rPr>
          <w:rFonts w:ascii="Arial" w:hAnsi="Arial" w:cs="Arial"/>
          <w:sz w:val="24"/>
          <w:szCs w:val="24"/>
        </w:rPr>
      </w:pPr>
    </w:p>
    <w:p w14:paraId="0EFB9CBC" w14:textId="77777777" w:rsidR="002027D2" w:rsidRPr="00282F47" w:rsidRDefault="002027D2" w:rsidP="00F73DFD">
      <w:pPr>
        <w:pStyle w:val="Style3"/>
        <w:spacing w:after="240"/>
        <w:rPr>
          <w:color w:val="auto"/>
        </w:rPr>
      </w:pPr>
      <w:bookmarkStart w:id="50" w:name="_Toc152874280"/>
      <w:r w:rsidRPr="00282F47">
        <w:rPr>
          <w:color w:val="auto"/>
        </w:rPr>
        <w:lastRenderedPageBreak/>
        <w:t>Chapter 5 – Active Targeting Significantly Outperforms Nanoparticle Size in Facilitating Tumor-Specific Uptake in Orthotopic Pancreatic Cancer</w:t>
      </w:r>
      <w:bookmarkEnd w:id="50"/>
    </w:p>
    <w:p w14:paraId="65B89BCE" w14:textId="77777777" w:rsidR="002027D2" w:rsidRPr="00282F47" w:rsidRDefault="002027D2" w:rsidP="00E74369">
      <w:pPr>
        <w:jc w:val="both"/>
        <w:rPr>
          <w:rFonts w:ascii="Arial" w:hAnsi="Arial" w:cs="Arial"/>
          <w:sz w:val="24"/>
          <w:szCs w:val="24"/>
        </w:rPr>
      </w:pPr>
      <w:r w:rsidRPr="00282F47">
        <w:rPr>
          <w:rFonts w:ascii="Arial" w:hAnsi="Arial" w:cs="Arial"/>
          <w:sz w:val="24"/>
          <w:szCs w:val="24"/>
        </w:rPr>
        <w:t xml:space="preserve">This chapter has been published as a research manuscript in </w:t>
      </w:r>
      <w:r w:rsidRPr="00282F47">
        <w:rPr>
          <w:rFonts w:ascii="Arial" w:hAnsi="Arial" w:cs="Arial"/>
          <w:i/>
          <w:iCs/>
          <w:sz w:val="24"/>
          <w:szCs w:val="24"/>
        </w:rPr>
        <w:t>ACS Applied Materials &amp; Interfaces</w:t>
      </w:r>
      <w:r w:rsidRPr="00282F47">
        <w:rPr>
          <w:rFonts w:ascii="Arial" w:hAnsi="Arial" w:cs="Arial"/>
          <w:sz w:val="24"/>
          <w:szCs w:val="24"/>
        </w:rPr>
        <w:t>:</w:t>
      </w:r>
    </w:p>
    <w:p w14:paraId="763E20EC" w14:textId="77777777" w:rsidR="002027D2" w:rsidRPr="00282F47" w:rsidRDefault="002027D2" w:rsidP="00E74369">
      <w:pPr>
        <w:jc w:val="both"/>
        <w:rPr>
          <w:rFonts w:ascii="Arial" w:hAnsi="Arial" w:cs="Arial"/>
          <w:sz w:val="24"/>
          <w:szCs w:val="24"/>
        </w:rPr>
      </w:pPr>
      <w:r w:rsidRPr="00282F47">
        <w:rPr>
          <w:rFonts w:ascii="Arial" w:hAnsi="Arial" w:cs="Arial"/>
          <w:b/>
          <w:bCs/>
          <w:sz w:val="24"/>
          <w:szCs w:val="24"/>
        </w:rPr>
        <w:t>William M MacCuaig</w:t>
      </w:r>
      <w:r w:rsidRPr="00282F47">
        <w:rPr>
          <w:rFonts w:ascii="Arial" w:hAnsi="Arial" w:cs="Arial"/>
          <w:sz w:val="24"/>
          <w:szCs w:val="24"/>
        </w:rPr>
        <w:t xml:space="preserve">, Benjamin L Fouts, Molly W McNally, William E Grizzle, Phillip Chuong, Abhilash Samykutty, Priyabrata Mukherjee, Min Li, Jacek B Jasinski, Bahareh Behkam, Lacey R McNally. “Active Targeting Significantly Outperforms Nanoparticle Size in Facilitating Tumor-Specific Uptake in Orthotopic Pancreatic Cancer” </w:t>
      </w:r>
      <w:r w:rsidRPr="00282F47">
        <w:rPr>
          <w:rFonts w:ascii="Arial" w:hAnsi="Arial" w:cs="Arial"/>
          <w:i/>
          <w:iCs/>
          <w:sz w:val="24"/>
          <w:szCs w:val="24"/>
        </w:rPr>
        <w:t>ACS Applied Materials &amp; Interfaces</w:t>
      </w:r>
      <w:r w:rsidRPr="00282F47">
        <w:rPr>
          <w:rFonts w:ascii="Arial" w:hAnsi="Arial" w:cs="Arial"/>
          <w:sz w:val="24"/>
          <w:szCs w:val="24"/>
        </w:rPr>
        <w:t xml:space="preserve"> 2021 Oct 15; 13 (42):19614-49630. doi: 10.1021/acsami.1c09379</w:t>
      </w:r>
    </w:p>
    <w:p w14:paraId="4881FDF0" w14:textId="77777777" w:rsidR="002027D2" w:rsidRPr="00282F47" w:rsidRDefault="002027D2" w:rsidP="00356F32">
      <w:pPr>
        <w:rPr>
          <w:rFonts w:ascii="Arial" w:hAnsi="Arial" w:cs="Arial"/>
          <w:sz w:val="24"/>
          <w:szCs w:val="24"/>
        </w:rPr>
      </w:pPr>
    </w:p>
    <w:p w14:paraId="3DF7B1EF" w14:textId="77777777" w:rsidR="002027D2" w:rsidRPr="00282F47" w:rsidRDefault="002027D2" w:rsidP="00F73DFD">
      <w:pPr>
        <w:pStyle w:val="Style4"/>
        <w:spacing w:after="240"/>
        <w:rPr>
          <w:color w:val="auto"/>
        </w:rPr>
      </w:pPr>
      <w:bookmarkStart w:id="51" w:name="_Toc152874281"/>
      <w:r w:rsidRPr="00282F47">
        <w:rPr>
          <w:color w:val="auto"/>
        </w:rPr>
        <w:t>5.1 Abstract:</w:t>
      </w:r>
      <w:bookmarkEnd w:id="51"/>
    </w:p>
    <w:p w14:paraId="6271FE2E" w14:textId="77777777" w:rsidR="002027D2" w:rsidRPr="00282F47" w:rsidRDefault="002027D2" w:rsidP="005D5DA4">
      <w:pPr>
        <w:spacing w:line="480" w:lineRule="auto"/>
        <w:jc w:val="both"/>
        <w:rPr>
          <w:rFonts w:ascii="Arial" w:hAnsi="Arial" w:cs="Arial"/>
          <w:sz w:val="24"/>
          <w:szCs w:val="24"/>
        </w:rPr>
      </w:pPr>
      <w:r w:rsidRPr="00282F47">
        <w:rPr>
          <w:rFonts w:ascii="Arial" w:hAnsi="Arial" w:cs="Arial"/>
          <w:sz w:val="24"/>
          <w:szCs w:val="24"/>
        </w:rPr>
        <w:t xml:space="preserve">Nanoparticles are widely studied as theranostic vehicles for cancer; however, clinical translation has been limited due to poor tumor specificity. Features that maximize tumor uptake remain controversial, particularly when using clinically relevant models. We report a systematic study that assesses two major features for the impact on tumor specificity, i.e., active vs passive targeting and nanoparticle size, to evaluate relative influences </w:t>
      </w:r>
      <w:r w:rsidRPr="00282F47">
        <w:rPr>
          <w:rFonts w:ascii="Arial" w:hAnsi="Arial" w:cs="Arial"/>
          <w:i/>
          <w:iCs/>
          <w:sz w:val="24"/>
          <w:szCs w:val="24"/>
        </w:rPr>
        <w:t>in vivo</w:t>
      </w:r>
      <w:r w:rsidRPr="00282F47">
        <w:rPr>
          <w:rFonts w:ascii="Arial" w:hAnsi="Arial" w:cs="Arial"/>
          <w:sz w:val="24"/>
          <w:szCs w:val="24"/>
        </w:rPr>
        <w:t xml:space="preserve">. Active targeting via the V7 peptide is superior to passive targeting for uptake by pancreatic tumors, irrespective of nanoparticle size, observed through </w:t>
      </w:r>
      <w:r w:rsidRPr="00282F47">
        <w:rPr>
          <w:rFonts w:ascii="Arial" w:hAnsi="Arial" w:cs="Arial"/>
          <w:i/>
          <w:iCs/>
          <w:sz w:val="24"/>
          <w:szCs w:val="24"/>
        </w:rPr>
        <w:t>in vivo</w:t>
      </w:r>
      <w:r w:rsidRPr="00282F47">
        <w:rPr>
          <w:rFonts w:ascii="Arial" w:hAnsi="Arial" w:cs="Arial"/>
          <w:sz w:val="24"/>
          <w:szCs w:val="24"/>
        </w:rPr>
        <w:t xml:space="preserve"> imaging. Size has a secondary effect on uptake for actively targeted nanoparticles in which 26 nm nanoparticles outperform larger 45 and 73 nm nanoparticles. Nanoparticle size had no significant effect on uptake for passively targeted nanoparticles. Results highlight the superiority of active targeting over nanoparticle size for tumor uptake. These findings suggest a framework for optimizing similar nonaggregate nanoparticles for theranostic treatment of recalcitrant cancers.</w:t>
      </w:r>
    </w:p>
    <w:p w14:paraId="4A311B2E" w14:textId="77777777" w:rsidR="002027D2" w:rsidRPr="00282F47" w:rsidRDefault="002027D2" w:rsidP="00F73DFD">
      <w:pPr>
        <w:pStyle w:val="Style4"/>
        <w:spacing w:after="240"/>
        <w:rPr>
          <w:color w:val="auto"/>
        </w:rPr>
      </w:pPr>
      <w:bookmarkStart w:id="52" w:name="_Toc152874282"/>
      <w:r w:rsidRPr="00282F47">
        <w:rPr>
          <w:color w:val="auto"/>
        </w:rPr>
        <w:t>5.2 Introduction:</w:t>
      </w:r>
      <w:bookmarkEnd w:id="52"/>
    </w:p>
    <w:p w14:paraId="58EC7FD6"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While many nanoparticles have been evaluated, both preclinically and clinically, for cancer, there are many barriers and few guiding principles leading to an overall particle </w:t>
      </w:r>
      <w:r w:rsidRPr="00282F47">
        <w:rPr>
          <w:rFonts w:ascii="Arial" w:hAnsi="Arial" w:cs="Arial"/>
          <w:sz w:val="24"/>
          <w:szCs w:val="24"/>
        </w:rPr>
        <w:lastRenderedPageBreak/>
        <w:t xml:space="preserve">design that has been validated in a clinically relevant </w:t>
      </w:r>
      <w:r w:rsidRPr="00282F47">
        <w:rPr>
          <w:rFonts w:ascii="Arial" w:hAnsi="Arial" w:cs="Arial"/>
          <w:i/>
          <w:iCs/>
          <w:sz w:val="24"/>
          <w:szCs w:val="24"/>
        </w:rPr>
        <w:t>in vivo</w:t>
      </w:r>
      <w:r w:rsidRPr="00282F47">
        <w:rPr>
          <w:rFonts w:ascii="Arial" w:hAnsi="Arial" w:cs="Arial"/>
          <w:sz w:val="24"/>
          <w:szCs w:val="24"/>
        </w:rPr>
        <w:t xml:space="preserve"> setting</w:t>
      </w:r>
      <w:r w:rsidRPr="00282F47">
        <w:rPr>
          <w:rFonts w:ascii="Arial" w:hAnsi="Arial" w:cs="Arial"/>
          <w:noProof/>
          <w:sz w:val="24"/>
          <w:szCs w:val="24"/>
          <w:vertAlign w:val="superscript"/>
        </w:rPr>
        <w:t>180</w:t>
      </w:r>
      <w:r w:rsidRPr="00282F47">
        <w:rPr>
          <w:rFonts w:ascii="Arial" w:hAnsi="Arial" w:cs="Arial"/>
          <w:sz w:val="24"/>
          <w:szCs w:val="24"/>
        </w:rPr>
        <w:t xml:space="preserve">. In terms of tumor specificity and uptake, nanoparticles consistently underperform in a clinical setting, leading to inadequate agent delivery to the lesion, thus reducing diagnostic and therapeutic efficacy. Prior studies examining the tumor specific features of nanoparticles are largely limited to computational and </w:t>
      </w:r>
      <w:r w:rsidRPr="00282F47">
        <w:rPr>
          <w:rFonts w:ascii="Arial" w:hAnsi="Arial" w:cs="Arial"/>
          <w:i/>
          <w:iCs/>
          <w:sz w:val="24"/>
          <w:szCs w:val="24"/>
        </w:rPr>
        <w:t>in vitro</w:t>
      </w:r>
      <w:r w:rsidRPr="00282F47">
        <w:rPr>
          <w:rFonts w:ascii="Arial" w:hAnsi="Arial" w:cs="Arial"/>
          <w:sz w:val="24"/>
          <w:szCs w:val="24"/>
        </w:rPr>
        <w:t xml:space="preserve"> models. The failure to use clinically relevant </w:t>
      </w:r>
      <w:r w:rsidRPr="00282F47">
        <w:rPr>
          <w:rFonts w:ascii="Arial" w:hAnsi="Arial" w:cs="Arial"/>
          <w:i/>
          <w:iCs/>
          <w:sz w:val="24"/>
          <w:szCs w:val="24"/>
        </w:rPr>
        <w:t>in vivo</w:t>
      </w:r>
      <w:r w:rsidRPr="00282F47">
        <w:rPr>
          <w:rFonts w:ascii="Arial" w:hAnsi="Arial" w:cs="Arial"/>
          <w:sz w:val="24"/>
          <w:szCs w:val="24"/>
        </w:rPr>
        <w:t xml:space="preserve"> models has led to controversy in the context of improving tumor specificity of nanoparticles. </w:t>
      </w:r>
      <w:r w:rsidRPr="00282F47">
        <w:rPr>
          <w:rFonts w:ascii="Arial" w:hAnsi="Arial" w:cs="Arial"/>
          <w:i/>
          <w:iCs/>
          <w:sz w:val="24"/>
          <w:szCs w:val="24"/>
        </w:rPr>
        <w:t>In vitro</w:t>
      </w:r>
      <w:r w:rsidRPr="00282F47">
        <w:rPr>
          <w:rFonts w:ascii="Arial" w:hAnsi="Arial" w:cs="Arial"/>
          <w:sz w:val="24"/>
          <w:szCs w:val="24"/>
        </w:rPr>
        <w:t xml:space="preserve"> and computational models do not fully recapitulate the </w:t>
      </w:r>
      <w:r w:rsidRPr="00282F47">
        <w:rPr>
          <w:rFonts w:ascii="Arial" w:hAnsi="Arial" w:cs="Arial"/>
          <w:i/>
          <w:iCs/>
          <w:sz w:val="24"/>
          <w:szCs w:val="24"/>
        </w:rPr>
        <w:t>in vivo</w:t>
      </w:r>
      <w:r w:rsidRPr="00282F47">
        <w:rPr>
          <w:rFonts w:ascii="Arial" w:hAnsi="Arial" w:cs="Arial"/>
          <w:sz w:val="24"/>
          <w:szCs w:val="24"/>
        </w:rPr>
        <w:t xml:space="preserve"> situation due to the complexities of the cancer microenvironment</w:t>
      </w:r>
      <w:r w:rsidRPr="00282F47">
        <w:rPr>
          <w:rFonts w:ascii="Arial" w:hAnsi="Arial" w:cs="Arial"/>
          <w:noProof/>
          <w:sz w:val="24"/>
          <w:szCs w:val="24"/>
          <w:vertAlign w:val="superscript"/>
        </w:rPr>
        <w:t>181-184</w:t>
      </w:r>
      <w:r w:rsidRPr="00282F47">
        <w:rPr>
          <w:rFonts w:ascii="Arial" w:hAnsi="Arial" w:cs="Arial"/>
          <w:sz w:val="24"/>
          <w:szCs w:val="24"/>
        </w:rPr>
        <w:t>. While active targeting and nanoparticle size, two of the most critical features known to affect tumor uptake</w:t>
      </w:r>
      <w:r w:rsidRPr="00282F47">
        <w:rPr>
          <w:rFonts w:ascii="Arial" w:hAnsi="Arial" w:cs="Arial"/>
          <w:noProof/>
          <w:sz w:val="24"/>
          <w:szCs w:val="24"/>
          <w:vertAlign w:val="superscript"/>
        </w:rPr>
        <w:t>181,183</w:t>
      </w:r>
      <w:r w:rsidRPr="00282F47">
        <w:rPr>
          <w:rFonts w:ascii="Arial" w:hAnsi="Arial" w:cs="Arial"/>
          <w:sz w:val="24"/>
          <w:szCs w:val="24"/>
        </w:rPr>
        <w:t>, have been assessed individually</w:t>
      </w:r>
      <w:r w:rsidRPr="00282F47">
        <w:rPr>
          <w:rFonts w:ascii="Arial" w:hAnsi="Arial" w:cs="Arial"/>
          <w:noProof/>
          <w:sz w:val="24"/>
          <w:szCs w:val="24"/>
          <w:vertAlign w:val="superscript"/>
        </w:rPr>
        <w:t>183,184</w:t>
      </w:r>
      <w:r w:rsidRPr="00282F47">
        <w:rPr>
          <w:rFonts w:ascii="Arial" w:hAnsi="Arial" w:cs="Arial"/>
          <w:sz w:val="24"/>
          <w:szCs w:val="24"/>
        </w:rPr>
        <w:t xml:space="preserve">, the irrelative influences on tumor specificity have not been rigorously studied together using </w:t>
      </w:r>
      <w:r w:rsidRPr="00282F47">
        <w:rPr>
          <w:rFonts w:ascii="Arial" w:hAnsi="Arial" w:cs="Arial"/>
          <w:i/>
          <w:iCs/>
          <w:sz w:val="24"/>
          <w:szCs w:val="24"/>
        </w:rPr>
        <w:t>in vivo</w:t>
      </w:r>
      <w:r w:rsidRPr="00282F47">
        <w:rPr>
          <w:rFonts w:ascii="Arial" w:hAnsi="Arial" w:cs="Arial"/>
          <w:sz w:val="24"/>
          <w:szCs w:val="24"/>
        </w:rPr>
        <w:t xml:space="preserve"> models. Determination of relative influences of critical nanoparticle features on tumor specificity will accelerate the translation of nanoparticles into clinically viable theranostic tools for cancer.</w:t>
      </w:r>
    </w:p>
    <w:p w14:paraId="03F12391" w14:textId="52D0AA5A"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Active targeting options, such as using antibodies (e.g., Her2</w:t>
      </w:r>
      <w:r w:rsidRPr="00282F47">
        <w:rPr>
          <w:rFonts w:ascii="Arial" w:hAnsi="Arial" w:cs="Arial"/>
          <w:noProof/>
          <w:sz w:val="24"/>
          <w:szCs w:val="24"/>
          <w:vertAlign w:val="superscript"/>
        </w:rPr>
        <w:t>185</w:t>
      </w:r>
      <w:r w:rsidRPr="00282F47">
        <w:rPr>
          <w:rFonts w:ascii="Arial" w:hAnsi="Arial" w:cs="Arial"/>
          <w:sz w:val="24"/>
          <w:szCs w:val="24"/>
        </w:rPr>
        <w:t>) or peptides (e.g., RGD</w:t>
      </w:r>
      <w:r w:rsidRPr="00282F47">
        <w:rPr>
          <w:rFonts w:ascii="Arial" w:hAnsi="Arial" w:cs="Arial"/>
          <w:noProof/>
          <w:sz w:val="24"/>
          <w:szCs w:val="24"/>
          <w:vertAlign w:val="superscript"/>
        </w:rPr>
        <w:t>186</w:t>
      </w:r>
      <w:r w:rsidRPr="00282F47">
        <w:rPr>
          <w:rFonts w:ascii="Arial" w:hAnsi="Arial" w:cs="Arial"/>
          <w:sz w:val="24"/>
          <w:szCs w:val="24"/>
        </w:rPr>
        <w:t xml:space="preserve"> and folate targeting</w:t>
      </w:r>
      <w:r w:rsidRPr="00282F47">
        <w:rPr>
          <w:rFonts w:ascii="Arial" w:hAnsi="Arial" w:cs="Arial"/>
          <w:noProof/>
          <w:sz w:val="24"/>
          <w:szCs w:val="24"/>
          <w:vertAlign w:val="superscript"/>
        </w:rPr>
        <w:t>187</w:t>
      </w:r>
      <w:r w:rsidRPr="00282F47">
        <w:rPr>
          <w:rFonts w:ascii="Arial" w:hAnsi="Arial" w:cs="Arial"/>
          <w:sz w:val="24"/>
          <w:szCs w:val="24"/>
        </w:rPr>
        <w:t>), represent techniques to target cancers specifically through extracellular expression of receptors or other proteins. However, many cancers, including pancreatic cancer, have few, if any, identified receptors to facilitate active targeting of the tumor cells. The heterogeneity of pancreatic cancer hinders the development of specific and efficacious extracellular protein targeting</w:t>
      </w:r>
      <w:r w:rsidRPr="00282F47">
        <w:rPr>
          <w:rFonts w:ascii="Arial" w:hAnsi="Arial" w:cs="Arial"/>
          <w:noProof/>
          <w:sz w:val="24"/>
          <w:szCs w:val="24"/>
          <w:vertAlign w:val="superscript"/>
        </w:rPr>
        <w:t>188</w:t>
      </w:r>
      <w:r w:rsidRPr="00282F47">
        <w:rPr>
          <w:rFonts w:ascii="Arial" w:hAnsi="Arial" w:cs="Arial"/>
          <w:sz w:val="24"/>
          <w:szCs w:val="24"/>
        </w:rPr>
        <w:t>. However, acidosis resulting from tissue hypoxia and the Warburg effect is a microenvironmental hallmark of aggressive cancers, which can be exploited for active targeting</w:t>
      </w:r>
      <w:r w:rsidRPr="00282F47">
        <w:rPr>
          <w:rFonts w:ascii="Arial" w:hAnsi="Arial" w:cs="Arial"/>
          <w:noProof/>
          <w:sz w:val="24"/>
          <w:szCs w:val="24"/>
          <w:vertAlign w:val="superscript"/>
        </w:rPr>
        <w:t>189,190</w:t>
      </w:r>
      <w:r w:rsidRPr="00282F47">
        <w:rPr>
          <w:rFonts w:ascii="Arial" w:hAnsi="Arial" w:cs="Arial"/>
          <w:sz w:val="24"/>
          <w:szCs w:val="24"/>
        </w:rPr>
        <w:t>. Utilization of the pH-low insertion peptide</w:t>
      </w:r>
      <w:r w:rsidR="00817D01">
        <w:rPr>
          <w:rFonts w:ascii="Arial" w:hAnsi="Arial" w:cs="Arial"/>
          <w:sz w:val="24"/>
          <w:szCs w:val="24"/>
        </w:rPr>
        <w:t xml:space="preserve"> </w:t>
      </w:r>
      <w:r w:rsidRPr="00282F47">
        <w:rPr>
          <w:rFonts w:ascii="Arial" w:hAnsi="Arial" w:cs="Arial"/>
          <w:sz w:val="24"/>
          <w:szCs w:val="24"/>
        </w:rPr>
        <w:t>V7 through a sulfhydryl reaction to a succinimidyl 4-(N-maleimidomethyl) cyclohexane-1-carboxylate (SMCC) linker (</w:t>
      </w:r>
      <w:r w:rsidRPr="00282F47">
        <w:rPr>
          <w:rFonts w:ascii="Arial" w:hAnsi="Arial" w:cs="Arial"/>
          <w:b/>
          <w:bCs/>
          <w:sz w:val="24"/>
          <w:szCs w:val="24"/>
        </w:rPr>
        <w:t>Figure 5.1B</w:t>
      </w:r>
      <w:r w:rsidRPr="00282F47">
        <w:rPr>
          <w:rFonts w:ascii="Arial" w:hAnsi="Arial" w:cs="Arial"/>
          <w:sz w:val="24"/>
          <w:szCs w:val="24"/>
        </w:rPr>
        <w:t xml:space="preserve">) allows for tumor cell-specific targeting in acidic </w:t>
      </w:r>
      <w:r w:rsidRPr="00282F47">
        <w:rPr>
          <w:rFonts w:ascii="Arial" w:hAnsi="Arial" w:cs="Arial"/>
          <w:sz w:val="24"/>
          <w:szCs w:val="24"/>
        </w:rPr>
        <w:lastRenderedPageBreak/>
        <w:t>pH (6.8−6.6)</w:t>
      </w:r>
      <w:r w:rsidRPr="00282F47">
        <w:rPr>
          <w:rFonts w:ascii="Arial" w:hAnsi="Arial" w:cs="Arial"/>
          <w:noProof/>
          <w:sz w:val="24"/>
          <w:szCs w:val="24"/>
          <w:vertAlign w:val="superscript"/>
        </w:rPr>
        <w:t>189,191,192</w:t>
      </w:r>
      <w:r w:rsidRPr="00282F47">
        <w:rPr>
          <w:rFonts w:ascii="Arial" w:hAnsi="Arial" w:cs="Arial"/>
          <w:sz w:val="24"/>
          <w:szCs w:val="24"/>
        </w:rPr>
        <w:t>. 3D modeling of V7 using AMBER software has revealed an approximate length of 2.6 nm (</w:t>
      </w:r>
      <w:r w:rsidRPr="00282F47">
        <w:rPr>
          <w:rFonts w:ascii="Arial" w:hAnsi="Arial" w:cs="Arial"/>
          <w:b/>
          <w:bCs/>
          <w:sz w:val="24"/>
          <w:szCs w:val="24"/>
        </w:rPr>
        <w:t>Supporting Figure S5.1</w:t>
      </w:r>
      <w:r w:rsidRPr="00282F47">
        <w:rPr>
          <w:rFonts w:ascii="Arial" w:hAnsi="Arial" w:cs="Arial"/>
          <w:sz w:val="24"/>
          <w:szCs w:val="24"/>
        </w:rPr>
        <w:t>). The amino acid sequence and physical properties of V7 cause the peptide to undergo a conformational change into an active alpha helix state under acidic conditions, i.e., pH 6.8−6.6, potentiating its insertion into the target cell membrane</w:t>
      </w:r>
      <w:r w:rsidRPr="00282F47">
        <w:rPr>
          <w:rFonts w:ascii="Arial" w:hAnsi="Arial" w:cs="Arial"/>
          <w:noProof/>
          <w:sz w:val="24"/>
          <w:szCs w:val="24"/>
          <w:vertAlign w:val="superscript"/>
        </w:rPr>
        <w:t>191</w:t>
      </w:r>
      <w:r w:rsidRPr="00282F47">
        <w:rPr>
          <w:rFonts w:ascii="Arial" w:hAnsi="Arial" w:cs="Arial"/>
          <w:sz w:val="24"/>
          <w:szCs w:val="24"/>
        </w:rPr>
        <w:t xml:space="preserve"> (</w:t>
      </w:r>
      <w:r w:rsidRPr="00282F47">
        <w:rPr>
          <w:rFonts w:ascii="Arial" w:hAnsi="Arial" w:cs="Arial"/>
          <w:b/>
          <w:bCs/>
          <w:sz w:val="24"/>
          <w:szCs w:val="24"/>
        </w:rPr>
        <w:t>Figure 5.1C</w:t>
      </w:r>
      <w:r w:rsidRPr="00282F47">
        <w:rPr>
          <w:rFonts w:ascii="Arial" w:hAnsi="Arial" w:cs="Arial"/>
          <w:sz w:val="24"/>
          <w:szCs w:val="24"/>
        </w:rPr>
        <w:t>). With an approximate pKa of 6.0, V7 exhibits a dynamic shifting range, in which more acidic environments promote a higher percentage of active state V7 peptides</w:t>
      </w:r>
      <w:r w:rsidRPr="00282F47">
        <w:rPr>
          <w:rFonts w:ascii="Arial" w:hAnsi="Arial" w:cs="Arial"/>
          <w:noProof/>
          <w:sz w:val="24"/>
          <w:szCs w:val="24"/>
          <w:vertAlign w:val="superscript"/>
        </w:rPr>
        <w:t>193,194</w:t>
      </w:r>
      <w:r w:rsidRPr="00282F47">
        <w:rPr>
          <w:rFonts w:ascii="Arial" w:hAnsi="Arial" w:cs="Arial"/>
          <w:sz w:val="24"/>
          <w:szCs w:val="24"/>
        </w:rPr>
        <w:t>. Specifically, V7 responsiveness to the transformation and internalization is facilitated directly by acidity in the pancreatic cancer microenvironment</w:t>
      </w:r>
      <w:r w:rsidRPr="00282F47">
        <w:rPr>
          <w:rFonts w:ascii="Arial" w:hAnsi="Arial" w:cs="Arial"/>
          <w:noProof/>
          <w:sz w:val="24"/>
          <w:szCs w:val="24"/>
          <w:vertAlign w:val="superscript"/>
        </w:rPr>
        <w:t>189,194</w:t>
      </w:r>
      <w:r w:rsidRPr="00282F47">
        <w:rPr>
          <w:rFonts w:ascii="Arial" w:hAnsi="Arial" w:cs="Arial"/>
          <w:sz w:val="24"/>
          <w:szCs w:val="24"/>
        </w:rPr>
        <w:t>. In addition to the ability of V7 to actively target the acidic microenvironment of pancreatic cancer, the extended chain conformation and high density of V7 reduce protein corona formation</w:t>
      </w:r>
      <w:r w:rsidRPr="00282F47">
        <w:rPr>
          <w:rFonts w:ascii="Arial" w:hAnsi="Arial" w:cs="Arial"/>
          <w:noProof/>
          <w:sz w:val="24"/>
          <w:szCs w:val="24"/>
          <w:vertAlign w:val="superscript"/>
        </w:rPr>
        <w:t>195,196</w:t>
      </w:r>
      <w:r w:rsidRPr="00282F47">
        <w:rPr>
          <w:rFonts w:ascii="Arial" w:hAnsi="Arial" w:cs="Arial"/>
          <w:sz w:val="24"/>
          <w:szCs w:val="24"/>
        </w:rPr>
        <w:t>, similarly to</w:t>
      </w:r>
      <w:r w:rsidR="00817D01">
        <w:rPr>
          <w:rFonts w:ascii="Arial" w:hAnsi="Arial" w:cs="Arial"/>
          <w:sz w:val="24"/>
          <w:szCs w:val="24"/>
        </w:rPr>
        <w:t xml:space="preserve"> poly (ethylene glycol) (</w:t>
      </w:r>
      <w:r w:rsidRPr="00282F47">
        <w:rPr>
          <w:rFonts w:ascii="Arial" w:hAnsi="Arial" w:cs="Arial"/>
          <w:sz w:val="24"/>
          <w:szCs w:val="24"/>
        </w:rPr>
        <w:t>PEG</w:t>
      </w:r>
      <w:r w:rsidR="00817D01">
        <w:rPr>
          <w:rFonts w:ascii="Arial" w:hAnsi="Arial" w:cs="Arial"/>
          <w:sz w:val="24"/>
          <w:szCs w:val="24"/>
        </w:rPr>
        <w:t>)</w:t>
      </w:r>
      <w:r w:rsidRPr="00282F47">
        <w:rPr>
          <w:rFonts w:ascii="Arial" w:hAnsi="Arial" w:cs="Arial"/>
          <w:sz w:val="24"/>
          <w:szCs w:val="24"/>
        </w:rPr>
        <w:t xml:space="preserve"> but without the deleterious PEG-associated toxicity concerns</w:t>
      </w:r>
      <w:r w:rsidRPr="00282F47">
        <w:rPr>
          <w:rFonts w:ascii="Arial" w:hAnsi="Arial" w:cs="Arial"/>
          <w:noProof/>
          <w:sz w:val="24"/>
          <w:szCs w:val="24"/>
          <w:vertAlign w:val="superscript"/>
        </w:rPr>
        <w:t>197</w:t>
      </w:r>
      <w:r w:rsidRPr="00282F47">
        <w:rPr>
          <w:rFonts w:ascii="Arial" w:hAnsi="Arial" w:cs="Arial"/>
          <w:sz w:val="24"/>
          <w:szCs w:val="24"/>
        </w:rPr>
        <w:t>. Limiting protein corona formation is beneficial since the protein corona is associated with reduced tumor specificity and accumulation</w:t>
      </w:r>
      <w:r w:rsidRPr="00282F47">
        <w:rPr>
          <w:rFonts w:ascii="Arial" w:hAnsi="Arial" w:cs="Arial"/>
          <w:noProof/>
          <w:sz w:val="24"/>
          <w:szCs w:val="24"/>
          <w:vertAlign w:val="superscript"/>
        </w:rPr>
        <w:t>195-197</w:t>
      </w:r>
      <w:r w:rsidRPr="00282F47">
        <w:rPr>
          <w:rFonts w:ascii="Arial" w:hAnsi="Arial" w:cs="Arial"/>
          <w:sz w:val="24"/>
          <w:szCs w:val="24"/>
        </w:rPr>
        <w:t>.</w:t>
      </w:r>
    </w:p>
    <w:p w14:paraId="54EE1797"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Core nanovehicle size is an additional critically important feature of nanoparticles for tumor uptake. Previous </w:t>
      </w:r>
      <w:r w:rsidRPr="00282F47">
        <w:rPr>
          <w:rFonts w:ascii="Arial" w:hAnsi="Arial" w:cs="Arial"/>
          <w:i/>
          <w:iCs/>
          <w:sz w:val="24"/>
          <w:szCs w:val="24"/>
        </w:rPr>
        <w:t>in vitro</w:t>
      </w:r>
      <w:r w:rsidRPr="00282F47">
        <w:rPr>
          <w:rFonts w:ascii="Arial" w:hAnsi="Arial" w:cs="Arial"/>
          <w:sz w:val="24"/>
          <w:szCs w:val="24"/>
        </w:rPr>
        <w:t xml:space="preserve"> and computational modeling studies suggest that a nanovehicle size range centered on 50 nm is optimal for enhanced drug delivery and tumor specificity</w:t>
      </w:r>
      <w:r w:rsidRPr="00282F47">
        <w:rPr>
          <w:rFonts w:ascii="Arial" w:hAnsi="Arial" w:cs="Arial"/>
          <w:noProof/>
          <w:sz w:val="24"/>
          <w:szCs w:val="24"/>
          <w:vertAlign w:val="superscript"/>
        </w:rPr>
        <w:t>181,198,199</w:t>
      </w:r>
      <w:r w:rsidRPr="00282F47">
        <w:rPr>
          <w:rFonts w:ascii="Arial" w:hAnsi="Arial" w:cs="Arial"/>
          <w:sz w:val="24"/>
          <w:szCs w:val="24"/>
        </w:rPr>
        <w:t xml:space="preserve">. However, these studies failed to incorporate either active targeting or appropriate </w:t>
      </w:r>
      <w:r w:rsidRPr="00282F47">
        <w:rPr>
          <w:rFonts w:ascii="Arial" w:hAnsi="Arial" w:cs="Arial"/>
          <w:i/>
          <w:iCs/>
          <w:sz w:val="24"/>
          <w:szCs w:val="24"/>
        </w:rPr>
        <w:t>in vivo</w:t>
      </w:r>
      <w:r w:rsidRPr="00282F47">
        <w:rPr>
          <w:rFonts w:ascii="Arial" w:hAnsi="Arial" w:cs="Arial"/>
          <w:sz w:val="24"/>
          <w:szCs w:val="24"/>
        </w:rPr>
        <w:t xml:space="preserve"> models. For pancreatic cancer specifically, a nanoparticle size range centered on 30 nm has been suggested, based on the vasculature collapse that in turn reduces the importance of the enhanced permeability and retention (EPR) effect</w:t>
      </w:r>
      <w:r w:rsidRPr="00282F47">
        <w:rPr>
          <w:rFonts w:ascii="Arial" w:hAnsi="Arial" w:cs="Arial"/>
          <w:noProof/>
          <w:sz w:val="24"/>
          <w:szCs w:val="24"/>
          <w:vertAlign w:val="superscript"/>
        </w:rPr>
        <w:t>200</w:t>
      </w:r>
      <w:r w:rsidRPr="00282F47">
        <w:rPr>
          <w:rFonts w:ascii="Arial" w:hAnsi="Arial" w:cs="Arial"/>
          <w:sz w:val="24"/>
          <w:szCs w:val="24"/>
        </w:rPr>
        <w:t xml:space="preserve">. These studies suggest that nanoparticle uptake would be optimal with nanovehicles in a size range centered near 30−50 nm. However, there are currently too </w:t>
      </w:r>
      <w:r w:rsidRPr="00282F47">
        <w:rPr>
          <w:rFonts w:ascii="Arial" w:hAnsi="Arial" w:cs="Arial"/>
          <w:sz w:val="24"/>
          <w:szCs w:val="24"/>
        </w:rPr>
        <w:lastRenderedPageBreak/>
        <w:t>few studies evaluating this idea using viable translational nanoparticles in a clinically relevant model, especially when evaluated in combination with active targeting, a necessity for maximum delivery efficacy</w:t>
      </w:r>
      <w:r w:rsidRPr="00282F47">
        <w:rPr>
          <w:rFonts w:ascii="Arial" w:hAnsi="Arial" w:cs="Arial"/>
          <w:noProof/>
          <w:sz w:val="24"/>
          <w:szCs w:val="24"/>
          <w:vertAlign w:val="superscript"/>
        </w:rPr>
        <w:t>182</w:t>
      </w:r>
      <w:r w:rsidRPr="00282F47">
        <w:rPr>
          <w:rFonts w:ascii="Arial" w:hAnsi="Arial" w:cs="Arial"/>
          <w:sz w:val="24"/>
          <w:szCs w:val="24"/>
        </w:rPr>
        <w:t>. A rigorous examination of the relative influences of active targeting vs passive targeting and nanoparticle size on tumor uptake in a clinically relevant pancreatic cancer model is critically needed.</w:t>
      </w:r>
    </w:p>
    <w:p w14:paraId="4D0BD23F"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Mesoporous silica nanoparticles (MSNs) are tailorable nanoparticles that can enhance delivery of therapeutic drugs or diagnostic contrast agents and have been used with preclinical and clinical imaging platforms</w:t>
      </w:r>
      <w:r w:rsidRPr="00282F47">
        <w:rPr>
          <w:rFonts w:ascii="Arial" w:hAnsi="Arial" w:cs="Arial"/>
          <w:noProof/>
          <w:sz w:val="24"/>
          <w:szCs w:val="24"/>
          <w:vertAlign w:val="superscript"/>
        </w:rPr>
        <w:t>201,202</w:t>
      </w:r>
      <w:r w:rsidRPr="00282F47">
        <w:rPr>
          <w:rFonts w:ascii="Arial" w:hAnsi="Arial" w:cs="Arial"/>
          <w:sz w:val="24"/>
          <w:szCs w:val="24"/>
        </w:rPr>
        <w:t>. Applications include anticancer therapies</w:t>
      </w:r>
      <w:r w:rsidRPr="00282F47">
        <w:rPr>
          <w:rFonts w:ascii="Arial" w:hAnsi="Arial" w:cs="Arial"/>
          <w:noProof/>
          <w:sz w:val="24"/>
          <w:szCs w:val="24"/>
          <w:vertAlign w:val="superscript"/>
        </w:rPr>
        <w:t>203-205</w:t>
      </w:r>
      <w:r w:rsidRPr="00282F47">
        <w:rPr>
          <w:rFonts w:ascii="Arial" w:hAnsi="Arial" w:cs="Arial"/>
          <w:sz w:val="24"/>
          <w:szCs w:val="24"/>
        </w:rPr>
        <w:t xml:space="preserve"> as well as noncancer treatments such as antibiotic delivery</w:t>
      </w:r>
      <w:r w:rsidRPr="00282F47">
        <w:rPr>
          <w:rFonts w:ascii="Arial" w:hAnsi="Arial" w:cs="Arial"/>
          <w:noProof/>
          <w:sz w:val="24"/>
          <w:szCs w:val="24"/>
          <w:vertAlign w:val="superscript"/>
        </w:rPr>
        <w:t>206</w:t>
      </w:r>
      <w:r w:rsidRPr="00282F47">
        <w:rPr>
          <w:rFonts w:ascii="Arial" w:hAnsi="Arial" w:cs="Arial"/>
          <w:sz w:val="24"/>
          <w:szCs w:val="24"/>
        </w:rPr>
        <w:t>, where each application exploits the enhanced delivery capabilities of MSNs. Changes in the core physical parameters of MSNs such as size</w:t>
      </w:r>
      <w:r w:rsidRPr="00282F47">
        <w:rPr>
          <w:rFonts w:ascii="Arial" w:hAnsi="Arial" w:cs="Arial"/>
          <w:noProof/>
          <w:sz w:val="24"/>
          <w:szCs w:val="24"/>
          <w:vertAlign w:val="superscript"/>
        </w:rPr>
        <w:t>207</w:t>
      </w:r>
      <w:r w:rsidRPr="00282F47">
        <w:rPr>
          <w:rFonts w:ascii="Arial" w:hAnsi="Arial" w:cs="Arial"/>
          <w:sz w:val="24"/>
          <w:szCs w:val="24"/>
        </w:rPr>
        <w:t>, shape</w:t>
      </w:r>
      <w:r w:rsidRPr="00282F47">
        <w:rPr>
          <w:rFonts w:ascii="Arial" w:hAnsi="Arial" w:cs="Arial"/>
          <w:noProof/>
          <w:sz w:val="24"/>
          <w:szCs w:val="24"/>
          <w:vertAlign w:val="superscript"/>
        </w:rPr>
        <w:t>208</w:t>
      </w:r>
      <w:r w:rsidRPr="00282F47">
        <w:rPr>
          <w:rFonts w:ascii="Arial" w:hAnsi="Arial" w:cs="Arial"/>
          <w:sz w:val="24"/>
          <w:szCs w:val="24"/>
        </w:rPr>
        <w:t>, pore topology</w:t>
      </w:r>
      <w:r w:rsidRPr="00282F47">
        <w:rPr>
          <w:rFonts w:ascii="Arial" w:hAnsi="Arial" w:cs="Arial"/>
          <w:noProof/>
          <w:sz w:val="24"/>
          <w:szCs w:val="24"/>
          <w:vertAlign w:val="superscript"/>
        </w:rPr>
        <w:t>209</w:t>
      </w:r>
      <w:r w:rsidRPr="00282F47">
        <w:rPr>
          <w:rFonts w:ascii="Arial" w:hAnsi="Arial" w:cs="Arial"/>
          <w:sz w:val="24"/>
          <w:szCs w:val="24"/>
        </w:rPr>
        <w:t>, and surface chemistry</w:t>
      </w:r>
      <w:r w:rsidRPr="00282F47">
        <w:rPr>
          <w:rFonts w:ascii="Arial" w:hAnsi="Arial" w:cs="Arial"/>
          <w:noProof/>
          <w:sz w:val="24"/>
          <w:szCs w:val="24"/>
          <w:vertAlign w:val="superscript"/>
        </w:rPr>
        <w:t>210</w:t>
      </w:r>
      <w:r w:rsidRPr="00282F47">
        <w:rPr>
          <w:rFonts w:ascii="Arial" w:hAnsi="Arial" w:cs="Arial"/>
          <w:sz w:val="24"/>
          <w:szCs w:val="24"/>
        </w:rPr>
        <w:t xml:space="preserve"> affect the properties of the MSNs, including payload retention, targeted delivery, off-target delivery, and toxicity</w:t>
      </w:r>
      <w:r w:rsidRPr="00282F47">
        <w:rPr>
          <w:rFonts w:ascii="Arial" w:hAnsi="Arial" w:cs="Arial"/>
          <w:noProof/>
          <w:sz w:val="24"/>
          <w:szCs w:val="24"/>
          <w:vertAlign w:val="superscript"/>
        </w:rPr>
        <w:t>125,211-213</w:t>
      </w:r>
      <w:r w:rsidRPr="00282F47">
        <w:rPr>
          <w:rFonts w:ascii="Arial" w:hAnsi="Arial" w:cs="Arial"/>
          <w:sz w:val="24"/>
          <w:szCs w:val="24"/>
        </w:rPr>
        <w:t>. Facile alterations in MSN synthesis allow for fine-tuning of physical properties, which determine clinical potential (</w:t>
      </w:r>
      <w:r w:rsidRPr="00282F47">
        <w:rPr>
          <w:rFonts w:ascii="Arial" w:hAnsi="Arial" w:cs="Arial"/>
          <w:b/>
          <w:bCs/>
          <w:sz w:val="24"/>
          <w:szCs w:val="24"/>
        </w:rPr>
        <w:t>Figure 5.1A</w:t>
      </w:r>
      <w:r w:rsidRPr="00282F47">
        <w:rPr>
          <w:rFonts w:ascii="Arial" w:hAnsi="Arial" w:cs="Arial"/>
          <w:sz w:val="24"/>
          <w:szCs w:val="24"/>
        </w:rPr>
        <w:t>). MSNs generally have a longer circulation time in blood, have a higher capacity of cargo per unit volume, and have more favorable cargo release kinetics than other types of nanoparticles such as metal nanoparticles</w:t>
      </w:r>
      <w:r w:rsidRPr="00282F47">
        <w:rPr>
          <w:rFonts w:ascii="Arial" w:hAnsi="Arial" w:cs="Arial"/>
          <w:noProof/>
          <w:sz w:val="24"/>
          <w:szCs w:val="24"/>
          <w:vertAlign w:val="superscript"/>
        </w:rPr>
        <w:t>214</w:t>
      </w:r>
      <w:r w:rsidRPr="00282F47">
        <w:rPr>
          <w:rFonts w:ascii="Arial" w:hAnsi="Arial" w:cs="Arial"/>
          <w:sz w:val="24"/>
          <w:szCs w:val="24"/>
        </w:rPr>
        <w:t>. The tunability of MSNs makes agent encapsulation, retention, and release highly controllable, resulting in suitable theranostic tools for cancer.</w:t>
      </w:r>
    </w:p>
    <w:p w14:paraId="598DA549"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Nanoparticle translation is often hindered by an inability to accurately track</w:t>
      </w:r>
      <w:r w:rsidRPr="00282F47">
        <w:rPr>
          <w:rFonts w:ascii="Arial" w:hAnsi="Arial" w:cs="Arial"/>
          <w:i/>
          <w:iCs/>
          <w:sz w:val="24"/>
          <w:szCs w:val="24"/>
        </w:rPr>
        <w:t xml:space="preserve"> in vivo</w:t>
      </w:r>
      <w:r w:rsidRPr="00282F47">
        <w:rPr>
          <w:rFonts w:ascii="Arial" w:hAnsi="Arial" w:cs="Arial"/>
          <w:sz w:val="24"/>
          <w:szCs w:val="24"/>
        </w:rPr>
        <w:t xml:space="preserve"> biodistribution. A newly emerging imaging modality, multispectral optoacoustic tomography (MSOT), has demonstrated potential to track nanoparticle tumor specificity and uptake </w:t>
      </w:r>
      <w:r w:rsidRPr="00282F47">
        <w:rPr>
          <w:rFonts w:ascii="Arial" w:hAnsi="Arial" w:cs="Arial"/>
          <w:i/>
          <w:iCs/>
          <w:sz w:val="24"/>
          <w:szCs w:val="24"/>
        </w:rPr>
        <w:t>in vivo</w:t>
      </w:r>
      <w:r w:rsidRPr="00282F47">
        <w:rPr>
          <w:rFonts w:ascii="Arial" w:hAnsi="Arial" w:cs="Arial"/>
          <w:sz w:val="24"/>
          <w:szCs w:val="24"/>
        </w:rPr>
        <w:t xml:space="preserve"> and in real time</w:t>
      </w:r>
      <w:r w:rsidRPr="00282F47">
        <w:rPr>
          <w:rFonts w:ascii="Arial" w:hAnsi="Arial" w:cs="Arial"/>
          <w:noProof/>
          <w:sz w:val="24"/>
          <w:szCs w:val="24"/>
          <w:vertAlign w:val="superscript"/>
        </w:rPr>
        <w:t>1,3,6,65</w:t>
      </w:r>
      <w:r w:rsidRPr="00282F47">
        <w:rPr>
          <w:rFonts w:ascii="Arial" w:hAnsi="Arial" w:cs="Arial"/>
          <w:sz w:val="24"/>
          <w:szCs w:val="24"/>
        </w:rPr>
        <w:t>. MSOT uses multi wavelengths of pulsed near-</w:t>
      </w:r>
      <w:r w:rsidRPr="00282F47">
        <w:rPr>
          <w:rFonts w:ascii="Arial" w:hAnsi="Arial" w:cs="Arial"/>
          <w:sz w:val="24"/>
          <w:szCs w:val="24"/>
        </w:rPr>
        <w:lastRenderedPageBreak/>
        <w:t>infrared (NIR) laser light to excite thermoelastic expansion of specific chromophores. Synchronized high-energy lasers allow for resolving power on the order of less than 10 cells for detection of small tumor masses, exceeding current resolution limits of 0.1−1 mm with conventional modalities such as positron emission tomography (PET) and magnetic resonance imaging (MRI)</w:t>
      </w:r>
      <w:r w:rsidRPr="00282F47">
        <w:rPr>
          <w:rFonts w:ascii="Arial" w:hAnsi="Arial" w:cs="Arial"/>
          <w:noProof/>
          <w:sz w:val="24"/>
          <w:szCs w:val="24"/>
          <w:vertAlign w:val="superscript"/>
        </w:rPr>
        <w:t>215,216</w:t>
      </w:r>
      <w:r w:rsidRPr="00282F47">
        <w:rPr>
          <w:rFonts w:ascii="Arial" w:hAnsi="Arial" w:cs="Arial"/>
          <w:sz w:val="24"/>
          <w:szCs w:val="24"/>
        </w:rPr>
        <w:t>. Select chromophores can be endogenous (e.g., deoxy- or oxy-hemoglobin) or exogenous contrast agents (e.g., indocyanine green (ICG)) and can be imaged simultaneously for multi-variable biodistribution analysis</w:t>
      </w:r>
      <w:r w:rsidRPr="00282F47">
        <w:rPr>
          <w:rFonts w:ascii="Arial" w:hAnsi="Arial" w:cs="Arial"/>
          <w:noProof/>
          <w:sz w:val="24"/>
          <w:szCs w:val="24"/>
          <w:vertAlign w:val="superscript"/>
        </w:rPr>
        <w:t>22,189,217</w:t>
      </w:r>
      <w:r w:rsidRPr="00282F47">
        <w:rPr>
          <w:rFonts w:ascii="Arial" w:hAnsi="Arial" w:cs="Arial"/>
          <w:sz w:val="24"/>
          <w:szCs w:val="24"/>
        </w:rPr>
        <w:t>. This allows for high- resolution and high-sensitivity detection of cancer with contrast levels unachieved with ultrasound or computed tomography</w:t>
      </w:r>
      <w:r w:rsidRPr="00282F47">
        <w:rPr>
          <w:rFonts w:ascii="Arial" w:hAnsi="Arial" w:cs="Arial"/>
          <w:noProof/>
          <w:sz w:val="24"/>
          <w:szCs w:val="24"/>
          <w:vertAlign w:val="superscript"/>
        </w:rPr>
        <w:t>65</w:t>
      </w:r>
      <w:r w:rsidRPr="00282F47">
        <w:rPr>
          <w:rFonts w:ascii="Arial" w:hAnsi="Arial" w:cs="Arial"/>
          <w:sz w:val="24"/>
          <w:szCs w:val="24"/>
        </w:rPr>
        <w:t>. The multimodal NIR and optoacoustic approach allows for imaging depths of up to 5 cm</w:t>
      </w:r>
      <w:r w:rsidRPr="00282F47">
        <w:rPr>
          <w:rFonts w:ascii="Arial" w:hAnsi="Arial" w:cs="Arial"/>
          <w:noProof/>
          <w:sz w:val="24"/>
          <w:szCs w:val="24"/>
          <w:vertAlign w:val="superscript"/>
        </w:rPr>
        <w:t>1</w:t>
      </w:r>
      <w:r w:rsidRPr="00282F47">
        <w:rPr>
          <w:rFonts w:ascii="Arial" w:hAnsi="Arial" w:cs="Arial"/>
          <w:sz w:val="24"/>
          <w:szCs w:val="24"/>
        </w:rPr>
        <w:t xml:space="preserve"> for examination of tumors positioned orthotopically, such as pancreatic tumors within mice, which far bypasses the penetration limit of optical imaging methods</w:t>
      </w:r>
      <w:r w:rsidRPr="00282F47">
        <w:rPr>
          <w:rFonts w:ascii="Arial" w:hAnsi="Arial" w:cs="Arial"/>
          <w:noProof/>
          <w:sz w:val="24"/>
          <w:szCs w:val="24"/>
          <w:vertAlign w:val="superscript"/>
        </w:rPr>
        <w:t>218</w:t>
      </w:r>
      <w:r w:rsidRPr="00282F47">
        <w:rPr>
          <w:rFonts w:ascii="Arial" w:hAnsi="Arial" w:cs="Arial"/>
          <w:sz w:val="24"/>
          <w:szCs w:val="24"/>
        </w:rPr>
        <w:t>. The high concordance of MSOT with existing gold-standard imaging (such as radiography), the rapid speed and efficiency of MSOT, and increasing usage all suggest that MSOT is a reliable and clinically relevant metric of biodistribution</w:t>
      </w:r>
      <w:r w:rsidRPr="00282F47">
        <w:rPr>
          <w:rFonts w:ascii="Arial" w:hAnsi="Arial" w:cs="Arial"/>
          <w:noProof/>
          <w:sz w:val="24"/>
          <w:szCs w:val="24"/>
          <w:vertAlign w:val="superscript"/>
        </w:rPr>
        <w:t>219</w:t>
      </w:r>
      <w:r w:rsidRPr="00282F47">
        <w:rPr>
          <w:rFonts w:ascii="Arial" w:hAnsi="Arial" w:cs="Arial"/>
          <w:sz w:val="24"/>
          <w:szCs w:val="24"/>
        </w:rPr>
        <w:t>. MSOT has the potential to synergize well with nanoparticles equipped with high contrast per particle</w:t>
      </w:r>
      <w:r w:rsidRPr="00282F47">
        <w:rPr>
          <w:rFonts w:ascii="Arial" w:hAnsi="Arial" w:cs="Arial"/>
          <w:noProof/>
          <w:sz w:val="24"/>
          <w:szCs w:val="24"/>
          <w:vertAlign w:val="superscript"/>
        </w:rPr>
        <w:t>6</w:t>
      </w:r>
      <w:r w:rsidRPr="00282F47">
        <w:rPr>
          <w:rFonts w:ascii="Arial" w:hAnsi="Arial" w:cs="Arial"/>
          <w:sz w:val="24"/>
          <w:szCs w:val="24"/>
        </w:rPr>
        <w:t>. MSOT has shown capabilities for submillimeter detection of contrast agents previously</w:t>
      </w:r>
      <w:r w:rsidRPr="00282F47">
        <w:rPr>
          <w:rFonts w:ascii="Arial" w:hAnsi="Arial" w:cs="Arial"/>
          <w:noProof/>
          <w:sz w:val="24"/>
          <w:szCs w:val="24"/>
          <w:vertAlign w:val="superscript"/>
        </w:rPr>
        <w:t>2</w:t>
      </w:r>
      <w:r w:rsidRPr="00282F47">
        <w:rPr>
          <w:rFonts w:ascii="Arial" w:hAnsi="Arial" w:cs="Arial"/>
          <w:sz w:val="24"/>
          <w:szCs w:val="24"/>
        </w:rPr>
        <w:t>, far more sensitive than current gold-standard imaging modalities, which are largely limited to a minimum of 1 cm detection.</w:t>
      </w:r>
    </w:p>
    <w:p w14:paraId="2A0AB8AA"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Inspired by previous research on the critical individual effects of nanoparticle size and targeting using </w:t>
      </w:r>
      <w:r w:rsidRPr="00282F47">
        <w:rPr>
          <w:rFonts w:ascii="Arial" w:hAnsi="Arial" w:cs="Arial"/>
          <w:i/>
          <w:iCs/>
          <w:sz w:val="24"/>
          <w:szCs w:val="24"/>
        </w:rPr>
        <w:t>in vitro</w:t>
      </w:r>
      <w:r w:rsidRPr="00282F47">
        <w:rPr>
          <w:rFonts w:ascii="Arial" w:hAnsi="Arial" w:cs="Arial"/>
          <w:sz w:val="24"/>
          <w:szCs w:val="24"/>
        </w:rPr>
        <w:t xml:space="preserve"> and computational models</w:t>
      </w:r>
      <w:r w:rsidRPr="00282F47">
        <w:rPr>
          <w:rFonts w:ascii="Arial" w:hAnsi="Arial" w:cs="Arial"/>
          <w:noProof/>
          <w:sz w:val="24"/>
          <w:szCs w:val="24"/>
          <w:vertAlign w:val="superscript"/>
        </w:rPr>
        <w:t>220,221</w:t>
      </w:r>
      <w:r w:rsidRPr="00282F47">
        <w:rPr>
          <w:rFonts w:ascii="Arial" w:hAnsi="Arial" w:cs="Arial"/>
          <w:sz w:val="24"/>
          <w:szCs w:val="24"/>
        </w:rPr>
        <w:t xml:space="preserve">, our study uses MSOT to investigate active targeting and nanoparticle size to assess optimal characteristics for </w:t>
      </w:r>
      <w:r w:rsidRPr="00282F47">
        <w:rPr>
          <w:rFonts w:ascii="Arial" w:hAnsi="Arial" w:cs="Arial"/>
          <w:i/>
          <w:iCs/>
          <w:sz w:val="24"/>
          <w:szCs w:val="24"/>
        </w:rPr>
        <w:t>in vivo</w:t>
      </w:r>
      <w:r w:rsidRPr="00282F47">
        <w:rPr>
          <w:rFonts w:ascii="Arial" w:hAnsi="Arial" w:cs="Arial"/>
          <w:sz w:val="24"/>
          <w:szCs w:val="24"/>
        </w:rPr>
        <w:t xml:space="preserve"> theranostic applications in a clinically relevant model. While previous studies have investigated nanoparticle size and targeting moieties in the past</w:t>
      </w:r>
      <w:r w:rsidRPr="00282F47">
        <w:rPr>
          <w:rFonts w:ascii="Arial" w:hAnsi="Arial" w:cs="Arial"/>
          <w:noProof/>
          <w:sz w:val="24"/>
          <w:szCs w:val="24"/>
          <w:vertAlign w:val="superscript"/>
        </w:rPr>
        <w:t>181,183,184,198</w:t>
      </w:r>
      <w:r w:rsidRPr="00282F47">
        <w:rPr>
          <w:rFonts w:ascii="Arial" w:hAnsi="Arial" w:cs="Arial"/>
          <w:sz w:val="24"/>
          <w:szCs w:val="24"/>
        </w:rPr>
        <w:t xml:space="preserve">, a systematic </w:t>
      </w:r>
      <w:r w:rsidRPr="00282F47">
        <w:rPr>
          <w:rFonts w:ascii="Arial" w:hAnsi="Arial" w:cs="Arial"/>
          <w:sz w:val="24"/>
          <w:szCs w:val="24"/>
        </w:rPr>
        <w:lastRenderedPageBreak/>
        <w:t>study using analogous nanoparticles for targeting versus size comparisons has not been reported. Active targeting, through V7, was evaluated against passive targeting in three analogously prepared MSNs, varying only in diameter (26, 45, and 73 nm). The range of sizes was chosen in this study to avoid potential glomerular filtration by the kidney but also to test the limits of sequestration by Kupffer cells in the liver</w:t>
      </w:r>
      <w:r w:rsidRPr="00282F47">
        <w:rPr>
          <w:rFonts w:ascii="Arial" w:hAnsi="Arial" w:cs="Arial"/>
          <w:noProof/>
          <w:sz w:val="24"/>
          <w:szCs w:val="24"/>
          <w:vertAlign w:val="superscript"/>
        </w:rPr>
        <w:t>222-224</w:t>
      </w:r>
      <w:r w:rsidRPr="00282F47">
        <w:rPr>
          <w:rFonts w:ascii="Arial" w:hAnsi="Arial" w:cs="Arial"/>
          <w:sz w:val="24"/>
          <w:szCs w:val="24"/>
        </w:rPr>
        <w:t xml:space="preserve"> as well as utilize the effective range of the EPR effect in a poorly vascularized cancer model</w:t>
      </w:r>
      <w:r w:rsidRPr="00282F47">
        <w:rPr>
          <w:rFonts w:ascii="Arial" w:hAnsi="Arial" w:cs="Arial"/>
          <w:noProof/>
          <w:sz w:val="24"/>
          <w:szCs w:val="24"/>
          <w:vertAlign w:val="superscript"/>
        </w:rPr>
        <w:t>200,225</w:t>
      </w:r>
      <w:r w:rsidRPr="00282F47">
        <w:rPr>
          <w:rFonts w:ascii="Arial" w:hAnsi="Arial" w:cs="Arial"/>
          <w:sz w:val="24"/>
          <w:szCs w:val="24"/>
        </w:rPr>
        <w:t xml:space="preserve">. MSNs are specifically referred to by the silica precursor and resulting size as follows: 26 nm, tetramethyl orthosilicate (TMOS); 45 nm, tetraethyl orthosilicate (TEOS); and 73 nm, tetrapropyl orthosilicate (TPOS). Collectively, the MSNs will be referred to as TROS, where “R” corresponds to the length of the four hydrocarbon chains extending from the silicate core. MSNs were loaded with the optoacoustic contrast agent IR780, coated with a pH-sensitive polysaccharide gatekeeper, and actively targeted for the acidity of pancreatic cancer with V7 prior to </w:t>
      </w:r>
      <w:r w:rsidRPr="00282F47">
        <w:rPr>
          <w:rFonts w:ascii="Arial" w:hAnsi="Arial" w:cs="Arial"/>
          <w:i/>
          <w:iCs/>
          <w:sz w:val="24"/>
          <w:szCs w:val="24"/>
        </w:rPr>
        <w:t>in vitro</w:t>
      </w:r>
      <w:r w:rsidRPr="00282F47">
        <w:rPr>
          <w:rFonts w:ascii="Arial" w:hAnsi="Arial" w:cs="Arial"/>
          <w:sz w:val="24"/>
          <w:szCs w:val="24"/>
        </w:rPr>
        <w:t xml:space="preserve"> and </w:t>
      </w:r>
      <w:r w:rsidRPr="00282F47">
        <w:rPr>
          <w:rFonts w:ascii="Arial" w:hAnsi="Arial" w:cs="Arial"/>
          <w:i/>
          <w:iCs/>
          <w:sz w:val="24"/>
          <w:szCs w:val="24"/>
        </w:rPr>
        <w:t>in vivo</w:t>
      </w:r>
      <w:r w:rsidRPr="00282F47">
        <w:rPr>
          <w:rFonts w:ascii="Arial" w:hAnsi="Arial" w:cs="Arial"/>
          <w:sz w:val="24"/>
          <w:szCs w:val="24"/>
        </w:rPr>
        <w:t xml:space="preserve"> detection using fluorescence and MSOT. Specifically, chitosan is responsible for charge-based swelling in acidic environments, allowing release of optoacoustic contrast agents. Further, V7 becomes an active cellular membrane anchoring peptide in acidic environments, facilitating cellular uptake and subsequent optoacoustic agent release via chitosan.</w:t>
      </w:r>
    </w:p>
    <w:p w14:paraId="785B0EBF"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Results show that active targeting is the primary influencer on tumor-specific nanoparticle uptake with size as a secondary factor. The greatest tumor-specific nanoparticle uptake was realized with V7-TMOS. Uniquely, the largest actively targeted particle, V7-TPOS, had greater tumor-specific uptake than the smallest passively targeted particle (TMOS), underlining active targeting via V7 as the predominant determinant of tumor-specific uptake. V7-TROS showed decreasing uptake with increasing particle size, i.e., specificity </w:t>
      </w:r>
      <w:r w:rsidRPr="00282F47">
        <w:rPr>
          <w:rFonts w:ascii="Arial" w:hAnsi="Arial" w:cs="Arial"/>
          <w:sz w:val="24"/>
          <w:szCs w:val="24"/>
        </w:rPr>
        <w:lastRenderedPageBreak/>
        <w:t xml:space="preserve">was the greatest in V7-TMOS and the lowest in V7-TPOS. Passively targeted TROS did not exhibit significant changes in uptake as a result of size. The data clearly supports active targeting over size as the major factor in promoting tumor-specific uptake. In addition, V7-TMOS coupled with MSOT was able to achieve submillimeter detection of the small tumor presence </w:t>
      </w:r>
      <w:r w:rsidRPr="00282F47">
        <w:rPr>
          <w:rFonts w:ascii="Arial" w:hAnsi="Arial" w:cs="Arial"/>
          <w:i/>
          <w:iCs/>
          <w:sz w:val="24"/>
          <w:szCs w:val="24"/>
        </w:rPr>
        <w:t>in vivo</w:t>
      </w:r>
      <w:r w:rsidRPr="00282F47">
        <w:rPr>
          <w:rFonts w:ascii="Arial" w:hAnsi="Arial" w:cs="Arial"/>
          <w:sz w:val="24"/>
          <w:szCs w:val="24"/>
        </w:rPr>
        <w:t xml:space="preserve"> in contrast to NIR fluorescence. In pursuit of nanoparticle translation to the clinic, it is imperative to incorporate active targeting to achieve high-specificity uptake in pancreatic and other recalcitrant cancers. Results are expected to readily translate to similar nonaggregate nanoparticle systems for relevant tumor types. </w:t>
      </w:r>
    </w:p>
    <w:p w14:paraId="5851B00B" w14:textId="77777777" w:rsidR="002027D2" w:rsidRPr="00282F47" w:rsidRDefault="002027D2" w:rsidP="005E3A0C">
      <w:pPr>
        <w:spacing w:line="480" w:lineRule="auto"/>
        <w:jc w:val="center"/>
        <w:rPr>
          <w:rFonts w:ascii="Arial" w:hAnsi="Arial" w:cs="Arial"/>
          <w:sz w:val="24"/>
          <w:szCs w:val="24"/>
        </w:rPr>
      </w:pPr>
      <w:r w:rsidRPr="00282F47">
        <w:rPr>
          <w:rFonts w:ascii="Arial" w:hAnsi="Arial" w:cs="Arial"/>
          <w:noProof/>
          <w:sz w:val="24"/>
          <w:szCs w:val="24"/>
        </w:rPr>
        <w:drawing>
          <wp:inline distT="0" distB="0" distL="0" distR="0" wp14:anchorId="161818F0" wp14:editId="35816C54">
            <wp:extent cx="5829300" cy="3903844"/>
            <wp:effectExtent l="0" t="0" r="0" b="0"/>
            <wp:docPr id="20871855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31536" cy="3905341"/>
                    </a:xfrm>
                    <a:prstGeom prst="rect">
                      <a:avLst/>
                    </a:prstGeom>
                    <a:noFill/>
                  </pic:spPr>
                </pic:pic>
              </a:graphicData>
            </a:graphic>
          </wp:inline>
        </w:drawing>
      </w:r>
    </w:p>
    <w:p w14:paraId="50DB7D2C" w14:textId="78AD907C" w:rsidR="002027D2" w:rsidRPr="00282F47"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5.1:</w:t>
      </w:r>
      <w:r w:rsidRPr="00282F47">
        <w:rPr>
          <w:rFonts w:ascii="Arial" w:hAnsi="Arial" w:cs="Arial"/>
          <w:sz w:val="24"/>
          <w:szCs w:val="24"/>
        </w:rPr>
        <w:t xml:space="preserve"> Schematic illustration of V7-TROS formation. A) Preparation of coating MSNs with pH-sensitive chitosan, encapsulation of optoacoustic cargo in MSNs, and pH low-insertion peptide V7 conjugation to MSNs. B) Conjugation chemistry of SMCC to the cysteine residue on V7 peptide. C) Activation mechanism of V7 peptide in acidic environments.</w:t>
      </w:r>
    </w:p>
    <w:p w14:paraId="0F5DDF66" w14:textId="78AD907C" w:rsidR="002027D2" w:rsidRPr="00282F47" w:rsidRDefault="002027D2" w:rsidP="00F73DFD">
      <w:pPr>
        <w:pStyle w:val="Style4"/>
        <w:spacing w:after="240"/>
        <w:rPr>
          <w:color w:val="auto"/>
        </w:rPr>
      </w:pPr>
      <w:bookmarkStart w:id="53" w:name="_Toc152874283"/>
      <w:r w:rsidRPr="00282F47">
        <w:rPr>
          <w:color w:val="auto"/>
        </w:rPr>
        <w:lastRenderedPageBreak/>
        <w:t>5.3 Materials and Methods:</w:t>
      </w:r>
      <w:bookmarkEnd w:id="53"/>
    </w:p>
    <w:p w14:paraId="1F4FFA70" w14:textId="77777777" w:rsidR="002027D2" w:rsidRPr="00282F47" w:rsidRDefault="002027D2" w:rsidP="00356F32">
      <w:pPr>
        <w:rPr>
          <w:rFonts w:ascii="Arial" w:hAnsi="Arial" w:cs="Arial"/>
          <w:b/>
          <w:bCs/>
          <w:sz w:val="24"/>
          <w:szCs w:val="24"/>
        </w:rPr>
      </w:pPr>
      <w:r w:rsidRPr="00282F47">
        <w:rPr>
          <w:rFonts w:ascii="Arial" w:hAnsi="Arial" w:cs="Arial"/>
          <w:b/>
          <w:bCs/>
          <w:sz w:val="24"/>
          <w:szCs w:val="24"/>
        </w:rPr>
        <w:t>5.3.1 Materials</w:t>
      </w:r>
    </w:p>
    <w:p w14:paraId="5A475EDF" w14:textId="615F1AFC"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Reagents purchased from Sigma Aldrich include: methanol (A</w:t>
      </w:r>
      <w:r w:rsidR="00176621">
        <w:rPr>
          <w:rFonts w:ascii="Arial" w:hAnsi="Arial" w:cs="Arial"/>
          <w:sz w:val="24"/>
          <w:szCs w:val="24"/>
        </w:rPr>
        <w:t>merican Chemical Society</w:t>
      </w:r>
      <w:r w:rsidRPr="00282F47">
        <w:rPr>
          <w:rFonts w:ascii="Arial" w:hAnsi="Arial" w:cs="Arial"/>
          <w:sz w:val="24"/>
          <w:szCs w:val="24"/>
        </w:rPr>
        <w:t xml:space="preserve"> reagent, ≥99.8%, 179337), CTAB hexadecyltrimethylammonium bromide (molecular biology, ≥99%, H6269), ammonium nitrate (≥99.0%, A9642), low molecular weight chitosan (448869), 1-propanol (anhydrous, ≥99.7%, 279544), GPTMS (3-glycidyloxypropyl) trimethoxysilane (≥98%, 440167), TEOS tetraethyl orthosilicate (gas chromatography, ≥99.0%, 86578), TMOS tetramethyl orthosilicate (≥99%, 341436), TPOS tetrapropyl orthosilicate (deposition grade, ≥98%, 679240), benzoylated dialysis tubing (D7884), TEA triethanolamine (gas chromatography, ≥99.0%, 90279), IR780 dye (≥98%, 425311), SMCC (succinimidyl 4-(N-maleimidomethyl)cuclohexane-1-carboxylate) (Powder, ≥98%, M5525), propidium iodide</w:t>
      </w:r>
      <w:r w:rsidR="00176621">
        <w:rPr>
          <w:rFonts w:ascii="Arial" w:hAnsi="Arial" w:cs="Arial"/>
          <w:sz w:val="24"/>
          <w:szCs w:val="24"/>
        </w:rPr>
        <w:t xml:space="preserve"> (PI)</w:t>
      </w:r>
      <w:r w:rsidRPr="00282F47">
        <w:rPr>
          <w:rFonts w:ascii="Arial" w:hAnsi="Arial" w:cs="Arial"/>
          <w:sz w:val="24"/>
          <w:szCs w:val="24"/>
        </w:rPr>
        <w:t xml:space="preserve"> solution (1mg/mL, P4864). M</w:t>
      </w:r>
      <w:r w:rsidR="00176621">
        <w:rPr>
          <w:rFonts w:ascii="Arial" w:hAnsi="Arial" w:cs="Arial"/>
          <w:sz w:val="24"/>
          <w:szCs w:val="24"/>
        </w:rPr>
        <w:t>illi-Q ultrapure</w:t>
      </w:r>
      <w:r w:rsidRPr="00282F47">
        <w:rPr>
          <w:rFonts w:ascii="Arial" w:hAnsi="Arial" w:cs="Arial"/>
          <w:sz w:val="24"/>
          <w:szCs w:val="24"/>
        </w:rPr>
        <w:t xml:space="preserve"> water dispensed through MilliPore, Sigma. Glacial Acetic Acid (certified </w:t>
      </w:r>
      <w:r w:rsidR="00176621" w:rsidRPr="00282F47">
        <w:rPr>
          <w:rFonts w:ascii="Arial" w:hAnsi="Arial" w:cs="Arial"/>
          <w:sz w:val="24"/>
          <w:szCs w:val="24"/>
        </w:rPr>
        <w:t>A</w:t>
      </w:r>
      <w:r w:rsidR="00176621">
        <w:rPr>
          <w:rFonts w:ascii="Arial" w:hAnsi="Arial" w:cs="Arial"/>
          <w:sz w:val="24"/>
          <w:szCs w:val="24"/>
        </w:rPr>
        <w:t>merican Chemical Society</w:t>
      </w:r>
      <w:r w:rsidRPr="00282F47">
        <w:rPr>
          <w:rFonts w:ascii="Arial" w:hAnsi="Arial" w:cs="Arial"/>
          <w:sz w:val="24"/>
          <w:szCs w:val="24"/>
        </w:rPr>
        <w:t>, ≥99.7%, A38C-212) obtained through Fisher. Ethyl alcohol (anhydrous, 200 proof) sourced from Warner Graham Company. pHLIP ligand V7 obtained from CSBio.</w:t>
      </w:r>
    </w:p>
    <w:p w14:paraId="7F0F7616"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5.3.2 Cell Lines</w:t>
      </w:r>
    </w:p>
    <w:p w14:paraId="0F322B79" w14:textId="35173F42"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The two malignant human </w:t>
      </w:r>
      <w:r w:rsidR="00176621">
        <w:rPr>
          <w:rFonts w:ascii="Arial" w:hAnsi="Arial" w:cs="Arial"/>
          <w:sz w:val="24"/>
          <w:szCs w:val="24"/>
        </w:rPr>
        <w:t xml:space="preserve">pancreatic adenocarcinoma (PDAC) </w:t>
      </w:r>
      <w:r w:rsidRPr="00282F47">
        <w:rPr>
          <w:rFonts w:ascii="Arial" w:hAnsi="Arial" w:cs="Arial"/>
          <w:sz w:val="24"/>
          <w:szCs w:val="24"/>
        </w:rPr>
        <w:t xml:space="preserve">cell lines utilized herein were S2VP10L and MiaPaca-2. S2PV10 originates from University of Nebraska, under care of M. Hollingsworth, and a variant, S2VP10L, which constitutively expresses firefly luciferase for </w:t>
      </w:r>
      <w:r w:rsidRPr="00282F47">
        <w:rPr>
          <w:rFonts w:ascii="Arial" w:hAnsi="Arial" w:cs="Arial"/>
          <w:i/>
          <w:iCs/>
          <w:sz w:val="24"/>
          <w:szCs w:val="24"/>
        </w:rPr>
        <w:t>in vivo</w:t>
      </w:r>
      <w:r w:rsidRPr="00282F47">
        <w:rPr>
          <w:rFonts w:ascii="Arial" w:hAnsi="Arial" w:cs="Arial"/>
          <w:sz w:val="24"/>
          <w:szCs w:val="24"/>
        </w:rPr>
        <w:t xml:space="preserve"> tumor growth tracking, was generated. MiaPaca-2, THLE-2 (normal liver), and NK-2 (normal kidney) were purchased from </w:t>
      </w:r>
      <w:r w:rsidR="00176621">
        <w:rPr>
          <w:rFonts w:ascii="Arial" w:hAnsi="Arial" w:cs="Arial"/>
          <w:sz w:val="24"/>
          <w:szCs w:val="24"/>
        </w:rPr>
        <w:t>the American Type Culture Collection</w:t>
      </w:r>
      <w:r w:rsidRPr="00282F47">
        <w:rPr>
          <w:rFonts w:ascii="Arial" w:hAnsi="Arial" w:cs="Arial"/>
          <w:sz w:val="24"/>
          <w:szCs w:val="24"/>
        </w:rPr>
        <w:t xml:space="preserve">. All cancer cells were grown in Dulbecco’s Modified Eagle Medium (DMEM) with 10% fetal bovine serum (FBS) and 1% L-glutamine. For evaluation of potential </w:t>
      </w:r>
      <w:r w:rsidRPr="00282F47">
        <w:rPr>
          <w:rFonts w:ascii="Arial" w:hAnsi="Arial" w:cs="Arial"/>
          <w:sz w:val="24"/>
          <w:szCs w:val="24"/>
        </w:rPr>
        <w:lastRenderedPageBreak/>
        <w:t>toxicity of TROS and V7-TROS on non-malignant cells, THLE-2 cells and NK-2 cells were grown in standard DMEM with 10% FBS was supplemented with the Lonza Bullet Kit (CC3170) without the addition of gentamycin, amphotericin, and epinephrine. Cells were grown and maintained in a humified incubator at 37 °C and 5% CO</w:t>
      </w:r>
      <w:r w:rsidRPr="00282F47">
        <w:rPr>
          <w:rFonts w:ascii="Arial" w:hAnsi="Arial" w:cs="Arial"/>
          <w:sz w:val="24"/>
          <w:szCs w:val="24"/>
          <w:vertAlign w:val="subscript"/>
        </w:rPr>
        <w:t>2</w:t>
      </w:r>
      <w:r w:rsidRPr="00282F47">
        <w:rPr>
          <w:rFonts w:ascii="Arial" w:hAnsi="Arial" w:cs="Arial"/>
          <w:sz w:val="24"/>
          <w:szCs w:val="24"/>
        </w:rPr>
        <w:t xml:space="preserve"> until treated with pH-specific media.</w:t>
      </w:r>
    </w:p>
    <w:p w14:paraId="12BA6FA4" w14:textId="77777777" w:rsidR="002027D2" w:rsidRPr="00282F47" w:rsidRDefault="002027D2" w:rsidP="003F5441">
      <w:pPr>
        <w:jc w:val="both"/>
        <w:rPr>
          <w:rFonts w:ascii="Arial" w:hAnsi="Arial" w:cs="Arial"/>
          <w:sz w:val="24"/>
          <w:szCs w:val="24"/>
        </w:rPr>
      </w:pPr>
      <w:r w:rsidRPr="00282F47">
        <w:rPr>
          <w:rFonts w:ascii="Arial" w:hAnsi="Arial" w:cs="Arial"/>
          <w:b/>
          <w:bCs/>
          <w:sz w:val="24"/>
          <w:szCs w:val="24"/>
        </w:rPr>
        <w:t xml:space="preserve">5.3.3 pH-Specific Media Preparation for the </w:t>
      </w:r>
      <w:r w:rsidRPr="00282F47">
        <w:rPr>
          <w:rFonts w:ascii="Arial" w:hAnsi="Arial" w:cs="Arial"/>
          <w:b/>
          <w:bCs/>
          <w:i/>
          <w:iCs/>
          <w:sz w:val="24"/>
          <w:szCs w:val="24"/>
        </w:rPr>
        <w:t>In Vitro</w:t>
      </w:r>
      <w:r w:rsidRPr="00282F47">
        <w:rPr>
          <w:rFonts w:ascii="Arial" w:hAnsi="Arial" w:cs="Arial"/>
          <w:b/>
          <w:bCs/>
          <w:sz w:val="24"/>
          <w:szCs w:val="24"/>
        </w:rPr>
        <w:t xml:space="preserve"> Nanoparticle Assays</w:t>
      </w:r>
    </w:p>
    <w:p w14:paraId="1559A047"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For evaluation of pH-specificity of particle uptake and cell viability of tumor cells, pH specific media was utilized. Briefly, phosphate buffer (25 mM) at the desired pH (7.4, 6.6) was prepared by dissolving sodium phosphate monobasic and dibasic solution dissolved in distilled water (Sigma-Aldrich, St. Louis, MO, USA). 13.6 g of DMEM powder was dissolved in the autoclaved phosphate buffer (25mM) at the desired pH (7.4 or 6.6). The solution was enriched with 10% FBS and 1% L-glutamine and filtered through grade-1 Whatman qualitative filter paper (Sigma-Aldrich, St. Louis, MO, USA). The pH of the solution was determined by pH meter (Denver Instrument Ultrabasic, Bohemia, NY, USA). The acidity and basicity adjustments of the pH solutions were performed with sterilized sodium hydroxide (1 M) or hydrochloric acid (1 M).</w:t>
      </w:r>
    </w:p>
    <w:p w14:paraId="2A667206"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5.3.4 Nanoparticle Synthesis and Characterization</w:t>
      </w:r>
    </w:p>
    <w:p w14:paraId="37312CCB"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5.3.4a Core Particle Synthesis</w:t>
      </w:r>
    </w:p>
    <w:p w14:paraId="74902EB3"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The three prepared colloidal mesoporous silica core particles were prepared by identical methods with the only exception being substitution of analogous TROS and corresponding R(OH). Briefly, 2.00 g CTAB, 240 mL MQ water, 0.420 g TEA, and 88.0 mmol ROH are combined into a flask, with moderate to vigorous stirring, under reflux and slowly heated to 80°C (approx. 30 m). At temperature, 11.0 mmol of TROS is added </w:t>
      </w:r>
      <w:r w:rsidRPr="00282F47">
        <w:rPr>
          <w:rFonts w:ascii="Arial" w:hAnsi="Arial" w:cs="Arial"/>
          <w:sz w:val="24"/>
          <w:szCs w:val="24"/>
        </w:rPr>
        <w:lastRenderedPageBreak/>
        <w:t>dropwise at a rate of approximately 0.5 mL/m and reflux is continued at 80 °C for 12–16 h. At completion, the reaction vessel is removed from heat and cooled to room temperature. A 0.5–1.0 mL aliquot of the resultant solution is reserved for dynamic light scattering (DLS) analysis of polydispersity (PDI) and hydrodynamic diameter.</w:t>
      </w:r>
    </w:p>
    <w:p w14:paraId="5A5C89C1"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5.3.4b Dynamic Light Scattering Analysis</w:t>
      </w:r>
    </w:p>
    <w:p w14:paraId="2B1D8D5A"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A Zetasizer Nano ZS was used for analysis of colloid particle diameter and PDI following synthesis and dialysis processes. The instrument is equipped with a 5 mW HeNe laser exciting at 633 nm wavelength and detects scattered light at 1730 nm. Based on synthesis procedure, solvent refractive index and viscosity of 1.33 and 0.89 cP, respectively, were chosen. Measurements were collected in single angle backscatter (173°).</w:t>
      </w:r>
    </w:p>
    <w:p w14:paraId="27C4802D" w14:textId="0140ACDE"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A Zetasizer Ultra was used for analyzing chitosan coated TROS. Measurements for the size parameter were collected in triplicate in multi-angle DLS (MADLS) mode (173°, 90°, 7°). Particle concentration measurements were collected in triplicate and preceded by a single MADLS size measurement for comparison between reported size distributions in both measurement types. General purpose data analysis settings, a dispersant </w:t>
      </w:r>
      <w:r w:rsidR="00176621">
        <w:rPr>
          <w:rFonts w:ascii="Arial" w:hAnsi="Arial" w:cs="Arial"/>
          <w:sz w:val="24"/>
          <w:szCs w:val="24"/>
        </w:rPr>
        <w:t>refractive index</w:t>
      </w:r>
      <w:r w:rsidRPr="00282F47">
        <w:rPr>
          <w:rFonts w:ascii="Arial" w:hAnsi="Arial" w:cs="Arial"/>
          <w:sz w:val="24"/>
          <w:szCs w:val="24"/>
        </w:rPr>
        <w:t xml:space="preserve"> and viscosity of 1.43 and 16.1118 (ethylene glycol), and material </w:t>
      </w:r>
      <w:r w:rsidR="00176621">
        <w:rPr>
          <w:rFonts w:ascii="Arial" w:hAnsi="Arial" w:cs="Arial"/>
          <w:sz w:val="24"/>
          <w:szCs w:val="24"/>
        </w:rPr>
        <w:t>refractive index</w:t>
      </w:r>
      <w:r w:rsidRPr="00282F47">
        <w:rPr>
          <w:rFonts w:ascii="Arial" w:hAnsi="Arial" w:cs="Arial"/>
          <w:sz w:val="24"/>
          <w:szCs w:val="24"/>
        </w:rPr>
        <w:t xml:space="preserve"> and abs</w:t>
      </w:r>
      <w:r w:rsidR="00176621">
        <w:rPr>
          <w:rFonts w:ascii="Arial" w:hAnsi="Arial" w:cs="Arial"/>
          <w:sz w:val="24"/>
          <w:szCs w:val="24"/>
        </w:rPr>
        <w:t>orbance</w:t>
      </w:r>
      <w:r w:rsidRPr="00282F47">
        <w:rPr>
          <w:rFonts w:ascii="Arial" w:hAnsi="Arial" w:cs="Arial"/>
          <w:sz w:val="24"/>
          <w:szCs w:val="24"/>
        </w:rPr>
        <w:t xml:space="preserve"> of 1.33 and 0.01 were used for all particle concentration and MADLS measurements to optimize collected correlograms. An input of 145 kcps for dispersant mean count rate was used exclusively for particle concentration measurements.</w:t>
      </w:r>
    </w:p>
    <w:p w14:paraId="387606F4" w14:textId="77777777" w:rsidR="002027D2" w:rsidRPr="00282F47" w:rsidRDefault="002027D2" w:rsidP="003F5441">
      <w:pPr>
        <w:jc w:val="both"/>
        <w:rPr>
          <w:rFonts w:ascii="Arial" w:hAnsi="Arial" w:cs="Arial"/>
          <w:sz w:val="24"/>
          <w:szCs w:val="24"/>
        </w:rPr>
      </w:pPr>
      <w:r w:rsidRPr="00282F47">
        <w:rPr>
          <w:rFonts w:ascii="Arial" w:hAnsi="Arial" w:cs="Arial"/>
          <w:b/>
          <w:bCs/>
          <w:sz w:val="24"/>
          <w:szCs w:val="24"/>
        </w:rPr>
        <w:t>5.3.4c Removal of Core MSN Surfactant Scaffold</w:t>
      </w:r>
    </w:p>
    <w:p w14:paraId="22F598DB"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A 1:1 (v/v) solution of 2 M glacial acetic acid and ethyl alcohol was prepared, in quantity 1 L, into which was placed dialysis tubing containing one of the three synthesized particles. The dialysis vessel was sealed to prevent evaporation and stirring of the </w:t>
      </w:r>
      <w:r w:rsidRPr="00282F47">
        <w:rPr>
          <w:rFonts w:ascii="Arial" w:hAnsi="Arial" w:cs="Arial"/>
          <w:sz w:val="24"/>
          <w:szCs w:val="24"/>
        </w:rPr>
        <w:lastRenderedPageBreak/>
        <w:t>external solution was set to between 300–500 rpm with a 39 mm or 50 mm stir bar. The external solution was replaced every 12 h for a period of 3–4 days. Particle solutions were then removed from the acid and alcohol solution, rinsed (externally) with MQ water, and submerged in 1 L of MQ water for two periods of 12 h with continued stirring. Particle solutions were then removed from their tubing and stored in 1 L glass media bottles.</w:t>
      </w:r>
    </w:p>
    <w:p w14:paraId="42F5D7B5" w14:textId="1B07E0C8"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Briefly, 50 mL of each particle solution was separately heated to 60 °C in a 500 mL flask under reflux to which was added, dropwise, an equivalent volume of 74.95 mM </w:t>
      </w:r>
      <w:r w:rsidR="00176621">
        <w:rPr>
          <w:rFonts w:ascii="Arial" w:hAnsi="Arial" w:cs="Arial"/>
          <w:sz w:val="24"/>
          <w:szCs w:val="24"/>
        </w:rPr>
        <w:t>a</w:t>
      </w:r>
      <w:r w:rsidRPr="00282F47">
        <w:rPr>
          <w:rFonts w:ascii="Arial" w:hAnsi="Arial" w:cs="Arial"/>
          <w:sz w:val="24"/>
          <w:szCs w:val="24"/>
        </w:rPr>
        <w:t xml:space="preserve">mmonium </w:t>
      </w:r>
      <w:r w:rsidR="00176621">
        <w:rPr>
          <w:rFonts w:ascii="Arial" w:hAnsi="Arial" w:cs="Arial"/>
          <w:sz w:val="24"/>
          <w:szCs w:val="24"/>
        </w:rPr>
        <w:t>n</w:t>
      </w:r>
      <w:r w:rsidRPr="00282F47">
        <w:rPr>
          <w:rFonts w:ascii="Arial" w:hAnsi="Arial" w:cs="Arial"/>
          <w:sz w:val="24"/>
          <w:szCs w:val="24"/>
        </w:rPr>
        <w:t>itrate in MQ water. The reaction was run for 1 h with moderate stirring and then allowed to cool to room temperature without stirring. These particle solutions were removed again to dialysis tubing, dialyzed twice for 12 h in MQ water, and again stored in 1 L glass vessels.</w:t>
      </w:r>
    </w:p>
    <w:p w14:paraId="6C6125E6"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5.3.4d Particle Lyophilization, Brunauer-Emmett-Teller and Nitrogen Adsorption/ Desorption Analyses</w:t>
      </w:r>
    </w:p>
    <w:p w14:paraId="65F7DF04"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Fully processed TROS colloids were vacuum centrifuged to lyophilized powders using an Eppendorf Vacufuge 5301. 1.6–1.8 mL of fully processed TROS colloid was pipetted into each of 48 2 mL Eppendorf micro centrifuge tubes all of which were placed, open capped, into an F-45–48-11 rotor. Internal chamber temperature was set to ambient (i.e., no temperature selected). Rate of sample evaporation was in the range 0.15 to 0.22 mL/h. Maximum vacuum achieved was 9 mbar and maximum rotor speed was 1400 rpm.</w:t>
      </w:r>
    </w:p>
    <w:p w14:paraId="71337D08" w14:textId="65E8BAC1"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Using a TriStar analyzer, powders were vacuum dried at 120 °C overnight, were submerged in a liquid nitrogen bath using pure nitrogen gas, and a subsequent seven-point </w:t>
      </w:r>
      <w:r w:rsidR="00176621">
        <w:rPr>
          <w:rFonts w:ascii="Arial" w:hAnsi="Arial" w:cs="Arial"/>
          <w:sz w:val="24"/>
          <w:szCs w:val="24"/>
        </w:rPr>
        <w:t>(</w:t>
      </w:r>
      <w:r w:rsidR="00176621" w:rsidRPr="00282F47">
        <w:rPr>
          <w:rFonts w:ascii="Arial" w:hAnsi="Arial" w:cs="Arial"/>
          <w:sz w:val="24"/>
          <w:szCs w:val="24"/>
        </w:rPr>
        <w:t>Brauner, Emmett, Teller</w:t>
      </w:r>
      <w:r w:rsidR="00176621">
        <w:rPr>
          <w:rFonts w:ascii="Arial" w:hAnsi="Arial" w:cs="Arial"/>
          <w:sz w:val="24"/>
          <w:szCs w:val="24"/>
        </w:rPr>
        <w:t>)</w:t>
      </w:r>
      <w:r w:rsidR="00176621" w:rsidRPr="00282F47">
        <w:rPr>
          <w:rFonts w:ascii="Arial" w:hAnsi="Arial" w:cs="Arial"/>
          <w:sz w:val="24"/>
          <w:szCs w:val="24"/>
        </w:rPr>
        <w:t xml:space="preserve"> </w:t>
      </w:r>
      <w:r w:rsidRPr="00282F47">
        <w:rPr>
          <w:rFonts w:ascii="Arial" w:hAnsi="Arial" w:cs="Arial"/>
          <w:sz w:val="24"/>
          <w:szCs w:val="24"/>
        </w:rPr>
        <w:t xml:space="preserve">BET isotherm and 50-point adsorption/desorption isotherm were collected. For specific surface area, pore diameter and pore volume </w:t>
      </w:r>
      <w:r w:rsidRPr="00282F47">
        <w:rPr>
          <w:rFonts w:ascii="Arial" w:hAnsi="Arial" w:cs="Arial"/>
          <w:sz w:val="24"/>
          <w:szCs w:val="24"/>
        </w:rPr>
        <w:lastRenderedPageBreak/>
        <w:t xml:space="preserve">measurements, the BET and </w:t>
      </w:r>
      <w:r w:rsidR="00176621" w:rsidRPr="00282F47">
        <w:rPr>
          <w:rFonts w:ascii="Arial" w:hAnsi="Arial" w:cs="Arial"/>
          <w:sz w:val="24"/>
          <w:szCs w:val="24"/>
        </w:rPr>
        <w:t xml:space="preserve">Barrett–Joyner–Halenda </w:t>
      </w:r>
      <w:r w:rsidR="00176621">
        <w:rPr>
          <w:rFonts w:ascii="Arial" w:hAnsi="Arial" w:cs="Arial"/>
          <w:sz w:val="24"/>
          <w:szCs w:val="24"/>
        </w:rPr>
        <w:t>(</w:t>
      </w:r>
      <w:r w:rsidRPr="00282F47">
        <w:rPr>
          <w:rFonts w:ascii="Arial" w:hAnsi="Arial" w:cs="Arial"/>
          <w:sz w:val="24"/>
          <w:szCs w:val="24"/>
        </w:rPr>
        <w:t>BJH</w:t>
      </w:r>
      <w:r w:rsidR="00176621">
        <w:rPr>
          <w:rFonts w:ascii="Arial" w:hAnsi="Arial" w:cs="Arial"/>
          <w:sz w:val="24"/>
          <w:szCs w:val="24"/>
        </w:rPr>
        <w:t>)</w:t>
      </w:r>
      <w:r w:rsidRPr="00282F47">
        <w:rPr>
          <w:rFonts w:ascii="Arial" w:hAnsi="Arial" w:cs="Arial"/>
          <w:sz w:val="24"/>
          <w:szCs w:val="24"/>
        </w:rPr>
        <w:t xml:space="preserve"> methods, respectively, of calculation were used.</w:t>
      </w:r>
    </w:p>
    <w:p w14:paraId="5F50A147"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5.3.4e Sample Preparation and Transmission Electron Microscopy Analysis</w:t>
      </w:r>
    </w:p>
    <w:p w14:paraId="334806EC" w14:textId="5C8D556A"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To prepare samples for </w:t>
      </w:r>
      <w:r w:rsidR="00176621">
        <w:rPr>
          <w:rFonts w:ascii="Arial" w:hAnsi="Arial" w:cs="Arial"/>
          <w:sz w:val="24"/>
          <w:szCs w:val="24"/>
        </w:rPr>
        <w:t>transmission electron microscopy (</w:t>
      </w:r>
      <w:r w:rsidRPr="00282F47">
        <w:rPr>
          <w:rFonts w:ascii="Arial" w:hAnsi="Arial" w:cs="Arial"/>
          <w:sz w:val="24"/>
          <w:szCs w:val="24"/>
        </w:rPr>
        <w:t>TEM</w:t>
      </w:r>
      <w:r w:rsidR="00176621">
        <w:rPr>
          <w:rFonts w:ascii="Arial" w:hAnsi="Arial" w:cs="Arial"/>
          <w:sz w:val="24"/>
          <w:szCs w:val="24"/>
        </w:rPr>
        <w:t>)</w:t>
      </w:r>
      <w:r w:rsidRPr="00282F47">
        <w:rPr>
          <w:rFonts w:ascii="Arial" w:hAnsi="Arial" w:cs="Arial"/>
          <w:sz w:val="24"/>
          <w:szCs w:val="24"/>
        </w:rPr>
        <w:t xml:space="preserve"> analysis, fully processed TROS colloids were diluted to 1:100 in MQ water. 20 μL of this solution was then pipetted onto 200 mesh copper formvar and, separately, lacey carbon electron micrograph grids. Grids were incubated for 30 m, had liquid wicked off with filter paper, and were allowed to air dry for 30 m. Grids were stored in stock grid holders. TEM analysis was performed on a Tecnai-F20 transmission electron microscope.</w:t>
      </w:r>
    </w:p>
    <w:p w14:paraId="6D3E5550"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5.3.4f Surface Cross-Linking Functionalization and Chitosan Capping of Core MSNs</w:t>
      </w:r>
    </w:p>
    <w:p w14:paraId="0B5BC624" w14:textId="25ACB6B2"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To apply GPTMS surface functionalization and attach chitosan polymer, the following steps were taken. Post-processed MSN colloids were diluted 4:1 in 100% Ethyl </w:t>
      </w:r>
      <w:r w:rsidR="00176621">
        <w:rPr>
          <w:rFonts w:ascii="Arial" w:hAnsi="Arial" w:cs="Arial"/>
          <w:sz w:val="24"/>
          <w:szCs w:val="24"/>
        </w:rPr>
        <w:t>a</w:t>
      </w:r>
      <w:r w:rsidRPr="00282F47">
        <w:rPr>
          <w:rFonts w:ascii="Arial" w:hAnsi="Arial" w:cs="Arial"/>
          <w:sz w:val="24"/>
          <w:szCs w:val="24"/>
        </w:rPr>
        <w:t>lcohol and ultrasonicated for 3 m at room temperature. pH of the colloidal solution at this stage was between 4 and 4.5. 0.1 mL GPTMS was added to the colloidal solution which was then shaken vigorously (2500 rpm) for 3 h on a vortex.</w:t>
      </w:r>
    </w:p>
    <w:p w14:paraId="5ACD1217"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To derive the pH-responsive capping solution of chitosan, a 1% w/v chitosan solution in 5% nitric acid was prepared and stirred w/ 33 mm stir bar at room temp for 2 h. 90 mL of total chitosan solution was homogenized by swirling and quantitatively transferred into 6 15 mL falcon tubes in 15 mL aliquots. Tubes were centrifuged at room temp at 200 rpm (8×g) for 30 m. Light gold-colored pellet was apparent, with transparent solution above, in each tube. The top 3.33 mL of each of the six tubes (cumulatively, top 22% of total volume) was drawn off and combined 6:5 with the TROS fully processed colloid. This </w:t>
      </w:r>
      <w:r w:rsidRPr="00282F47">
        <w:rPr>
          <w:rFonts w:ascii="Arial" w:hAnsi="Arial" w:cs="Arial"/>
          <w:sz w:val="24"/>
          <w:szCs w:val="24"/>
        </w:rPr>
        <w:lastRenderedPageBreak/>
        <w:t>MSN-Chitosan mixture was shaken vigorously (2500 rpm) for 12–16 h (i.e., overnight). MSN-Chitosan was isolated by centrifuging a 50 mL volume of solution at 24 °C and 17,000 rpm for 30 m. Pellet volume of approximately 50–100 μL, was not gelled or solid and not adherent to tube.</w:t>
      </w:r>
    </w:p>
    <w:p w14:paraId="083BF358"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5.3.4g Loading of IR780 Contrast Agent, Retention and Release Assay, Dye per Particle Analysis</w:t>
      </w:r>
    </w:p>
    <w:p w14:paraId="7EF33B86" w14:textId="277FC245"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To load chitosan capped TROS with IR780, the following steps were performed. Total volume of MSN-Chitosan pellet was combined with 80 μL </w:t>
      </w:r>
      <w:r w:rsidR="00A41E0E" w:rsidRPr="00282F47">
        <w:rPr>
          <w:rFonts w:ascii="Arial" w:hAnsi="Arial" w:cs="Arial"/>
          <w:sz w:val="24"/>
          <w:szCs w:val="24"/>
        </w:rPr>
        <w:t xml:space="preserve">(3-aminopropyl) trimethoxysilane </w:t>
      </w:r>
      <w:r w:rsidR="00A41E0E">
        <w:rPr>
          <w:rFonts w:ascii="Arial" w:hAnsi="Arial" w:cs="Arial"/>
          <w:sz w:val="24"/>
          <w:szCs w:val="24"/>
        </w:rPr>
        <w:t>(</w:t>
      </w:r>
      <w:r w:rsidRPr="00282F47">
        <w:rPr>
          <w:rFonts w:ascii="Arial" w:hAnsi="Arial" w:cs="Arial"/>
          <w:sz w:val="24"/>
          <w:szCs w:val="24"/>
        </w:rPr>
        <w:t>ATPES</w:t>
      </w:r>
      <w:r w:rsidR="00A41E0E">
        <w:rPr>
          <w:rFonts w:ascii="Arial" w:hAnsi="Arial" w:cs="Arial"/>
          <w:sz w:val="24"/>
          <w:szCs w:val="24"/>
        </w:rPr>
        <w:t>)</w:t>
      </w:r>
      <w:r w:rsidRPr="00282F47">
        <w:rPr>
          <w:rFonts w:ascii="Arial" w:hAnsi="Arial" w:cs="Arial"/>
          <w:sz w:val="24"/>
          <w:szCs w:val="24"/>
        </w:rPr>
        <w:t xml:space="preserve"> and 100 μL 1 mM IR780 contrast agent, pH of solution was lowered to 4–4.5 using 1 M HCl, and the solution was shaken for 5–6 h. Solution pH was then increased to 7.4. Dye loaded particles were isolated by centrifugation at 10,000 rpm for 5 m, dispersed in 500 μL pH 7.4 PBS, and shaken for 30 m for a total of 3 iterations. Maximum solution absorbance was measured by </w:t>
      </w:r>
      <w:r w:rsidR="00A41E0E">
        <w:rPr>
          <w:rFonts w:ascii="Arial" w:hAnsi="Arial" w:cs="Arial"/>
          <w:sz w:val="24"/>
          <w:szCs w:val="24"/>
        </w:rPr>
        <w:t>ultraviolet (</w:t>
      </w:r>
      <w:r w:rsidRPr="00282F47">
        <w:rPr>
          <w:rFonts w:ascii="Arial" w:hAnsi="Arial" w:cs="Arial"/>
          <w:sz w:val="24"/>
          <w:szCs w:val="24"/>
        </w:rPr>
        <w:t>UV</w:t>
      </w:r>
      <w:r w:rsidR="00A41E0E">
        <w:rPr>
          <w:rFonts w:ascii="Arial" w:hAnsi="Arial" w:cs="Arial"/>
          <w:sz w:val="24"/>
          <w:szCs w:val="24"/>
        </w:rPr>
        <w:t>)</w:t>
      </w:r>
      <w:r w:rsidRPr="00282F47">
        <w:rPr>
          <w:rFonts w:ascii="Arial" w:hAnsi="Arial" w:cs="Arial"/>
          <w:sz w:val="24"/>
          <w:szCs w:val="24"/>
        </w:rPr>
        <w:t>-</w:t>
      </w:r>
      <w:r w:rsidR="00A41E0E">
        <w:rPr>
          <w:rFonts w:ascii="Arial" w:hAnsi="Arial" w:cs="Arial"/>
          <w:sz w:val="24"/>
          <w:szCs w:val="24"/>
        </w:rPr>
        <w:t>visible light (VIS)</w:t>
      </w:r>
      <w:r w:rsidRPr="00282F47">
        <w:rPr>
          <w:rFonts w:ascii="Arial" w:hAnsi="Arial" w:cs="Arial"/>
          <w:sz w:val="24"/>
          <w:szCs w:val="24"/>
        </w:rPr>
        <w:t xml:space="preserve"> for dispersed dye-loaded particles which were then diluted to 1 </w:t>
      </w:r>
      <w:r w:rsidR="00A41E0E">
        <w:rPr>
          <w:rFonts w:ascii="Arial" w:hAnsi="Arial" w:cs="Arial"/>
          <w:sz w:val="24"/>
          <w:szCs w:val="24"/>
        </w:rPr>
        <w:t>optical density (</w:t>
      </w:r>
      <w:r w:rsidRPr="00282F47">
        <w:rPr>
          <w:rFonts w:ascii="Arial" w:hAnsi="Arial" w:cs="Arial"/>
          <w:sz w:val="24"/>
          <w:szCs w:val="24"/>
        </w:rPr>
        <w:t>OD</w:t>
      </w:r>
      <w:r w:rsidR="00A41E0E">
        <w:rPr>
          <w:rFonts w:ascii="Arial" w:hAnsi="Arial" w:cs="Arial"/>
          <w:sz w:val="24"/>
          <w:szCs w:val="24"/>
        </w:rPr>
        <w:t>)</w:t>
      </w:r>
      <w:r w:rsidRPr="00282F47">
        <w:rPr>
          <w:rFonts w:ascii="Arial" w:hAnsi="Arial" w:cs="Arial"/>
          <w:sz w:val="24"/>
          <w:szCs w:val="24"/>
        </w:rPr>
        <w:t>/mL of IR780 signal measured at 653 nm wavelength. For retention and release assays, dye loaded particle solutions were pH adjusted between 7.4 to 6.6 and absorbance of the supernatant at 653 nm was reported for various time intervals following pH change.</w:t>
      </w:r>
    </w:p>
    <w:p w14:paraId="543F8B99"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Fluorescence OD per particle was determined by centrifugal isolation of dye-loaded MSNs followed by measurement of fluorescent signal in the solution supernatant and calculation of dye concentration in the isolated particles. Dye molecules per particle are reported as 101 million for TMOS, 338 million for TEOS, and 562 million for TPOS (</w:t>
      </w:r>
      <w:r w:rsidRPr="00282F47">
        <w:rPr>
          <w:rFonts w:ascii="Arial" w:hAnsi="Arial" w:cs="Arial"/>
          <w:b/>
          <w:bCs/>
          <w:sz w:val="24"/>
          <w:szCs w:val="24"/>
        </w:rPr>
        <w:t>Supporting Figure S5.2</w:t>
      </w:r>
      <w:r w:rsidRPr="00282F47">
        <w:rPr>
          <w:rFonts w:ascii="Arial" w:hAnsi="Arial" w:cs="Arial"/>
          <w:sz w:val="24"/>
          <w:szCs w:val="24"/>
        </w:rPr>
        <w:t>). Measurements taken for a particle concentration in sample solution of 8 million particles/mL.</w:t>
      </w:r>
    </w:p>
    <w:p w14:paraId="24DB599B"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lastRenderedPageBreak/>
        <w:t>5.3.4h Preparation of pHLIP V7 Ligand and Conjugation to Particle</w:t>
      </w:r>
    </w:p>
    <w:p w14:paraId="0E094DCD" w14:textId="450ECEB6"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V7 </w:t>
      </w:r>
      <w:r w:rsidR="00A41E0E">
        <w:rPr>
          <w:rFonts w:ascii="Arial" w:hAnsi="Arial" w:cs="Arial"/>
          <w:sz w:val="24"/>
          <w:szCs w:val="24"/>
        </w:rPr>
        <w:t>pH-low insertion peptide (</w:t>
      </w:r>
      <w:r w:rsidRPr="00282F47">
        <w:rPr>
          <w:rFonts w:ascii="Arial" w:hAnsi="Arial" w:cs="Arial"/>
          <w:sz w:val="24"/>
          <w:szCs w:val="24"/>
        </w:rPr>
        <w:t>pHLIP</w:t>
      </w:r>
      <w:r w:rsidR="00A41E0E">
        <w:rPr>
          <w:rFonts w:ascii="Arial" w:hAnsi="Arial" w:cs="Arial"/>
          <w:sz w:val="24"/>
          <w:szCs w:val="24"/>
        </w:rPr>
        <w:t>)</w:t>
      </w:r>
      <w:r w:rsidRPr="00282F47">
        <w:rPr>
          <w:rFonts w:ascii="Arial" w:hAnsi="Arial" w:cs="Arial"/>
          <w:sz w:val="24"/>
          <w:szCs w:val="24"/>
        </w:rPr>
        <w:t xml:space="preserve"> (V7 pHLIP sequence ACEEQNPWARY LEWLFPTETLLLEL, CS Bio, Menlo Park, CA, USA) was added as an active targeting ligand. To prepare a pHLIP V7 solution for particle attachment, 5 mg of lyophilized pHLIP V7 powder was thawed from −80 °C and combined with 2.44 mL of pH 7.4 PBS and swirled by hand for 15 m until reasonably dissolved. This solution was aliquoted and stored at −80°C until it was used. Briefly, 75 μL of SMCC NH2-malemide linker and 100 μL of pHLIP V7 solution was added to the previous dye-loaded and chitosan capped TROS solution. Total solution was then shaken at room temp in the dark for 3–5 h and subsequently stored at −4 °C for use in targeted particle applications. V7-TROS was washed in in PBS and centrifuged at 10,000 g for 10 min. The supernatant was collected to determine the binding efficiency of V7 to TROS with a protein assay. Results corresponded to an approximate conjugation density of 2000 V7 molecules/particle for TMOS, 2000 V7 molecules/particle for TEOS, and 200 million V7 molecules/particle for TPOS.</w:t>
      </w:r>
    </w:p>
    <w:p w14:paraId="15FA77AF"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 xml:space="preserve">5.3.5 </w:t>
      </w:r>
      <w:r w:rsidRPr="00282F47">
        <w:rPr>
          <w:rFonts w:ascii="Arial" w:hAnsi="Arial" w:cs="Arial"/>
          <w:b/>
          <w:bCs/>
          <w:i/>
          <w:iCs/>
          <w:sz w:val="24"/>
          <w:szCs w:val="24"/>
        </w:rPr>
        <w:t>In Vitro</w:t>
      </w:r>
      <w:r w:rsidRPr="00282F47">
        <w:rPr>
          <w:rFonts w:ascii="Arial" w:hAnsi="Arial" w:cs="Arial"/>
          <w:b/>
          <w:bCs/>
          <w:sz w:val="24"/>
          <w:szCs w:val="24"/>
        </w:rPr>
        <w:t xml:space="preserve"> Experiments</w:t>
      </w:r>
    </w:p>
    <w:p w14:paraId="44CE2F9E"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5.3.5a Cell Viability</w:t>
      </w:r>
    </w:p>
    <w:p w14:paraId="35059F55" w14:textId="75CCBD9B" w:rsidR="002027D2" w:rsidRPr="00282F47" w:rsidRDefault="00A41E0E" w:rsidP="00E53342">
      <w:pPr>
        <w:spacing w:line="480" w:lineRule="auto"/>
        <w:jc w:val="both"/>
        <w:rPr>
          <w:rFonts w:ascii="Arial" w:hAnsi="Arial" w:cs="Arial"/>
          <w:sz w:val="24"/>
          <w:szCs w:val="24"/>
        </w:rPr>
      </w:pPr>
      <w:r>
        <w:rPr>
          <w:rFonts w:ascii="Arial" w:hAnsi="Arial" w:cs="Arial"/>
          <w:sz w:val="24"/>
          <w:szCs w:val="24"/>
        </w:rPr>
        <w:t>PDAC</w:t>
      </w:r>
      <w:r w:rsidR="002027D2" w:rsidRPr="00282F47">
        <w:rPr>
          <w:rFonts w:ascii="Arial" w:hAnsi="Arial" w:cs="Arial"/>
          <w:sz w:val="24"/>
          <w:szCs w:val="24"/>
        </w:rPr>
        <w:t xml:space="preserve"> cells, S2VP10L and MiaPaca-2, along with non-malignant hepatocytes THLE-2 and non-malignant proximal tubule kidney cells were plated into 96 well plates at 5 × 10</w:t>
      </w:r>
      <w:r w:rsidR="002027D2" w:rsidRPr="00282F47">
        <w:rPr>
          <w:rFonts w:ascii="Arial" w:hAnsi="Arial" w:cs="Arial"/>
          <w:sz w:val="24"/>
          <w:szCs w:val="24"/>
          <w:vertAlign w:val="superscript"/>
        </w:rPr>
        <w:t>3</w:t>
      </w:r>
      <w:r w:rsidR="002027D2" w:rsidRPr="00282F47">
        <w:rPr>
          <w:rFonts w:ascii="Arial" w:hAnsi="Arial" w:cs="Arial"/>
          <w:sz w:val="24"/>
          <w:szCs w:val="24"/>
        </w:rPr>
        <w:t xml:space="preserve"> cells per well for 24 h in standard DMEM media with 10% FBS and 1% L-glutamine. Both THLE-2 and NK-2 cells received extra supplements from the Lonza Bullet kit as indicated above. The cells were treated with 2.5 μL of TROS or V7-TROS particles in a 96 well plate for 24 and 48 h at 37 °C with 5% CO</w:t>
      </w:r>
      <w:r w:rsidR="002027D2" w:rsidRPr="00282F47">
        <w:rPr>
          <w:rFonts w:ascii="Arial" w:hAnsi="Arial" w:cs="Arial"/>
          <w:sz w:val="24"/>
          <w:szCs w:val="24"/>
          <w:vertAlign w:val="subscript"/>
        </w:rPr>
        <w:t>2</w:t>
      </w:r>
      <w:r w:rsidR="002027D2" w:rsidRPr="00282F47">
        <w:rPr>
          <w:rFonts w:ascii="Arial" w:hAnsi="Arial" w:cs="Arial"/>
          <w:sz w:val="24"/>
          <w:szCs w:val="24"/>
        </w:rPr>
        <w:t xml:space="preserve">. Cell viability was measured using ATPlite™ according to the manufacturer’s instructions (Perkin Elmer, Waltham, MA, USA). </w:t>
      </w:r>
      <w:r w:rsidR="002027D2" w:rsidRPr="00282F47">
        <w:rPr>
          <w:rFonts w:ascii="Arial" w:hAnsi="Arial" w:cs="Arial"/>
          <w:sz w:val="24"/>
          <w:szCs w:val="24"/>
        </w:rPr>
        <w:lastRenderedPageBreak/>
        <w:t>Adenosine triphosphate (ATP) levels were measured using a plate reader (Packard TopCount NXT, Meriden, CT, USA) and normalized to phosphate</w:t>
      </w:r>
      <w:r>
        <w:rPr>
          <w:rFonts w:ascii="Arial" w:hAnsi="Arial" w:cs="Arial"/>
          <w:sz w:val="24"/>
          <w:szCs w:val="24"/>
        </w:rPr>
        <w:t xml:space="preserve"> </w:t>
      </w:r>
      <w:r w:rsidR="002027D2" w:rsidRPr="00282F47">
        <w:rPr>
          <w:rFonts w:ascii="Arial" w:hAnsi="Arial" w:cs="Arial"/>
          <w:sz w:val="24"/>
          <w:szCs w:val="24"/>
        </w:rPr>
        <w:t>buffered saline (PBS) treated control. To avoid potential interactions with other dye-based viability assays (MTT and MTS assays) ATPLite</w:t>
      </w:r>
      <w:r w:rsidR="002027D2" w:rsidRPr="00282F47">
        <w:rPr>
          <w:rFonts w:ascii="Arial" w:hAnsi="Arial" w:cs="Arial"/>
          <w:sz w:val="24"/>
          <w:szCs w:val="24"/>
          <w:vertAlign w:val="superscript"/>
        </w:rPr>
        <w:t>TM</w:t>
      </w:r>
      <w:r w:rsidR="002027D2" w:rsidRPr="00282F47">
        <w:rPr>
          <w:rFonts w:ascii="Arial" w:hAnsi="Arial" w:cs="Arial"/>
          <w:sz w:val="24"/>
          <w:szCs w:val="24"/>
        </w:rPr>
        <w:t xml:space="preserve"> was utilized.</w:t>
      </w:r>
    </w:p>
    <w:p w14:paraId="33BE5F0A"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 xml:space="preserve">5.3.5b </w:t>
      </w:r>
      <w:r w:rsidRPr="00282F47">
        <w:rPr>
          <w:rFonts w:ascii="Arial" w:hAnsi="Arial" w:cs="Arial"/>
          <w:b/>
          <w:bCs/>
          <w:i/>
          <w:iCs/>
          <w:sz w:val="24"/>
          <w:szCs w:val="24"/>
        </w:rPr>
        <w:t>In Vitro</w:t>
      </w:r>
      <w:r w:rsidRPr="00282F47">
        <w:rPr>
          <w:rFonts w:ascii="Arial" w:hAnsi="Arial" w:cs="Arial"/>
          <w:b/>
          <w:bCs/>
          <w:sz w:val="24"/>
          <w:szCs w:val="24"/>
        </w:rPr>
        <w:t xml:space="preserve"> Evaluation of TROS Particles</w:t>
      </w:r>
    </w:p>
    <w:p w14:paraId="2950D056" w14:textId="434C5B66"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Evaluation of pancreatic cancer cell uptake of TROS and V7-TROS containing IR780 was conducted using NIR fluorescent imaging and tissue mimicking phantoms. 5×10</w:t>
      </w:r>
      <w:r w:rsidRPr="00282F47">
        <w:rPr>
          <w:rFonts w:ascii="Arial" w:hAnsi="Arial" w:cs="Arial"/>
          <w:sz w:val="24"/>
          <w:szCs w:val="24"/>
          <w:vertAlign w:val="superscript"/>
        </w:rPr>
        <w:t>5</w:t>
      </w:r>
      <w:r w:rsidRPr="00282F47">
        <w:rPr>
          <w:rFonts w:ascii="Arial" w:hAnsi="Arial" w:cs="Arial"/>
          <w:sz w:val="24"/>
          <w:szCs w:val="24"/>
        </w:rPr>
        <w:t xml:space="preserve"> pancreatic cancer cells (S2VP10 and MiaPaca-2) were grown in 6 well plates with the pH media 7.4 or 6.6 respectively. The cells were incubated for 2 h with TMOS, TEOS, and TPOS with and without V7 peptide, respectively. Particles contained encapsulated IR780 at a concentration of 2.7 mM (0.1 OD/mL) and a particle concentration in particle sample of 8×10</w:t>
      </w:r>
      <w:r w:rsidRPr="00282F47">
        <w:rPr>
          <w:rFonts w:ascii="Arial" w:hAnsi="Arial" w:cs="Arial"/>
          <w:sz w:val="24"/>
          <w:szCs w:val="24"/>
          <w:vertAlign w:val="superscript"/>
        </w:rPr>
        <w:t>6</w:t>
      </w:r>
      <w:r w:rsidRPr="00282F47">
        <w:rPr>
          <w:rFonts w:ascii="Arial" w:hAnsi="Arial" w:cs="Arial"/>
          <w:sz w:val="24"/>
          <w:szCs w:val="24"/>
        </w:rPr>
        <w:t xml:space="preserve"> particles/mL. The cells were washed (3×) with the pH specific PBS containing 10% FBS. The uptake of IR780 dye from the particles was measured in two ways: 1) by analyzing the fluorescence intensity using an Odyssey Infrared System (LI-COR) in both the cell lines with dosimetry performed using LI-COR software; 2) Tissue mimicking phantoms were prepared for</w:t>
      </w:r>
      <w:r w:rsidR="00A41E0E">
        <w:rPr>
          <w:rFonts w:ascii="Arial" w:hAnsi="Arial" w:cs="Arial"/>
          <w:sz w:val="24"/>
          <w:szCs w:val="24"/>
        </w:rPr>
        <w:t xml:space="preserve"> </w:t>
      </w:r>
      <w:r w:rsidRPr="00282F47">
        <w:rPr>
          <w:rFonts w:ascii="Arial" w:hAnsi="Arial" w:cs="Arial"/>
          <w:sz w:val="24"/>
          <w:szCs w:val="24"/>
        </w:rPr>
        <w:t>MSOT analysis. Cell pellets were added to the agar gel-based tissue mimicking phantoms. Tissue mimicking phantoms were prepared from 1.3% w/w of agar and 6% v/v intralipid was added to DI water which results in creating a gel with a reduced light scattering coefficient of μ = 10 cm</w:t>
      </w:r>
      <w:r w:rsidRPr="00282F47">
        <w:rPr>
          <w:rFonts w:ascii="Arial" w:hAnsi="Arial" w:cs="Arial"/>
          <w:sz w:val="24"/>
          <w:szCs w:val="24"/>
          <w:vertAlign w:val="superscript"/>
        </w:rPr>
        <w:t>−1</w:t>
      </w:r>
      <w:r w:rsidRPr="00282F47">
        <w:rPr>
          <w:rFonts w:ascii="Arial" w:hAnsi="Arial" w:cs="Arial"/>
          <w:sz w:val="24"/>
          <w:szCs w:val="24"/>
        </w:rPr>
        <w:t xml:space="preserve">. S2VP10 cells treated with TMOS, TEOS, and TPOS with and without V7 peptide at pH 7.4 and 6.6 containing IR780 were added to the 3 mm diameter cylindrical opening in the tissue phantoms. All samples were evaluated at multiple wavelengths by utilization of a tunable laser source (680, 710, 730, </w:t>
      </w:r>
      <w:r w:rsidRPr="00282F47">
        <w:rPr>
          <w:rFonts w:ascii="Arial" w:hAnsi="Arial" w:cs="Arial"/>
          <w:sz w:val="24"/>
          <w:szCs w:val="24"/>
        </w:rPr>
        <w:lastRenderedPageBreak/>
        <w:t>740, 760, 760, 770, 780, 800, 850 and 900 nm). At least 20 average readings were taken during the analysis at each wavelength.</w:t>
      </w:r>
    </w:p>
    <w:p w14:paraId="1C553495"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5.3.5c Cell Internalization of TROS with Propidium Iodide</w:t>
      </w:r>
    </w:p>
    <w:p w14:paraId="0BCEFA98" w14:textId="3F17A1E1"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Propidium iodide was used in place of IR780 to evaluate cell internalization prior to dye release. </w:t>
      </w:r>
      <w:r w:rsidR="00FB3FDE">
        <w:rPr>
          <w:rFonts w:ascii="Arial" w:hAnsi="Arial" w:cs="Arial"/>
          <w:sz w:val="24"/>
          <w:szCs w:val="24"/>
        </w:rPr>
        <w:t>PI</w:t>
      </w:r>
      <w:r w:rsidRPr="00282F47">
        <w:rPr>
          <w:rFonts w:ascii="Arial" w:hAnsi="Arial" w:cs="Arial"/>
          <w:sz w:val="24"/>
          <w:szCs w:val="24"/>
        </w:rPr>
        <w:t xml:space="preserve"> usually emits green fluorescence, but when bound to nucleic acid, red fluorescence is instead emitted. Propidium iodide is impermeable to the cell membrane, but can be allowed entry into the cell by encapsulation within TROS. S2VP10 cells were grown to confluency in a 6 well plate containing 12 mm cover glasses in wells. Cells were grown overnight in DMEM with 10% FBS and 1% L-glutamine. pH-specific DMEM (pH 7.4 or 6.6) was used to mimic benign and malignant conditions for pH-specific internalization and release. 80 μL of PBS (control) or V7-TROS with propidium iodide was added to the plate for 1.5 h. Plates with then fixed with 4% formaldehyde for 10 m at room temperature. Cells were washed with PBS to remove free TROS and propidium iodide. The cover glasses were removed and mounted with VectaShield Vibrance Antifade Mounting Medium with DAPI (Vector Laboratories, Burlingame, CA). The samples were dried in the darkness for 2 h. Images were taken at 400X magnification using a Leica SP8 Confocal Microscope. Fluorescence counts of images were determined through channel splitting and thresholding via ImageJ.</w:t>
      </w:r>
    </w:p>
    <w:p w14:paraId="1E70511E"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 xml:space="preserve">5.3.6 </w:t>
      </w:r>
      <w:r w:rsidRPr="00282F47">
        <w:rPr>
          <w:rFonts w:ascii="Arial" w:hAnsi="Arial" w:cs="Arial"/>
          <w:b/>
          <w:bCs/>
          <w:i/>
          <w:iCs/>
          <w:sz w:val="24"/>
          <w:szCs w:val="24"/>
        </w:rPr>
        <w:t>In Vivo</w:t>
      </w:r>
      <w:r w:rsidRPr="00282F47">
        <w:rPr>
          <w:rFonts w:ascii="Arial" w:hAnsi="Arial" w:cs="Arial"/>
          <w:b/>
          <w:bCs/>
          <w:sz w:val="24"/>
          <w:szCs w:val="24"/>
        </w:rPr>
        <w:t xml:space="preserve"> Experiments</w:t>
      </w:r>
    </w:p>
    <w:p w14:paraId="55E4B2B4"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5.3.6a Human Pancreatic Cancer Xenograft Mouse Models</w:t>
      </w:r>
    </w:p>
    <w:p w14:paraId="41A8962E" w14:textId="15BEA260"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Athymic female mice aged 4 wk were used for this study in strict adherence to the OUHSC/Wake Forest University Institutional Animal Care and Use Committee approved protocol. Athymic mice were utilized to eliminate the possibility of obscured signal as a </w:t>
      </w:r>
      <w:r w:rsidRPr="00282F47">
        <w:rPr>
          <w:rFonts w:ascii="Arial" w:hAnsi="Arial" w:cs="Arial"/>
          <w:sz w:val="24"/>
          <w:szCs w:val="24"/>
        </w:rPr>
        <w:lastRenderedPageBreak/>
        <w:t xml:space="preserve">result of hair. Hair can disrupt the otherwise smooth surface between skin and ultrasound gel/ultrasonic transducer, thus acting as a confounding factor. </w:t>
      </w:r>
      <w:r w:rsidRPr="00282F47">
        <w:rPr>
          <w:rFonts w:ascii="Arial" w:hAnsi="Arial" w:cs="Arial"/>
          <w:b/>
          <w:bCs/>
          <w:sz w:val="24"/>
          <w:szCs w:val="24"/>
        </w:rPr>
        <w:t>Chapter 4</w:t>
      </w:r>
      <w:r w:rsidRPr="00282F47">
        <w:rPr>
          <w:rFonts w:ascii="Arial" w:hAnsi="Arial" w:cs="Arial"/>
          <w:sz w:val="24"/>
          <w:szCs w:val="24"/>
        </w:rPr>
        <w:t xml:space="preserve"> suggests that chitosan mesoporous silica nanoparticles do not elicit an immune response. Mice were placed on a 2920X alfalfa free-rodent diet (Harlan Laboratories, Indianapolis, IN) to reduce background signal during imaging. An established model for orthotopic cell implantation into the mouse pancreas was followed as previously described.</w:t>
      </w:r>
      <w:r w:rsidRPr="00282F47">
        <w:rPr>
          <w:rFonts w:ascii="Arial" w:hAnsi="Arial" w:cs="Arial"/>
          <w:noProof/>
          <w:sz w:val="24"/>
          <w:szCs w:val="24"/>
          <w:vertAlign w:val="superscript"/>
        </w:rPr>
        <w:t>217</w:t>
      </w:r>
      <w:r w:rsidRPr="00282F47">
        <w:rPr>
          <w:rFonts w:ascii="Arial" w:hAnsi="Arial" w:cs="Arial"/>
          <w:sz w:val="24"/>
          <w:szCs w:val="24"/>
        </w:rPr>
        <w:t xml:space="preserve"> Briefly, 10 mice were anesthetized with isoflurane, and the abdomen was then prepped with betadine. A 1 cm incision was made in the left upper quadrant, with the pancreas exposed by retraction of the spleen. Luciferase-cloned S2VP10 cells (S2VP10L) were suspended in serum-free </w:t>
      </w:r>
      <w:r w:rsidR="00FB3FDE">
        <w:rPr>
          <w:rFonts w:ascii="Arial" w:hAnsi="Arial" w:cs="Arial"/>
          <w:sz w:val="24"/>
          <w:szCs w:val="24"/>
        </w:rPr>
        <w:t>DMEM</w:t>
      </w:r>
      <w:r w:rsidRPr="00282F47">
        <w:rPr>
          <w:rFonts w:ascii="Arial" w:hAnsi="Arial" w:cs="Arial"/>
          <w:sz w:val="24"/>
          <w:szCs w:val="24"/>
        </w:rPr>
        <w:t xml:space="preserve"> medium at 4 °C in a sterile tube. A solution of 1.5×10</w:t>
      </w:r>
      <w:r w:rsidRPr="00282F47">
        <w:rPr>
          <w:rFonts w:ascii="Arial" w:hAnsi="Arial" w:cs="Arial"/>
          <w:sz w:val="24"/>
          <w:szCs w:val="24"/>
          <w:vertAlign w:val="superscript"/>
        </w:rPr>
        <w:t>5</w:t>
      </w:r>
      <w:r w:rsidRPr="00282F47">
        <w:rPr>
          <w:rFonts w:ascii="Arial" w:hAnsi="Arial" w:cs="Arial"/>
          <w:sz w:val="24"/>
          <w:szCs w:val="24"/>
        </w:rPr>
        <w:t xml:space="preserve"> cells per 30 μL was drawn up using a 28-gauge needle and injected into the pancreas. A sterile cotton-tipped applicator was held over the injection site for 30 s to prevent peritoneal leakage. The organs were returned to the abdomen with the skin, and peritoneum closed in a single layer using 5–0 prolene sutures. Mice recovered underneath a warming blanket and were returned to their cages with food and water ad libitum after regaining full mobility.</w:t>
      </w:r>
    </w:p>
    <w:p w14:paraId="7B964709" w14:textId="43D01280"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The raw data of the multispectral analyzed samples were reconstructed with the ViewMSOT software version 3.8 (Ithera Medical, Munich, Germany). Using ViewMSOT software wavelengths corresponding to the IR780 dye were reconstructed at a resolution of 75 μm. The </w:t>
      </w:r>
      <w:r w:rsidR="00FB3FDE">
        <w:rPr>
          <w:rFonts w:ascii="Arial" w:hAnsi="Arial" w:cs="Arial"/>
          <w:sz w:val="24"/>
          <w:szCs w:val="24"/>
        </w:rPr>
        <w:t>m</w:t>
      </w:r>
      <w:r w:rsidRPr="00282F47">
        <w:rPr>
          <w:rFonts w:ascii="Arial" w:hAnsi="Arial" w:cs="Arial"/>
          <w:sz w:val="24"/>
          <w:szCs w:val="24"/>
        </w:rPr>
        <w:t xml:space="preserve">ultispectral </w:t>
      </w:r>
      <w:r w:rsidR="00FB3FDE">
        <w:rPr>
          <w:rFonts w:ascii="Arial" w:hAnsi="Arial" w:cs="Arial"/>
          <w:sz w:val="24"/>
          <w:szCs w:val="24"/>
        </w:rPr>
        <w:t>p</w:t>
      </w:r>
      <w:r w:rsidRPr="00282F47">
        <w:rPr>
          <w:rFonts w:ascii="Arial" w:hAnsi="Arial" w:cs="Arial"/>
          <w:sz w:val="24"/>
          <w:szCs w:val="24"/>
        </w:rPr>
        <w:t xml:space="preserve">rocessing was conducted using linear regression with ViewMSOT 3.8 (Ithera Medical, Munich, Germany). Image stacks were imported into orthogonal views. The region of interest (ROI) was plotted over the tumor site, and the settings were kept constant for all the image slices obtained throughout the experiment. The signal intensity obtained from TROS nanoparticles containing IR780 at the tumor site </w:t>
      </w:r>
      <w:r w:rsidRPr="00282F47">
        <w:rPr>
          <w:rFonts w:ascii="Arial" w:hAnsi="Arial" w:cs="Arial"/>
          <w:sz w:val="24"/>
          <w:szCs w:val="24"/>
        </w:rPr>
        <w:lastRenderedPageBreak/>
        <w:t>was represented in MSOT a.u units. The MSOT a.u. values for the TROS nanoparticles were compared using SAS 9.3 Cary, NC, USA.</w:t>
      </w:r>
    </w:p>
    <w:p w14:paraId="4F302CCA"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5.3.6b Evaluation of Nanoparticles using MSOT</w:t>
      </w:r>
    </w:p>
    <w:p w14:paraId="0633196D" w14:textId="69AEB2B2"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Mice were intravenously</w:t>
      </w:r>
      <w:r w:rsidR="00FB3FDE">
        <w:rPr>
          <w:rFonts w:ascii="Arial" w:hAnsi="Arial" w:cs="Arial"/>
          <w:sz w:val="24"/>
          <w:szCs w:val="24"/>
        </w:rPr>
        <w:t xml:space="preserve"> (IV)</w:t>
      </w:r>
      <w:r w:rsidRPr="00282F47">
        <w:rPr>
          <w:rFonts w:ascii="Arial" w:hAnsi="Arial" w:cs="Arial"/>
          <w:sz w:val="24"/>
          <w:szCs w:val="24"/>
        </w:rPr>
        <w:t xml:space="preserve"> injected, at the tail vein, with actively (V7) and passively (no peptide) targeted TMOS, TEOS, and TPOS. Injected MSN probe contained encapsulated IR780 at a concentration of 2.7 mM (0.1 OD/mL) and an MSN concentration in solution of 8×10</w:t>
      </w:r>
      <w:r w:rsidRPr="00282F47">
        <w:rPr>
          <w:rFonts w:ascii="Arial" w:hAnsi="Arial" w:cs="Arial"/>
          <w:sz w:val="24"/>
          <w:szCs w:val="24"/>
          <w:vertAlign w:val="superscript"/>
        </w:rPr>
        <w:t>6</w:t>
      </w:r>
      <w:r w:rsidRPr="00282F47">
        <w:rPr>
          <w:rFonts w:ascii="Arial" w:hAnsi="Arial" w:cs="Arial"/>
          <w:sz w:val="24"/>
          <w:szCs w:val="24"/>
        </w:rPr>
        <w:t xml:space="preserve"> particles/mL. After intravenous injection of probe, mice were imaged at 8 h using InVision 512 TF MSOT (iThera Medical, Munich, Germany). Mice were imaged ventral side up within the animal holder and positioned in a nose cone for anesthesia delivery. Anesthesia was maintained at 1.5% isoflurane in 0.8 L medical air and 0.1 L O</w:t>
      </w:r>
      <w:r w:rsidRPr="00282F47">
        <w:rPr>
          <w:rFonts w:ascii="Arial" w:hAnsi="Arial" w:cs="Arial"/>
          <w:sz w:val="24"/>
          <w:szCs w:val="24"/>
          <w:vertAlign w:val="subscript"/>
        </w:rPr>
        <w:t>2</w:t>
      </w:r>
      <w:r w:rsidRPr="00282F47">
        <w:rPr>
          <w:rFonts w:ascii="Arial" w:hAnsi="Arial" w:cs="Arial"/>
          <w:sz w:val="24"/>
          <w:szCs w:val="24"/>
        </w:rPr>
        <w:t xml:space="preserve"> throughout imaging. Imaging was performed using axial slices with a 0.2 mm step through the liver-tumor-kidney region, at wavelengths of 680, 710, 730, 740, 750, 760, 770, 780, 800, 850, and 900 nm for each position. For each wavelength, 25 frames were obtained and averaged. To minimize the influence of animal movement in the images, an acquisition time of 10 μs per frame was used.</w:t>
      </w:r>
      <w:r w:rsidRPr="00282F47">
        <w:rPr>
          <w:rFonts w:ascii="Arial" w:hAnsi="Arial" w:cs="Arial"/>
          <w:noProof/>
          <w:sz w:val="24"/>
          <w:szCs w:val="24"/>
          <w:vertAlign w:val="superscript"/>
        </w:rPr>
        <w:t>189</w:t>
      </w:r>
      <w:r w:rsidRPr="00282F47">
        <w:rPr>
          <w:rFonts w:ascii="Arial" w:hAnsi="Arial" w:cs="Arial"/>
          <w:sz w:val="24"/>
          <w:szCs w:val="24"/>
        </w:rPr>
        <w:t xml:space="preserve"> Respiration rate and signs of distress were monitored through all stages of the imaging procedure. After the last imaging time point of 24 h, animals were euthanized via carbon dioxide overdose and cervical dislocation. Pancreas tumor, liver, spleen, and kidney were removed and imaged using the </w:t>
      </w:r>
      <w:r w:rsidR="00FB3FDE">
        <w:rPr>
          <w:rFonts w:ascii="Arial" w:hAnsi="Arial" w:cs="Arial"/>
          <w:sz w:val="24"/>
          <w:szCs w:val="24"/>
        </w:rPr>
        <w:t>advanced molecular imager (</w:t>
      </w:r>
      <w:r w:rsidRPr="00282F47">
        <w:rPr>
          <w:rFonts w:ascii="Arial" w:hAnsi="Arial" w:cs="Arial"/>
          <w:sz w:val="24"/>
          <w:szCs w:val="24"/>
        </w:rPr>
        <w:t>AMI</w:t>
      </w:r>
      <w:r w:rsidR="00FB3FDE">
        <w:rPr>
          <w:rFonts w:ascii="Arial" w:hAnsi="Arial" w:cs="Arial"/>
          <w:sz w:val="24"/>
          <w:szCs w:val="24"/>
        </w:rPr>
        <w:t>)</w:t>
      </w:r>
      <w:r w:rsidRPr="00282F47">
        <w:rPr>
          <w:rFonts w:ascii="Arial" w:hAnsi="Arial" w:cs="Arial"/>
          <w:sz w:val="24"/>
          <w:szCs w:val="24"/>
        </w:rPr>
        <w:t xml:space="preserve"> (Spectral Imaging Instruments, Tucson, AZ, USA).</w:t>
      </w:r>
    </w:p>
    <w:p w14:paraId="71632E7B"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5.3.6c Pharmacokinetics and Biodistribution of TROS with MSOT</w:t>
      </w:r>
    </w:p>
    <w:p w14:paraId="04FB1441"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Pharmacokinetics of TROS particles were evaluated using orthotopically implanted xenograft mice. Mice were tail-vein injected with V7-TROS or passively targeted TROS particles loaded with IR780 cargo at 2.7 mM (0.1 OD/mL). Mice were imaged ventral side </w:t>
      </w:r>
      <w:r w:rsidRPr="00282F47">
        <w:rPr>
          <w:rFonts w:ascii="Arial" w:hAnsi="Arial" w:cs="Arial"/>
          <w:sz w:val="24"/>
          <w:szCs w:val="24"/>
        </w:rPr>
        <w:lastRenderedPageBreak/>
        <w:t>up while under a 1.5% isoflurane anesthesia using MSOT at 0 h, 4 h, 8 h, and 24 h post injection. Axial slices were recorded at 0.2 mm-steps throughout regions that contain the liver, tumor, kidney, and spleen. Aortic slices were required to measure the blood retention time for V7-TROS and TROS (</w:t>
      </w:r>
      <w:r w:rsidRPr="00282F47">
        <w:rPr>
          <w:rFonts w:ascii="Arial" w:hAnsi="Arial" w:cs="Arial"/>
          <w:b/>
          <w:bCs/>
          <w:sz w:val="24"/>
          <w:szCs w:val="24"/>
        </w:rPr>
        <w:t>Figure S5.5</w:t>
      </w:r>
      <w:r w:rsidRPr="00282F47">
        <w:rPr>
          <w:rFonts w:ascii="Arial" w:hAnsi="Arial" w:cs="Arial"/>
          <w:sz w:val="24"/>
          <w:szCs w:val="24"/>
        </w:rPr>
        <w:t>). Images were acquired analogously to the tumor, liver, kidney, and spleen, as a single snapshot kinetically at 0, 4, 8, and 24 h</w:t>
      </w:r>
      <w:r w:rsidRPr="00282F47">
        <w:rPr>
          <w:rFonts w:ascii="Arial" w:hAnsi="Arial" w:cs="Arial"/>
          <w:noProof/>
          <w:sz w:val="24"/>
          <w:szCs w:val="24"/>
          <w:vertAlign w:val="superscript"/>
        </w:rPr>
        <w:t>226,227</w:t>
      </w:r>
      <w:r w:rsidRPr="00282F47">
        <w:rPr>
          <w:rFonts w:ascii="Arial" w:hAnsi="Arial" w:cs="Arial"/>
          <w:sz w:val="24"/>
          <w:szCs w:val="24"/>
        </w:rPr>
        <w:t>. Multiwavelength illumination between 680 nm and 900 nm was utilized for spectral enrichment. 10 μs acquisition time and 25 acquisitions per wavelength were used for image capture. Mice were continuously monitored to ensure distress minimization.</w:t>
      </w:r>
    </w:p>
    <w:p w14:paraId="2F44C6EC"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 xml:space="preserve">5.3.7 </w:t>
      </w:r>
      <w:r w:rsidRPr="00282F47">
        <w:rPr>
          <w:rFonts w:ascii="Arial" w:hAnsi="Arial" w:cs="Arial"/>
          <w:b/>
          <w:bCs/>
          <w:i/>
          <w:iCs/>
          <w:sz w:val="24"/>
          <w:szCs w:val="24"/>
        </w:rPr>
        <w:t>Ex Vivo</w:t>
      </w:r>
      <w:r w:rsidRPr="00282F47">
        <w:rPr>
          <w:rFonts w:ascii="Arial" w:hAnsi="Arial" w:cs="Arial"/>
          <w:b/>
          <w:bCs/>
          <w:sz w:val="24"/>
          <w:szCs w:val="24"/>
        </w:rPr>
        <w:t xml:space="preserve"> Organ Analysis</w:t>
      </w:r>
    </w:p>
    <w:p w14:paraId="7C90263F" w14:textId="7DB776A6"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After the 8 h imaging time point, several control and V7-TROS treated mice were euthanized, and evaluation of signal accumulation within the tumor was compared with off-target organs using fluorescence imaging by </w:t>
      </w:r>
      <w:r w:rsidR="00FB3FDE">
        <w:rPr>
          <w:rFonts w:ascii="Arial" w:hAnsi="Arial" w:cs="Arial"/>
          <w:sz w:val="24"/>
          <w:szCs w:val="24"/>
        </w:rPr>
        <w:t xml:space="preserve">the </w:t>
      </w:r>
      <w:r w:rsidRPr="00282F47">
        <w:rPr>
          <w:rFonts w:ascii="Arial" w:hAnsi="Arial" w:cs="Arial"/>
          <w:sz w:val="24"/>
          <w:szCs w:val="24"/>
        </w:rPr>
        <w:t xml:space="preserve">AMI. ROI analysis of IR780 cargo accumulation was used to verify MSOT data in the liver, kidney, and pancreas tumor. Liver and kidney were also evaluated for off-target toxicity using </w:t>
      </w:r>
      <w:r w:rsidR="00FB3FDE">
        <w:rPr>
          <w:rFonts w:ascii="Arial" w:hAnsi="Arial" w:cs="Arial"/>
          <w:sz w:val="24"/>
          <w:szCs w:val="24"/>
        </w:rPr>
        <w:t>hematoxylin and eosin (</w:t>
      </w:r>
      <w:r w:rsidRPr="00282F47">
        <w:rPr>
          <w:rFonts w:ascii="Arial" w:hAnsi="Arial" w:cs="Arial"/>
          <w:sz w:val="24"/>
          <w:szCs w:val="24"/>
        </w:rPr>
        <w:t>H&amp;E</w:t>
      </w:r>
      <w:r w:rsidR="00FB3FDE">
        <w:rPr>
          <w:rFonts w:ascii="Arial" w:hAnsi="Arial" w:cs="Arial"/>
          <w:sz w:val="24"/>
          <w:szCs w:val="24"/>
        </w:rPr>
        <w:t>)</w:t>
      </w:r>
      <w:r w:rsidRPr="00282F47">
        <w:rPr>
          <w:rFonts w:ascii="Arial" w:hAnsi="Arial" w:cs="Arial"/>
          <w:sz w:val="24"/>
          <w:szCs w:val="24"/>
        </w:rPr>
        <w:t xml:space="preserve"> staining.</w:t>
      </w:r>
    </w:p>
    <w:p w14:paraId="411828E9" w14:textId="77777777" w:rsidR="002027D2" w:rsidRPr="00282F47" w:rsidRDefault="002027D2" w:rsidP="003F5441">
      <w:pPr>
        <w:jc w:val="both"/>
        <w:rPr>
          <w:rFonts w:ascii="Arial" w:hAnsi="Arial" w:cs="Arial"/>
          <w:b/>
          <w:bCs/>
          <w:sz w:val="24"/>
          <w:szCs w:val="24"/>
        </w:rPr>
      </w:pPr>
      <w:r w:rsidRPr="00282F47">
        <w:rPr>
          <w:rFonts w:ascii="Arial" w:hAnsi="Arial" w:cs="Arial"/>
          <w:b/>
          <w:bCs/>
          <w:sz w:val="24"/>
          <w:szCs w:val="24"/>
        </w:rPr>
        <w:t>5.3.8 Statistical Analysis</w:t>
      </w:r>
    </w:p>
    <w:p w14:paraId="56E64D62"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 xml:space="preserve">Statistical evaluation of the </w:t>
      </w:r>
      <w:r w:rsidRPr="00282F47">
        <w:rPr>
          <w:rFonts w:ascii="Arial" w:hAnsi="Arial" w:cs="Arial"/>
          <w:i/>
          <w:iCs/>
          <w:sz w:val="24"/>
          <w:szCs w:val="24"/>
        </w:rPr>
        <w:t>in vitro</w:t>
      </w:r>
      <w:r w:rsidRPr="00282F47">
        <w:rPr>
          <w:rFonts w:ascii="Arial" w:hAnsi="Arial" w:cs="Arial"/>
          <w:sz w:val="24"/>
          <w:szCs w:val="24"/>
        </w:rPr>
        <w:t xml:space="preserve"> studies was performed using analysis of variance (ANOVA) and Tukey multiple comparison test with significance defined at p&lt;0.05. </w:t>
      </w:r>
      <w:r w:rsidRPr="00282F47">
        <w:rPr>
          <w:rFonts w:ascii="Arial" w:hAnsi="Arial" w:cs="Arial"/>
          <w:i/>
          <w:iCs/>
          <w:sz w:val="24"/>
          <w:szCs w:val="24"/>
        </w:rPr>
        <w:t>In vivo</w:t>
      </w:r>
      <w:r w:rsidRPr="00282F47">
        <w:rPr>
          <w:rFonts w:ascii="Arial" w:hAnsi="Arial" w:cs="Arial"/>
          <w:sz w:val="24"/>
          <w:szCs w:val="24"/>
        </w:rPr>
        <w:t xml:space="preserve"> pharmacokinetics were analyzed with repeated measures ANOVA at significance of p&lt;0.05. The </w:t>
      </w:r>
      <w:r w:rsidRPr="00282F47">
        <w:rPr>
          <w:rFonts w:ascii="Arial" w:hAnsi="Arial" w:cs="Arial"/>
          <w:i/>
          <w:iCs/>
          <w:sz w:val="24"/>
          <w:szCs w:val="24"/>
        </w:rPr>
        <w:t>in vivo</w:t>
      </w:r>
      <w:r w:rsidRPr="00282F47">
        <w:rPr>
          <w:rFonts w:ascii="Arial" w:hAnsi="Arial" w:cs="Arial"/>
          <w:sz w:val="24"/>
          <w:szCs w:val="24"/>
        </w:rPr>
        <w:t xml:space="preserve"> biodistribution and accumulation of the IR780 loaded V7-TROS and TROS nanoparticles containing IR780 in the pancreatic tumor, liver, and kidney were statistically analyzed using ANOVA with significance at p&lt;0.05.</w:t>
      </w:r>
    </w:p>
    <w:p w14:paraId="5C33812A" w14:textId="77777777" w:rsidR="002027D2" w:rsidRPr="00282F47" w:rsidRDefault="002027D2" w:rsidP="00F73DFD">
      <w:pPr>
        <w:pStyle w:val="Style4"/>
        <w:spacing w:after="240"/>
        <w:rPr>
          <w:color w:val="auto"/>
        </w:rPr>
      </w:pPr>
      <w:bookmarkStart w:id="54" w:name="_Toc152874284"/>
      <w:r w:rsidRPr="00282F47">
        <w:rPr>
          <w:color w:val="auto"/>
        </w:rPr>
        <w:lastRenderedPageBreak/>
        <w:t>5.4 Results and Discussion:</w:t>
      </w:r>
      <w:bookmarkEnd w:id="54"/>
    </w:p>
    <w:p w14:paraId="3EEF1CEC" w14:textId="77777777" w:rsidR="002027D2" w:rsidRPr="00282F47" w:rsidRDefault="002027D2" w:rsidP="00CA4E19">
      <w:pPr>
        <w:spacing w:line="240" w:lineRule="auto"/>
        <w:jc w:val="both"/>
        <w:rPr>
          <w:rFonts w:ascii="Arial" w:hAnsi="Arial" w:cs="Arial"/>
          <w:b/>
          <w:bCs/>
          <w:sz w:val="24"/>
          <w:szCs w:val="24"/>
        </w:rPr>
      </w:pPr>
      <w:r w:rsidRPr="00282F47">
        <w:rPr>
          <w:rFonts w:ascii="Arial" w:hAnsi="Arial" w:cs="Arial"/>
          <w:b/>
          <w:bCs/>
          <w:sz w:val="24"/>
          <w:szCs w:val="24"/>
        </w:rPr>
        <w:t>5.4.1 Physical Characteristics of TROS Nanoparticles</w:t>
      </w:r>
    </w:p>
    <w:p w14:paraId="76355C74" w14:textId="77777777" w:rsidR="002027D2" w:rsidRPr="00282F47" w:rsidRDefault="002027D2" w:rsidP="00AA77C1">
      <w:pPr>
        <w:spacing w:line="480" w:lineRule="auto"/>
        <w:jc w:val="both"/>
        <w:rPr>
          <w:rFonts w:ascii="Arial" w:hAnsi="Arial" w:cs="Arial"/>
          <w:sz w:val="24"/>
          <w:szCs w:val="24"/>
        </w:rPr>
      </w:pPr>
      <w:r w:rsidRPr="00282F47">
        <w:rPr>
          <w:rFonts w:ascii="Arial" w:hAnsi="Arial" w:cs="Arial"/>
          <w:sz w:val="24"/>
          <w:szCs w:val="24"/>
        </w:rPr>
        <w:t xml:space="preserve">Defining the optimum size range of nanoparticles is necessary for their successful theranostic use in cancer. This study evaluated the combined effect of nanoparticle active targeting and size on tumor specificity in an orthotopic </w:t>
      </w:r>
      <w:r w:rsidRPr="00282F47">
        <w:rPr>
          <w:rFonts w:ascii="Arial" w:hAnsi="Arial" w:cs="Arial"/>
          <w:i/>
          <w:iCs/>
          <w:sz w:val="24"/>
          <w:szCs w:val="24"/>
        </w:rPr>
        <w:t>in vivo</w:t>
      </w:r>
      <w:r w:rsidRPr="00282F47">
        <w:rPr>
          <w:rFonts w:ascii="Arial" w:hAnsi="Arial" w:cs="Arial"/>
          <w:sz w:val="24"/>
          <w:szCs w:val="24"/>
        </w:rPr>
        <w:t xml:space="preserve"> mouse model. Particle size was controlled by a modified Stöber synthesis approach</w:t>
      </w:r>
      <w:r w:rsidRPr="00282F47">
        <w:rPr>
          <w:rFonts w:ascii="Arial" w:hAnsi="Arial" w:cs="Arial"/>
          <w:noProof/>
          <w:sz w:val="24"/>
          <w:szCs w:val="24"/>
          <w:vertAlign w:val="superscript"/>
        </w:rPr>
        <w:t>228</w:t>
      </w:r>
      <w:r w:rsidRPr="00282F47">
        <w:rPr>
          <w:rFonts w:ascii="Arial" w:hAnsi="Arial" w:cs="Arial"/>
          <w:sz w:val="24"/>
          <w:szCs w:val="24"/>
        </w:rPr>
        <w:t xml:space="preserve">. The synthesis procedure is graphically outlined in </w:t>
      </w:r>
      <w:r w:rsidRPr="00282F47">
        <w:rPr>
          <w:rFonts w:ascii="Arial" w:hAnsi="Arial" w:cs="Arial"/>
          <w:b/>
          <w:bCs/>
          <w:sz w:val="24"/>
          <w:szCs w:val="24"/>
        </w:rPr>
        <w:t>Figure 5.1</w:t>
      </w:r>
      <w:r w:rsidRPr="00282F47">
        <w:rPr>
          <w:rFonts w:ascii="Arial" w:hAnsi="Arial" w:cs="Arial"/>
          <w:sz w:val="24"/>
          <w:szCs w:val="24"/>
        </w:rPr>
        <w:t>. Three size-distinct MSNs, TMOS, TEOS, and TPOS, were successfully synthesized in a narrow size range with low batch-to-batch variability.</w:t>
      </w:r>
    </w:p>
    <w:p w14:paraId="7828BC5B" w14:textId="6D5CA337" w:rsidR="002027D2" w:rsidRPr="00282F47" w:rsidRDefault="002027D2" w:rsidP="00AA77C1">
      <w:pPr>
        <w:spacing w:line="480" w:lineRule="auto"/>
        <w:jc w:val="both"/>
        <w:rPr>
          <w:rFonts w:ascii="Arial" w:hAnsi="Arial" w:cs="Arial"/>
          <w:sz w:val="24"/>
          <w:szCs w:val="24"/>
        </w:rPr>
      </w:pPr>
      <w:r w:rsidRPr="00282F47">
        <w:rPr>
          <w:rFonts w:ascii="Arial" w:hAnsi="Arial" w:cs="Arial"/>
          <w:sz w:val="24"/>
          <w:szCs w:val="24"/>
        </w:rPr>
        <w:t>Average core particle diameters were 26 ± 3.1, 45 ± 3.8, and 73 ± 4.2 nm (TMOS, TEOS, and TPOS) with corresponding average pore sizes of 1.3 ± 0.2, 1.5 ± 0.2, and 1.7 ± 0.2 nm for TMOS, TEOS, and TPOS, respectively, as measured by transmission electron microscopy (TEM) (n= 25 particles/pore) (</w:t>
      </w:r>
      <w:r w:rsidRPr="00282F47">
        <w:rPr>
          <w:rFonts w:ascii="Arial" w:hAnsi="Arial" w:cs="Arial"/>
          <w:b/>
          <w:bCs/>
          <w:sz w:val="24"/>
          <w:szCs w:val="24"/>
        </w:rPr>
        <w:t>Figure 5.2A−C</w:t>
      </w:r>
      <w:r w:rsidRPr="00282F47">
        <w:rPr>
          <w:rFonts w:ascii="Arial" w:hAnsi="Arial" w:cs="Arial"/>
          <w:sz w:val="24"/>
          <w:szCs w:val="24"/>
        </w:rPr>
        <w:t>). The hydrodynamic diameters for the particles were slightly larger as measured with DLS</w:t>
      </w:r>
      <w:r w:rsidR="00FB3FDE">
        <w:rPr>
          <w:rFonts w:ascii="Arial" w:hAnsi="Arial" w:cs="Arial"/>
          <w:sz w:val="24"/>
          <w:szCs w:val="24"/>
        </w:rPr>
        <w:t xml:space="preserve"> </w:t>
      </w:r>
      <w:r w:rsidRPr="00282F47">
        <w:rPr>
          <w:rFonts w:ascii="Arial" w:hAnsi="Arial" w:cs="Arial"/>
          <w:sz w:val="24"/>
          <w:szCs w:val="24"/>
        </w:rPr>
        <w:t>(</w:t>
      </w:r>
      <w:r w:rsidRPr="00282F47">
        <w:rPr>
          <w:rFonts w:ascii="Arial" w:hAnsi="Arial" w:cs="Arial"/>
          <w:b/>
          <w:bCs/>
          <w:sz w:val="24"/>
          <w:szCs w:val="24"/>
        </w:rPr>
        <w:t>Figure 5.2D</w:t>
      </w:r>
      <w:r w:rsidRPr="00282F47">
        <w:rPr>
          <w:rFonts w:ascii="Arial" w:hAnsi="Arial" w:cs="Arial"/>
          <w:sz w:val="24"/>
          <w:szCs w:val="24"/>
        </w:rPr>
        <w:t>). Full DLS distributions are included (</w:t>
      </w:r>
      <w:r w:rsidRPr="00282F47">
        <w:rPr>
          <w:rFonts w:ascii="Arial" w:hAnsi="Arial" w:cs="Arial"/>
          <w:b/>
          <w:bCs/>
          <w:sz w:val="24"/>
          <w:szCs w:val="24"/>
        </w:rPr>
        <w:t>Figure 5.2H</w:t>
      </w:r>
      <w:r w:rsidRPr="00282F47">
        <w:rPr>
          <w:rFonts w:ascii="Arial" w:hAnsi="Arial" w:cs="Arial"/>
          <w:sz w:val="24"/>
          <w:szCs w:val="24"/>
        </w:rPr>
        <w:t>). DLS measurements of hydrodynamic diameters are reportedly slightly larger than core MSN diameters due to inclusion of nanoparticle-related hydration shells</w:t>
      </w:r>
      <w:r w:rsidRPr="00282F47">
        <w:rPr>
          <w:rFonts w:ascii="Arial" w:hAnsi="Arial" w:cs="Arial"/>
          <w:noProof/>
          <w:sz w:val="24"/>
          <w:szCs w:val="24"/>
          <w:vertAlign w:val="superscript"/>
        </w:rPr>
        <w:t>228</w:t>
      </w:r>
      <w:r w:rsidRPr="00282F47">
        <w:rPr>
          <w:rFonts w:ascii="Arial" w:hAnsi="Arial" w:cs="Arial"/>
          <w:sz w:val="24"/>
          <w:szCs w:val="24"/>
        </w:rPr>
        <w:t>. The PDI showed that MSNs were prepared as a monodisperse distribution (</w:t>
      </w:r>
      <w:r w:rsidRPr="00282F47">
        <w:rPr>
          <w:rFonts w:ascii="Arial" w:hAnsi="Arial" w:cs="Arial"/>
          <w:b/>
          <w:bCs/>
          <w:sz w:val="24"/>
          <w:szCs w:val="24"/>
        </w:rPr>
        <w:t>Figure 5.2E</w:t>
      </w:r>
      <w:r w:rsidRPr="00282F47">
        <w:rPr>
          <w:rFonts w:ascii="Arial" w:hAnsi="Arial" w:cs="Arial"/>
          <w:sz w:val="24"/>
          <w:szCs w:val="24"/>
        </w:rPr>
        <w:t>). The mean PDI of core TMOS, TEOS, and TPOS was low and stable over several months</w:t>
      </w:r>
      <w:r w:rsidRPr="00282F47">
        <w:rPr>
          <w:rFonts w:ascii="Arial" w:hAnsi="Arial" w:cs="Arial"/>
          <w:noProof/>
          <w:sz w:val="24"/>
          <w:szCs w:val="24"/>
          <w:vertAlign w:val="superscript"/>
        </w:rPr>
        <w:t>229,230</w:t>
      </w:r>
      <w:r w:rsidRPr="00282F47">
        <w:rPr>
          <w:rFonts w:ascii="Arial" w:hAnsi="Arial" w:cs="Arial"/>
          <w:sz w:val="24"/>
          <w:szCs w:val="24"/>
        </w:rPr>
        <w:t>. BJH analysis was used to interpret BET results</w:t>
      </w:r>
      <w:r w:rsidRPr="00282F47">
        <w:rPr>
          <w:rFonts w:ascii="Arial" w:hAnsi="Arial" w:cs="Arial"/>
          <w:noProof/>
          <w:sz w:val="24"/>
          <w:szCs w:val="24"/>
          <w:vertAlign w:val="superscript"/>
        </w:rPr>
        <w:t>153</w:t>
      </w:r>
      <w:r w:rsidRPr="00282F47">
        <w:rPr>
          <w:rFonts w:ascii="Arial" w:hAnsi="Arial" w:cs="Arial"/>
          <w:sz w:val="24"/>
          <w:szCs w:val="24"/>
        </w:rPr>
        <w:t xml:space="preserve"> to determine the surface area and pore volume (</w:t>
      </w:r>
      <w:r w:rsidRPr="00282F47">
        <w:rPr>
          <w:rFonts w:ascii="Arial" w:hAnsi="Arial" w:cs="Arial"/>
          <w:b/>
          <w:bCs/>
          <w:sz w:val="24"/>
          <w:szCs w:val="24"/>
        </w:rPr>
        <w:t>Figure 5.2F-G</w:t>
      </w:r>
      <w:r w:rsidRPr="00282F47">
        <w:rPr>
          <w:rFonts w:ascii="Arial" w:hAnsi="Arial" w:cs="Arial"/>
          <w:sz w:val="24"/>
          <w:szCs w:val="24"/>
        </w:rPr>
        <w:t xml:space="preserve">). The pore volume as determined in </w:t>
      </w:r>
      <w:r w:rsidRPr="00282F47">
        <w:rPr>
          <w:rFonts w:ascii="Arial" w:hAnsi="Arial" w:cs="Arial"/>
          <w:b/>
          <w:bCs/>
          <w:sz w:val="24"/>
          <w:szCs w:val="24"/>
        </w:rPr>
        <w:t>Figure 5.2F</w:t>
      </w:r>
      <w:r w:rsidRPr="00282F47">
        <w:rPr>
          <w:rFonts w:ascii="Arial" w:hAnsi="Arial" w:cs="Arial"/>
          <w:sz w:val="24"/>
          <w:szCs w:val="24"/>
        </w:rPr>
        <w:t xml:space="preserve"> represents a surface-level measurement, rather than a complete measure of the total pore volume throughout the nanoparticles, resulting in similar measures for differently sized particles. TMOS particles may have larger pore volumes due to pore overlap as a result of small particle size. Decreases in the surface </w:t>
      </w:r>
      <w:r w:rsidRPr="00282F47">
        <w:rPr>
          <w:rFonts w:ascii="Arial" w:hAnsi="Arial" w:cs="Arial"/>
          <w:sz w:val="24"/>
          <w:szCs w:val="24"/>
        </w:rPr>
        <w:lastRenderedPageBreak/>
        <w:t>area dependent upon size are a result of differences in hydrolysis rates</w:t>
      </w:r>
      <w:r w:rsidRPr="00282F47">
        <w:rPr>
          <w:rFonts w:ascii="Arial" w:hAnsi="Arial" w:cs="Arial"/>
          <w:noProof/>
          <w:sz w:val="24"/>
          <w:szCs w:val="24"/>
          <w:vertAlign w:val="superscript"/>
        </w:rPr>
        <w:t>228</w:t>
      </w:r>
      <w:r w:rsidRPr="00282F47">
        <w:rPr>
          <w:rFonts w:ascii="Arial" w:hAnsi="Arial" w:cs="Arial"/>
          <w:sz w:val="24"/>
          <w:szCs w:val="24"/>
        </w:rPr>
        <w:t>. Precursor selection determines preferential nucleation of new particles and outward growth of existing particles in the synthesis mixture</w:t>
      </w:r>
      <w:r w:rsidRPr="00282F47">
        <w:rPr>
          <w:rFonts w:ascii="Arial" w:hAnsi="Arial" w:cs="Arial"/>
          <w:noProof/>
          <w:sz w:val="24"/>
          <w:szCs w:val="24"/>
          <w:vertAlign w:val="superscript"/>
        </w:rPr>
        <w:t>228</w:t>
      </w:r>
      <w:r w:rsidRPr="00282F47">
        <w:rPr>
          <w:rFonts w:ascii="Arial" w:hAnsi="Arial" w:cs="Arial"/>
          <w:sz w:val="24"/>
          <w:szCs w:val="24"/>
        </w:rPr>
        <w:t>.</w:t>
      </w:r>
    </w:p>
    <w:p w14:paraId="4DCEF6C1" w14:textId="7E28AF4A" w:rsidR="002027D2" w:rsidRPr="00282F47" w:rsidRDefault="002027D2" w:rsidP="00AA77C1">
      <w:pPr>
        <w:spacing w:line="480" w:lineRule="auto"/>
        <w:jc w:val="both"/>
        <w:rPr>
          <w:rFonts w:ascii="Arial" w:hAnsi="Arial" w:cs="Arial"/>
          <w:sz w:val="24"/>
          <w:szCs w:val="24"/>
        </w:rPr>
      </w:pPr>
      <w:r w:rsidRPr="00282F47">
        <w:rPr>
          <w:rFonts w:ascii="Arial" w:hAnsi="Arial" w:cs="Arial"/>
          <w:sz w:val="24"/>
          <w:szCs w:val="24"/>
        </w:rPr>
        <w:t>TROS synthesis was followed by conjugation with a natural polysaccharide, chitosan, as a gatekeeping molecule for encapsulation of the contrast agent IR780 within pores. IR780 is a hydrophobic nonaggregate cargo and was selected in this study due to its ability to generate optoacoustic signals</w:t>
      </w:r>
      <w:r w:rsidRPr="00282F47">
        <w:rPr>
          <w:rFonts w:ascii="Arial" w:hAnsi="Arial" w:cs="Arial"/>
          <w:noProof/>
          <w:sz w:val="24"/>
          <w:szCs w:val="24"/>
          <w:vertAlign w:val="superscript"/>
        </w:rPr>
        <w:t>22,125</w:t>
      </w:r>
      <w:r w:rsidRPr="00282F47">
        <w:rPr>
          <w:rFonts w:ascii="Arial" w:hAnsi="Arial" w:cs="Arial"/>
          <w:sz w:val="24"/>
          <w:szCs w:val="24"/>
        </w:rPr>
        <w:t>. TROS were dialyzed, conjugated with the (3-glycidyloxypropyl) trimethoxysilane (GPTMS) linker (TROS-GPTMS), and conjugated with chitosan (TROS-C), each confirmed by zeta potential changes. TROS were then conjugated with APTES (TROS-C-APTES) and the V7 (TROS-C-V7) peptide, again confirmed with zeta potential changes (</w:t>
      </w:r>
      <w:r w:rsidRPr="00282F47">
        <w:rPr>
          <w:rFonts w:ascii="Arial" w:hAnsi="Arial" w:cs="Arial"/>
          <w:b/>
          <w:bCs/>
          <w:sz w:val="24"/>
          <w:szCs w:val="24"/>
        </w:rPr>
        <w:t>Figure 5.3A</w:t>
      </w:r>
      <w:r w:rsidRPr="00282F47">
        <w:rPr>
          <w:rFonts w:ascii="Arial" w:hAnsi="Arial" w:cs="Arial"/>
          <w:sz w:val="24"/>
          <w:szCs w:val="24"/>
        </w:rPr>
        <w:t>). IR780 encapsulation increased with increases in particle size: 1.01×10</w:t>
      </w:r>
      <w:r w:rsidRPr="00282F47">
        <w:rPr>
          <w:rFonts w:ascii="Arial" w:hAnsi="Arial" w:cs="Arial"/>
          <w:sz w:val="24"/>
          <w:szCs w:val="24"/>
          <w:vertAlign w:val="superscript"/>
        </w:rPr>
        <w:t>8</w:t>
      </w:r>
      <w:r w:rsidRPr="00282F47">
        <w:rPr>
          <w:rFonts w:ascii="Arial" w:hAnsi="Arial" w:cs="Arial"/>
          <w:sz w:val="24"/>
          <w:szCs w:val="24"/>
        </w:rPr>
        <w:t xml:space="preserve"> dye molecules/TMOS particle, 3.38×10</w:t>
      </w:r>
      <w:r w:rsidRPr="00282F47">
        <w:rPr>
          <w:rFonts w:ascii="Arial" w:hAnsi="Arial" w:cs="Arial"/>
          <w:sz w:val="24"/>
          <w:szCs w:val="24"/>
          <w:vertAlign w:val="superscript"/>
        </w:rPr>
        <w:t>8</w:t>
      </w:r>
      <w:r w:rsidRPr="00282F47">
        <w:rPr>
          <w:rFonts w:ascii="Arial" w:hAnsi="Arial" w:cs="Arial"/>
          <w:sz w:val="24"/>
          <w:szCs w:val="24"/>
        </w:rPr>
        <w:t xml:space="preserve"> dye molecules/TEOS particle, and 5.62×10</w:t>
      </w:r>
      <w:r w:rsidRPr="00282F47">
        <w:rPr>
          <w:rFonts w:ascii="Arial" w:hAnsi="Arial" w:cs="Arial"/>
          <w:sz w:val="24"/>
          <w:szCs w:val="24"/>
          <w:vertAlign w:val="superscript"/>
        </w:rPr>
        <w:t>8</w:t>
      </w:r>
      <w:r w:rsidRPr="00282F47">
        <w:rPr>
          <w:rFonts w:ascii="Arial" w:hAnsi="Arial" w:cs="Arial"/>
          <w:sz w:val="24"/>
          <w:szCs w:val="24"/>
        </w:rPr>
        <w:t xml:space="preserve"> dye molecules/TPOS particle (</w:t>
      </w:r>
      <w:r w:rsidRPr="00282F47">
        <w:rPr>
          <w:rFonts w:ascii="Arial" w:hAnsi="Arial" w:cs="Arial"/>
          <w:b/>
          <w:bCs/>
          <w:sz w:val="24"/>
          <w:szCs w:val="24"/>
        </w:rPr>
        <w:t xml:space="preserve">Figure 5.3B </w:t>
      </w:r>
      <w:r w:rsidRPr="00282F47">
        <w:rPr>
          <w:rFonts w:ascii="Arial" w:hAnsi="Arial" w:cs="Arial"/>
          <w:sz w:val="24"/>
          <w:szCs w:val="24"/>
        </w:rPr>
        <w:t xml:space="preserve">and </w:t>
      </w:r>
      <w:r w:rsidRPr="00282F47">
        <w:rPr>
          <w:rFonts w:ascii="Arial" w:hAnsi="Arial" w:cs="Arial"/>
          <w:b/>
          <w:bCs/>
          <w:sz w:val="24"/>
          <w:szCs w:val="24"/>
        </w:rPr>
        <w:t>Supporting Figure S5.2</w:t>
      </w:r>
      <w:r w:rsidRPr="00282F47">
        <w:rPr>
          <w:rFonts w:ascii="Arial" w:hAnsi="Arial" w:cs="Arial"/>
          <w:sz w:val="24"/>
          <w:szCs w:val="24"/>
        </w:rPr>
        <w:t>). Following dye encapsulation, TROS particles were functionalized with the V7 ligand for active tumor targeting, confirmed by zeta potential measurement (</w:t>
      </w:r>
      <w:r w:rsidRPr="00282F47">
        <w:rPr>
          <w:rFonts w:ascii="Arial" w:hAnsi="Arial" w:cs="Arial"/>
          <w:b/>
          <w:bCs/>
          <w:sz w:val="24"/>
          <w:szCs w:val="24"/>
        </w:rPr>
        <w:t>Figure 5.3A</w:t>
      </w:r>
      <w:r w:rsidRPr="00282F47">
        <w:rPr>
          <w:rFonts w:ascii="Arial" w:hAnsi="Arial" w:cs="Arial"/>
          <w:sz w:val="24"/>
          <w:szCs w:val="24"/>
        </w:rPr>
        <w:t>). Differences in the conjugation density of V7 peptide were observed according to TROS size: 2.0×10</w:t>
      </w:r>
      <w:r w:rsidRPr="00282F47">
        <w:rPr>
          <w:rFonts w:ascii="Arial" w:hAnsi="Arial" w:cs="Arial"/>
          <w:sz w:val="24"/>
          <w:szCs w:val="24"/>
          <w:vertAlign w:val="superscript"/>
        </w:rPr>
        <w:t>3</w:t>
      </w:r>
      <w:r w:rsidRPr="00282F47">
        <w:rPr>
          <w:rFonts w:ascii="Arial" w:hAnsi="Arial" w:cs="Arial"/>
          <w:sz w:val="24"/>
          <w:szCs w:val="24"/>
        </w:rPr>
        <w:t xml:space="preserve"> V7 molecules/particle for TMOS, 2.0×10</w:t>
      </w:r>
      <w:r w:rsidRPr="00282F47">
        <w:rPr>
          <w:rFonts w:ascii="Arial" w:hAnsi="Arial" w:cs="Arial"/>
          <w:sz w:val="24"/>
          <w:szCs w:val="24"/>
          <w:vertAlign w:val="superscript"/>
        </w:rPr>
        <w:t>3</w:t>
      </w:r>
      <w:r w:rsidRPr="00282F47">
        <w:rPr>
          <w:rFonts w:ascii="Arial" w:hAnsi="Arial" w:cs="Arial"/>
          <w:sz w:val="24"/>
          <w:szCs w:val="24"/>
        </w:rPr>
        <w:t xml:space="preserve"> V7 molecules/particle for TEOS, and 2.0×10</w:t>
      </w:r>
      <w:r w:rsidRPr="00282F47">
        <w:rPr>
          <w:rFonts w:ascii="Arial" w:hAnsi="Arial" w:cs="Arial"/>
          <w:sz w:val="24"/>
          <w:szCs w:val="24"/>
          <w:vertAlign w:val="superscript"/>
        </w:rPr>
        <w:t>8</w:t>
      </w:r>
      <w:r w:rsidRPr="00282F47">
        <w:rPr>
          <w:rFonts w:ascii="Arial" w:hAnsi="Arial" w:cs="Arial"/>
          <w:sz w:val="24"/>
          <w:szCs w:val="24"/>
        </w:rPr>
        <w:t xml:space="preserve"> V7 molecules/particle for TPOS. Steric hindrance may inhibit optimal binding to TMOS and TEOS in this assay. In addition, the small size of V7 coupled with large nanoparticles carries considerable error with measurement of bound protein concentration.</w:t>
      </w:r>
    </w:p>
    <w:p w14:paraId="17DD2228" w14:textId="77777777" w:rsidR="002027D2" w:rsidRPr="00282F47" w:rsidRDefault="002027D2" w:rsidP="00AA77C1">
      <w:pPr>
        <w:spacing w:line="24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4125B4BF" wp14:editId="5E93E23F">
            <wp:extent cx="4930588" cy="6422792"/>
            <wp:effectExtent l="0" t="0" r="3810" b="0"/>
            <wp:docPr id="20196284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45926" cy="6442772"/>
                    </a:xfrm>
                    <a:prstGeom prst="rect">
                      <a:avLst/>
                    </a:prstGeom>
                    <a:noFill/>
                  </pic:spPr>
                </pic:pic>
              </a:graphicData>
            </a:graphic>
          </wp:inline>
        </w:drawing>
      </w:r>
    </w:p>
    <w:p w14:paraId="1672FE14" w14:textId="57D1E721"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5.2:</w:t>
      </w:r>
      <w:r w:rsidRPr="00282F47">
        <w:rPr>
          <w:rFonts w:ascii="Arial" w:hAnsi="Arial" w:cs="Arial"/>
          <w:sz w:val="24"/>
          <w:szCs w:val="24"/>
        </w:rPr>
        <w:t xml:space="preserve"> Characterization of TROS MSN size, pore volume, and surface area. Low magnification transmission electron micrograph (TEM) images, with high magnification insets of A) TMOS, B) TEOS, and C) TPOS demonstrate average particle diameters of 26 ± 3.1 nm, 45 ± 3.8 nm, and 73 ± 4.2 nm. D) Corresponding DLS data of 32 ± 3 nm for TMOS, 48 ± 5 nm for TEOS, and 75 ± 2 nm for TPOS. E) Polydispersity index of TROS MSNs. F) BJH method-computed adsorption/desorption pore volume and G) surface area of TROS MSNs following BET analysis. H) Full DLS distribution of TMOS, TEOS, and TPOS. No p-values to report.</w:t>
      </w:r>
    </w:p>
    <w:p w14:paraId="5B29DD26" w14:textId="77777777" w:rsidR="004B4BA2" w:rsidRPr="00282F47" w:rsidRDefault="004B4BA2" w:rsidP="004B4BA2">
      <w:pPr>
        <w:spacing w:line="276" w:lineRule="auto"/>
        <w:jc w:val="both"/>
        <w:rPr>
          <w:rFonts w:ascii="Arial" w:hAnsi="Arial" w:cs="Arial"/>
          <w:sz w:val="24"/>
          <w:szCs w:val="24"/>
        </w:rPr>
      </w:pPr>
    </w:p>
    <w:p w14:paraId="548A0A80" w14:textId="77777777" w:rsidR="002027D2" w:rsidRPr="00282F47" w:rsidRDefault="002027D2" w:rsidP="00CA4E19">
      <w:pPr>
        <w:spacing w:line="240" w:lineRule="auto"/>
        <w:jc w:val="both"/>
        <w:rPr>
          <w:rFonts w:ascii="Arial" w:hAnsi="Arial" w:cs="Arial"/>
          <w:b/>
          <w:bCs/>
          <w:sz w:val="24"/>
          <w:szCs w:val="24"/>
        </w:rPr>
      </w:pPr>
      <w:r w:rsidRPr="00282F47">
        <w:rPr>
          <w:rFonts w:ascii="Arial" w:hAnsi="Arial" w:cs="Arial"/>
          <w:b/>
          <w:bCs/>
          <w:sz w:val="24"/>
          <w:szCs w:val="24"/>
        </w:rPr>
        <w:t>5.4.2 V7-TROS Toxicity Evaluated in Pancreatic Tumor Cells and Nonmalignant Cells</w:t>
      </w:r>
    </w:p>
    <w:p w14:paraId="4EC1A40B" w14:textId="77777777" w:rsidR="002027D2" w:rsidRPr="00282F47" w:rsidRDefault="002027D2" w:rsidP="00AA77C1">
      <w:pPr>
        <w:spacing w:line="480" w:lineRule="auto"/>
        <w:jc w:val="both"/>
        <w:rPr>
          <w:rFonts w:ascii="Arial" w:hAnsi="Arial" w:cs="Arial"/>
          <w:sz w:val="24"/>
          <w:szCs w:val="24"/>
        </w:rPr>
      </w:pPr>
      <w:r w:rsidRPr="00282F47">
        <w:rPr>
          <w:rFonts w:ascii="Arial" w:hAnsi="Arial" w:cs="Arial"/>
          <w:sz w:val="24"/>
          <w:szCs w:val="24"/>
        </w:rPr>
        <w:t>Due to limited data on toxicity of chitosan-capped MSNs, S2VP10 and MiaPaca-2 human pancreatic cancer cells and nonmalignant liver (THLE-2) and kidney (NK-2) cells were treated with V7-TROS and passively targeted TROS. Kidney and liver cells were chosen due to being the two organs responsible of clearance of V7-TMOS from plasma. 24 h following treatment, cell viability was evaluated. No statistically significant differences in cell viability were observed in any cell line as a result of active targeting or size (p &gt; 0.05) (</w:t>
      </w:r>
      <w:r w:rsidRPr="00282F47">
        <w:rPr>
          <w:rFonts w:ascii="Arial" w:hAnsi="Arial" w:cs="Arial"/>
          <w:b/>
          <w:bCs/>
          <w:sz w:val="24"/>
          <w:szCs w:val="24"/>
        </w:rPr>
        <w:t>Supporting Figure S5.3</w:t>
      </w:r>
      <w:r w:rsidRPr="00282F47">
        <w:rPr>
          <w:rFonts w:ascii="Arial" w:hAnsi="Arial" w:cs="Arial"/>
          <w:sz w:val="24"/>
          <w:szCs w:val="24"/>
        </w:rPr>
        <w:t>).</w:t>
      </w:r>
    </w:p>
    <w:p w14:paraId="75BF2823" w14:textId="77777777" w:rsidR="002027D2" w:rsidRPr="00282F47" w:rsidRDefault="002027D2" w:rsidP="00CA4E19">
      <w:pPr>
        <w:spacing w:line="240" w:lineRule="auto"/>
        <w:jc w:val="both"/>
        <w:rPr>
          <w:rFonts w:ascii="Arial" w:hAnsi="Arial" w:cs="Arial"/>
          <w:b/>
          <w:bCs/>
          <w:sz w:val="24"/>
          <w:szCs w:val="24"/>
        </w:rPr>
      </w:pPr>
      <w:r w:rsidRPr="00282F47">
        <w:rPr>
          <w:rFonts w:ascii="Arial" w:hAnsi="Arial" w:cs="Arial"/>
          <w:b/>
          <w:bCs/>
          <w:sz w:val="24"/>
          <w:szCs w:val="24"/>
        </w:rPr>
        <w:t>5.4.3 pH-Specific Release of TROS</w:t>
      </w:r>
    </w:p>
    <w:p w14:paraId="4173C75E" w14:textId="77777777" w:rsidR="002027D2" w:rsidRPr="00282F47" w:rsidRDefault="002027D2" w:rsidP="00AA77C1">
      <w:pPr>
        <w:spacing w:line="480" w:lineRule="auto"/>
        <w:jc w:val="both"/>
        <w:rPr>
          <w:rFonts w:ascii="Arial" w:hAnsi="Arial" w:cs="Arial"/>
          <w:sz w:val="24"/>
          <w:szCs w:val="24"/>
        </w:rPr>
      </w:pPr>
      <w:r w:rsidRPr="00282F47">
        <w:rPr>
          <w:rFonts w:ascii="Arial" w:hAnsi="Arial" w:cs="Arial"/>
          <w:sz w:val="24"/>
          <w:szCs w:val="24"/>
        </w:rPr>
        <w:t>The distinctive spectroscopic feature of IR780 (</w:t>
      </w:r>
      <w:r w:rsidRPr="00282F47">
        <w:rPr>
          <w:rFonts w:ascii="Arial" w:hAnsi="Arial" w:cs="Arial"/>
          <w:b/>
          <w:bCs/>
          <w:sz w:val="24"/>
          <w:szCs w:val="24"/>
        </w:rPr>
        <w:t>Figure 5.3C</w:t>
      </w:r>
      <w:r w:rsidRPr="00282F47">
        <w:rPr>
          <w:rFonts w:ascii="Arial" w:hAnsi="Arial" w:cs="Arial"/>
          <w:sz w:val="24"/>
          <w:szCs w:val="24"/>
        </w:rPr>
        <w:t>) allows for studying dye release from TROS. The efficacy of chitosan for contrast agent release was assessed by a dye release assay that simulates acidic conditions</w:t>
      </w:r>
      <w:r w:rsidRPr="00282F47">
        <w:rPr>
          <w:rFonts w:ascii="Arial" w:hAnsi="Arial" w:cs="Arial"/>
          <w:noProof/>
          <w:sz w:val="24"/>
          <w:szCs w:val="24"/>
          <w:vertAlign w:val="superscript"/>
        </w:rPr>
        <w:t>22</w:t>
      </w:r>
      <w:r w:rsidRPr="00282F47">
        <w:rPr>
          <w:rFonts w:ascii="Arial" w:hAnsi="Arial" w:cs="Arial"/>
          <w:sz w:val="24"/>
          <w:szCs w:val="24"/>
        </w:rPr>
        <w:t xml:space="preserve"> (</w:t>
      </w:r>
      <w:r w:rsidRPr="00282F47">
        <w:rPr>
          <w:rFonts w:ascii="Arial" w:hAnsi="Arial" w:cs="Arial"/>
          <w:b/>
          <w:bCs/>
          <w:sz w:val="24"/>
          <w:szCs w:val="24"/>
        </w:rPr>
        <w:t>Figure 5.3D−F</w:t>
      </w:r>
      <w:r w:rsidRPr="00282F47">
        <w:rPr>
          <w:rFonts w:ascii="Arial" w:hAnsi="Arial" w:cs="Arial"/>
          <w:sz w:val="24"/>
          <w:szCs w:val="24"/>
        </w:rPr>
        <w:t xml:space="preserve">). The release characteristics of TMOS, TEOS, and TPOS nanoparticles were all similar for </w:t>
      </w:r>
      <w:r w:rsidRPr="00282F47">
        <w:rPr>
          <w:rFonts w:ascii="Arial" w:hAnsi="Arial" w:cs="Arial"/>
          <w:i/>
          <w:iCs/>
          <w:sz w:val="24"/>
          <w:szCs w:val="24"/>
        </w:rPr>
        <w:t>in vitro</w:t>
      </w:r>
      <w:r w:rsidRPr="00282F47">
        <w:rPr>
          <w:rFonts w:ascii="Arial" w:hAnsi="Arial" w:cs="Arial"/>
          <w:sz w:val="24"/>
          <w:szCs w:val="24"/>
        </w:rPr>
        <w:t xml:space="preserve"> pH-controlled cargo release. TMOS, TEOS, and TPOS particles released the highest amount, 90−94%, of the encapsulated IR780 dye at pH 6.6, with lower release, 62−72%, at pH 6.8 (TMOS p=0.0043, TEOS p=0.0490, and TPOS p=0.1271) and 10−17% at pH 7.4 (TMOS p=0.0010, TEOS p=0.0010, and TPOS p=0.0010). </w:t>
      </w:r>
    </w:p>
    <w:p w14:paraId="11B43658" w14:textId="77777777" w:rsidR="002027D2" w:rsidRPr="00282F47" w:rsidRDefault="002027D2" w:rsidP="00AA77C1">
      <w:pPr>
        <w:spacing w:line="24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6A5B6313" wp14:editId="4EF4C816">
            <wp:extent cx="5380074" cy="5170297"/>
            <wp:effectExtent l="0" t="0" r="0" b="0"/>
            <wp:docPr id="9455436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84190" cy="5174253"/>
                    </a:xfrm>
                    <a:prstGeom prst="rect">
                      <a:avLst/>
                    </a:prstGeom>
                    <a:noFill/>
                  </pic:spPr>
                </pic:pic>
              </a:graphicData>
            </a:graphic>
          </wp:inline>
        </w:drawing>
      </w:r>
    </w:p>
    <w:p w14:paraId="0A99014D" w14:textId="0E3DCF86"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5.3:</w:t>
      </w:r>
      <w:r w:rsidRPr="00282F47">
        <w:rPr>
          <w:rFonts w:ascii="Arial" w:hAnsi="Arial" w:cs="Arial"/>
          <w:sz w:val="24"/>
          <w:szCs w:val="24"/>
        </w:rPr>
        <w:t xml:space="preserve"> Characterization of TROS MSN charge, cargo encapsulation, and pH-specific release via chitosan. A) Zeta potential measurements confirm removal of surfactant from TROS and conjugation of additions to TROS. B) Dye molecules per particle for three TROS particle sizes. C) Absorbance spectra of optoacoustic contrast agent IR780. D) IR780 release, as facilitated by chitosan from TMOS particles at pH 7.4-6.6. E) IR780 release from TEOS particles at pH 7.4-6.6. F) IR780 release from TPOS particles at pH 7.4-6.6. No p-values to report.</w:t>
      </w:r>
    </w:p>
    <w:p w14:paraId="17AF408E" w14:textId="77777777" w:rsidR="004B4BA2" w:rsidRPr="00282F47" w:rsidRDefault="004B4BA2" w:rsidP="004B4BA2">
      <w:pPr>
        <w:spacing w:line="276" w:lineRule="auto"/>
        <w:jc w:val="both"/>
        <w:rPr>
          <w:rFonts w:ascii="Arial" w:hAnsi="Arial" w:cs="Arial"/>
          <w:sz w:val="24"/>
          <w:szCs w:val="24"/>
        </w:rPr>
      </w:pPr>
    </w:p>
    <w:p w14:paraId="2AD39DF9" w14:textId="77777777" w:rsidR="002027D2" w:rsidRPr="00282F47" w:rsidRDefault="002027D2" w:rsidP="00CA4E19">
      <w:pPr>
        <w:spacing w:line="240" w:lineRule="auto"/>
        <w:jc w:val="both"/>
        <w:rPr>
          <w:rFonts w:ascii="Arial" w:hAnsi="Arial" w:cs="Arial"/>
          <w:b/>
          <w:bCs/>
          <w:sz w:val="24"/>
          <w:szCs w:val="24"/>
        </w:rPr>
      </w:pPr>
      <w:r w:rsidRPr="00282F47">
        <w:rPr>
          <w:rFonts w:ascii="Arial" w:hAnsi="Arial" w:cs="Arial"/>
          <w:b/>
          <w:bCs/>
          <w:sz w:val="24"/>
          <w:szCs w:val="24"/>
        </w:rPr>
        <w:t xml:space="preserve">5.4.4 pH-Specific Cell Uptake of V7-TROS Evaluated </w:t>
      </w:r>
      <w:r w:rsidRPr="00282F47">
        <w:rPr>
          <w:rFonts w:ascii="Arial" w:hAnsi="Arial" w:cs="Arial"/>
          <w:b/>
          <w:bCs/>
          <w:i/>
          <w:iCs/>
          <w:sz w:val="24"/>
          <w:szCs w:val="24"/>
        </w:rPr>
        <w:t>in Vitro</w:t>
      </w:r>
    </w:p>
    <w:p w14:paraId="13601960" w14:textId="77777777" w:rsidR="002027D2" w:rsidRPr="00282F47" w:rsidRDefault="002027D2" w:rsidP="00B37DDF">
      <w:pPr>
        <w:spacing w:line="480" w:lineRule="auto"/>
        <w:jc w:val="both"/>
        <w:rPr>
          <w:rFonts w:ascii="Arial" w:hAnsi="Arial" w:cs="Arial"/>
          <w:sz w:val="24"/>
          <w:szCs w:val="24"/>
        </w:rPr>
      </w:pPr>
      <w:r w:rsidRPr="00282F47">
        <w:rPr>
          <w:rFonts w:ascii="Arial" w:hAnsi="Arial" w:cs="Arial"/>
          <w:sz w:val="24"/>
          <w:szCs w:val="24"/>
        </w:rPr>
        <w:t xml:space="preserve">Pancreatic cancer is characterized as a highly acidic micro-environment due to rapid metabolism and the resulting acidosis. Acidosis is strongly correlated with aggressive </w:t>
      </w:r>
      <w:r w:rsidRPr="00282F47">
        <w:rPr>
          <w:rFonts w:ascii="Arial" w:hAnsi="Arial" w:cs="Arial"/>
          <w:sz w:val="24"/>
          <w:szCs w:val="24"/>
        </w:rPr>
        <w:lastRenderedPageBreak/>
        <w:t>tumor progression, thus present surrounding the microenvironment and tumor cells in early stages, serving as an intriguing PDAC marker</w:t>
      </w:r>
      <w:r w:rsidRPr="00282F47">
        <w:rPr>
          <w:rFonts w:ascii="Arial" w:hAnsi="Arial" w:cs="Arial"/>
          <w:noProof/>
          <w:sz w:val="24"/>
          <w:szCs w:val="24"/>
          <w:vertAlign w:val="superscript"/>
        </w:rPr>
        <w:t>231,232</w:t>
      </w:r>
      <w:r w:rsidRPr="00282F47">
        <w:rPr>
          <w:rFonts w:ascii="Arial" w:hAnsi="Arial" w:cs="Arial"/>
          <w:sz w:val="24"/>
          <w:szCs w:val="24"/>
        </w:rPr>
        <w:t>. The acidic targeting properties of the pH-responsive V7 targeting peptide are mediated by the acidosis inherent to solid tumors and exacerbated by the increased Warburg effect in pancreatic cancer</w:t>
      </w:r>
      <w:r w:rsidRPr="00282F47">
        <w:rPr>
          <w:rFonts w:ascii="Arial" w:hAnsi="Arial" w:cs="Arial"/>
          <w:noProof/>
          <w:sz w:val="24"/>
          <w:szCs w:val="24"/>
          <w:vertAlign w:val="superscript"/>
        </w:rPr>
        <w:t>233</w:t>
      </w:r>
      <w:r w:rsidRPr="00282F47">
        <w:rPr>
          <w:rFonts w:ascii="Arial" w:hAnsi="Arial" w:cs="Arial"/>
          <w:sz w:val="24"/>
          <w:szCs w:val="24"/>
        </w:rPr>
        <w:t>. During the transition from physiological pH to extracellular tumor pH, V7 undergoes a conformational change into a transmembrane alpha helical structure, leading to binding to and uptake by tumor cells</w:t>
      </w:r>
      <w:r w:rsidRPr="00282F47">
        <w:rPr>
          <w:rFonts w:ascii="Arial" w:hAnsi="Arial" w:cs="Arial"/>
          <w:noProof/>
          <w:sz w:val="24"/>
          <w:szCs w:val="24"/>
          <w:vertAlign w:val="superscript"/>
        </w:rPr>
        <w:t>194,234</w:t>
      </w:r>
      <w:r w:rsidRPr="00282F47">
        <w:rPr>
          <w:rFonts w:ascii="Arial" w:hAnsi="Arial" w:cs="Arial"/>
          <w:sz w:val="24"/>
          <w:szCs w:val="24"/>
        </w:rPr>
        <w:t>. To visualize this uptake, S2VP10 cells were treated with passively targeted TROS and V7-TROS particles, each with encapsulated IR780 cargo, for 2 h under pH 7.4, 6.8, or 6.6 conditions. After washing cells, NIR fluorescence showed that uptake of V7-TROS with the IR780 cargo was pH-specific (</w:t>
      </w:r>
      <w:r w:rsidRPr="00282F47">
        <w:rPr>
          <w:rFonts w:ascii="Arial" w:hAnsi="Arial" w:cs="Arial"/>
          <w:b/>
          <w:bCs/>
          <w:sz w:val="24"/>
          <w:szCs w:val="24"/>
        </w:rPr>
        <w:t>Figure 5.4A-B</w:t>
      </w:r>
      <w:r w:rsidRPr="00282F47">
        <w:rPr>
          <w:rFonts w:ascii="Arial" w:hAnsi="Arial" w:cs="Arial"/>
          <w:sz w:val="24"/>
          <w:szCs w:val="24"/>
        </w:rPr>
        <w:t>), and passively targeted TROS had minimal cell uptake due to the lack of the tumor-targeting peptide V7. No passively targeted TROS, irrespective of size, exhibited any significant pH sensitivity. V7-TROS had significantly greater specificity at acidic pH than passively targeted particles at any acidic pH (</w:t>
      </w:r>
      <w:r w:rsidRPr="00282F47">
        <w:rPr>
          <w:rFonts w:ascii="Arial" w:hAnsi="Arial" w:cs="Arial"/>
          <w:b/>
          <w:bCs/>
          <w:sz w:val="24"/>
          <w:szCs w:val="24"/>
        </w:rPr>
        <w:t>Figure 5.4A-B</w:t>
      </w:r>
      <w:r w:rsidRPr="00282F47">
        <w:rPr>
          <w:rFonts w:ascii="Arial" w:hAnsi="Arial" w:cs="Arial"/>
          <w:sz w:val="24"/>
          <w:szCs w:val="24"/>
        </w:rPr>
        <w:t xml:space="preserve">). Specifically, V7-TMOS exhibited the greatest enhancement of </w:t>
      </w:r>
      <w:r w:rsidRPr="00282F47">
        <w:rPr>
          <w:rFonts w:ascii="Arial" w:hAnsi="Arial" w:cs="Arial"/>
          <w:i/>
          <w:iCs/>
          <w:sz w:val="24"/>
          <w:szCs w:val="24"/>
        </w:rPr>
        <w:t>in vitro</w:t>
      </w:r>
      <w:r w:rsidRPr="00282F47">
        <w:rPr>
          <w:rFonts w:ascii="Arial" w:hAnsi="Arial" w:cs="Arial"/>
          <w:sz w:val="24"/>
          <w:szCs w:val="24"/>
        </w:rPr>
        <w:t xml:space="preserve"> uptake in response to acidic pH; uptake increased by 8.5-fold at pH 6.8 and 19.2-fold at pH 6.6 (p=0.002 and p=0.0001, respectively), compared to V7-TMOS at pH 7.4. V7-TEOS and V7-TPOS experienced similar, but less dramatic trends; V7-TEOS increased by 7.8-fold at pH 6.8 and 16.5-fold at pH 6.6, and V7-TPOS increased by 6.2-fold at pH 6.8 and 15.8-fold at pH 6.6 (p&lt; 0.005). </w:t>
      </w:r>
    </w:p>
    <w:p w14:paraId="68BA2907" w14:textId="77777777" w:rsidR="002027D2" w:rsidRPr="00282F47" w:rsidRDefault="002027D2" w:rsidP="002A4DB5">
      <w:pPr>
        <w:spacing w:line="48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1FACDB52" wp14:editId="45669EC6">
            <wp:extent cx="5829300" cy="23479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2">
                      <a:extLst>
                        <a:ext uri="{28A0092B-C50C-407E-A947-70E740481C1C}">
                          <a14:useLocalDpi xmlns:a14="http://schemas.microsoft.com/office/drawing/2010/main" val="0"/>
                        </a:ext>
                      </a:extLst>
                    </a:blip>
                    <a:stretch>
                      <a:fillRect/>
                    </a:stretch>
                  </pic:blipFill>
                  <pic:spPr>
                    <a:xfrm>
                      <a:off x="0" y="0"/>
                      <a:ext cx="5832458" cy="2349185"/>
                    </a:xfrm>
                    <a:prstGeom prst="rect">
                      <a:avLst/>
                    </a:prstGeom>
                  </pic:spPr>
                </pic:pic>
              </a:graphicData>
            </a:graphic>
          </wp:inline>
        </w:drawing>
      </w:r>
    </w:p>
    <w:p w14:paraId="41A135ED" w14:textId="121D0662"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 xml:space="preserve">Figure 5.4: </w:t>
      </w:r>
      <w:r w:rsidRPr="00282F47">
        <w:rPr>
          <w:rFonts w:ascii="Arial" w:hAnsi="Arial" w:cs="Arial"/>
          <w:sz w:val="24"/>
          <w:szCs w:val="24"/>
        </w:rPr>
        <w:t>NIR fluorescence and MSOT confirmation of V7-TROS MSNs pH-specific cell uptake and cargo release. A) Plated S2VP10 pancreatic cancer cells were treated with V7-TROS or TROS and evaluated with NIR fluorescence. B) Quantification of NIR fluorescence signal in (A). C) Tissue mimicking phantoms containing S2VP10 pancreatic cancer cells treated with V7-TROS or TROS and evaluated with optoacoustic imaging. D) Quantification of optoacoustic signal in (C). *p&lt;0.01.</w:t>
      </w:r>
    </w:p>
    <w:p w14:paraId="2354504E" w14:textId="77777777" w:rsidR="004B4BA2" w:rsidRPr="00282F47" w:rsidRDefault="004B4BA2" w:rsidP="004B4BA2">
      <w:pPr>
        <w:spacing w:line="276" w:lineRule="auto"/>
        <w:jc w:val="both"/>
        <w:rPr>
          <w:rFonts w:ascii="Arial" w:hAnsi="Arial" w:cs="Arial"/>
          <w:sz w:val="24"/>
          <w:szCs w:val="24"/>
        </w:rPr>
      </w:pPr>
    </w:p>
    <w:p w14:paraId="609EAE12" w14:textId="77777777" w:rsidR="002027D2" w:rsidRPr="00282F47" w:rsidRDefault="002027D2" w:rsidP="001A0801">
      <w:pPr>
        <w:spacing w:line="480" w:lineRule="auto"/>
        <w:jc w:val="both"/>
        <w:rPr>
          <w:rFonts w:ascii="Arial" w:hAnsi="Arial" w:cs="Arial"/>
          <w:sz w:val="24"/>
          <w:szCs w:val="24"/>
        </w:rPr>
      </w:pPr>
      <w:r w:rsidRPr="00282F47">
        <w:rPr>
          <w:rFonts w:ascii="Arial" w:hAnsi="Arial" w:cs="Arial"/>
          <w:sz w:val="24"/>
          <w:szCs w:val="24"/>
        </w:rPr>
        <w:t>Using tissue-mimicking phantoms, cell uptake of TROS particles was confirmed using MSOT (</w:t>
      </w:r>
      <w:r w:rsidRPr="00282F47">
        <w:rPr>
          <w:rFonts w:ascii="Arial" w:hAnsi="Arial" w:cs="Arial"/>
          <w:b/>
          <w:bCs/>
          <w:sz w:val="24"/>
          <w:szCs w:val="24"/>
        </w:rPr>
        <w:t>Figure 5.4C-D</w:t>
      </w:r>
      <w:r w:rsidRPr="00282F47">
        <w:rPr>
          <w:rFonts w:ascii="Arial" w:hAnsi="Arial" w:cs="Arial"/>
          <w:sz w:val="24"/>
          <w:szCs w:val="24"/>
        </w:rPr>
        <w:t>). Tissue phantoms simulate human tissues using cross-linked agar and intralipids for a gel-like vessel with a reduced scattering coefficient of 10 cm</w:t>
      </w:r>
      <w:r w:rsidRPr="00282F47">
        <w:rPr>
          <w:rFonts w:ascii="Arial" w:hAnsi="Arial" w:cs="Arial"/>
          <w:sz w:val="24"/>
          <w:szCs w:val="24"/>
          <w:vertAlign w:val="superscript"/>
        </w:rPr>
        <w:t>−1</w:t>
      </w:r>
      <w:r w:rsidRPr="00282F47">
        <w:rPr>
          <w:rFonts w:ascii="Arial" w:hAnsi="Arial" w:cs="Arial"/>
          <w:sz w:val="24"/>
          <w:szCs w:val="24"/>
        </w:rPr>
        <w:t>. The optoacoustic signal observed in the tissue phantoms using MSOT confirmed increasing cellular uptake of the particles corresponding to V7 targeting and decreasing particle size. The results were consistent with NIR fluorescence data reported above; V7 targeting was the strongest influence on uptake, with smaller particles having a significant, but secondary, impact (</w:t>
      </w:r>
      <w:r w:rsidRPr="00282F47">
        <w:rPr>
          <w:rFonts w:ascii="Arial" w:hAnsi="Arial" w:cs="Arial"/>
          <w:b/>
          <w:bCs/>
          <w:sz w:val="24"/>
          <w:szCs w:val="24"/>
        </w:rPr>
        <w:t>Figure 5.4A−D</w:t>
      </w:r>
      <w:r w:rsidRPr="00282F47">
        <w:rPr>
          <w:rFonts w:ascii="Arial" w:hAnsi="Arial" w:cs="Arial"/>
          <w:sz w:val="24"/>
          <w:szCs w:val="24"/>
        </w:rPr>
        <w:t xml:space="preserve">). Passively targeted TROS particles were detected at levels of &lt;35 a.u. in all samples, and variations in size did not result in significant changes in uptake. V7-TMOS samples contained 35, 171, and 243 a.u. for the pH 7.4, 6.8, and 6.6 samples, respectively. V7-TEOS and V7-TPOS exhibited similar </w:t>
      </w:r>
      <w:r w:rsidRPr="00282F47">
        <w:rPr>
          <w:rFonts w:ascii="Arial" w:hAnsi="Arial" w:cs="Arial"/>
          <w:sz w:val="24"/>
          <w:szCs w:val="24"/>
        </w:rPr>
        <w:lastRenderedPageBreak/>
        <w:t>trends but attained lower maximal values: 141 and 92 a.u., respectively, at pH 6.6. Overall, for each V7-TROS, the signals at pH 6.6 were significantly higher than at either pH 7.4 or 6.8 (p&lt; 0.005), indicating pH sensitivity (</w:t>
      </w:r>
      <w:r w:rsidRPr="00282F47">
        <w:rPr>
          <w:rFonts w:ascii="Arial" w:hAnsi="Arial" w:cs="Arial"/>
          <w:b/>
          <w:bCs/>
          <w:sz w:val="24"/>
          <w:szCs w:val="24"/>
        </w:rPr>
        <w:t>Figure 5.4B−D</w:t>
      </w:r>
      <w:r w:rsidRPr="00282F47">
        <w:rPr>
          <w:rFonts w:ascii="Arial" w:hAnsi="Arial" w:cs="Arial"/>
          <w:sz w:val="24"/>
          <w:szCs w:val="24"/>
        </w:rPr>
        <w:t>). The increased signal in TMOS is quite significant when considering that a single TPOS particle has a substantially greater cargo capacity than a smaller TMOS particle (</w:t>
      </w:r>
      <w:r w:rsidRPr="00282F47">
        <w:rPr>
          <w:rFonts w:ascii="Arial" w:hAnsi="Arial" w:cs="Arial"/>
          <w:b/>
          <w:bCs/>
          <w:sz w:val="24"/>
          <w:szCs w:val="24"/>
        </w:rPr>
        <w:t>Figure 5.2</w:t>
      </w:r>
      <w:r w:rsidRPr="00282F47">
        <w:rPr>
          <w:rFonts w:ascii="Arial" w:hAnsi="Arial" w:cs="Arial"/>
          <w:sz w:val="24"/>
          <w:szCs w:val="24"/>
        </w:rPr>
        <w:t xml:space="preserve">), indicating the enhanced uptake as a result of smaller nanoparticle size. Comparison of the proportion of the fluorescence signal in </w:t>
      </w:r>
      <w:r w:rsidRPr="00282F47">
        <w:rPr>
          <w:rFonts w:ascii="Arial" w:hAnsi="Arial" w:cs="Arial"/>
          <w:b/>
          <w:bCs/>
          <w:sz w:val="24"/>
          <w:szCs w:val="24"/>
        </w:rPr>
        <w:t>Figure 5.4A-B</w:t>
      </w:r>
      <w:r w:rsidRPr="00282F47">
        <w:rPr>
          <w:rFonts w:ascii="Arial" w:hAnsi="Arial" w:cs="Arial"/>
          <w:sz w:val="24"/>
          <w:szCs w:val="24"/>
        </w:rPr>
        <w:t xml:space="preserve">, for V7-TROS from pH 7.4 to 6.6 to the analogous signal measured by MSOT in </w:t>
      </w:r>
      <w:r w:rsidRPr="00282F47">
        <w:rPr>
          <w:rFonts w:ascii="Arial" w:hAnsi="Arial" w:cs="Arial"/>
          <w:b/>
          <w:bCs/>
          <w:sz w:val="24"/>
          <w:szCs w:val="24"/>
        </w:rPr>
        <w:t>Figure 5.4C-D</w:t>
      </w:r>
      <w:r w:rsidRPr="00282F47">
        <w:rPr>
          <w:rFonts w:ascii="Arial" w:hAnsi="Arial" w:cs="Arial"/>
          <w:sz w:val="24"/>
          <w:szCs w:val="24"/>
        </w:rPr>
        <w:t xml:space="preserve"> shows that V7-TEOS and V7-TPOS produce a higher magnitude (V7-TEOS &lt; V7-TPOS) of the fluorescence signal per unit of the MSOT signal than V7-TMOS does (p&lt; 0.00127).</w:t>
      </w:r>
    </w:p>
    <w:p w14:paraId="4288D4BC" w14:textId="77777777" w:rsidR="002027D2" w:rsidRPr="00282F47" w:rsidRDefault="002027D2" w:rsidP="00CA4E19">
      <w:pPr>
        <w:spacing w:line="240" w:lineRule="auto"/>
        <w:jc w:val="both"/>
        <w:rPr>
          <w:rFonts w:ascii="Arial" w:hAnsi="Arial" w:cs="Arial"/>
          <w:b/>
          <w:bCs/>
          <w:sz w:val="24"/>
          <w:szCs w:val="24"/>
        </w:rPr>
      </w:pPr>
      <w:r w:rsidRPr="00282F47">
        <w:rPr>
          <w:rFonts w:ascii="Arial" w:hAnsi="Arial" w:cs="Arial"/>
          <w:b/>
          <w:bCs/>
          <w:sz w:val="24"/>
          <w:szCs w:val="24"/>
        </w:rPr>
        <w:t>5.4.5 Cell Internalization of TROS with Propidium Iodide</w:t>
      </w:r>
    </w:p>
    <w:p w14:paraId="1656153A" w14:textId="7E27D4C8" w:rsidR="002027D2" w:rsidRPr="00282F47" w:rsidRDefault="002027D2" w:rsidP="003833EC">
      <w:pPr>
        <w:spacing w:line="480" w:lineRule="auto"/>
        <w:jc w:val="both"/>
        <w:rPr>
          <w:rFonts w:ascii="Arial" w:hAnsi="Arial" w:cs="Arial"/>
          <w:sz w:val="24"/>
          <w:szCs w:val="24"/>
        </w:rPr>
      </w:pPr>
      <w:r w:rsidRPr="00282F47">
        <w:rPr>
          <w:rFonts w:ascii="Arial" w:hAnsi="Arial" w:cs="Arial"/>
          <w:sz w:val="24"/>
          <w:szCs w:val="24"/>
        </w:rPr>
        <w:t>To further substantiate the internalization and release mechanism of TROS nanoparticles, propidium iodide was encapsulated within TROS in place of IR780. PI is a cell membrane-impermeable dye that exhibits differential fluorescence depending on the intracellular or extracellular presence</w:t>
      </w:r>
      <w:r w:rsidRPr="00282F47">
        <w:rPr>
          <w:rFonts w:ascii="Arial" w:hAnsi="Arial" w:cs="Arial"/>
          <w:noProof/>
          <w:sz w:val="24"/>
          <w:szCs w:val="24"/>
          <w:vertAlign w:val="superscript"/>
        </w:rPr>
        <w:t>235</w:t>
      </w:r>
      <w:r w:rsidRPr="00282F47">
        <w:rPr>
          <w:rFonts w:ascii="Arial" w:hAnsi="Arial" w:cs="Arial"/>
          <w:sz w:val="24"/>
          <w:szCs w:val="24"/>
        </w:rPr>
        <w:t>. Most often, propidium iodide binds to nucleic acids in dead cells and shows red fluorescence. However, when propidium iodide is not bound to nucleic acids, fluorescence is green-shifted by approximately 15 nm</w:t>
      </w:r>
      <w:r w:rsidRPr="00282F47">
        <w:rPr>
          <w:rFonts w:ascii="Arial" w:hAnsi="Arial" w:cs="Arial"/>
          <w:noProof/>
          <w:sz w:val="24"/>
          <w:szCs w:val="24"/>
          <w:vertAlign w:val="superscript"/>
        </w:rPr>
        <w:t>235</w:t>
      </w:r>
      <w:r w:rsidRPr="00282F47">
        <w:rPr>
          <w:rFonts w:ascii="Arial" w:hAnsi="Arial" w:cs="Arial"/>
          <w:sz w:val="24"/>
          <w:szCs w:val="24"/>
        </w:rPr>
        <w:t xml:space="preserve">. When encapsulated within TROS, the mechanism of entry into live cells can be confirmed through intracellular red fluorescence, while extracellular </w:t>
      </w:r>
      <w:r w:rsidR="00ED4731">
        <w:rPr>
          <w:rFonts w:ascii="Arial" w:hAnsi="Arial" w:cs="Arial"/>
          <w:sz w:val="24"/>
          <w:szCs w:val="24"/>
        </w:rPr>
        <w:t>PI</w:t>
      </w:r>
      <w:r w:rsidRPr="00282F47">
        <w:rPr>
          <w:rFonts w:ascii="Arial" w:hAnsi="Arial" w:cs="Arial"/>
          <w:sz w:val="24"/>
          <w:szCs w:val="24"/>
        </w:rPr>
        <w:t xml:space="preserve"> is impermeable and is removed via post-treatment washes, or, if remaining present, detected via green-shifted fluorescence</w:t>
      </w:r>
      <w:r w:rsidRPr="00282F47">
        <w:rPr>
          <w:rFonts w:ascii="Arial" w:hAnsi="Arial" w:cs="Arial"/>
          <w:noProof/>
          <w:sz w:val="24"/>
          <w:szCs w:val="24"/>
          <w:vertAlign w:val="superscript"/>
        </w:rPr>
        <w:t>127,235</w:t>
      </w:r>
      <w:r w:rsidRPr="00282F47">
        <w:rPr>
          <w:rFonts w:ascii="Arial" w:hAnsi="Arial" w:cs="Arial"/>
          <w:sz w:val="24"/>
          <w:szCs w:val="24"/>
        </w:rPr>
        <w:t xml:space="preserve">. </w:t>
      </w:r>
      <w:r w:rsidRPr="00282F47">
        <w:rPr>
          <w:rFonts w:ascii="Arial" w:hAnsi="Arial" w:cs="Arial"/>
          <w:b/>
          <w:bCs/>
          <w:sz w:val="24"/>
          <w:szCs w:val="24"/>
        </w:rPr>
        <w:t>Figure 5.5</w:t>
      </w:r>
      <w:r w:rsidRPr="00282F47">
        <w:rPr>
          <w:rFonts w:ascii="Arial" w:hAnsi="Arial" w:cs="Arial"/>
          <w:sz w:val="24"/>
          <w:szCs w:val="24"/>
        </w:rPr>
        <w:t xml:space="preserve"> indicates that red fluorescence is observed significantly in actively targeted pH 6.6 samples only (TMOS p=5×10</w:t>
      </w:r>
      <w:r w:rsidRPr="00282F47">
        <w:rPr>
          <w:rFonts w:ascii="Arial" w:hAnsi="Arial" w:cs="Arial"/>
          <w:sz w:val="24"/>
          <w:szCs w:val="24"/>
          <w:vertAlign w:val="superscript"/>
        </w:rPr>
        <w:t>−14</w:t>
      </w:r>
      <w:r w:rsidRPr="00282F47">
        <w:rPr>
          <w:rFonts w:ascii="Arial" w:hAnsi="Arial" w:cs="Arial"/>
          <w:sz w:val="24"/>
          <w:szCs w:val="24"/>
        </w:rPr>
        <w:t>, TEOS p=5×10</w:t>
      </w:r>
      <w:r w:rsidRPr="00282F47">
        <w:rPr>
          <w:rFonts w:ascii="Arial" w:hAnsi="Arial" w:cs="Arial"/>
          <w:sz w:val="24"/>
          <w:szCs w:val="24"/>
          <w:vertAlign w:val="superscript"/>
        </w:rPr>
        <w:t>−14</w:t>
      </w:r>
      <w:r w:rsidRPr="00282F47">
        <w:rPr>
          <w:rFonts w:ascii="Arial" w:hAnsi="Arial" w:cs="Arial"/>
          <w:sz w:val="24"/>
          <w:szCs w:val="24"/>
        </w:rPr>
        <w:t>, and TPOS p=4×10</w:t>
      </w:r>
      <w:r w:rsidRPr="00282F47">
        <w:rPr>
          <w:rFonts w:ascii="Arial" w:hAnsi="Arial" w:cs="Arial"/>
          <w:sz w:val="24"/>
          <w:szCs w:val="24"/>
          <w:vertAlign w:val="superscript"/>
        </w:rPr>
        <w:t>−10</w:t>
      </w:r>
      <w:r w:rsidRPr="00282F47">
        <w:rPr>
          <w:rFonts w:ascii="Arial" w:hAnsi="Arial" w:cs="Arial"/>
          <w:sz w:val="24"/>
          <w:szCs w:val="24"/>
        </w:rPr>
        <w:t>). Specifically, at pH 6.6, V7-TMOS images showed an average red fluorescence count of 8943, V7-</w:t>
      </w:r>
      <w:r w:rsidRPr="00282F47">
        <w:rPr>
          <w:rFonts w:ascii="Arial" w:hAnsi="Arial" w:cs="Arial"/>
          <w:sz w:val="24"/>
          <w:szCs w:val="24"/>
        </w:rPr>
        <w:lastRenderedPageBreak/>
        <w:t>TEOS at 9072, and V7-TPOS at 2310 (</w:t>
      </w:r>
      <w:r w:rsidRPr="00282F47">
        <w:rPr>
          <w:rFonts w:ascii="Arial" w:hAnsi="Arial" w:cs="Arial"/>
          <w:b/>
          <w:bCs/>
          <w:sz w:val="24"/>
          <w:szCs w:val="24"/>
        </w:rPr>
        <w:t>Figure 5.5B</w:t>
      </w:r>
      <w:r w:rsidRPr="00282F47">
        <w:rPr>
          <w:rFonts w:ascii="Arial" w:hAnsi="Arial" w:cs="Arial"/>
          <w:sz w:val="24"/>
          <w:szCs w:val="24"/>
        </w:rPr>
        <w:t>). Small amounts (&lt;60 counts) of red fluorescence were observed in V7-TROS at pH 7.4. Negligible red and green fluorescence was observed in all other treatments (</w:t>
      </w:r>
      <w:r w:rsidRPr="00282F47">
        <w:rPr>
          <w:rFonts w:ascii="Arial" w:hAnsi="Arial" w:cs="Arial"/>
          <w:b/>
          <w:bCs/>
          <w:sz w:val="24"/>
          <w:szCs w:val="24"/>
        </w:rPr>
        <w:t>Figure 5.5B</w:t>
      </w:r>
      <w:r w:rsidRPr="00282F47">
        <w:rPr>
          <w:rFonts w:ascii="Arial" w:hAnsi="Arial" w:cs="Arial"/>
          <w:sz w:val="24"/>
          <w:szCs w:val="24"/>
        </w:rPr>
        <w:t xml:space="preserve">). This implies that not only is V7 crucial for internalization of MSNs but also that V7 is active in a cancerous pH of 6.6 but minimally active in a physiological pH of 7.4. Low levels of green fluorescence in passively targeted treatments and pH 7.4 media are suspectedly a result of washing following treatment; because TROS and PI are not bound to cells due to inactive V7, PI is removed due to PBS washing. In addition, S2VP10 cells in the presence of acidic media at pH 6.6 did not undergo cell death, evident through the absence of intracellular </w:t>
      </w:r>
      <w:r w:rsidR="00ED4731">
        <w:rPr>
          <w:rFonts w:ascii="Arial" w:hAnsi="Arial" w:cs="Arial"/>
          <w:sz w:val="24"/>
          <w:szCs w:val="24"/>
        </w:rPr>
        <w:t>PI</w:t>
      </w:r>
      <w:r w:rsidRPr="00282F47">
        <w:rPr>
          <w:rFonts w:ascii="Arial" w:hAnsi="Arial" w:cs="Arial"/>
          <w:sz w:val="24"/>
          <w:szCs w:val="24"/>
        </w:rPr>
        <w:t xml:space="preserve"> and red fluorescence. Actively targeting for the acidity of pancreatic cancer may represent a more efficient option than targeting for an extracellular protein or receptor due to the high heterogeneity of pancreatic cancer</w:t>
      </w:r>
      <w:r w:rsidRPr="00282F47">
        <w:rPr>
          <w:rFonts w:ascii="Arial" w:hAnsi="Arial" w:cs="Arial"/>
          <w:noProof/>
          <w:sz w:val="24"/>
          <w:szCs w:val="24"/>
          <w:vertAlign w:val="superscript"/>
        </w:rPr>
        <w:t>189</w:t>
      </w:r>
      <w:r w:rsidRPr="00282F47">
        <w:rPr>
          <w:rFonts w:ascii="Arial" w:hAnsi="Arial" w:cs="Arial"/>
          <w:sz w:val="24"/>
          <w:szCs w:val="24"/>
        </w:rPr>
        <w:t>. While these tumors do not uniformly express receptors or other proteins, the entire pancreatic tumor is highly acidic</w:t>
      </w:r>
      <w:r w:rsidRPr="00282F47">
        <w:rPr>
          <w:rFonts w:ascii="Arial" w:hAnsi="Arial" w:cs="Arial"/>
          <w:noProof/>
          <w:sz w:val="24"/>
          <w:szCs w:val="24"/>
          <w:vertAlign w:val="superscript"/>
        </w:rPr>
        <w:t>188,190</w:t>
      </w:r>
      <w:r w:rsidRPr="00282F47">
        <w:rPr>
          <w:rFonts w:ascii="Arial" w:hAnsi="Arial" w:cs="Arial"/>
          <w:sz w:val="24"/>
          <w:szCs w:val="24"/>
        </w:rPr>
        <w:t xml:space="preserve">. </w:t>
      </w:r>
    </w:p>
    <w:p w14:paraId="7F791F3E" w14:textId="77777777" w:rsidR="002027D2" w:rsidRPr="00282F47" w:rsidRDefault="002027D2" w:rsidP="003833EC">
      <w:pPr>
        <w:spacing w:line="24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0CE5DE6F" wp14:editId="69930D42">
            <wp:extent cx="4861235" cy="7289321"/>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864729" cy="7294561"/>
                    </a:xfrm>
                    <a:prstGeom prst="rect">
                      <a:avLst/>
                    </a:prstGeom>
                  </pic:spPr>
                </pic:pic>
              </a:graphicData>
            </a:graphic>
          </wp:inline>
        </w:drawing>
      </w:r>
    </w:p>
    <w:p w14:paraId="64BE245E" w14:textId="60C47482"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5.5:</w:t>
      </w:r>
      <w:r w:rsidRPr="00282F47">
        <w:rPr>
          <w:rFonts w:ascii="Arial" w:hAnsi="Arial" w:cs="Arial"/>
          <w:sz w:val="24"/>
          <w:szCs w:val="24"/>
        </w:rPr>
        <w:t xml:space="preserve"> Cell internalization of V7-TROS and TROS in acidic, cancerous environments through detection of propidium iodide in pancreatic cancer cell line S2VP10. A) Fluorescence confocal microscopy images displaying cell internalization facilitated by V7, and agent release, facilitated by chitosan. Rows are characterized by the pH of the media </w:t>
      </w:r>
      <w:r w:rsidRPr="00282F47">
        <w:rPr>
          <w:rFonts w:ascii="Arial" w:hAnsi="Arial" w:cs="Arial"/>
          <w:sz w:val="24"/>
          <w:szCs w:val="24"/>
        </w:rPr>
        <w:lastRenderedPageBreak/>
        <w:t>(7.4 vs. 6.6). Columns are characterized by treatment type (V7-TROS vs. TROS). B) Quantification of red vs. green fluorescence observed for reach treatment for pH 7.4 and pH 6.6. *p&lt;3x10</w:t>
      </w:r>
      <w:r w:rsidRPr="00282F47">
        <w:rPr>
          <w:rFonts w:ascii="Arial" w:hAnsi="Arial" w:cs="Arial"/>
          <w:sz w:val="24"/>
          <w:szCs w:val="24"/>
          <w:vertAlign w:val="superscript"/>
        </w:rPr>
        <w:t>-10</w:t>
      </w:r>
      <w:r w:rsidRPr="00282F47">
        <w:rPr>
          <w:rFonts w:ascii="Arial" w:hAnsi="Arial" w:cs="Arial"/>
          <w:sz w:val="24"/>
          <w:szCs w:val="24"/>
        </w:rPr>
        <w:t xml:space="preserve">. </w:t>
      </w:r>
    </w:p>
    <w:p w14:paraId="54745A25" w14:textId="77777777" w:rsidR="004B4BA2" w:rsidRPr="00282F47" w:rsidRDefault="004B4BA2" w:rsidP="004B4BA2">
      <w:pPr>
        <w:spacing w:line="276" w:lineRule="auto"/>
        <w:jc w:val="both"/>
        <w:rPr>
          <w:rFonts w:ascii="Arial" w:hAnsi="Arial" w:cs="Arial"/>
          <w:sz w:val="24"/>
          <w:szCs w:val="24"/>
        </w:rPr>
      </w:pPr>
    </w:p>
    <w:p w14:paraId="6D860CC0" w14:textId="77777777" w:rsidR="002027D2" w:rsidRPr="00282F47" w:rsidRDefault="002027D2" w:rsidP="00CA4E19">
      <w:pPr>
        <w:spacing w:line="240" w:lineRule="auto"/>
        <w:jc w:val="both"/>
        <w:rPr>
          <w:rFonts w:ascii="Arial" w:hAnsi="Arial" w:cs="Arial"/>
          <w:b/>
          <w:bCs/>
          <w:sz w:val="24"/>
          <w:szCs w:val="24"/>
        </w:rPr>
      </w:pPr>
      <w:r w:rsidRPr="00282F47">
        <w:rPr>
          <w:rFonts w:ascii="Arial" w:hAnsi="Arial" w:cs="Arial"/>
          <w:b/>
          <w:bCs/>
          <w:sz w:val="24"/>
          <w:szCs w:val="24"/>
        </w:rPr>
        <w:t xml:space="preserve">5.4.6 </w:t>
      </w:r>
      <w:r w:rsidRPr="00282F47">
        <w:rPr>
          <w:rFonts w:ascii="Arial" w:hAnsi="Arial" w:cs="Arial"/>
          <w:b/>
          <w:bCs/>
          <w:i/>
          <w:iCs/>
          <w:sz w:val="24"/>
          <w:szCs w:val="24"/>
        </w:rPr>
        <w:t xml:space="preserve">In Vivo </w:t>
      </w:r>
      <w:r w:rsidRPr="00282F47">
        <w:rPr>
          <w:rFonts w:ascii="Arial" w:hAnsi="Arial" w:cs="Arial"/>
          <w:b/>
          <w:bCs/>
          <w:sz w:val="24"/>
          <w:szCs w:val="24"/>
        </w:rPr>
        <w:t>Kinetics of TROS</w:t>
      </w:r>
    </w:p>
    <w:p w14:paraId="4AA42373" w14:textId="4842DB74" w:rsidR="002027D2" w:rsidRPr="00282F47" w:rsidRDefault="002027D2" w:rsidP="00DE1A84">
      <w:pPr>
        <w:spacing w:line="480" w:lineRule="auto"/>
        <w:jc w:val="both"/>
        <w:rPr>
          <w:rFonts w:ascii="Arial" w:hAnsi="Arial" w:cs="Arial"/>
          <w:sz w:val="24"/>
          <w:szCs w:val="24"/>
        </w:rPr>
      </w:pPr>
      <w:r w:rsidRPr="00282F47">
        <w:rPr>
          <w:rFonts w:ascii="Arial" w:hAnsi="Arial" w:cs="Arial"/>
          <w:sz w:val="24"/>
          <w:szCs w:val="24"/>
        </w:rPr>
        <w:t xml:space="preserve">Defining the characteristics of nanoparticles is critical for successful translation to the clinic. Active targeting and size have been identified as potential influencers on tumor specificity, but to date, studies evaluating these features rarely used clinically relevant </w:t>
      </w:r>
      <w:r w:rsidRPr="00282F47">
        <w:rPr>
          <w:rFonts w:ascii="Arial" w:hAnsi="Arial" w:cs="Arial"/>
          <w:i/>
          <w:iCs/>
          <w:sz w:val="24"/>
          <w:szCs w:val="24"/>
        </w:rPr>
        <w:t>in vivo</w:t>
      </w:r>
      <w:r w:rsidRPr="00282F47">
        <w:rPr>
          <w:rFonts w:ascii="Arial" w:hAnsi="Arial" w:cs="Arial"/>
          <w:sz w:val="24"/>
          <w:szCs w:val="24"/>
        </w:rPr>
        <w:t xml:space="preserve"> models. Here, an orthotopic</w:t>
      </w:r>
      <w:r w:rsidRPr="00282F47">
        <w:rPr>
          <w:rFonts w:ascii="Arial" w:hAnsi="Arial" w:cs="Arial"/>
          <w:i/>
          <w:iCs/>
          <w:sz w:val="24"/>
          <w:szCs w:val="24"/>
        </w:rPr>
        <w:t xml:space="preserve"> in vivo</w:t>
      </w:r>
      <w:r w:rsidRPr="00282F47">
        <w:rPr>
          <w:rFonts w:ascii="Arial" w:hAnsi="Arial" w:cs="Arial"/>
          <w:sz w:val="24"/>
          <w:szCs w:val="24"/>
        </w:rPr>
        <w:t xml:space="preserve"> mouse model is used to evaluate the effects of active targeting and particle size on tumor specificity using MSOT imaging. Specifically, athymic mice were utilized to eliminate signal absorption by hair of mice, particularly following the lack of immune response observed with chitosan coated MSNs in </w:t>
      </w:r>
      <w:r w:rsidRPr="00282F47">
        <w:rPr>
          <w:rFonts w:ascii="Arial" w:hAnsi="Arial" w:cs="Arial"/>
          <w:b/>
          <w:bCs/>
          <w:sz w:val="24"/>
          <w:szCs w:val="24"/>
        </w:rPr>
        <w:t>Chapter 4</w:t>
      </w:r>
      <w:r w:rsidRPr="00282F47">
        <w:rPr>
          <w:rFonts w:ascii="Arial" w:hAnsi="Arial" w:cs="Arial"/>
          <w:sz w:val="24"/>
          <w:szCs w:val="24"/>
        </w:rPr>
        <w:t>. TROS exhibit the potential to carry and deliver high amounts of the contrast agent to tumors compared to conventional techniques such as antibody targeting. MSOT was chosen to measure TROS kinetics and biodistribution in this study due to its high resolution, sensitivity, and deeper penetration into tissues</w:t>
      </w:r>
      <w:r w:rsidRPr="00282F47">
        <w:rPr>
          <w:rFonts w:ascii="Arial" w:hAnsi="Arial" w:cs="Arial"/>
          <w:noProof/>
          <w:sz w:val="24"/>
          <w:szCs w:val="24"/>
          <w:vertAlign w:val="superscript"/>
        </w:rPr>
        <w:t>2</w:t>
      </w:r>
      <w:r w:rsidRPr="00282F47">
        <w:rPr>
          <w:rFonts w:ascii="Arial" w:hAnsi="Arial" w:cs="Arial"/>
          <w:sz w:val="24"/>
          <w:szCs w:val="24"/>
        </w:rPr>
        <w:t>. The use of MSOT also has the benefit of its prior application in clinical trials</w:t>
      </w:r>
      <w:r w:rsidRPr="00282F47">
        <w:rPr>
          <w:rFonts w:ascii="Arial" w:hAnsi="Arial" w:cs="Arial"/>
          <w:noProof/>
          <w:sz w:val="24"/>
          <w:szCs w:val="24"/>
          <w:vertAlign w:val="superscript"/>
        </w:rPr>
        <w:t>1,3</w:t>
      </w:r>
      <w:r w:rsidRPr="00282F47">
        <w:rPr>
          <w:rFonts w:ascii="Arial" w:hAnsi="Arial" w:cs="Arial"/>
          <w:sz w:val="24"/>
          <w:szCs w:val="24"/>
        </w:rPr>
        <w:t>. MSOT and active targeting of nanoparticles show excellent synergy, as rapid tumor accumulation is visualized, without longer exposure, which is often required for significant tumor accumulation</w:t>
      </w:r>
      <w:r w:rsidRPr="00282F47">
        <w:rPr>
          <w:rFonts w:ascii="Arial" w:hAnsi="Arial" w:cs="Arial"/>
          <w:noProof/>
          <w:sz w:val="24"/>
          <w:szCs w:val="24"/>
          <w:vertAlign w:val="superscript"/>
        </w:rPr>
        <w:t>236,237</w:t>
      </w:r>
      <w:r w:rsidRPr="00282F47">
        <w:rPr>
          <w:rFonts w:ascii="Arial" w:hAnsi="Arial" w:cs="Arial"/>
          <w:sz w:val="24"/>
          <w:szCs w:val="24"/>
        </w:rPr>
        <w:t>. Effects of active targeting vs passive targeting and size on tumor-specific uptake were compared following IV of V7-TROS or TROS into mice orthotopically implanted with pancreatic cancer cells</w:t>
      </w:r>
      <w:r w:rsidRPr="00282F47">
        <w:rPr>
          <w:rFonts w:ascii="Arial" w:hAnsi="Arial" w:cs="Arial"/>
          <w:noProof/>
          <w:sz w:val="24"/>
          <w:szCs w:val="24"/>
          <w:vertAlign w:val="superscript"/>
        </w:rPr>
        <w:t>217</w:t>
      </w:r>
      <w:r w:rsidRPr="00282F47">
        <w:rPr>
          <w:rFonts w:ascii="Arial" w:hAnsi="Arial" w:cs="Arial"/>
          <w:sz w:val="24"/>
          <w:szCs w:val="24"/>
        </w:rPr>
        <w:t>. Mice were IV injected with 100 μL of solution containing 8×10</w:t>
      </w:r>
      <w:r w:rsidRPr="00282F47">
        <w:rPr>
          <w:rFonts w:ascii="Arial" w:hAnsi="Arial" w:cs="Arial"/>
          <w:sz w:val="24"/>
          <w:szCs w:val="24"/>
          <w:vertAlign w:val="superscript"/>
        </w:rPr>
        <w:t>6</w:t>
      </w:r>
      <w:r w:rsidRPr="00282F47">
        <w:rPr>
          <w:rFonts w:ascii="Arial" w:hAnsi="Arial" w:cs="Arial"/>
          <w:sz w:val="24"/>
          <w:szCs w:val="24"/>
        </w:rPr>
        <w:t xml:space="preserve"> V7-TROS or passively targeted TROS particles, each loaded with the IR780 cargo at 2.7 mM (0.1 OD 600/100μL). Concentrations were selected based upon previous evaluations to heighten efficacy</w:t>
      </w:r>
      <w:r w:rsidRPr="00282F47">
        <w:rPr>
          <w:rFonts w:ascii="Arial" w:hAnsi="Arial" w:cs="Arial"/>
          <w:noProof/>
          <w:sz w:val="24"/>
          <w:szCs w:val="24"/>
          <w:vertAlign w:val="superscript"/>
        </w:rPr>
        <w:t>238</w:t>
      </w:r>
      <w:r w:rsidRPr="00282F47">
        <w:rPr>
          <w:rFonts w:ascii="Arial" w:hAnsi="Arial" w:cs="Arial"/>
          <w:sz w:val="24"/>
          <w:szCs w:val="24"/>
        </w:rPr>
        <w:t xml:space="preserve">. To evaluate the pharmacokinetic properties of V7-TROS and TROS, </w:t>
      </w:r>
      <w:r w:rsidRPr="00282F47">
        <w:rPr>
          <w:rFonts w:ascii="Arial" w:hAnsi="Arial" w:cs="Arial"/>
          <w:sz w:val="24"/>
          <w:szCs w:val="24"/>
        </w:rPr>
        <w:lastRenderedPageBreak/>
        <w:t>mice were imaged at 0, 4, 8, and 24 h post injection (</w:t>
      </w:r>
      <w:r w:rsidRPr="00282F47">
        <w:rPr>
          <w:rFonts w:ascii="Arial" w:hAnsi="Arial" w:cs="Arial"/>
          <w:b/>
          <w:bCs/>
          <w:sz w:val="24"/>
          <w:szCs w:val="24"/>
        </w:rPr>
        <w:t>Figure 5.6A</w:t>
      </w:r>
      <w:r w:rsidRPr="00282F47">
        <w:rPr>
          <w:rFonts w:ascii="Arial" w:hAnsi="Arial" w:cs="Arial"/>
          <w:sz w:val="24"/>
          <w:szCs w:val="24"/>
        </w:rPr>
        <w:t>). While some accumulation of V7-TROS in tumors was observed 4 h post injection for V7-TMOS, V7-TEOS, and V7-TPOS (29.2, 8.2, and 5.7 a.u., respectively), peak tumor signals were attained at 8 h post injection (65.3, 29.1, and 14.5 a.u.) with p</w:t>
      </w:r>
      <w:r w:rsidR="00ED4731">
        <w:rPr>
          <w:rFonts w:ascii="Arial" w:hAnsi="Arial" w:cs="Arial"/>
          <w:sz w:val="24"/>
          <w:szCs w:val="24"/>
        </w:rPr>
        <w:t xml:space="preserve"> </w:t>
      </w:r>
      <w:r w:rsidRPr="00282F47">
        <w:rPr>
          <w:rFonts w:ascii="Arial" w:hAnsi="Arial" w:cs="Arial"/>
          <w:sz w:val="24"/>
          <w:szCs w:val="24"/>
        </w:rPr>
        <w:t>=</w:t>
      </w:r>
      <w:r w:rsidR="00ED4731">
        <w:rPr>
          <w:rFonts w:ascii="Arial" w:hAnsi="Arial" w:cs="Arial"/>
          <w:sz w:val="24"/>
          <w:szCs w:val="24"/>
        </w:rPr>
        <w:t xml:space="preserve"> </w:t>
      </w:r>
      <w:r w:rsidRPr="00282F47">
        <w:rPr>
          <w:rFonts w:ascii="Arial" w:hAnsi="Arial" w:cs="Arial"/>
          <w:sz w:val="24"/>
          <w:szCs w:val="24"/>
        </w:rPr>
        <w:t>0.0008, p</w:t>
      </w:r>
      <w:r w:rsidR="00ED4731">
        <w:rPr>
          <w:rFonts w:ascii="Arial" w:hAnsi="Arial" w:cs="Arial"/>
          <w:sz w:val="24"/>
          <w:szCs w:val="24"/>
        </w:rPr>
        <w:t xml:space="preserve"> </w:t>
      </w:r>
      <w:r w:rsidRPr="00282F47">
        <w:rPr>
          <w:rFonts w:ascii="Arial" w:hAnsi="Arial" w:cs="Arial"/>
          <w:sz w:val="24"/>
          <w:szCs w:val="24"/>
        </w:rPr>
        <w:t>=</w:t>
      </w:r>
      <w:r w:rsidR="00ED4731">
        <w:rPr>
          <w:rFonts w:ascii="Arial" w:hAnsi="Arial" w:cs="Arial"/>
          <w:sz w:val="24"/>
          <w:szCs w:val="24"/>
        </w:rPr>
        <w:t xml:space="preserve"> </w:t>
      </w:r>
      <w:r w:rsidRPr="00282F47">
        <w:rPr>
          <w:rFonts w:ascii="Arial" w:hAnsi="Arial" w:cs="Arial"/>
          <w:sz w:val="24"/>
          <w:szCs w:val="24"/>
        </w:rPr>
        <w:t>0.0007, and p</w:t>
      </w:r>
      <w:r w:rsidR="00ED4731">
        <w:rPr>
          <w:rFonts w:ascii="Arial" w:hAnsi="Arial" w:cs="Arial"/>
          <w:sz w:val="24"/>
          <w:szCs w:val="24"/>
        </w:rPr>
        <w:t xml:space="preserve"> </w:t>
      </w:r>
      <w:r w:rsidRPr="00282F47">
        <w:rPr>
          <w:rFonts w:ascii="Arial" w:hAnsi="Arial" w:cs="Arial"/>
          <w:sz w:val="24"/>
          <w:szCs w:val="24"/>
        </w:rPr>
        <w:t>=</w:t>
      </w:r>
      <w:r w:rsidR="00ED4731">
        <w:rPr>
          <w:rFonts w:ascii="Arial" w:hAnsi="Arial" w:cs="Arial"/>
          <w:sz w:val="24"/>
          <w:szCs w:val="24"/>
        </w:rPr>
        <w:t xml:space="preserve"> </w:t>
      </w:r>
      <w:r w:rsidRPr="00282F47">
        <w:rPr>
          <w:rFonts w:ascii="Arial" w:hAnsi="Arial" w:cs="Arial"/>
          <w:sz w:val="24"/>
          <w:szCs w:val="24"/>
        </w:rPr>
        <w:t>0.005. The signal of the V7-TROS decreased significantly after 24 h (17.6, 3.6, and 1.6a.u.) with p&lt;0.00001, which indicates 8 h as the optimal time point for evaluation of biodistribution (</w:t>
      </w:r>
      <w:r w:rsidRPr="00282F47">
        <w:rPr>
          <w:rFonts w:ascii="Arial" w:hAnsi="Arial" w:cs="Arial"/>
          <w:b/>
          <w:bCs/>
          <w:sz w:val="24"/>
          <w:szCs w:val="24"/>
        </w:rPr>
        <w:t>Figure 5.6A</w:t>
      </w:r>
      <w:r w:rsidRPr="00282F47">
        <w:rPr>
          <w:rFonts w:ascii="Arial" w:hAnsi="Arial" w:cs="Arial"/>
          <w:sz w:val="24"/>
          <w:szCs w:val="24"/>
        </w:rPr>
        <w:t>). Among the V7-TROS treatments, nanoparticle size impacted tumor accumulation and off-target uptake, in which the smaller V7-TMOS particles had significantly greater tumor accumulation than either the V7-TEOS (p</w:t>
      </w:r>
      <w:r w:rsidR="00ED4731">
        <w:rPr>
          <w:rFonts w:ascii="Arial" w:hAnsi="Arial" w:cs="Arial"/>
          <w:sz w:val="24"/>
          <w:szCs w:val="24"/>
        </w:rPr>
        <w:t xml:space="preserve"> </w:t>
      </w:r>
      <w:r w:rsidRPr="00282F47">
        <w:rPr>
          <w:rFonts w:ascii="Arial" w:hAnsi="Arial" w:cs="Arial"/>
          <w:sz w:val="24"/>
          <w:szCs w:val="24"/>
        </w:rPr>
        <w:t>= 0.0003) or V7-TPOS (p</w:t>
      </w:r>
      <w:r w:rsidR="00ED4731">
        <w:rPr>
          <w:rFonts w:ascii="Arial" w:hAnsi="Arial" w:cs="Arial"/>
          <w:sz w:val="24"/>
          <w:szCs w:val="24"/>
        </w:rPr>
        <w:t xml:space="preserve"> </w:t>
      </w:r>
      <w:r w:rsidRPr="00282F47">
        <w:rPr>
          <w:rFonts w:ascii="Arial" w:hAnsi="Arial" w:cs="Arial"/>
          <w:sz w:val="24"/>
          <w:szCs w:val="24"/>
        </w:rPr>
        <w:t>=</w:t>
      </w:r>
      <w:r w:rsidR="00ED4731">
        <w:rPr>
          <w:rFonts w:ascii="Arial" w:hAnsi="Arial" w:cs="Arial"/>
          <w:sz w:val="24"/>
          <w:szCs w:val="24"/>
        </w:rPr>
        <w:t xml:space="preserve"> </w:t>
      </w:r>
      <w:r w:rsidRPr="00282F47">
        <w:rPr>
          <w:rFonts w:ascii="Arial" w:hAnsi="Arial" w:cs="Arial"/>
          <w:sz w:val="24"/>
          <w:szCs w:val="24"/>
        </w:rPr>
        <w:t>0.0001) 8 h post injection. In contrast, no significant differences of the signal in tumors treated with any passively targeted TROS were observed: 2.9−1.0 a.u. with p</w:t>
      </w:r>
      <w:r w:rsidR="00ED4731">
        <w:rPr>
          <w:rFonts w:ascii="Arial" w:hAnsi="Arial" w:cs="Arial"/>
          <w:sz w:val="24"/>
          <w:szCs w:val="24"/>
        </w:rPr>
        <w:t xml:space="preserve"> </w:t>
      </w:r>
      <w:r w:rsidRPr="00282F47">
        <w:rPr>
          <w:rFonts w:ascii="Arial" w:hAnsi="Arial" w:cs="Arial"/>
          <w:sz w:val="24"/>
          <w:szCs w:val="24"/>
        </w:rPr>
        <w:t>= 0.672.</w:t>
      </w:r>
    </w:p>
    <w:p w14:paraId="15F0DCCE" w14:textId="77777777" w:rsidR="002027D2" w:rsidRPr="00282F47" w:rsidRDefault="002027D2" w:rsidP="00CA4E19">
      <w:pPr>
        <w:spacing w:line="240" w:lineRule="auto"/>
        <w:jc w:val="both"/>
        <w:rPr>
          <w:rFonts w:ascii="Arial" w:hAnsi="Arial" w:cs="Arial"/>
          <w:b/>
          <w:bCs/>
          <w:sz w:val="24"/>
          <w:szCs w:val="24"/>
        </w:rPr>
      </w:pPr>
      <w:r w:rsidRPr="00282F47">
        <w:rPr>
          <w:rFonts w:ascii="Arial" w:hAnsi="Arial" w:cs="Arial"/>
          <w:b/>
          <w:bCs/>
          <w:sz w:val="24"/>
          <w:szCs w:val="24"/>
        </w:rPr>
        <w:t xml:space="preserve">5.4.7 </w:t>
      </w:r>
      <w:r w:rsidRPr="00282F47">
        <w:rPr>
          <w:rFonts w:ascii="Arial" w:hAnsi="Arial" w:cs="Arial"/>
          <w:b/>
          <w:bCs/>
          <w:i/>
          <w:iCs/>
          <w:sz w:val="24"/>
          <w:szCs w:val="24"/>
        </w:rPr>
        <w:t xml:space="preserve">In Vivo </w:t>
      </w:r>
      <w:r w:rsidRPr="00282F47">
        <w:rPr>
          <w:rFonts w:ascii="Arial" w:hAnsi="Arial" w:cs="Arial"/>
          <w:b/>
          <w:bCs/>
          <w:sz w:val="24"/>
          <w:szCs w:val="24"/>
        </w:rPr>
        <w:t>Biodistribution of TROS</w:t>
      </w:r>
    </w:p>
    <w:p w14:paraId="54537F23" w14:textId="77777777" w:rsidR="002027D2" w:rsidRPr="00282F47" w:rsidRDefault="002027D2" w:rsidP="00DE1A84">
      <w:pPr>
        <w:spacing w:line="480" w:lineRule="auto"/>
        <w:jc w:val="both"/>
        <w:rPr>
          <w:rFonts w:ascii="Arial" w:hAnsi="Arial" w:cs="Arial"/>
          <w:sz w:val="24"/>
          <w:szCs w:val="24"/>
        </w:rPr>
      </w:pPr>
      <w:r w:rsidRPr="00282F47">
        <w:rPr>
          <w:rFonts w:ascii="Arial" w:hAnsi="Arial" w:cs="Arial"/>
          <w:b/>
          <w:bCs/>
          <w:sz w:val="24"/>
          <w:szCs w:val="24"/>
        </w:rPr>
        <w:t>Figure 5.6B-C</w:t>
      </w:r>
      <w:r w:rsidRPr="00282F47">
        <w:rPr>
          <w:rFonts w:ascii="Arial" w:hAnsi="Arial" w:cs="Arial"/>
          <w:sz w:val="24"/>
          <w:szCs w:val="24"/>
        </w:rPr>
        <w:t xml:space="preserve"> shows MSOT data comparing pancreatic tumor accumulation of both actively and passively targeted TROS particles loaded with the IR780 dye 8 h post injection. Active targeting of V7-TROS caused significantly greater tumor accumulation than passively targeted TROS. Specifically, MSOT recorded 65.3 a.u. for V7-TMOS and only 2.9 a.u. for TMOS (p = 0.00001). Similarly, for the actively and passively targeted V7-TEOS/TEOS and V7-TPOS/TPOS, the MSOT signals were 29.2 a.u. vs 2.8 a.u. (p = 0.00002) and 14.5 a.u. vs 2.8 a.u. (p = 0.00023), respectively. These results suggest that active targeting leads to greater accumulation of nanoparticles in the tumor than passive targeting. In addition, TROS size has a secondary effect on tumor accumulation but only in the context of actively targeted V7-TROS and not passively targeted TROS. The </w:t>
      </w:r>
      <w:r w:rsidRPr="00282F47">
        <w:rPr>
          <w:rFonts w:ascii="Arial" w:hAnsi="Arial" w:cs="Arial"/>
          <w:sz w:val="24"/>
          <w:szCs w:val="24"/>
        </w:rPr>
        <w:lastRenderedPageBreak/>
        <w:t>smaller size of TMOS suggests that particles are more efficient in extravasating into the tumor space due to the enhanced EPR effect in pancreatic cancer</w:t>
      </w:r>
      <w:r w:rsidRPr="00282F47">
        <w:rPr>
          <w:rFonts w:ascii="Arial" w:hAnsi="Arial" w:cs="Arial"/>
          <w:noProof/>
          <w:sz w:val="24"/>
          <w:szCs w:val="24"/>
          <w:vertAlign w:val="superscript"/>
        </w:rPr>
        <w:t>239</w:t>
      </w:r>
      <w:r w:rsidRPr="00282F47">
        <w:rPr>
          <w:rFonts w:ascii="Arial" w:hAnsi="Arial" w:cs="Arial"/>
          <w:sz w:val="24"/>
          <w:szCs w:val="24"/>
        </w:rPr>
        <w:t>. In addition, smaller particles are less likely to be rapidly cleared from blood by macrophage uptake, as expected with larger TPOS particles, creating a longer period of time that TMOS may accumulate in the tumor</w:t>
      </w:r>
      <w:r w:rsidRPr="00282F47">
        <w:rPr>
          <w:rFonts w:ascii="Arial" w:hAnsi="Arial" w:cs="Arial"/>
          <w:noProof/>
          <w:sz w:val="24"/>
          <w:szCs w:val="24"/>
          <w:vertAlign w:val="superscript"/>
        </w:rPr>
        <w:t>181</w:t>
      </w:r>
      <w:r w:rsidRPr="00282F47">
        <w:rPr>
          <w:rFonts w:ascii="Arial" w:hAnsi="Arial" w:cs="Arial"/>
          <w:sz w:val="24"/>
          <w:szCs w:val="24"/>
        </w:rPr>
        <w:t>. As particles accumulate within the tumor space, concentration gradients would suggest diffusion of particles away from the tumor</w:t>
      </w:r>
      <w:r w:rsidRPr="00282F47">
        <w:rPr>
          <w:rFonts w:ascii="Arial" w:hAnsi="Arial" w:cs="Arial"/>
          <w:noProof/>
          <w:sz w:val="24"/>
          <w:szCs w:val="24"/>
          <w:vertAlign w:val="superscript"/>
        </w:rPr>
        <w:t>240</w:t>
      </w:r>
      <w:r w:rsidRPr="00282F47">
        <w:rPr>
          <w:rFonts w:ascii="Arial" w:hAnsi="Arial" w:cs="Arial"/>
          <w:sz w:val="24"/>
          <w:szCs w:val="24"/>
        </w:rPr>
        <w:t>, resulting in similar uptake, independent of size, as observed herein with passively targeted TROS. However, inclusion of V7 provides additional anchoring of TROS to the tumor cells, resisting diffusion for maintaining high tumor accumulation</w:t>
      </w:r>
      <w:r w:rsidRPr="00282F47">
        <w:rPr>
          <w:rFonts w:ascii="Arial" w:hAnsi="Arial" w:cs="Arial"/>
          <w:noProof/>
          <w:sz w:val="24"/>
          <w:szCs w:val="24"/>
          <w:vertAlign w:val="superscript"/>
        </w:rPr>
        <w:t>193,194</w:t>
      </w:r>
      <w:r w:rsidRPr="00282F47">
        <w:rPr>
          <w:rFonts w:ascii="Arial" w:hAnsi="Arial" w:cs="Arial"/>
          <w:sz w:val="24"/>
          <w:szCs w:val="24"/>
        </w:rPr>
        <w:t>. Specifically, the V7-TMOS signal (65.3 a.u.) within the tumor was significantly higher than either V7-TEOS at 29.2 a.u. (p = 0.000002) or V7-TPOS at 14.5 a.u. (p = 0.000001). As the amount of the signal/particle is proportional to particle size, i.e.,1.01×10</w:t>
      </w:r>
      <w:r w:rsidRPr="00282F47">
        <w:rPr>
          <w:rFonts w:ascii="Arial" w:hAnsi="Arial" w:cs="Arial"/>
          <w:sz w:val="24"/>
          <w:szCs w:val="24"/>
          <w:vertAlign w:val="superscript"/>
        </w:rPr>
        <w:t>8</w:t>
      </w:r>
      <w:r w:rsidRPr="00282F47">
        <w:rPr>
          <w:rFonts w:ascii="Arial" w:hAnsi="Arial" w:cs="Arial"/>
          <w:sz w:val="24"/>
          <w:szCs w:val="24"/>
        </w:rPr>
        <w:t xml:space="preserve"> dye molecules/TMOS particle, 3.38×10</w:t>
      </w:r>
      <w:r w:rsidRPr="00282F47">
        <w:rPr>
          <w:rFonts w:ascii="Arial" w:hAnsi="Arial" w:cs="Arial"/>
          <w:sz w:val="24"/>
          <w:szCs w:val="24"/>
          <w:vertAlign w:val="superscript"/>
        </w:rPr>
        <w:t>8</w:t>
      </w:r>
      <w:r w:rsidRPr="00282F47">
        <w:rPr>
          <w:rFonts w:ascii="Arial" w:hAnsi="Arial" w:cs="Arial"/>
          <w:sz w:val="24"/>
          <w:szCs w:val="24"/>
        </w:rPr>
        <w:t xml:space="preserve"> dye molecules/TEOS particle, and 5.62×10</w:t>
      </w:r>
      <w:r w:rsidRPr="00282F47">
        <w:rPr>
          <w:rFonts w:ascii="Arial" w:hAnsi="Arial" w:cs="Arial"/>
          <w:sz w:val="24"/>
          <w:szCs w:val="24"/>
          <w:vertAlign w:val="superscript"/>
        </w:rPr>
        <w:t>8</w:t>
      </w:r>
      <w:r w:rsidRPr="00282F47">
        <w:rPr>
          <w:rFonts w:ascii="Arial" w:hAnsi="Arial" w:cs="Arial"/>
          <w:sz w:val="24"/>
          <w:szCs w:val="24"/>
        </w:rPr>
        <w:t xml:space="preserve"> dye molecules/TPOS particle (</w:t>
      </w:r>
      <w:r w:rsidRPr="00282F47">
        <w:rPr>
          <w:rFonts w:ascii="Arial" w:hAnsi="Arial" w:cs="Arial"/>
          <w:b/>
          <w:bCs/>
          <w:sz w:val="24"/>
          <w:szCs w:val="24"/>
        </w:rPr>
        <w:t>Figure S5.2</w:t>
      </w:r>
      <w:r w:rsidRPr="00282F47">
        <w:rPr>
          <w:rFonts w:ascii="Arial" w:hAnsi="Arial" w:cs="Arial"/>
          <w:sz w:val="24"/>
          <w:szCs w:val="24"/>
        </w:rPr>
        <w:t>), substantially more V7-TMOS particles accumulated within the tumor than direct comparison of the a.u. values would suggest. In contrast to the actively targeted V7-TROS, differences in tumor accumulation for passively targeted TROS were not significant (p &gt; 0.05). These results reinforce the notion that while nanoparticle size can influence tumor accumulation, utilization of active targeting over passive targeting should be prioritized.</w:t>
      </w:r>
    </w:p>
    <w:p w14:paraId="22413350" w14:textId="7183F52D" w:rsidR="002027D2" w:rsidRPr="00282F47" w:rsidRDefault="002027D2" w:rsidP="00DE1A84">
      <w:pPr>
        <w:spacing w:line="480" w:lineRule="auto"/>
        <w:jc w:val="both"/>
        <w:rPr>
          <w:rFonts w:ascii="Arial" w:hAnsi="Arial" w:cs="Arial"/>
          <w:sz w:val="24"/>
          <w:szCs w:val="24"/>
        </w:rPr>
      </w:pPr>
      <w:r w:rsidRPr="00282F47">
        <w:rPr>
          <w:rFonts w:ascii="Arial" w:hAnsi="Arial" w:cs="Arial"/>
          <w:b/>
          <w:bCs/>
          <w:sz w:val="24"/>
          <w:szCs w:val="24"/>
        </w:rPr>
        <w:t>Figure 5.6B</w:t>
      </w:r>
      <w:r w:rsidRPr="00282F47">
        <w:rPr>
          <w:rFonts w:ascii="Arial" w:hAnsi="Arial" w:cs="Arial"/>
          <w:sz w:val="24"/>
          <w:szCs w:val="24"/>
        </w:rPr>
        <w:t xml:space="preserve"> also shows off-target accumulation and delivery of actively and passively targeted V7-TROS/TROS to vital organs at the same time point (8 h) as tumor accumulation. V7-TROS accumulated in off-target organs at lower levels than the passively targeted TROS. V7-TMOS off-target delivery was recorded at 2.8, 1.2, and 1.3 </w:t>
      </w:r>
      <w:r w:rsidRPr="00282F47">
        <w:rPr>
          <w:rFonts w:ascii="Arial" w:hAnsi="Arial" w:cs="Arial"/>
          <w:sz w:val="24"/>
          <w:szCs w:val="24"/>
        </w:rPr>
        <w:lastRenderedPageBreak/>
        <w:t>a.u. for the kidney, liver, and spleen, respectively, while passively targeted TMOS delivery was recorded at values of 6.1, 8.2, and 8.3 a.u. for the same organs. The values for passively targeted TMOS were significantly higher than those for V7-TMOS in the case of both the liver (p = 0.0001) and spleen (p = 0.0131). The data for V7-TEOS vs TEOS and V7-TPOS vs TPOS followed similar trends, i.e., for both, accumulation of the passively targeted TROS was higher in the liver and spleen. Overall, V7-TROS not only showed significantly higher accumulation within the tumor but also significantly lower off-target delivery than passively targeted TROS. The impact of TROS size on tumor accumulation and off-target delivery is shown, although the effect of size is minor compared to active vs passive targeting. Specifically, an increase in nanoparticle size led to higher accumulation in the liver, for V7-TMOS compared to V7-TEOS (p = 0.0166) and V7-TPOS (p = 0.0006). The signal from the liver trended to be higher in passively targeted TEOS and was significantly higher in TPOS (p</w:t>
      </w:r>
      <w:r w:rsidR="00ED4731">
        <w:rPr>
          <w:rFonts w:ascii="Arial" w:hAnsi="Arial" w:cs="Arial"/>
          <w:sz w:val="24"/>
          <w:szCs w:val="24"/>
        </w:rPr>
        <w:t xml:space="preserve"> </w:t>
      </w:r>
      <w:r w:rsidRPr="00282F47">
        <w:rPr>
          <w:rFonts w:ascii="Arial" w:hAnsi="Arial" w:cs="Arial"/>
          <w:sz w:val="24"/>
          <w:szCs w:val="24"/>
        </w:rPr>
        <w:t>=</w:t>
      </w:r>
      <w:r w:rsidR="00ED4731">
        <w:rPr>
          <w:rFonts w:ascii="Arial" w:hAnsi="Arial" w:cs="Arial"/>
          <w:sz w:val="24"/>
          <w:szCs w:val="24"/>
        </w:rPr>
        <w:t xml:space="preserve"> </w:t>
      </w:r>
      <w:r w:rsidRPr="00282F47">
        <w:rPr>
          <w:rFonts w:ascii="Arial" w:hAnsi="Arial" w:cs="Arial"/>
          <w:sz w:val="24"/>
          <w:szCs w:val="24"/>
        </w:rPr>
        <w:t>0.008) compared to TMOS. This increased liver uptake may be attributed to increased Kupffer cell sequestration, which has been previously reported as a result of larger nanoparticle size</w:t>
      </w:r>
      <w:r w:rsidRPr="00282F47">
        <w:rPr>
          <w:rFonts w:ascii="Arial" w:hAnsi="Arial" w:cs="Arial"/>
          <w:noProof/>
          <w:sz w:val="24"/>
          <w:szCs w:val="24"/>
          <w:vertAlign w:val="superscript"/>
        </w:rPr>
        <w:t>222</w:t>
      </w:r>
      <w:r w:rsidRPr="00282F47">
        <w:rPr>
          <w:rFonts w:ascii="Arial" w:hAnsi="Arial" w:cs="Arial"/>
          <w:sz w:val="24"/>
          <w:szCs w:val="24"/>
        </w:rPr>
        <w:t>. While a size increase did not significantly affect splenic uptake of actively targeted TROS (p = 0.219), passively targeted TEOS and TPOS had increased splenic uptake compared to TMOS (p = 0.042 and p = 0.015, respectively). Overall, the MSOT signal observed in the colon indicates that passively targeted particles are excreted via the biliary system</w:t>
      </w:r>
      <w:r w:rsidRPr="00282F47">
        <w:rPr>
          <w:rFonts w:ascii="Arial" w:hAnsi="Arial" w:cs="Arial"/>
          <w:noProof/>
          <w:sz w:val="24"/>
          <w:szCs w:val="24"/>
          <w:vertAlign w:val="superscript"/>
        </w:rPr>
        <w:t>241</w:t>
      </w:r>
      <w:r w:rsidRPr="00282F47">
        <w:rPr>
          <w:rFonts w:ascii="Arial" w:hAnsi="Arial" w:cs="Arial"/>
          <w:sz w:val="24"/>
          <w:szCs w:val="24"/>
        </w:rPr>
        <w:t>. No statistical differences were observed in kidney uptake of either actively or passively targeted TROS, likely due to the nanoparticles having a size larger than the kidney filtration boundary</w:t>
      </w:r>
      <w:r w:rsidRPr="00282F47">
        <w:rPr>
          <w:rFonts w:ascii="Arial" w:hAnsi="Arial" w:cs="Arial"/>
          <w:noProof/>
          <w:sz w:val="24"/>
          <w:szCs w:val="24"/>
          <w:vertAlign w:val="superscript"/>
        </w:rPr>
        <w:t>223</w:t>
      </w:r>
      <w:r w:rsidRPr="00282F47">
        <w:rPr>
          <w:rFonts w:ascii="Arial" w:hAnsi="Arial" w:cs="Arial"/>
          <w:sz w:val="24"/>
          <w:szCs w:val="24"/>
        </w:rPr>
        <w:t>.</w:t>
      </w:r>
    </w:p>
    <w:p w14:paraId="3A5A567C" w14:textId="77777777" w:rsidR="002027D2" w:rsidRPr="00282F47" w:rsidRDefault="002027D2" w:rsidP="00DE1A84">
      <w:pPr>
        <w:spacing w:line="240" w:lineRule="auto"/>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49707B03" wp14:editId="7B2BFA5A">
            <wp:extent cx="4057967" cy="7484165"/>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5-ACS.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107126" cy="7574829"/>
                    </a:xfrm>
                    <a:prstGeom prst="rect">
                      <a:avLst/>
                    </a:prstGeom>
                  </pic:spPr>
                </pic:pic>
              </a:graphicData>
            </a:graphic>
          </wp:inline>
        </w:drawing>
      </w:r>
    </w:p>
    <w:p w14:paraId="4B39DF12" w14:textId="704073A7" w:rsidR="002027D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5.6:</w:t>
      </w:r>
      <w:r w:rsidRPr="00282F47">
        <w:rPr>
          <w:rFonts w:ascii="Arial" w:hAnsi="Arial" w:cs="Arial"/>
          <w:sz w:val="24"/>
          <w:szCs w:val="24"/>
        </w:rPr>
        <w:t xml:space="preserve"> </w:t>
      </w:r>
      <w:r w:rsidRPr="00282F47">
        <w:rPr>
          <w:rFonts w:ascii="Arial" w:hAnsi="Arial" w:cs="Arial"/>
          <w:i/>
          <w:iCs/>
          <w:sz w:val="24"/>
          <w:szCs w:val="24"/>
        </w:rPr>
        <w:t>In vivo</w:t>
      </w:r>
      <w:r w:rsidRPr="00282F47">
        <w:rPr>
          <w:rFonts w:ascii="Arial" w:hAnsi="Arial" w:cs="Arial"/>
          <w:sz w:val="24"/>
          <w:szCs w:val="24"/>
        </w:rPr>
        <w:t xml:space="preserve"> biodistribution measurements of V7-TROS and TROS MSNs with optoacoustic imaging in orthotopic tumor-bearing mice. A) Pharmacokinetic assessment of optoacoustic signal within the tumor at timepoints of 0 h, 4 h, 8 h, and 24 h post </w:t>
      </w:r>
      <w:r w:rsidRPr="00282F47">
        <w:rPr>
          <w:rFonts w:ascii="Arial" w:hAnsi="Arial" w:cs="Arial"/>
          <w:sz w:val="24"/>
          <w:szCs w:val="24"/>
        </w:rPr>
        <w:lastRenderedPageBreak/>
        <w:t xml:space="preserve">intravenous injection. B) After 8 h, biodistribution was quantified within the tumor, kidney, liver, and spleen. C) Biodistribution of TROS in axial slices showing accumulation within the tumor, kidney, liver, and spleen. Refer to </w:t>
      </w:r>
      <w:r w:rsidRPr="00282F47">
        <w:rPr>
          <w:rFonts w:ascii="Arial" w:hAnsi="Arial" w:cs="Arial"/>
          <w:b/>
          <w:bCs/>
          <w:sz w:val="24"/>
          <w:szCs w:val="24"/>
        </w:rPr>
        <w:t>Figure S1.1</w:t>
      </w:r>
      <w:r w:rsidRPr="00282F47">
        <w:rPr>
          <w:rFonts w:ascii="Arial" w:hAnsi="Arial" w:cs="Arial"/>
          <w:sz w:val="24"/>
          <w:szCs w:val="24"/>
        </w:rPr>
        <w:t xml:space="preserve"> for organ locations for tomographic cross sections.  *p&lt;0.05, **p&lt;0.01, ***p&lt;0.0001.</w:t>
      </w:r>
    </w:p>
    <w:p w14:paraId="202A63EF" w14:textId="77777777" w:rsidR="004B4BA2" w:rsidRPr="00282F47" w:rsidRDefault="004B4BA2" w:rsidP="004B4BA2">
      <w:pPr>
        <w:spacing w:line="276" w:lineRule="auto"/>
        <w:jc w:val="both"/>
        <w:rPr>
          <w:rFonts w:ascii="Arial" w:hAnsi="Arial" w:cs="Arial"/>
          <w:sz w:val="24"/>
          <w:szCs w:val="24"/>
        </w:rPr>
      </w:pPr>
    </w:p>
    <w:p w14:paraId="062F850B" w14:textId="77777777" w:rsidR="002027D2" w:rsidRPr="00282F47" w:rsidRDefault="002027D2" w:rsidP="00CA4E19">
      <w:pPr>
        <w:spacing w:line="240" w:lineRule="auto"/>
        <w:jc w:val="both"/>
        <w:rPr>
          <w:rFonts w:ascii="Arial" w:hAnsi="Arial" w:cs="Arial"/>
          <w:sz w:val="24"/>
          <w:szCs w:val="24"/>
        </w:rPr>
      </w:pPr>
      <w:r w:rsidRPr="00282F47">
        <w:rPr>
          <w:rFonts w:ascii="Arial" w:hAnsi="Arial" w:cs="Arial"/>
          <w:b/>
          <w:bCs/>
          <w:sz w:val="24"/>
          <w:szCs w:val="24"/>
        </w:rPr>
        <w:t>5.4.8 Secondary Confirmation of TROS Biodistribution</w:t>
      </w:r>
    </w:p>
    <w:p w14:paraId="680F9FC1" w14:textId="77777777" w:rsidR="002027D2" w:rsidRPr="00282F47" w:rsidRDefault="002027D2" w:rsidP="00DE1A84">
      <w:pPr>
        <w:spacing w:line="480" w:lineRule="auto"/>
        <w:jc w:val="both"/>
        <w:rPr>
          <w:rFonts w:ascii="Arial" w:hAnsi="Arial" w:cs="Arial"/>
          <w:sz w:val="24"/>
          <w:szCs w:val="24"/>
        </w:rPr>
      </w:pPr>
      <w:r w:rsidRPr="00282F47">
        <w:rPr>
          <w:rFonts w:ascii="Arial" w:hAnsi="Arial" w:cs="Arial"/>
          <w:sz w:val="24"/>
          <w:szCs w:val="24"/>
        </w:rPr>
        <w:t xml:space="preserve">The </w:t>
      </w:r>
      <w:r w:rsidRPr="00282F47">
        <w:rPr>
          <w:rFonts w:ascii="Arial" w:hAnsi="Arial" w:cs="Arial"/>
          <w:i/>
          <w:iCs/>
          <w:sz w:val="24"/>
          <w:szCs w:val="24"/>
        </w:rPr>
        <w:t>in vivo</w:t>
      </w:r>
      <w:r w:rsidRPr="00282F47">
        <w:rPr>
          <w:rFonts w:ascii="Arial" w:hAnsi="Arial" w:cs="Arial"/>
          <w:sz w:val="24"/>
          <w:szCs w:val="24"/>
        </w:rPr>
        <w:t xml:space="preserve"> MSOT biodistribution results were confirmed </w:t>
      </w:r>
      <w:r w:rsidRPr="00282F47">
        <w:rPr>
          <w:rFonts w:ascii="Arial" w:hAnsi="Arial" w:cs="Arial"/>
          <w:i/>
          <w:iCs/>
          <w:sz w:val="24"/>
          <w:szCs w:val="24"/>
        </w:rPr>
        <w:t>in vivo</w:t>
      </w:r>
      <w:r w:rsidRPr="00282F47">
        <w:rPr>
          <w:rFonts w:ascii="Arial" w:hAnsi="Arial" w:cs="Arial"/>
          <w:sz w:val="24"/>
          <w:szCs w:val="24"/>
        </w:rPr>
        <w:t xml:space="preserve"> using NIR fluorescence (</w:t>
      </w:r>
      <w:r w:rsidRPr="00282F47">
        <w:rPr>
          <w:rFonts w:ascii="Arial" w:hAnsi="Arial" w:cs="Arial"/>
          <w:b/>
          <w:bCs/>
          <w:sz w:val="24"/>
          <w:szCs w:val="24"/>
        </w:rPr>
        <w:t>Figure 5.7A-B</w:t>
      </w:r>
      <w:r w:rsidRPr="00282F47">
        <w:rPr>
          <w:rFonts w:ascii="Arial" w:hAnsi="Arial" w:cs="Arial"/>
          <w:sz w:val="24"/>
          <w:szCs w:val="24"/>
        </w:rPr>
        <w:t>). While 2D fluorescence has benefits relating to topical applications in real time, limited tissue penetration hinders whole-body imaging. Therefore, MSOT was primarily used in this study for real-time imaging without organ removal. NIR fluorescence is a strong secondary confirmation option. The pancreas region of the mice treated with V7-TROS showed the highest accumulation and NIR signal (</w:t>
      </w:r>
      <w:r w:rsidRPr="00282F47">
        <w:rPr>
          <w:rFonts w:ascii="Arial" w:hAnsi="Arial" w:cs="Arial"/>
          <w:b/>
          <w:bCs/>
          <w:sz w:val="24"/>
          <w:szCs w:val="24"/>
        </w:rPr>
        <w:t>Figure 5.7A</w:t>
      </w:r>
      <w:r w:rsidRPr="00282F47">
        <w:rPr>
          <w:rFonts w:ascii="Arial" w:hAnsi="Arial" w:cs="Arial"/>
          <w:sz w:val="24"/>
          <w:szCs w:val="24"/>
        </w:rPr>
        <w:t xml:space="preserve">). </w:t>
      </w:r>
      <w:r w:rsidRPr="00282F47">
        <w:rPr>
          <w:rFonts w:ascii="Arial" w:hAnsi="Arial" w:cs="Arial"/>
          <w:i/>
          <w:iCs/>
          <w:sz w:val="24"/>
          <w:szCs w:val="24"/>
        </w:rPr>
        <w:t>In vivo</w:t>
      </w:r>
      <w:r w:rsidRPr="00282F47">
        <w:rPr>
          <w:rFonts w:ascii="Arial" w:hAnsi="Arial" w:cs="Arial"/>
          <w:sz w:val="24"/>
          <w:szCs w:val="24"/>
        </w:rPr>
        <w:t>, the V7-TROS particles had significantly higher accumulation compared to passively targeted TROS with p = 3×10</w:t>
      </w:r>
      <w:r w:rsidRPr="00282F47">
        <w:rPr>
          <w:rFonts w:ascii="Arial" w:hAnsi="Arial" w:cs="Arial"/>
          <w:sz w:val="24"/>
          <w:szCs w:val="24"/>
          <w:vertAlign w:val="superscript"/>
        </w:rPr>
        <w:t>−7</w:t>
      </w:r>
      <w:r w:rsidRPr="00282F47">
        <w:rPr>
          <w:rFonts w:ascii="Arial" w:hAnsi="Arial" w:cs="Arial"/>
          <w:sz w:val="24"/>
          <w:szCs w:val="24"/>
        </w:rPr>
        <w:t>. V7-TMOS had the highest tumor accumulation with 4.3×10</w:t>
      </w:r>
      <w:r w:rsidRPr="00282F47">
        <w:rPr>
          <w:rFonts w:ascii="Arial" w:hAnsi="Arial" w:cs="Arial"/>
          <w:sz w:val="24"/>
          <w:szCs w:val="24"/>
          <w:vertAlign w:val="superscript"/>
        </w:rPr>
        <w:t>6</w:t>
      </w:r>
      <w:r w:rsidRPr="00282F47">
        <w:rPr>
          <w:rFonts w:ascii="Arial" w:hAnsi="Arial" w:cs="Arial"/>
          <w:sz w:val="24"/>
          <w:szCs w:val="24"/>
        </w:rPr>
        <w:t xml:space="preserve"> photons/s followed by V7-TEOS with 4.5×10</w:t>
      </w:r>
      <w:r w:rsidRPr="00282F47">
        <w:rPr>
          <w:rFonts w:ascii="Arial" w:hAnsi="Arial" w:cs="Arial"/>
          <w:sz w:val="24"/>
          <w:szCs w:val="24"/>
          <w:vertAlign w:val="superscript"/>
        </w:rPr>
        <w:t>5</w:t>
      </w:r>
      <w:r w:rsidRPr="00282F47">
        <w:rPr>
          <w:rFonts w:ascii="Arial" w:hAnsi="Arial" w:cs="Arial"/>
          <w:sz w:val="24"/>
          <w:szCs w:val="24"/>
        </w:rPr>
        <w:t xml:space="preserve"> photons/s and V7-TPOS with 5.4×10</w:t>
      </w:r>
      <w:r w:rsidRPr="00282F47">
        <w:rPr>
          <w:rFonts w:ascii="Arial" w:hAnsi="Arial" w:cs="Arial"/>
          <w:sz w:val="24"/>
          <w:szCs w:val="24"/>
          <w:vertAlign w:val="superscript"/>
        </w:rPr>
        <w:t>4</w:t>
      </w:r>
      <w:r w:rsidRPr="00282F47">
        <w:rPr>
          <w:rFonts w:ascii="Arial" w:hAnsi="Arial" w:cs="Arial"/>
          <w:sz w:val="24"/>
          <w:szCs w:val="24"/>
        </w:rPr>
        <w:t xml:space="preserve"> photons/s (V7-TMOS vs V7-TEOS, p = 0.00001; V7-TMOS vs V7-TPOS, p = 0.000001; V7-TEOS vs V7-TPOS, p = 0.000002). The comparable passively targeted TMOS, TEOS, and TPOS contained 1.7×10</w:t>
      </w:r>
      <w:r w:rsidRPr="00282F47">
        <w:rPr>
          <w:rFonts w:ascii="Arial" w:hAnsi="Arial" w:cs="Arial"/>
          <w:sz w:val="24"/>
          <w:szCs w:val="24"/>
          <w:vertAlign w:val="superscript"/>
        </w:rPr>
        <w:t>3</w:t>
      </w:r>
      <w:r w:rsidRPr="00282F47">
        <w:rPr>
          <w:rFonts w:ascii="Arial" w:hAnsi="Arial" w:cs="Arial"/>
          <w:sz w:val="24"/>
          <w:szCs w:val="24"/>
        </w:rPr>
        <w:t>, 1.5×10</w:t>
      </w:r>
      <w:r w:rsidRPr="00282F47">
        <w:rPr>
          <w:rFonts w:ascii="Arial" w:hAnsi="Arial" w:cs="Arial"/>
          <w:sz w:val="24"/>
          <w:szCs w:val="24"/>
          <w:vertAlign w:val="superscript"/>
        </w:rPr>
        <w:t>3</w:t>
      </w:r>
      <w:r w:rsidRPr="00282F47">
        <w:rPr>
          <w:rFonts w:ascii="Arial" w:hAnsi="Arial" w:cs="Arial"/>
          <w:sz w:val="24"/>
          <w:szCs w:val="24"/>
        </w:rPr>
        <w:t>, and 1.1×10</w:t>
      </w:r>
      <w:r w:rsidRPr="00282F47">
        <w:rPr>
          <w:rFonts w:ascii="Arial" w:hAnsi="Arial" w:cs="Arial"/>
          <w:sz w:val="24"/>
          <w:szCs w:val="24"/>
          <w:vertAlign w:val="superscript"/>
        </w:rPr>
        <w:t>3</w:t>
      </w:r>
      <w:r w:rsidRPr="00282F47">
        <w:rPr>
          <w:rFonts w:ascii="Arial" w:hAnsi="Arial" w:cs="Arial"/>
          <w:sz w:val="24"/>
          <w:szCs w:val="24"/>
        </w:rPr>
        <w:t xml:space="preserve"> photons/s, respectively, and did not significantly vary based on size (p = 0.43). NIR fluorescence imaging confirmed the trends of accumulation observed with MSOT in our </w:t>
      </w:r>
      <w:r w:rsidRPr="00282F47">
        <w:rPr>
          <w:rFonts w:ascii="Arial" w:hAnsi="Arial" w:cs="Arial"/>
          <w:i/>
          <w:iCs/>
          <w:sz w:val="24"/>
          <w:szCs w:val="24"/>
        </w:rPr>
        <w:t>in vivo</w:t>
      </w:r>
      <w:r w:rsidRPr="00282F47">
        <w:rPr>
          <w:rFonts w:ascii="Arial" w:hAnsi="Arial" w:cs="Arial"/>
          <w:sz w:val="24"/>
          <w:szCs w:val="24"/>
        </w:rPr>
        <w:t xml:space="preserve"> orthotopic mouse model. After euthanasia, mouse organs were excised, and accumulation was confirmed </w:t>
      </w:r>
      <w:r w:rsidRPr="00282F47">
        <w:rPr>
          <w:rFonts w:ascii="Arial" w:hAnsi="Arial" w:cs="Arial"/>
          <w:i/>
          <w:iCs/>
          <w:sz w:val="24"/>
          <w:szCs w:val="24"/>
        </w:rPr>
        <w:t>ex vivo</w:t>
      </w:r>
      <w:r w:rsidRPr="00282F47">
        <w:rPr>
          <w:rFonts w:ascii="Arial" w:hAnsi="Arial" w:cs="Arial"/>
          <w:sz w:val="24"/>
          <w:szCs w:val="24"/>
        </w:rPr>
        <w:t xml:space="preserve"> using NIR fluorescence (</w:t>
      </w:r>
      <w:r w:rsidRPr="00282F47">
        <w:rPr>
          <w:rFonts w:ascii="Arial" w:hAnsi="Arial" w:cs="Arial"/>
          <w:b/>
          <w:bCs/>
          <w:sz w:val="24"/>
          <w:szCs w:val="24"/>
        </w:rPr>
        <w:t>Figure 5.7C</w:t>
      </w:r>
      <w:r w:rsidRPr="00282F47">
        <w:rPr>
          <w:rFonts w:ascii="Arial" w:hAnsi="Arial" w:cs="Arial"/>
          <w:sz w:val="24"/>
          <w:szCs w:val="24"/>
        </w:rPr>
        <w:t xml:space="preserve">). The </w:t>
      </w:r>
      <w:r w:rsidRPr="00282F47">
        <w:rPr>
          <w:rFonts w:ascii="Arial" w:hAnsi="Arial" w:cs="Arial"/>
          <w:i/>
          <w:iCs/>
          <w:sz w:val="24"/>
          <w:szCs w:val="24"/>
        </w:rPr>
        <w:t>ex vivo</w:t>
      </w:r>
      <w:r w:rsidRPr="00282F47">
        <w:rPr>
          <w:rFonts w:ascii="Arial" w:hAnsi="Arial" w:cs="Arial"/>
          <w:sz w:val="24"/>
          <w:szCs w:val="24"/>
        </w:rPr>
        <w:t xml:space="preserve"> results confirmed the measurements recorded with MSOT in terms of biodistribution and tumor specificity. The </w:t>
      </w:r>
      <w:r w:rsidRPr="00282F47">
        <w:rPr>
          <w:rFonts w:ascii="Arial" w:hAnsi="Arial" w:cs="Arial"/>
          <w:i/>
          <w:iCs/>
          <w:sz w:val="24"/>
          <w:szCs w:val="24"/>
        </w:rPr>
        <w:t>ex vivo</w:t>
      </w:r>
      <w:r w:rsidRPr="00282F47">
        <w:rPr>
          <w:rFonts w:ascii="Arial" w:hAnsi="Arial" w:cs="Arial"/>
          <w:sz w:val="24"/>
          <w:szCs w:val="24"/>
        </w:rPr>
        <w:t xml:space="preserve"> maximum signal and accumulation within the tumor of actively targeted V7-TMOS (2.8×10</w:t>
      </w:r>
      <w:r w:rsidRPr="00282F47">
        <w:rPr>
          <w:rFonts w:ascii="Arial" w:hAnsi="Arial" w:cs="Arial"/>
          <w:sz w:val="24"/>
          <w:szCs w:val="24"/>
          <w:vertAlign w:val="superscript"/>
        </w:rPr>
        <w:t>5</w:t>
      </w:r>
      <w:r w:rsidRPr="00282F47">
        <w:rPr>
          <w:rFonts w:ascii="Arial" w:hAnsi="Arial" w:cs="Arial"/>
          <w:sz w:val="24"/>
          <w:szCs w:val="24"/>
        </w:rPr>
        <w:t xml:space="preserve"> photons/s), V7-TEOS (9.1×10</w:t>
      </w:r>
      <w:r w:rsidRPr="00282F47">
        <w:rPr>
          <w:rFonts w:ascii="Arial" w:hAnsi="Arial" w:cs="Arial"/>
          <w:sz w:val="24"/>
          <w:szCs w:val="24"/>
          <w:vertAlign w:val="superscript"/>
        </w:rPr>
        <w:t>4</w:t>
      </w:r>
      <w:r w:rsidRPr="00282F47">
        <w:rPr>
          <w:rFonts w:ascii="Arial" w:hAnsi="Arial" w:cs="Arial"/>
          <w:sz w:val="24"/>
          <w:szCs w:val="24"/>
        </w:rPr>
        <w:t xml:space="preserve"> photons/s), and V7-TPOS (7.7×10</w:t>
      </w:r>
      <w:r w:rsidRPr="00282F47">
        <w:rPr>
          <w:rFonts w:ascii="Arial" w:hAnsi="Arial" w:cs="Arial"/>
          <w:sz w:val="24"/>
          <w:szCs w:val="24"/>
          <w:vertAlign w:val="superscript"/>
        </w:rPr>
        <w:t>3</w:t>
      </w:r>
      <w:r w:rsidRPr="00282F47">
        <w:rPr>
          <w:rFonts w:ascii="Arial" w:hAnsi="Arial" w:cs="Arial"/>
          <w:sz w:val="24"/>
          <w:szCs w:val="24"/>
        </w:rPr>
        <w:t xml:space="preserve"> photons/s), </w:t>
      </w:r>
      <w:r w:rsidRPr="00282F47">
        <w:rPr>
          <w:rFonts w:ascii="Arial" w:hAnsi="Arial" w:cs="Arial"/>
          <w:sz w:val="24"/>
          <w:szCs w:val="24"/>
        </w:rPr>
        <w:lastRenderedPageBreak/>
        <w:t>compared to their passively targeted counterparts TMOS (8.8×10</w:t>
      </w:r>
      <w:r w:rsidRPr="00282F47">
        <w:rPr>
          <w:rFonts w:ascii="Arial" w:hAnsi="Arial" w:cs="Arial"/>
          <w:sz w:val="24"/>
          <w:szCs w:val="24"/>
          <w:vertAlign w:val="superscript"/>
        </w:rPr>
        <w:t>2</w:t>
      </w:r>
      <w:r w:rsidRPr="00282F47">
        <w:rPr>
          <w:rFonts w:ascii="Arial" w:hAnsi="Arial" w:cs="Arial"/>
          <w:sz w:val="24"/>
          <w:szCs w:val="24"/>
        </w:rPr>
        <w:t xml:space="preserve"> photons/s), TEOS (7.2×10</w:t>
      </w:r>
      <w:r w:rsidRPr="00282F47">
        <w:rPr>
          <w:rFonts w:ascii="Arial" w:hAnsi="Arial" w:cs="Arial"/>
          <w:sz w:val="24"/>
          <w:szCs w:val="24"/>
          <w:vertAlign w:val="superscript"/>
        </w:rPr>
        <w:t>2</w:t>
      </w:r>
      <w:r w:rsidRPr="00282F47">
        <w:rPr>
          <w:rFonts w:ascii="Arial" w:hAnsi="Arial" w:cs="Arial"/>
          <w:sz w:val="24"/>
          <w:szCs w:val="24"/>
        </w:rPr>
        <w:t xml:space="preserve"> photons/s), and TPOS (4.8×10</w:t>
      </w:r>
      <w:r w:rsidRPr="00282F47">
        <w:rPr>
          <w:rFonts w:ascii="Arial" w:hAnsi="Arial" w:cs="Arial"/>
          <w:sz w:val="24"/>
          <w:szCs w:val="24"/>
          <w:vertAlign w:val="superscript"/>
        </w:rPr>
        <w:t>2</w:t>
      </w:r>
      <w:r w:rsidRPr="00282F47">
        <w:rPr>
          <w:rFonts w:ascii="Arial" w:hAnsi="Arial" w:cs="Arial"/>
          <w:sz w:val="24"/>
          <w:szCs w:val="24"/>
        </w:rPr>
        <w:t xml:space="preserve"> photons/s), were significant with p = 0.000004. Further post hoc analysis also demonstrated significant differences between V7-TMOS vs TMOS (p = 0.0080), V7-TEOS vs TEOS (p = 0.00035), and V7-TPOS vs TPOS (p = 0.0088). However, accumulation solely based upon nanoparticle size demonstrated significant differences between the smallest and largest sizes tested for TMOS vs TPOS (p = 0.0432) but not significantly different between TMOS vs TEOS (p = 0.3111). These results confirm and emphasize the critical importance of active targeting for tumor accumulation, with size, &lt;50 nm, as a secondary influencing factor in particle accumulation within tumors, particularly in the case of actively targeted particles.</w:t>
      </w:r>
    </w:p>
    <w:p w14:paraId="3A70A820" w14:textId="77777777" w:rsidR="002027D2" w:rsidRPr="00282F47" w:rsidRDefault="002027D2" w:rsidP="00DE1A84">
      <w:pPr>
        <w:spacing w:line="240" w:lineRule="auto"/>
        <w:jc w:val="center"/>
        <w:rPr>
          <w:rFonts w:ascii="Arial" w:hAnsi="Arial" w:cs="Arial"/>
          <w:sz w:val="24"/>
          <w:szCs w:val="24"/>
        </w:rPr>
      </w:pPr>
      <w:r w:rsidRPr="00282F47">
        <w:rPr>
          <w:rFonts w:ascii="Arial" w:hAnsi="Arial" w:cs="Arial"/>
          <w:noProof/>
          <w:sz w:val="24"/>
          <w:szCs w:val="24"/>
        </w:rPr>
        <w:drawing>
          <wp:inline distT="0" distB="0" distL="0" distR="0" wp14:anchorId="61304DD9" wp14:editId="20BB4A31">
            <wp:extent cx="5815652" cy="2812756"/>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837495" cy="2823320"/>
                    </a:xfrm>
                    <a:prstGeom prst="rect">
                      <a:avLst/>
                    </a:prstGeom>
                  </pic:spPr>
                </pic:pic>
              </a:graphicData>
            </a:graphic>
          </wp:inline>
        </w:drawing>
      </w:r>
    </w:p>
    <w:p w14:paraId="20038546" w14:textId="421C8F05" w:rsidR="004B4BA2" w:rsidRDefault="002027D2" w:rsidP="004B4BA2">
      <w:pPr>
        <w:spacing w:line="276" w:lineRule="auto"/>
        <w:jc w:val="both"/>
        <w:rPr>
          <w:rFonts w:ascii="Arial" w:hAnsi="Arial" w:cs="Arial"/>
          <w:sz w:val="24"/>
          <w:szCs w:val="24"/>
        </w:rPr>
      </w:pPr>
      <w:r w:rsidRPr="00282F47">
        <w:rPr>
          <w:rFonts w:ascii="Arial" w:hAnsi="Arial" w:cs="Arial"/>
          <w:b/>
          <w:bCs/>
          <w:sz w:val="24"/>
          <w:szCs w:val="24"/>
        </w:rPr>
        <w:t>Figure 5.7:</w:t>
      </w:r>
      <w:r w:rsidRPr="00282F47">
        <w:rPr>
          <w:rFonts w:ascii="Arial" w:hAnsi="Arial" w:cs="Arial"/>
          <w:sz w:val="24"/>
          <w:szCs w:val="24"/>
        </w:rPr>
        <w:t xml:space="preserve"> A) </w:t>
      </w:r>
      <w:r w:rsidRPr="00282F47">
        <w:rPr>
          <w:rFonts w:ascii="Arial" w:hAnsi="Arial" w:cs="Arial"/>
          <w:i/>
          <w:iCs/>
          <w:sz w:val="24"/>
          <w:szCs w:val="24"/>
        </w:rPr>
        <w:t>In vivo</w:t>
      </w:r>
      <w:r w:rsidRPr="00282F47">
        <w:rPr>
          <w:rFonts w:ascii="Arial" w:hAnsi="Arial" w:cs="Arial"/>
          <w:sz w:val="24"/>
          <w:szCs w:val="24"/>
        </w:rPr>
        <w:t xml:space="preserve"> biodistribution measurements of V7-TROS and TROS MSNs with NIR fluorescence in orthotopic tumor-bearing mice. B) Quantification of (A). C) </w:t>
      </w:r>
      <w:r w:rsidRPr="00282F47">
        <w:rPr>
          <w:rFonts w:ascii="Arial" w:hAnsi="Arial" w:cs="Arial"/>
          <w:i/>
          <w:iCs/>
          <w:sz w:val="24"/>
          <w:szCs w:val="24"/>
        </w:rPr>
        <w:t>Ex vivo</w:t>
      </w:r>
      <w:r w:rsidRPr="00282F47">
        <w:rPr>
          <w:rFonts w:ascii="Arial" w:hAnsi="Arial" w:cs="Arial"/>
          <w:sz w:val="24"/>
          <w:szCs w:val="24"/>
        </w:rPr>
        <w:t xml:space="preserve"> confirmation of NIR fluorescence signal in organs. *p&lt;0.05, **p&lt;0.01, ***p&lt;0.0001.</w:t>
      </w:r>
    </w:p>
    <w:p w14:paraId="205936E6" w14:textId="77777777" w:rsidR="004B4BA2" w:rsidRPr="00282F47" w:rsidRDefault="004B4BA2" w:rsidP="004B4BA2">
      <w:pPr>
        <w:spacing w:line="276" w:lineRule="auto"/>
        <w:jc w:val="both"/>
        <w:rPr>
          <w:rFonts w:ascii="Arial" w:hAnsi="Arial" w:cs="Arial"/>
          <w:sz w:val="24"/>
          <w:szCs w:val="24"/>
        </w:rPr>
      </w:pPr>
    </w:p>
    <w:p w14:paraId="71C44AF7" w14:textId="77777777" w:rsidR="002027D2" w:rsidRPr="00282F47" w:rsidRDefault="002027D2" w:rsidP="00CA4E19">
      <w:pPr>
        <w:spacing w:line="240" w:lineRule="auto"/>
        <w:jc w:val="both"/>
        <w:rPr>
          <w:rFonts w:ascii="Arial" w:hAnsi="Arial" w:cs="Arial"/>
          <w:sz w:val="24"/>
          <w:szCs w:val="24"/>
        </w:rPr>
      </w:pPr>
      <w:r w:rsidRPr="00282F47">
        <w:rPr>
          <w:rFonts w:ascii="Arial" w:hAnsi="Arial" w:cs="Arial"/>
          <w:b/>
          <w:bCs/>
          <w:sz w:val="24"/>
          <w:szCs w:val="24"/>
        </w:rPr>
        <w:t>5.4.9 Detection of Submillimeter Tumors Using V7-TROS</w:t>
      </w:r>
    </w:p>
    <w:p w14:paraId="127CDCB8" w14:textId="77777777" w:rsidR="002027D2" w:rsidRPr="00282F47" w:rsidRDefault="002027D2" w:rsidP="00C43780">
      <w:pPr>
        <w:spacing w:line="480" w:lineRule="auto"/>
        <w:jc w:val="both"/>
        <w:rPr>
          <w:rFonts w:ascii="Arial" w:hAnsi="Arial" w:cs="Arial"/>
          <w:sz w:val="24"/>
          <w:szCs w:val="24"/>
        </w:rPr>
      </w:pPr>
      <w:r w:rsidRPr="00282F47">
        <w:rPr>
          <w:rFonts w:ascii="Arial" w:hAnsi="Arial" w:cs="Arial"/>
          <w:sz w:val="24"/>
          <w:szCs w:val="24"/>
        </w:rPr>
        <w:lastRenderedPageBreak/>
        <w:t xml:space="preserve">Following determination of V7-TMOS as the optimal treatment for detection in this study, small, submillimeter tumors were imaged with the same </w:t>
      </w:r>
      <w:r w:rsidRPr="00282F47">
        <w:rPr>
          <w:rFonts w:ascii="Arial" w:hAnsi="Arial" w:cs="Arial"/>
          <w:i/>
          <w:iCs/>
          <w:sz w:val="24"/>
          <w:szCs w:val="24"/>
        </w:rPr>
        <w:t>in vivo</w:t>
      </w:r>
      <w:r w:rsidRPr="00282F47">
        <w:rPr>
          <w:rFonts w:ascii="Arial" w:hAnsi="Arial" w:cs="Arial"/>
          <w:sz w:val="24"/>
          <w:szCs w:val="24"/>
        </w:rPr>
        <w:t xml:space="preserve"> model to investigate the sensitivity limits of MSOT imaging, both with and without V7-TMOS, compared to fluorescence (</w:t>
      </w:r>
      <w:r w:rsidRPr="00282F47">
        <w:rPr>
          <w:rFonts w:ascii="Arial" w:hAnsi="Arial" w:cs="Arial"/>
          <w:b/>
          <w:bCs/>
          <w:sz w:val="24"/>
          <w:szCs w:val="24"/>
        </w:rPr>
        <w:t>Supporting Figure S5.4</w:t>
      </w:r>
      <w:r w:rsidRPr="00282F47">
        <w:rPr>
          <w:rFonts w:ascii="Arial" w:hAnsi="Arial" w:cs="Arial"/>
          <w:sz w:val="24"/>
          <w:szCs w:val="24"/>
        </w:rPr>
        <w:t xml:space="preserve">). While resolution/sensitivity is important for optoacoustic imaging, submillimeter tumor detection was outside the major scope of this study. </w:t>
      </w:r>
      <w:r w:rsidRPr="00282F47">
        <w:rPr>
          <w:rFonts w:ascii="Arial" w:hAnsi="Arial" w:cs="Arial"/>
          <w:b/>
          <w:bCs/>
          <w:sz w:val="24"/>
          <w:szCs w:val="24"/>
        </w:rPr>
        <w:t xml:space="preserve">Supporting Figure S5.4A and S5.4C </w:t>
      </w:r>
      <w:r w:rsidRPr="00282F47">
        <w:rPr>
          <w:rFonts w:ascii="Arial" w:hAnsi="Arial" w:cs="Arial"/>
          <w:sz w:val="24"/>
          <w:szCs w:val="24"/>
        </w:rPr>
        <w:t>show that while V7-TMOS and oxy/deoxyhemoglobin were capable of detecting a 0.72 mm PDAC tumor, V7-TMOS was able to detect a 0.23 mm PDAC tumor (</w:t>
      </w:r>
      <w:r w:rsidRPr="00282F47">
        <w:rPr>
          <w:rFonts w:ascii="Arial" w:hAnsi="Arial" w:cs="Arial"/>
          <w:b/>
          <w:bCs/>
          <w:sz w:val="24"/>
          <w:szCs w:val="24"/>
        </w:rPr>
        <w:t>Supporting Figure S5.4B)</w:t>
      </w:r>
      <w:r w:rsidRPr="00282F47">
        <w:rPr>
          <w:rFonts w:ascii="Arial" w:hAnsi="Arial" w:cs="Arial"/>
          <w:sz w:val="24"/>
          <w:szCs w:val="24"/>
        </w:rPr>
        <w:t xml:space="preserve"> while oxy/deoxyhemoglobin was not (</w:t>
      </w:r>
      <w:r w:rsidRPr="00282F47">
        <w:rPr>
          <w:rFonts w:ascii="Arial" w:hAnsi="Arial" w:cs="Arial"/>
          <w:b/>
          <w:bCs/>
          <w:sz w:val="24"/>
          <w:szCs w:val="24"/>
        </w:rPr>
        <w:t>Supporting Figure S5.4D</w:t>
      </w:r>
      <w:r w:rsidRPr="00282F47">
        <w:rPr>
          <w:rFonts w:ascii="Arial" w:hAnsi="Arial" w:cs="Arial"/>
          <w:sz w:val="24"/>
          <w:szCs w:val="24"/>
        </w:rPr>
        <w:t xml:space="preserve">). Whole-body NIR fluorescence in </w:t>
      </w:r>
      <w:r w:rsidRPr="00282F47">
        <w:rPr>
          <w:rFonts w:ascii="Arial" w:hAnsi="Arial" w:cs="Arial"/>
          <w:b/>
          <w:bCs/>
          <w:sz w:val="24"/>
          <w:szCs w:val="24"/>
        </w:rPr>
        <w:t xml:space="preserve">Supporting Figure S5.4E-F </w:t>
      </w:r>
      <w:r w:rsidRPr="00282F47">
        <w:rPr>
          <w:rFonts w:ascii="Arial" w:hAnsi="Arial" w:cs="Arial"/>
          <w:sz w:val="24"/>
          <w:szCs w:val="24"/>
        </w:rPr>
        <w:t xml:space="preserve">shows that detection was achieved with the 0.72 mm tumor, but the signal was insufficient to confirm the presence of the smaller, 0.23 mm tumor. </w:t>
      </w:r>
      <w:r w:rsidRPr="00282F47">
        <w:rPr>
          <w:rFonts w:ascii="Arial" w:hAnsi="Arial" w:cs="Arial"/>
          <w:b/>
          <w:bCs/>
          <w:sz w:val="24"/>
          <w:szCs w:val="24"/>
        </w:rPr>
        <w:t xml:space="preserve">Supporting Figure S5.4G </w:t>
      </w:r>
      <w:r w:rsidRPr="00282F47">
        <w:rPr>
          <w:rFonts w:ascii="Arial" w:hAnsi="Arial" w:cs="Arial"/>
          <w:sz w:val="24"/>
          <w:szCs w:val="24"/>
        </w:rPr>
        <w:t xml:space="preserve">confirms that the excised tumor shows an NIR fluorescence signal </w:t>
      </w:r>
      <w:r w:rsidRPr="00282F47">
        <w:rPr>
          <w:rFonts w:ascii="Arial" w:hAnsi="Arial" w:cs="Arial"/>
          <w:i/>
          <w:iCs/>
          <w:sz w:val="24"/>
          <w:szCs w:val="24"/>
        </w:rPr>
        <w:t>ex vivo</w:t>
      </w:r>
      <w:r w:rsidRPr="00282F47">
        <w:rPr>
          <w:rFonts w:ascii="Arial" w:hAnsi="Arial" w:cs="Arial"/>
          <w:sz w:val="24"/>
          <w:szCs w:val="24"/>
        </w:rPr>
        <w:t xml:space="preserve">. These results show that MSOT has capabilities to synergize with contrast-carrying nanoparticles for the detection of small tumors. </w:t>
      </w:r>
    </w:p>
    <w:p w14:paraId="5B2C4367" w14:textId="77777777" w:rsidR="002027D2" w:rsidRPr="00282F47" w:rsidRDefault="002027D2" w:rsidP="00CA4E19">
      <w:pPr>
        <w:spacing w:line="240" w:lineRule="auto"/>
        <w:jc w:val="both"/>
        <w:rPr>
          <w:rFonts w:ascii="Arial" w:hAnsi="Arial" w:cs="Arial"/>
          <w:sz w:val="24"/>
          <w:szCs w:val="24"/>
        </w:rPr>
      </w:pPr>
      <w:r w:rsidRPr="00282F47">
        <w:rPr>
          <w:rFonts w:ascii="Arial" w:hAnsi="Arial" w:cs="Arial"/>
          <w:b/>
          <w:bCs/>
          <w:sz w:val="24"/>
          <w:szCs w:val="24"/>
        </w:rPr>
        <w:t>5.4.10 Evaluation of TROS Toxicity</w:t>
      </w:r>
    </w:p>
    <w:p w14:paraId="4C22A7F9" w14:textId="1E67D826"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Histological evaluation of the liver and kidney was performed by a board-certified pathologist (W.E.G.) and showed no change in the tissue outside of the normal range (</w:t>
      </w:r>
      <w:r w:rsidRPr="00282F47">
        <w:rPr>
          <w:rFonts w:ascii="Arial" w:hAnsi="Arial" w:cs="Arial"/>
          <w:b/>
          <w:bCs/>
          <w:sz w:val="24"/>
          <w:szCs w:val="24"/>
        </w:rPr>
        <w:t>Figure 5.8A−G</w:t>
      </w:r>
      <w:r w:rsidRPr="00282F47">
        <w:rPr>
          <w:rFonts w:ascii="Arial" w:hAnsi="Arial" w:cs="Arial"/>
          <w:sz w:val="24"/>
          <w:szCs w:val="24"/>
        </w:rPr>
        <w:t xml:space="preserve">). These results support cellular viability conclusions in </w:t>
      </w:r>
      <w:r w:rsidRPr="00282F47">
        <w:rPr>
          <w:rFonts w:ascii="Arial" w:hAnsi="Arial" w:cs="Arial"/>
          <w:b/>
          <w:bCs/>
          <w:sz w:val="24"/>
          <w:szCs w:val="24"/>
        </w:rPr>
        <w:t xml:space="preserve">Supporting Figure S5.3 </w:t>
      </w:r>
      <w:r w:rsidRPr="00282F47">
        <w:rPr>
          <w:rFonts w:ascii="Arial" w:hAnsi="Arial" w:cs="Arial"/>
          <w:sz w:val="24"/>
          <w:szCs w:val="24"/>
        </w:rPr>
        <w:t>that TROS and V7-TROS are nontoxic. The nanoparticle system used avoids the use of PEG as a nanoparticle coating as PEGylated nanoparticles give rise to toxicity concerns based on inhibition of cellular uptake and extended circulation time</w:t>
      </w:r>
      <w:r w:rsidRPr="00282F47">
        <w:rPr>
          <w:rFonts w:ascii="Arial" w:hAnsi="Arial" w:cs="Arial"/>
          <w:noProof/>
          <w:sz w:val="24"/>
          <w:szCs w:val="24"/>
          <w:vertAlign w:val="superscript"/>
        </w:rPr>
        <w:t>141,142,242-244</w:t>
      </w:r>
      <w:r w:rsidRPr="00282F47">
        <w:rPr>
          <w:rFonts w:ascii="Arial" w:hAnsi="Arial" w:cs="Arial"/>
          <w:sz w:val="24"/>
          <w:szCs w:val="24"/>
        </w:rPr>
        <w:t>; in contrast, our data indicates no toxicity associated with the use of V7-TROS for acidosis targeting (</w:t>
      </w:r>
      <w:r w:rsidRPr="00282F47">
        <w:rPr>
          <w:rFonts w:ascii="Arial" w:hAnsi="Arial" w:cs="Arial"/>
          <w:b/>
          <w:bCs/>
          <w:sz w:val="24"/>
          <w:szCs w:val="24"/>
        </w:rPr>
        <w:t>Figures 5.6−5.8</w:t>
      </w:r>
      <w:r w:rsidRPr="00282F47">
        <w:rPr>
          <w:rFonts w:ascii="Arial" w:hAnsi="Arial" w:cs="Arial"/>
          <w:sz w:val="24"/>
          <w:szCs w:val="24"/>
        </w:rPr>
        <w:t xml:space="preserve"> and </w:t>
      </w:r>
      <w:r w:rsidRPr="00282F47">
        <w:rPr>
          <w:rFonts w:ascii="Arial" w:hAnsi="Arial" w:cs="Arial"/>
          <w:b/>
          <w:bCs/>
          <w:sz w:val="24"/>
          <w:szCs w:val="24"/>
        </w:rPr>
        <w:t>Supporting Figure S5.3</w:t>
      </w:r>
      <w:r w:rsidRPr="00282F47">
        <w:rPr>
          <w:rFonts w:ascii="Arial" w:hAnsi="Arial" w:cs="Arial"/>
          <w:sz w:val="24"/>
          <w:szCs w:val="24"/>
        </w:rPr>
        <w:t>). The lack of cytotoxicity in V7-</w:t>
      </w:r>
      <w:r w:rsidRPr="00282F47">
        <w:rPr>
          <w:rFonts w:ascii="Arial" w:hAnsi="Arial" w:cs="Arial"/>
          <w:sz w:val="24"/>
          <w:szCs w:val="24"/>
        </w:rPr>
        <w:lastRenderedPageBreak/>
        <w:t>TROS nanoparticles was likely due to the nearly complete removal of the surfactant used in TROS synthesis, visually evident in TEM images (</w:t>
      </w:r>
      <w:r w:rsidRPr="00282F47">
        <w:rPr>
          <w:rFonts w:ascii="Arial" w:hAnsi="Arial" w:cs="Arial"/>
          <w:b/>
          <w:bCs/>
          <w:sz w:val="24"/>
          <w:szCs w:val="24"/>
        </w:rPr>
        <w:t>Figure 5.2</w:t>
      </w:r>
      <w:r w:rsidRPr="00282F47">
        <w:rPr>
          <w:rFonts w:ascii="Arial" w:hAnsi="Arial" w:cs="Arial"/>
          <w:sz w:val="24"/>
          <w:szCs w:val="24"/>
        </w:rPr>
        <w:t>). While the toxicity of each of the TROS particle types was insignificant, it should be noted that larger TPOS particles tended toward greater toxicity than TMOS or TEOS particles (</w:t>
      </w:r>
      <w:r w:rsidRPr="00282F47">
        <w:rPr>
          <w:rFonts w:ascii="Arial" w:hAnsi="Arial" w:cs="Arial"/>
          <w:b/>
          <w:bCs/>
          <w:sz w:val="24"/>
          <w:szCs w:val="24"/>
        </w:rPr>
        <w:t>Supporting Figure S5.3</w:t>
      </w:r>
      <w:r w:rsidRPr="00282F47">
        <w:rPr>
          <w:rFonts w:ascii="Arial" w:hAnsi="Arial" w:cs="Arial"/>
          <w:sz w:val="24"/>
          <w:szCs w:val="24"/>
        </w:rPr>
        <w:t xml:space="preserve">). While each TROS particle is relatively small (&lt;75 nm), there are subtle changes among the particles in viability that may influence particle behavior </w:t>
      </w:r>
      <w:r w:rsidRPr="00282F47">
        <w:rPr>
          <w:rFonts w:ascii="Arial" w:hAnsi="Arial" w:cs="Arial"/>
          <w:i/>
          <w:iCs/>
          <w:sz w:val="24"/>
          <w:szCs w:val="24"/>
        </w:rPr>
        <w:t>in vivo</w:t>
      </w:r>
      <w:r w:rsidRPr="00282F47">
        <w:rPr>
          <w:rFonts w:ascii="Arial" w:hAnsi="Arial" w:cs="Arial"/>
          <w:sz w:val="24"/>
          <w:szCs w:val="24"/>
        </w:rPr>
        <w:t>. Chitosan has previously been shown to encourage protein corona formation, potentially leading to toxicity and hindered targeting efficacy</w:t>
      </w:r>
      <w:r w:rsidRPr="00282F47">
        <w:rPr>
          <w:rFonts w:ascii="Arial" w:hAnsi="Arial" w:cs="Arial"/>
          <w:noProof/>
          <w:sz w:val="24"/>
          <w:szCs w:val="24"/>
          <w:vertAlign w:val="superscript"/>
        </w:rPr>
        <w:t>245</w:t>
      </w:r>
      <w:r w:rsidRPr="00282F47">
        <w:rPr>
          <w:rFonts w:ascii="Arial" w:hAnsi="Arial" w:cs="Arial"/>
          <w:sz w:val="24"/>
          <w:szCs w:val="24"/>
        </w:rPr>
        <w:t>, although the addition of V7 in this system largely counteracts that effect. The dense conjugation of V7 on the MSN surface creates an extended chain conformation similar to PEG that restricts surface interactions with proteins</w:t>
      </w:r>
      <w:r w:rsidRPr="00282F47">
        <w:rPr>
          <w:rFonts w:ascii="Arial" w:hAnsi="Arial" w:cs="Arial"/>
          <w:noProof/>
          <w:sz w:val="24"/>
          <w:szCs w:val="24"/>
          <w:vertAlign w:val="superscript"/>
        </w:rPr>
        <w:t>195-197,246</w:t>
      </w:r>
      <w:r w:rsidRPr="00282F47">
        <w:rPr>
          <w:rFonts w:ascii="Arial" w:hAnsi="Arial" w:cs="Arial"/>
          <w:sz w:val="24"/>
          <w:szCs w:val="24"/>
        </w:rPr>
        <w:t>. It not only increases efficacy of specific targeting but decreases off-target accumulation and toxicity</w:t>
      </w:r>
      <w:r w:rsidRPr="00282F47">
        <w:rPr>
          <w:rFonts w:ascii="Arial" w:hAnsi="Arial" w:cs="Arial"/>
          <w:noProof/>
          <w:sz w:val="24"/>
          <w:szCs w:val="24"/>
          <w:vertAlign w:val="superscript"/>
        </w:rPr>
        <w:t>177,247</w:t>
      </w:r>
      <w:r w:rsidRPr="00282F47">
        <w:rPr>
          <w:rFonts w:ascii="Arial" w:hAnsi="Arial" w:cs="Arial"/>
          <w:sz w:val="24"/>
          <w:szCs w:val="24"/>
        </w:rPr>
        <w:t>. It obviates any need to PEGylate the MSN, which itself raises concerns of toxicity, especially potential anaphylactic shock or hypersensitivity</w:t>
      </w:r>
      <w:r w:rsidRPr="00282F47">
        <w:rPr>
          <w:rFonts w:ascii="Arial" w:hAnsi="Arial" w:cs="Arial"/>
          <w:noProof/>
          <w:sz w:val="24"/>
          <w:szCs w:val="24"/>
          <w:vertAlign w:val="superscript"/>
        </w:rPr>
        <w:t>141,177,243,248</w:t>
      </w:r>
      <w:r w:rsidRPr="00282F47">
        <w:rPr>
          <w:rFonts w:ascii="Arial" w:hAnsi="Arial" w:cs="Arial"/>
          <w:sz w:val="24"/>
          <w:szCs w:val="24"/>
        </w:rPr>
        <w:t>.</w:t>
      </w:r>
    </w:p>
    <w:p w14:paraId="6892E853" w14:textId="77777777" w:rsidR="002027D2" w:rsidRPr="00282F47" w:rsidRDefault="002027D2" w:rsidP="006208BB">
      <w:pPr>
        <w:jc w:val="center"/>
        <w:rPr>
          <w:rFonts w:ascii="Arial" w:hAnsi="Arial" w:cs="Arial"/>
          <w:sz w:val="24"/>
          <w:szCs w:val="24"/>
        </w:rPr>
      </w:pPr>
      <w:r w:rsidRPr="00282F47">
        <w:rPr>
          <w:rFonts w:ascii="Arial" w:hAnsi="Arial" w:cs="Arial"/>
          <w:noProof/>
          <w:sz w:val="24"/>
          <w:szCs w:val="24"/>
        </w:rPr>
        <w:lastRenderedPageBreak/>
        <w:drawing>
          <wp:inline distT="0" distB="0" distL="0" distR="0" wp14:anchorId="22C562DD" wp14:editId="096E7D26">
            <wp:extent cx="3807912" cy="5131587"/>
            <wp:effectExtent l="0" t="0" r="2540" b="0"/>
            <wp:docPr id="20210506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17187" cy="5144086"/>
                    </a:xfrm>
                    <a:prstGeom prst="rect">
                      <a:avLst/>
                    </a:prstGeom>
                    <a:noFill/>
                  </pic:spPr>
                </pic:pic>
              </a:graphicData>
            </a:graphic>
          </wp:inline>
        </w:drawing>
      </w:r>
    </w:p>
    <w:p w14:paraId="622831C6" w14:textId="4DCF0807" w:rsidR="002027D2" w:rsidRDefault="002027D2" w:rsidP="004B4BA2">
      <w:pPr>
        <w:spacing w:line="276" w:lineRule="auto"/>
        <w:jc w:val="both"/>
        <w:rPr>
          <w:rFonts w:ascii="Arial" w:hAnsi="Arial" w:cs="Arial"/>
          <w:b/>
          <w:bCs/>
          <w:sz w:val="24"/>
          <w:szCs w:val="24"/>
        </w:rPr>
      </w:pPr>
      <w:r w:rsidRPr="00282F47">
        <w:rPr>
          <w:rFonts w:ascii="Arial" w:hAnsi="Arial" w:cs="Arial"/>
          <w:b/>
          <w:bCs/>
          <w:sz w:val="24"/>
          <w:szCs w:val="24"/>
        </w:rPr>
        <w:t>Figure 5.8:</w:t>
      </w:r>
      <w:r w:rsidRPr="00282F47">
        <w:rPr>
          <w:rFonts w:ascii="Arial" w:hAnsi="Arial" w:cs="Arial"/>
          <w:sz w:val="24"/>
          <w:szCs w:val="24"/>
        </w:rPr>
        <w:t xml:space="preserve"> Histological evaluation of liver and kidney of mice treated with V7-TROS MSNs. (A-D) Livers and (E-H) kidneys of untreated mice (A, E), and mice treated with V7-TMOS (B, F), V7-TEOS (C, G), and V7-TPOS (D, H). All livers and kidneys appear to be normal/non-diseased.</w:t>
      </w:r>
    </w:p>
    <w:p w14:paraId="67EF5534" w14:textId="77777777" w:rsidR="004B4BA2" w:rsidRPr="004B4BA2" w:rsidRDefault="004B4BA2" w:rsidP="004B4BA2">
      <w:pPr>
        <w:spacing w:line="276" w:lineRule="auto"/>
        <w:jc w:val="both"/>
        <w:rPr>
          <w:rFonts w:ascii="Arial" w:hAnsi="Arial" w:cs="Arial"/>
          <w:b/>
          <w:bCs/>
          <w:sz w:val="24"/>
          <w:szCs w:val="24"/>
        </w:rPr>
      </w:pPr>
    </w:p>
    <w:p w14:paraId="3B0A5996" w14:textId="77777777" w:rsidR="002027D2" w:rsidRPr="00282F47" w:rsidRDefault="002027D2" w:rsidP="00F73DFD">
      <w:pPr>
        <w:pStyle w:val="Style4"/>
        <w:spacing w:after="240"/>
        <w:rPr>
          <w:color w:val="auto"/>
        </w:rPr>
      </w:pPr>
      <w:bookmarkStart w:id="55" w:name="_Toc152874285"/>
      <w:r w:rsidRPr="00282F47">
        <w:rPr>
          <w:color w:val="auto"/>
        </w:rPr>
        <w:t>5.5 Conclusions:</w:t>
      </w:r>
      <w:bookmarkEnd w:id="55"/>
    </w:p>
    <w:p w14:paraId="171BB579" w14:textId="77777777" w:rsidR="002027D2" w:rsidRPr="00282F47" w:rsidRDefault="002027D2" w:rsidP="00C43780">
      <w:pPr>
        <w:spacing w:line="480" w:lineRule="auto"/>
        <w:jc w:val="both"/>
        <w:rPr>
          <w:rFonts w:ascii="Arial" w:hAnsi="Arial" w:cs="Arial"/>
          <w:sz w:val="24"/>
          <w:szCs w:val="24"/>
        </w:rPr>
      </w:pPr>
      <w:r w:rsidRPr="00282F47">
        <w:rPr>
          <w:rFonts w:ascii="Arial" w:hAnsi="Arial" w:cs="Arial"/>
          <w:sz w:val="24"/>
          <w:szCs w:val="24"/>
        </w:rPr>
        <w:t xml:space="preserve">In summary, nanobiotechnologies have universally seen suboptimal clinical outcomes in cancer-related applications due to a poor understanding of how to reliably improve tumor specificity. Numerous structural features of nanoparticles have been previously manipulated to achieve high tumor uptake paired with low off-target accumulation. </w:t>
      </w:r>
      <w:r w:rsidRPr="00282F47">
        <w:rPr>
          <w:rFonts w:ascii="Arial" w:hAnsi="Arial" w:cs="Arial"/>
          <w:sz w:val="24"/>
          <w:szCs w:val="24"/>
        </w:rPr>
        <w:lastRenderedPageBreak/>
        <w:t xml:space="preserve">However, the resulting data remains controversial due to the lack of clinically appropriate </w:t>
      </w:r>
      <w:r w:rsidRPr="00282F47">
        <w:rPr>
          <w:rFonts w:ascii="Arial" w:hAnsi="Arial" w:cs="Arial"/>
          <w:i/>
          <w:iCs/>
          <w:sz w:val="24"/>
          <w:szCs w:val="24"/>
        </w:rPr>
        <w:t>in vivo</w:t>
      </w:r>
      <w:r w:rsidRPr="00282F47">
        <w:rPr>
          <w:rFonts w:ascii="Arial" w:hAnsi="Arial" w:cs="Arial"/>
          <w:sz w:val="24"/>
          <w:szCs w:val="24"/>
        </w:rPr>
        <w:t xml:space="preserve"> models. This study examines the influence of active targeting vs passive targeting simultaneously with changes in particle size to determine combinations that produce high tumor-specific uptake in a clinically relevant orthotopic model of pancreatic cancer </w:t>
      </w:r>
      <w:r w:rsidRPr="00282F47">
        <w:rPr>
          <w:rFonts w:ascii="Arial" w:hAnsi="Arial" w:cs="Arial"/>
          <w:i/>
          <w:iCs/>
          <w:sz w:val="24"/>
          <w:szCs w:val="24"/>
        </w:rPr>
        <w:t>in vivo</w:t>
      </w:r>
      <w:r w:rsidRPr="00282F47">
        <w:rPr>
          <w:rFonts w:ascii="Arial" w:hAnsi="Arial" w:cs="Arial"/>
          <w:sz w:val="24"/>
          <w:szCs w:val="24"/>
        </w:rPr>
        <w:t xml:space="preserve">. Nanoparticles were prepared as TMOS (26 nm), TEOS (45 nm), and TPOS (73 nm) and either actively targeted with the V7 peptide or passively targeted without peptide addition. Our results show a strong, primary influence of active targeting, with a secondary influence of particle size, on tumor uptake. Ultimately, V7-targeted 26 nm TMOS particles resulted in the greatest tumor specificity </w:t>
      </w:r>
      <w:r w:rsidRPr="00282F47">
        <w:rPr>
          <w:rFonts w:ascii="Arial" w:hAnsi="Arial" w:cs="Arial"/>
          <w:i/>
          <w:iCs/>
          <w:sz w:val="24"/>
          <w:szCs w:val="24"/>
        </w:rPr>
        <w:t>in vivo</w:t>
      </w:r>
      <w:r w:rsidRPr="00282F47">
        <w:rPr>
          <w:rFonts w:ascii="Arial" w:hAnsi="Arial" w:cs="Arial"/>
          <w:sz w:val="24"/>
          <w:szCs w:val="24"/>
        </w:rPr>
        <w:t>. The superior influence of active targeting was further shown as the actively targeted largest particle (V7-TPOS-73 nm) had higher uptake than the passively targeted smallest particle (TMOS-26 nm). Particle size had a secondary, but important, influence, with particles &lt;50 nm having the best uptake profile among the tested particles. In addition, MSOT showed the capability to outperform many clinical imaging modalities through detection of 0.23 mm PDAC tumors with V7-TMOS and 0.72 mm PDAC tumors without any exogenous contrast. Our study provides valuable insight for the future development of similar nonaggregate nanoparticles for cancer theranostics using powerful imaging modalities such as MSOT.</w:t>
      </w:r>
    </w:p>
    <w:p w14:paraId="1D0D9E9A" w14:textId="77777777" w:rsidR="002027D2" w:rsidRPr="00282F47" w:rsidRDefault="002027D2" w:rsidP="00F73DFD">
      <w:pPr>
        <w:pStyle w:val="Style4"/>
        <w:spacing w:after="240"/>
        <w:rPr>
          <w:color w:val="auto"/>
        </w:rPr>
      </w:pPr>
      <w:bookmarkStart w:id="56" w:name="_Toc152874286"/>
      <w:r w:rsidRPr="00282F47">
        <w:rPr>
          <w:color w:val="auto"/>
        </w:rPr>
        <w:t>5.6 Acknowledgements and Funding:</w:t>
      </w:r>
      <w:bookmarkEnd w:id="56"/>
    </w:p>
    <w:p w14:paraId="2E8A43E7" w14:textId="77777777" w:rsidR="002027D2" w:rsidRPr="00282F47" w:rsidRDefault="002027D2" w:rsidP="00E53342">
      <w:pPr>
        <w:spacing w:line="480" w:lineRule="auto"/>
        <w:jc w:val="both"/>
        <w:rPr>
          <w:rFonts w:ascii="Arial" w:hAnsi="Arial" w:cs="Arial"/>
          <w:sz w:val="24"/>
          <w:szCs w:val="24"/>
        </w:rPr>
      </w:pPr>
      <w:r w:rsidRPr="00282F47">
        <w:rPr>
          <w:rFonts w:ascii="Arial" w:hAnsi="Arial" w:cs="Arial"/>
          <w:sz w:val="24"/>
          <w:szCs w:val="24"/>
        </w:rPr>
        <w:t>The authors acknowledge funding sources: National Institute of Health grant R01CA205941, National Institute of Health grant R01CA212350, National Institute of Health grant R01EB020125, National Institute of Health grant P30CA225520.</w:t>
      </w:r>
    </w:p>
    <w:p w14:paraId="095BB31D" w14:textId="77777777" w:rsidR="002027D2" w:rsidRPr="00282F47" w:rsidRDefault="002027D2" w:rsidP="00F73DFD">
      <w:pPr>
        <w:pStyle w:val="Style3"/>
        <w:spacing w:after="240"/>
        <w:rPr>
          <w:color w:val="auto"/>
        </w:rPr>
      </w:pPr>
      <w:bookmarkStart w:id="57" w:name="_Toc152874287"/>
      <w:r w:rsidRPr="00282F47">
        <w:rPr>
          <w:color w:val="auto"/>
        </w:rPr>
        <w:lastRenderedPageBreak/>
        <w:t>Chapter 6 – Conclusions and Future Directions</w:t>
      </w:r>
      <w:bookmarkEnd w:id="57"/>
    </w:p>
    <w:p w14:paraId="1DF309DF" w14:textId="1478C2A2" w:rsidR="002027D2" w:rsidRPr="00282F47" w:rsidRDefault="002027D2" w:rsidP="00826886">
      <w:pPr>
        <w:spacing w:line="480" w:lineRule="auto"/>
        <w:jc w:val="both"/>
        <w:rPr>
          <w:rFonts w:ascii="Arial" w:hAnsi="Arial" w:cs="Arial"/>
          <w:sz w:val="24"/>
          <w:szCs w:val="24"/>
        </w:rPr>
      </w:pPr>
      <w:r w:rsidRPr="00282F47">
        <w:rPr>
          <w:rFonts w:ascii="Arial" w:hAnsi="Arial" w:cs="Arial"/>
          <w:sz w:val="24"/>
          <w:szCs w:val="24"/>
        </w:rPr>
        <w:t xml:space="preserve">The work described in this thesis focuses on expanding the relevance of optoacoustic tomography through improving optoacoustic signature and the delivery of contrast agents. To recap, optoacoustic imaging has emerged as an imaging modality that holds high potential in the clinic due to inherent advantages of the photoacoustic effect. Due to the utilization of low energy near-infrared (NIR) light and the detection of ultrasonic waves rather than re-emitted light, the imaging depth/spatial resolution tradeoff is less relevant; thus, allowing high resolution at increased depths. Multi-wavelength illumination allows for spectral processing </w:t>
      </w:r>
      <w:r w:rsidR="00ED4731">
        <w:rPr>
          <w:rFonts w:ascii="Arial" w:hAnsi="Arial" w:cs="Arial"/>
          <w:sz w:val="24"/>
          <w:szCs w:val="24"/>
        </w:rPr>
        <w:t xml:space="preserve">(MSOT) </w:t>
      </w:r>
      <w:r w:rsidRPr="00282F47">
        <w:rPr>
          <w:rFonts w:ascii="Arial" w:hAnsi="Arial" w:cs="Arial"/>
          <w:sz w:val="24"/>
          <w:szCs w:val="24"/>
        </w:rPr>
        <w:t>and therefore the determination of location and concentration of individual optoacoustic contrast agents in a complex sample. This has been shown clinically with oxygenated and deoxygenated hemoglobin. A major limitation of optoacoustic imaging currently is the small library of dedicated optoacoustic contrast agents; most are primary fluorescence agents that happen to provide optoacoustic signal as well. Chapters 2 and 3 of this document describe studies that create a framework for the production of optoacoustic contrast agents.</w:t>
      </w:r>
    </w:p>
    <w:p w14:paraId="0FCE7B8B" w14:textId="77777777" w:rsidR="002027D2" w:rsidRPr="00282F47" w:rsidRDefault="002027D2" w:rsidP="00826886">
      <w:pPr>
        <w:spacing w:line="480" w:lineRule="auto"/>
        <w:jc w:val="both"/>
        <w:rPr>
          <w:rFonts w:ascii="Arial" w:hAnsi="Arial" w:cs="Arial"/>
          <w:sz w:val="24"/>
          <w:szCs w:val="24"/>
        </w:rPr>
      </w:pPr>
      <w:r w:rsidRPr="00282F47">
        <w:rPr>
          <w:rFonts w:ascii="Arial" w:hAnsi="Arial" w:cs="Arial"/>
          <w:sz w:val="24"/>
          <w:szCs w:val="24"/>
        </w:rPr>
        <w:t xml:space="preserve">Specifically, chapter 2 details the utilization of squaraine dyes as simple, symmetrical, and tunable compounds for determination of how different structural features impact optoacoustic signal generation. As shown, heavy halogenation and increasing the rotatable bond amount through hydrocarbon chain extension, both in tandem and individually, improved optoacoustic signal. However, such changes had no impact on the optoacoustic spectral signatures of the compounds, only the magnitude of optoacoustic signal. As spectral processing software necessitates unique spectral signatures for proper multiplexing, a more complicated dye structure was utilized in chapter 3. Indeed, through </w:t>
      </w:r>
      <w:r w:rsidRPr="00282F47">
        <w:rPr>
          <w:rFonts w:ascii="Arial" w:hAnsi="Arial" w:cs="Arial"/>
          <w:sz w:val="24"/>
          <w:szCs w:val="24"/>
        </w:rPr>
        <w:lastRenderedPageBreak/>
        <w:t>addition of asymmetrical amino groups with increased rotatable bonds, a shift of approximately 50 nm was observed in the peak optoacoustic signal. The studies in chapters 2 and 3 describe a framework for the development of unique optoacoustic contrast agents. As unique and targeting agents for optoacoustic imaging become available, the applications will increase proportionally.</w:t>
      </w:r>
    </w:p>
    <w:p w14:paraId="7F663A91" w14:textId="77777777" w:rsidR="002027D2" w:rsidRPr="00282F47" w:rsidRDefault="002027D2" w:rsidP="00572AFE">
      <w:pPr>
        <w:spacing w:line="480" w:lineRule="auto"/>
        <w:jc w:val="both"/>
        <w:rPr>
          <w:rFonts w:ascii="Arial" w:hAnsi="Arial" w:cs="Arial"/>
          <w:sz w:val="24"/>
          <w:szCs w:val="24"/>
        </w:rPr>
      </w:pPr>
      <w:r w:rsidRPr="00282F47">
        <w:rPr>
          <w:rFonts w:ascii="Arial" w:hAnsi="Arial" w:cs="Arial"/>
          <w:sz w:val="24"/>
          <w:szCs w:val="24"/>
        </w:rPr>
        <w:t xml:space="preserve">The addition of targeting and improved delivery of contrast agents may vastly improve the applications of optoacoustic imaging. Tracking of a specific protein/antigen, long term imaging through agent retention, and uptake directly into cells are a few methods to increase applications for imaging modalities such as optoacoustic imaging. Utilization of nanoparticles is one technique to potentially include all mentioned benefits. There is no shortage in types of nanoparticles being developed currently, but silica nanoparticles are an intriguing option that are focused on in this document. Specifically, mesoporous silica nanoparticles (MSNs) are a viable nanoparticle system that have been extensively studied recently due to ease of synthesis, tunability, and potential for conjugation. While the potential of MSNs remains high, the lack of standardization and differences in synthesis have raised concerns of toxicity. Autoimmune diseases, fibrosis, and renal/hepatic injury are just a few of the potential complications of administration of MSNs. However, since such issues are likely to be a result of MSN size, coating, cargo, functionalization, etc. toxicity needs to be assessed on a case-by-case basis. Chapter 4 of this thesis describes a study that evaluates toxicity of MSNs, without a coating, and with three common coatings, low molecular weight polyethylene glycol (PEG), high molecular weight PEG, and chitosan. Results concluded that low molecular weight PEG may cause or worsen vascular injury, and low molecular weight PEG specifically may </w:t>
      </w:r>
      <w:r w:rsidRPr="00282F47">
        <w:rPr>
          <w:rFonts w:ascii="Arial" w:hAnsi="Arial" w:cs="Arial"/>
          <w:sz w:val="24"/>
          <w:szCs w:val="24"/>
        </w:rPr>
        <w:lastRenderedPageBreak/>
        <w:t>result in minor kidney dysfunction. Of all treatment groups, MSNs coated with chitosan resulted in no observable toxicity.</w:t>
      </w:r>
    </w:p>
    <w:p w14:paraId="0FE1B9ED" w14:textId="77777777" w:rsidR="002027D2" w:rsidRPr="00282F47" w:rsidRDefault="002027D2" w:rsidP="005C1930">
      <w:pPr>
        <w:spacing w:line="480" w:lineRule="auto"/>
        <w:jc w:val="both"/>
        <w:rPr>
          <w:rFonts w:ascii="Arial" w:hAnsi="Arial" w:cs="Arial"/>
          <w:sz w:val="24"/>
          <w:szCs w:val="24"/>
        </w:rPr>
      </w:pPr>
      <w:r w:rsidRPr="00282F47">
        <w:rPr>
          <w:rFonts w:ascii="Arial" w:hAnsi="Arial" w:cs="Arial"/>
          <w:sz w:val="24"/>
          <w:szCs w:val="24"/>
        </w:rPr>
        <w:t xml:space="preserve">Chapter 5 expands on the use of chitosan coated MSNs, this time loaded with optoacoustic contrast agent and targeted for cancer. Using V7 peptide with the chitosan coating, both of which are targeted for the acidic microenvironment of cancer, MSNs specifically accumulated in a pancreatic tumor </w:t>
      </w:r>
      <w:r w:rsidRPr="00282F47">
        <w:rPr>
          <w:rFonts w:ascii="Arial" w:hAnsi="Arial" w:cs="Arial"/>
          <w:i/>
          <w:iCs/>
          <w:sz w:val="24"/>
          <w:szCs w:val="24"/>
        </w:rPr>
        <w:t>in vivo</w:t>
      </w:r>
      <w:r w:rsidRPr="00282F47">
        <w:rPr>
          <w:rFonts w:ascii="Arial" w:hAnsi="Arial" w:cs="Arial"/>
          <w:sz w:val="24"/>
          <w:szCs w:val="24"/>
        </w:rPr>
        <w:t>. In this chapter, MSNs were constructed in three different sizes, all with and without V7 active targeting, to find the optimal construction of MSNs for targeting pancreatic cancer in an orthotopic murine model. V7 active targeting massively outperformed passive targeting, that is, relying only on the enhanced permeability and retention effect. Size of the nanoparticle had a secondary, but strong effect on tumor accumulation in which the smallest of the MSNs (26 nm diameter) had maximum accumulation, followed by 45 nm and 73 nm MSNs.</w:t>
      </w:r>
    </w:p>
    <w:p w14:paraId="61A66647" w14:textId="77777777" w:rsidR="002027D2" w:rsidRPr="00282F47" w:rsidRDefault="002027D2" w:rsidP="005C1930">
      <w:pPr>
        <w:spacing w:line="480" w:lineRule="auto"/>
        <w:jc w:val="both"/>
        <w:rPr>
          <w:rFonts w:ascii="Arial" w:hAnsi="Arial" w:cs="Arial"/>
          <w:sz w:val="24"/>
          <w:szCs w:val="24"/>
        </w:rPr>
      </w:pPr>
      <w:r w:rsidRPr="00282F47">
        <w:rPr>
          <w:rFonts w:ascii="Arial" w:hAnsi="Arial" w:cs="Arial"/>
          <w:sz w:val="24"/>
          <w:szCs w:val="24"/>
        </w:rPr>
        <w:t>The work detailed in this document has many future routes and studies to be performed. In relevance to chapters 2 and 3, improved understanding of how to control optoacoustic signal through structural enhancement may be performed similarly to the studies detailed. This will only further enhance and expand the library of optoacoustic contrast agents, allowing for improved sensitivity of agents and multiplexing studies. In addition, such optoacoustic contrast agents may be incorporated with nanoparticles such as the formation outlined in chapters 4 and 5. These may improve signal generation with more controlled release or specific accumulation of contrast agents.</w:t>
      </w:r>
    </w:p>
    <w:p w14:paraId="47AE9FF0" w14:textId="77777777" w:rsidR="002027D2" w:rsidRPr="00282F47" w:rsidRDefault="002027D2" w:rsidP="002A4DB5">
      <w:pPr>
        <w:spacing w:line="480" w:lineRule="auto"/>
        <w:jc w:val="both"/>
        <w:rPr>
          <w:rFonts w:ascii="Arial" w:hAnsi="Arial" w:cs="Arial"/>
          <w:sz w:val="24"/>
          <w:szCs w:val="24"/>
        </w:rPr>
      </w:pPr>
      <w:r w:rsidRPr="00282F47">
        <w:rPr>
          <w:rFonts w:ascii="Arial" w:hAnsi="Arial" w:cs="Arial"/>
          <w:sz w:val="24"/>
          <w:szCs w:val="24"/>
        </w:rPr>
        <w:t xml:space="preserve">Longer term future directions would include the use of optimized contrast agents in a clinical setting. Through standardization and optimization of both the optoacoustic contrast agent and the nanoparticle system, targeting studies may visualize disease such </w:t>
      </w:r>
      <w:r w:rsidRPr="00282F47">
        <w:rPr>
          <w:rFonts w:ascii="Arial" w:hAnsi="Arial" w:cs="Arial"/>
          <w:sz w:val="24"/>
          <w:szCs w:val="24"/>
        </w:rPr>
        <w:lastRenderedPageBreak/>
        <w:t>as cancer in humans. This could occur simultaneously with optoacoustic imaging to view multiple agents, for example, targeted tumor cells and oxygenation. In addition to cancer, other diseases that have antigens that are targetable through small peptides may be visualized with optoacoustic imaging.</w:t>
      </w:r>
    </w:p>
    <w:p w14:paraId="113A947B" w14:textId="77777777" w:rsidR="002027D2" w:rsidRPr="00282F47" w:rsidRDefault="002027D2" w:rsidP="002A4DB5">
      <w:pPr>
        <w:spacing w:line="480" w:lineRule="auto"/>
        <w:rPr>
          <w:rFonts w:ascii="Arial" w:hAnsi="Arial" w:cs="Arial"/>
          <w:sz w:val="24"/>
          <w:szCs w:val="24"/>
        </w:rPr>
      </w:pPr>
    </w:p>
    <w:p w14:paraId="0F5EE171" w14:textId="77777777" w:rsidR="002027D2" w:rsidRPr="00282F47" w:rsidRDefault="002027D2" w:rsidP="002A4DB5">
      <w:pPr>
        <w:spacing w:line="480" w:lineRule="auto"/>
        <w:rPr>
          <w:rFonts w:ascii="Arial" w:hAnsi="Arial" w:cs="Arial"/>
          <w:sz w:val="24"/>
          <w:szCs w:val="24"/>
        </w:rPr>
      </w:pPr>
    </w:p>
    <w:p w14:paraId="45FB6CB7" w14:textId="77777777" w:rsidR="002027D2" w:rsidRPr="00282F47" w:rsidRDefault="002027D2" w:rsidP="002A4DB5">
      <w:pPr>
        <w:spacing w:line="480" w:lineRule="auto"/>
        <w:rPr>
          <w:rFonts w:ascii="Arial" w:hAnsi="Arial" w:cs="Arial"/>
          <w:sz w:val="24"/>
          <w:szCs w:val="24"/>
        </w:rPr>
      </w:pPr>
    </w:p>
    <w:p w14:paraId="598678F4" w14:textId="77777777" w:rsidR="002027D2" w:rsidRPr="00282F47" w:rsidRDefault="002027D2" w:rsidP="002A4DB5">
      <w:pPr>
        <w:spacing w:line="480" w:lineRule="auto"/>
        <w:rPr>
          <w:rFonts w:ascii="Arial" w:hAnsi="Arial" w:cs="Arial"/>
          <w:sz w:val="24"/>
          <w:szCs w:val="24"/>
        </w:rPr>
      </w:pPr>
    </w:p>
    <w:p w14:paraId="16DB05A1" w14:textId="77777777" w:rsidR="002027D2" w:rsidRPr="00282F47" w:rsidRDefault="002027D2" w:rsidP="002A4DB5">
      <w:pPr>
        <w:spacing w:line="480" w:lineRule="auto"/>
        <w:rPr>
          <w:rFonts w:ascii="Arial" w:hAnsi="Arial" w:cs="Arial"/>
          <w:sz w:val="24"/>
          <w:szCs w:val="24"/>
        </w:rPr>
      </w:pPr>
    </w:p>
    <w:p w14:paraId="6B73B4EC" w14:textId="77777777" w:rsidR="002027D2" w:rsidRPr="00282F47" w:rsidRDefault="002027D2" w:rsidP="002A4DB5">
      <w:pPr>
        <w:spacing w:line="480" w:lineRule="auto"/>
        <w:rPr>
          <w:rFonts w:ascii="Arial" w:hAnsi="Arial" w:cs="Arial"/>
          <w:sz w:val="24"/>
          <w:szCs w:val="24"/>
        </w:rPr>
      </w:pPr>
    </w:p>
    <w:p w14:paraId="50F0ADDB" w14:textId="77777777" w:rsidR="002027D2" w:rsidRPr="00282F47" w:rsidRDefault="002027D2" w:rsidP="002A4DB5">
      <w:pPr>
        <w:spacing w:line="480" w:lineRule="auto"/>
        <w:rPr>
          <w:rFonts w:ascii="Arial" w:hAnsi="Arial" w:cs="Arial"/>
          <w:sz w:val="24"/>
          <w:szCs w:val="24"/>
        </w:rPr>
      </w:pPr>
    </w:p>
    <w:p w14:paraId="3C4A8898" w14:textId="77777777" w:rsidR="002027D2" w:rsidRPr="00282F47" w:rsidRDefault="002027D2" w:rsidP="002A4DB5">
      <w:pPr>
        <w:spacing w:line="480" w:lineRule="auto"/>
        <w:rPr>
          <w:rFonts w:ascii="Arial" w:hAnsi="Arial" w:cs="Arial"/>
          <w:sz w:val="24"/>
          <w:szCs w:val="24"/>
        </w:rPr>
      </w:pPr>
    </w:p>
    <w:p w14:paraId="1267077D" w14:textId="77777777" w:rsidR="002027D2" w:rsidRPr="00282F47" w:rsidRDefault="002027D2" w:rsidP="002A4DB5">
      <w:pPr>
        <w:spacing w:line="480" w:lineRule="auto"/>
        <w:rPr>
          <w:rFonts w:ascii="Arial" w:hAnsi="Arial" w:cs="Arial"/>
          <w:sz w:val="24"/>
          <w:szCs w:val="24"/>
        </w:rPr>
      </w:pPr>
    </w:p>
    <w:p w14:paraId="1596F8D7" w14:textId="77777777" w:rsidR="002027D2" w:rsidRPr="00282F47" w:rsidRDefault="002027D2" w:rsidP="002A4DB5">
      <w:pPr>
        <w:spacing w:line="480" w:lineRule="auto"/>
        <w:rPr>
          <w:rFonts w:ascii="Arial" w:hAnsi="Arial" w:cs="Arial"/>
          <w:sz w:val="24"/>
          <w:szCs w:val="24"/>
        </w:rPr>
      </w:pPr>
    </w:p>
    <w:p w14:paraId="5BD50CF2" w14:textId="77777777" w:rsidR="002027D2" w:rsidRPr="00282F47" w:rsidRDefault="002027D2" w:rsidP="002A4DB5">
      <w:pPr>
        <w:spacing w:line="480" w:lineRule="auto"/>
        <w:rPr>
          <w:rFonts w:ascii="Arial" w:hAnsi="Arial" w:cs="Arial"/>
          <w:sz w:val="24"/>
          <w:szCs w:val="24"/>
        </w:rPr>
      </w:pPr>
    </w:p>
    <w:p w14:paraId="175E8CA3" w14:textId="77777777" w:rsidR="002027D2" w:rsidRPr="00282F47" w:rsidRDefault="002027D2" w:rsidP="002A4DB5">
      <w:pPr>
        <w:spacing w:line="480" w:lineRule="auto"/>
        <w:rPr>
          <w:rFonts w:ascii="Arial" w:hAnsi="Arial" w:cs="Arial"/>
          <w:sz w:val="24"/>
          <w:szCs w:val="24"/>
        </w:rPr>
      </w:pPr>
    </w:p>
    <w:p w14:paraId="21461232" w14:textId="77777777" w:rsidR="002027D2" w:rsidRPr="00282F47" w:rsidRDefault="002027D2" w:rsidP="002A4DB5">
      <w:pPr>
        <w:spacing w:line="480" w:lineRule="auto"/>
        <w:rPr>
          <w:rFonts w:ascii="Arial" w:hAnsi="Arial" w:cs="Arial"/>
          <w:sz w:val="24"/>
          <w:szCs w:val="24"/>
        </w:rPr>
      </w:pPr>
    </w:p>
    <w:p w14:paraId="1834DEDC" w14:textId="77777777" w:rsidR="002027D2" w:rsidRPr="00282F47" w:rsidRDefault="002027D2" w:rsidP="002A4DB5">
      <w:pPr>
        <w:spacing w:line="480" w:lineRule="auto"/>
        <w:rPr>
          <w:rFonts w:ascii="Arial" w:hAnsi="Arial" w:cs="Arial"/>
          <w:sz w:val="24"/>
          <w:szCs w:val="24"/>
        </w:rPr>
      </w:pPr>
    </w:p>
    <w:p w14:paraId="3F565778" w14:textId="77777777" w:rsidR="002027D2" w:rsidRPr="00282F47" w:rsidRDefault="002027D2" w:rsidP="002027D2">
      <w:pPr>
        <w:pStyle w:val="Style3"/>
        <w:spacing w:line="480" w:lineRule="auto"/>
        <w:rPr>
          <w:rFonts w:cs="Arial"/>
          <w:color w:val="auto"/>
          <w:szCs w:val="24"/>
        </w:rPr>
      </w:pPr>
      <w:bookmarkStart w:id="58" w:name="_Toc152874288"/>
      <w:r w:rsidRPr="00282F47">
        <w:rPr>
          <w:color w:val="auto"/>
        </w:rPr>
        <w:lastRenderedPageBreak/>
        <w:t>References:</w:t>
      </w:r>
      <w:bookmarkEnd w:id="58"/>
    </w:p>
    <w:p w14:paraId="2A3E92D9"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1.</w:t>
      </w:r>
      <w:r w:rsidRPr="00282F47">
        <w:rPr>
          <w:rFonts w:ascii="Arial" w:hAnsi="Arial" w:cs="Arial"/>
          <w:sz w:val="24"/>
          <w:szCs w:val="24"/>
        </w:rPr>
        <w:tab/>
        <w:t xml:space="preserve">Stoffels, I., Morscher, S., Helfrich, I., Hillen, U., Leyh, J., Burton, N.C., Sardella, T.C., Claussen, J., Poeppel, T.D., and Bachmann, H.S. (2015). Metastatic status of sentinel lymph nodes in melanoma determined noninvasively with multispectral optoacoustic imaging. Science translational medicine </w:t>
      </w:r>
      <w:r w:rsidRPr="00282F47">
        <w:rPr>
          <w:rFonts w:ascii="Arial" w:hAnsi="Arial" w:cs="Arial"/>
          <w:i/>
          <w:sz w:val="24"/>
          <w:szCs w:val="24"/>
        </w:rPr>
        <w:t>7</w:t>
      </w:r>
      <w:r w:rsidRPr="00282F47">
        <w:rPr>
          <w:rFonts w:ascii="Arial" w:hAnsi="Arial" w:cs="Arial"/>
          <w:sz w:val="24"/>
          <w:szCs w:val="24"/>
        </w:rPr>
        <w:t>, 317ra199-317ra199.</w:t>
      </w:r>
    </w:p>
    <w:p w14:paraId="3D9463F3"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2.</w:t>
      </w:r>
      <w:r w:rsidRPr="00282F47">
        <w:rPr>
          <w:rFonts w:ascii="Arial" w:hAnsi="Arial" w:cs="Arial"/>
          <w:sz w:val="24"/>
          <w:szCs w:val="24"/>
        </w:rPr>
        <w:tab/>
        <w:t xml:space="preserve">Bhutiani, N., Kimbrough, C., Burton, N., Morscher, S., Egger, M., McMasters, K., Woloszynska-Read, A., El-Baz, A., and McNally, L. (2017). Detection of microspheres in vivo using multispectral optoacoustic tomography. Biotechnic &amp; histochemistry </w:t>
      </w:r>
      <w:r w:rsidRPr="00282F47">
        <w:rPr>
          <w:rFonts w:ascii="Arial" w:hAnsi="Arial" w:cs="Arial"/>
          <w:i/>
          <w:sz w:val="24"/>
          <w:szCs w:val="24"/>
        </w:rPr>
        <w:t>92</w:t>
      </w:r>
      <w:r w:rsidRPr="00282F47">
        <w:rPr>
          <w:rFonts w:ascii="Arial" w:hAnsi="Arial" w:cs="Arial"/>
          <w:sz w:val="24"/>
          <w:szCs w:val="24"/>
        </w:rPr>
        <w:t>, 1-6.</w:t>
      </w:r>
    </w:p>
    <w:p w14:paraId="00CB484F"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3.</w:t>
      </w:r>
      <w:r w:rsidRPr="00282F47">
        <w:rPr>
          <w:rFonts w:ascii="Arial" w:hAnsi="Arial" w:cs="Arial"/>
          <w:sz w:val="24"/>
          <w:szCs w:val="24"/>
        </w:rPr>
        <w:tab/>
        <w:t xml:space="preserve">Knieling, F., Neufert, C., Hartmann, A., Claussen, J., Urich, A., Egger, C., Vetter, M., Fischer, S., Pfeifer, L., and Hagel, A. (2017). Multispectral Optoacoustic Tomography for Assessment of Crohn's Disease Activity. The New England journal of medicine </w:t>
      </w:r>
      <w:r w:rsidRPr="00282F47">
        <w:rPr>
          <w:rFonts w:ascii="Arial" w:hAnsi="Arial" w:cs="Arial"/>
          <w:i/>
          <w:sz w:val="24"/>
          <w:szCs w:val="24"/>
        </w:rPr>
        <w:t>376</w:t>
      </w:r>
      <w:r w:rsidRPr="00282F47">
        <w:rPr>
          <w:rFonts w:ascii="Arial" w:hAnsi="Arial" w:cs="Arial"/>
          <w:sz w:val="24"/>
          <w:szCs w:val="24"/>
        </w:rPr>
        <w:t>, 1292.</w:t>
      </w:r>
    </w:p>
    <w:p w14:paraId="11A1A8D0"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4.</w:t>
      </w:r>
      <w:r w:rsidRPr="00282F47">
        <w:rPr>
          <w:rFonts w:ascii="Arial" w:hAnsi="Arial" w:cs="Arial"/>
          <w:sz w:val="24"/>
          <w:szCs w:val="24"/>
        </w:rPr>
        <w:tab/>
        <w:t xml:space="preserve">Becker, A., Masthoff, M., Claussen, J., Ford, S.J., Roll, W., Burg, M., Barth, P.J., Heindel, W., Schaefers, M., and Eisenblaetter, M. (2018). Multispectral optoacoustic tomography of the human breast: characterisation of healthy tissue and malignant lesions using a hybrid ultrasound-optoacoustic approach. European radiology </w:t>
      </w:r>
      <w:r w:rsidRPr="00282F47">
        <w:rPr>
          <w:rFonts w:ascii="Arial" w:hAnsi="Arial" w:cs="Arial"/>
          <w:i/>
          <w:sz w:val="24"/>
          <w:szCs w:val="24"/>
        </w:rPr>
        <w:t>28</w:t>
      </w:r>
      <w:r w:rsidRPr="00282F47">
        <w:rPr>
          <w:rFonts w:ascii="Arial" w:hAnsi="Arial" w:cs="Arial"/>
          <w:sz w:val="24"/>
          <w:szCs w:val="24"/>
        </w:rPr>
        <w:t>, 602-609.</w:t>
      </w:r>
    </w:p>
    <w:p w14:paraId="01D5EA31"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5.</w:t>
      </w:r>
      <w:r w:rsidRPr="00282F47">
        <w:rPr>
          <w:rFonts w:ascii="Arial" w:hAnsi="Arial" w:cs="Arial"/>
          <w:sz w:val="24"/>
          <w:szCs w:val="24"/>
        </w:rPr>
        <w:tab/>
        <w:t xml:space="preserve">Ntziachristos, V., and Razansky, D. (2010). Molecular imaging by means of multispectral optoacoustic tomography (MSOT). Chemical reviews </w:t>
      </w:r>
      <w:r w:rsidRPr="00282F47">
        <w:rPr>
          <w:rFonts w:ascii="Arial" w:hAnsi="Arial" w:cs="Arial"/>
          <w:i/>
          <w:sz w:val="24"/>
          <w:szCs w:val="24"/>
        </w:rPr>
        <w:t>110</w:t>
      </w:r>
      <w:r w:rsidRPr="00282F47">
        <w:rPr>
          <w:rFonts w:ascii="Arial" w:hAnsi="Arial" w:cs="Arial"/>
          <w:sz w:val="24"/>
          <w:szCs w:val="24"/>
        </w:rPr>
        <w:t>, 2783-2794.</w:t>
      </w:r>
    </w:p>
    <w:p w14:paraId="06860261"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6.</w:t>
      </w:r>
      <w:r w:rsidRPr="00282F47">
        <w:rPr>
          <w:rFonts w:ascii="Arial" w:hAnsi="Arial" w:cs="Arial"/>
          <w:sz w:val="24"/>
          <w:szCs w:val="24"/>
        </w:rPr>
        <w:tab/>
        <w:t xml:space="preserve">McNally, L.R., Mezera, M., Morgan, D.E., Frederick, P.J., Yang, E.S., Eltoum, I.-E., and Grizzle, W.E. (2016). Current and emerging clinical applications of multispectral optoacoustic tomography (MSOT) in oncology. Clinical cancer research </w:t>
      </w:r>
      <w:r w:rsidRPr="00282F47">
        <w:rPr>
          <w:rFonts w:ascii="Arial" w:hAnsi="Arial" w:cs="Arial"/>
          <w:i/>
          <w:sz w:val="24"/>
          <w:szCs w:val="24"/>
        </w:rPr>
        <w:t>22</w:t>
      </w:r>
      <w:r w:rsidRPr="00282F47">
        <w:rPr>
          <w:rFonts w:ascii="Arial" w:hAnsi="Arial" w:cs="Arial"/>
          <w:sz w:val="24"/>
          <w:szCs w:val="24"/>
        </w:rPr>
        <w:t>, 3432-3439.</w:t>
      </w:r>
    </w:p>
    <w:p w14:paraId="5E15F148"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7.</w:t>
      </w:r>
      <w:r w:rsidRPr="00282F47">
        <w:rPr>
          <w:rFonts w:ascii="Arial" w:hAnsi="Arial" w:cs="Arial"/>
          <w:sz w:val="24"/>
          <w:szCs w:val="24"/>
        </w:rPr>
        <w:tab/>
        <w:t xml:space="preserve">Tzoumas, S., Deliolanis, N.C., Morscher, S., and Ntziachristos, V. (2013). Unmixing molecular agents from absorbing tissue in multispectral optoacoustic tomography. IEEE transactions on medical imaging </w:t>
      </w:r>
      <w:r w:rsidRPr="00282F47">
        <w:rPr>
          <w:rFonts w:ascii="Arial" w:hAnsi="Arial" w:cs="Arial"/>
          <w:i/>
          <w:sz w:val="24"/>
          <w:szCs w:val="24"/>
        </w:rPr>
        <w:t>33</w:t>
      </w:r>
      <w:r w:rsidRPr="00282F47">
        <w:rPr>
          <w:rFonts w:ascii="Arial" w:hAnsi="Arial" w:cs="Arial"/>
          <w:sz w:val="24"/>
          <w:szCs w:val="24"/>
        </w:rPr>
        <w:t>, 48-60.</w:t>
      </w:r>
    </w:p>
    <w:p w14:paraId="0AD64C87"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8.</w:t>
      </w:r>
      <w:r w:rsidRPr="00282F47">
        <w:rPr>
          <w:rFonts w:ascii="Arial" w:hAnsi="Arial" w:cs="Arial"/>
          <w:sz w:val="24"/>
          <w:szCs w:val="24"/>
        </w:rPr>
        <w:tab/>
        <w:t xml:space="preserve">Razansky, D., Baeten, J., and Ntziachristos, V. (2009). Sensitivity of molecular target detection by multispectral optoacoustic tomography (MSOT). Medical physics </w:t>
      </w:r>
      <w:r w:rsidRPr="00282F47">
        <w:rPr>
          <w:rFonts w:ascii="Arial" w:hAnsi="Arial" w:cs="Arial"/>
          <w:i/>
          <w:sz w:val="24"/>
          <w:szCs w:val="24"/>
        </w:rPr>
        <w:t>36</w:t>
      </w:r>
      <w:r w:rsidRPr="00282F47">
        <w:rPr>
          <w:rFonts w:ascii="Arial" w:hAnsi="Arial" w:cs="Arial"/>
          <w:sz w:val="24"/>
          <w:szCs w:val="24"/>
        </w:rPr>
        <w:t>, 939-945.</w:t>
      </w:r>
    </w:p>
    <w:p w14:paraId="5A427CCE"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9.</w:t>
      </w:r>
      <w:r w:rsidRPr="00282F47">
        <w:rPr>
          <w:rFonts w:ascii="Arial" w:hAnsi="Arial" w:cs="Arial"/>
          <w:sz w:val="24"/>
          <w:szCs w:val="24"/>
        </w:rPr>
        <w:tab/>
        <w:t xml:space="preserve">Xia, J., Yao, J., and Wang, L.V. (2014). Photoacoustic tomography: principles and advances. Electromagnetic waves (Cambridge, Mass.) </w:t>
      </w:r>
      <w:r w:rsidRPr="00282F47">
        <w:rPr>
          <w:rFonts w:ascii="Arial" w:hAnsi="Arial" w:cs="Arial"/>
          <w:i/>
          <w:sz w:val="24"/>
          <w:szCs w:val="24"/>
        </w:rPr>
        <w:t>147</w:t>
      </w:r>
      <w:r w:rsidRPr="00282F47">
        <w:rPr>
          <w:rFonts w:ascii="Arial" w:hAnsi="Arial" w:cs="Arial"/>
          <w:sz w:val="24"/>
          <w:szCs w:val="24"/>
        </w:rPr>
        <w:t>, 1.</w:t>
      </w:r>
    </w:p>
    <w:p w14:paraId="43BAD9A8"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10.</w:t>
      </w:r>
      <w:r w:rsidRPr="00282F47">
        <w:rPr>
          <w:rFonts w:ascii="Arial" w:hAnsi="Arial" w:cs="Arial"/>
          <w:sz w:val="24"/>
          <w:szCs w:val="24"/>
        </w:rPr>
        <w:tab/>
        <w:t xml:space="preserve">Wissmeyer, G., Pleitez, M.A., Rosenthal, A., and Ntziachristos, V. (2018). Looking at sound: optoacoustics with all-optical ultrasound detection. Light: Science &amp; Applications </w:t>
      </w:r>
      <w:r w:rsidRPr="00282F47">
        <w:rPr>
          <w:rFonts w:ascii="Arial" w:hAnsi="Arial" w:cs="Arial"/>
          <w:i/>
          <w:sz w:val="24"/>
          <w:szCs w:val="24"/>
        </w:rPr>
        <w:t>7</w:t>
      </w:r>
      <w:r w:rsidRPr="00282F47">
        <w:rPr>
          <w:rFonts w:ascii="Arial" w:hAnsi="Arial" w:cs="Arial"/>
          <w:sz w:val="24"/>
          <w:szCs w:val="24"/>
        </w:rPr>
        <w:t>, 53.</w:t>
      </w:r>
    </w:p>
    <w:p w14:paraId="723CCE4E"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11.</w:t>
      </w:r>
      <w:r w:rsidRPr="00282F47">
        <w:rPr>
          <w:rFonts w:ascii="Arial" w:hAnsi="Arial" w:cs="Arial"/>
          <w:sz w:val="24"/>
          <w:szCs w:val="24"/>
        </w:rPr>
        <w:tab/>
        <w:t xml:space="preserve">Schellenberg, M.W., and Hunt, H.K. (2018). Hand-held optoacoustic imaging: A review. Photoacoustics </w:t>
      </w:r>
      <w:r w:rsidRPr="00282F47">
        <w:rPr>
          <w:rFonts w:ascii="Arial" w:hAnsi="Arial" w:cs="Arial"/>
          <w:i/>
          <w:sz w:val="24"/>
          <w:szCs w:val="24"/>
        </w:rPr>
        <w:t>11</w:t>
      </w:r>
      <w:r w:rsidRPr="00282F47">
        <w:rPr>
          <w:rFonts w:ascii="Arial" w:hAnsi="Arial" w:cs="Arial"/>
          <w:sz w:val="24"/>
          <w:szCs w:val="24"/>
        </w:rPr>
        <w:t>, 14-27.</w:t>
      </w:r>
    </w:p>
    <w:p w14:paraId="21C38318"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12.</w:t>
      </w:r>
      <w:r w:rsidRPr="00282F47">
        <w:rPr>
          <w:rFonts w:ascii="Arial" w:hAnsi="Arial" w:cs="Arial"/>
          <w:sz w:val="24"/>
          <w:szCs w:val="24"/>
        </w:rPr>
        <w:tab/>
        <w:t xml:space="preserve">Dean-Ben, X.L., Buehler, A., Ntziachristos, V., and Razansky, D. (2012). Accurate model-based reconstruction algorithm for three-dimensional optoacoustic tomography. IEEE transactions on medical imaging </w:t>
      </w:r>
      <w:r w:rsidRPr="00282F47">
        <w:rPr>
          <w:rFonts w:ascii="Arial" w:hAnsi="Arial" w:cs="Arial"/>
          <w:i/>
          <w:sz w:val="24"/>
          <w:szCs w:val="24"/>
        </w:rPr>
        <w:t>31</w:t>
      </w:r>
      <w:r w:rsidRPr="00282F47">
        <w:rPr>
          <w:rFonts w:ascii="Arial" w:hAnsi="Arial" w:cs="Arial"/>
          <w:sz w:val="24"/>
          <w:szCs w:val="24"/>
        </w:rPr>
        <w:t>, 1922-1928.</w:t>
      </w:r>
    </w:p>
    <w:p w14:paraId="6488F3D4"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13.</w:t>
      </w:r>
      <w:r w:rsidRPr="00282F47">
        <w:rPr>
          <w:rFonts w:ascii="Arial" w:hAnsi="Arial" w:cs="Arial"/>
          <w:sz w:val="24"/>
          <w:szCs w:val="24"/>
        </w:rPr>
        <w:tab/>
        <w:t xml:space="preserve">Tzoumas, S., and Ntziachristos, V. (2017). Spectral unmixing techniques for optoacoustic imaging of tissue pathophysiology. Philosophical Transactions of </w:t>
      </w:r>
      <w:r w:rsidRPr="00282F47">
        <w:rPr>
          <w:rFonts w:ascii="Arial" w:hAnsi="Arial" w:cs="Arial"/>
          <w:sz w:val="24"/>
          <w:szCs w:val="24"/>
        </w:rPr>
        <w:lastRenderedPageBreak/>
        <w:t xml:space="preserve">the Royal Society A: Mathematical, Physical and Engineering Sciences </w:t>
      </w:r>
      <w:r w:rsidRPr="00282F47">
        <w:rPr>
          <w:rFonts w:ascii="Arial" w:hAnsi="Arial" w:cs="Arial"/>
          <w:i/>
          <w:sz w:val="24"/>
          <w:szCs w:val="24"/>
        </w:rPr>
        <w:t>375</w:t>
      </w:r>
      <w:r w:rsidRPr="00282F47">
        <w:rPr>
          <w:rFonts w:ascii="Arial" w:hAnsi="Arial" w:cs="Arial"/>
          <w:sz w:val="24"/>
          <w:szCs w:val="24"/>
        </w:rPr>
        <w:t>, 20170262.</w:t>
      </w:r>
    </w:p>
    <w:p w14:paraId="74FEEA1F"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14.</w:t>
      </w:r>
      <w:r w:rsidRPr="00282F47">
        <w:rPr>
          <w:rFonts w:ascii="Arial" w:hAnsi="Arial" w:cs="Arial"/>
          <w:sz w:val="24"/>
          <w:szCs w:val="24"/>
        </w:rPr>
        <w:tab/>
        <w:t>Cox, B., Laufer, J., and Beard, P. (2009). The challenges for quantitative photoacoustic imaging. (International Society for Optics and Photonics), pp. 717713.</w:t>
      </w:r>
    </w:p>
    <w:p w14:paraId="7268ACDB"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15.</w:t>
      </w:r>
      <w:r w:rsidRPr="00282F47">
        <w:rPr>
          <w:rFonts w:ascii="Arial" w:hAnsi="Arial" w:cs="Arial"/>
          <w:sz w:val="24"/>
          <w:szCs w:val="24"/>
        </w:rPr>
        <w:tab/>
        <w:t xml:space="preserve">Chen, Z., Deán-Ben, X.L., Liu, N., Gujrati, V., Gottschalk, S., Ntziachristos, V., and Razansky, D. (2019). Concurrent fluorescence and volumetric optoacoustic tomography of nanoagent perfusion and bio-distribution in solid tumors. Biomedical Optics Express </w:t>
      </w:r>
      <w:r w:rsidRPr="00282F47">
        <w:rPr>
          <w:rFonts w:ascii="Arial" w:hAnsi="Arial" w:cs="Arial"/>
          <w:i/>
          <w:sz w:val="24"/>
          <w:szCs w:val="24"/>
        </w:rPr>
        <w:t>10</w:t>
      </w:r>
      <w:r w:rsidRPr="00282F47">
        <w:rPr>
          <w:rFonts w:ascii="Arial" w:hAnsi="Arial" w:cs="Arial"/>
          <w:sz w:val="24"/>
          <w:szCs w:val="24"/>
        </w:rPr>
        <w:t>, 5093-5102.</w:t>
      </w:r>
    </w:p>
    <w:p w14:paraId="34BC48AB"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16.</w:t>
      </w:r>
      <w:r w:rsidRPr="00282F47">
        <w:rPr>
          <w:rFonts w:ascii="Arial" w:hAnsi="Arial" w:cs="Arial"/>
          <w:sz w:val="24"/>
          <w:szCs w:val="24"/>
        </w:rPr>
        <w:tab/>
        <w:t xml:space="preserve">Diot, G., Metz, S., Noske, A., Liapis, E., Schroeder, B., Ovsepian, S.V., Meier, R., Rummeny, E., and Ntziachristos, V. (2017). Multispectral optoacoustic tomography (MSOT) of human breast cancer. Clinical Cancer Research </w:t>
      </w:r>
      <w:r w:rsidRPr="00282F47">
        <w:rPr>
          <w:rFonts w:ascii="Arial" w:hAnsi="Arial" w:cs="Arial"/>
          <w:i/>
          <w:sz w:val="24"/>
          <w:szCs w:val="24"/>
        </w:rPr>
        <w:t>23</w:t>
      </w:r>
      <w:r w:rsidRPr="00282F47">
        <w:rPr>
          <w:rFonts w:ascii="Arial" w:hAnsi="Arial" w:cs="Arial"/>
          <w:sz w:val="24"/>
          <w:szCs w:val="24"/>
        </w:rPr>
        <w:t>, 6912-6922.</w:t>
      </w:r>
    </w:p>
    <w:p w14:paraId="363C8C62"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17.</w:t>
      </w:r>
      <w:r w:rsidRPr="00282F47">
        <w:rPr>
          <w:rFonts w:ascii="Arial" w:hAnsi="Arial" w:cs="Arial"/>
          <w:sz w:val="24"/>
          <w:szCs w:val="24"/>
        </w:rPr>
        <w:tab/>
        <w:t xml:space="preserve">Zackrisson, S., Van De Ven, S., and Gambhir, S. (2014). Light in and sound out: emerging translational strategies for photoacoustic imaging. Cancer research </w:t>
      </w:r>
      <w:r w:rsidRPr="00282F47">
        <w:rPr>
          <w:rFonts w:ascii="Arial" w:hAnsi="Arial" w:cs="Arial"/>
          <w:i/>
          <w:sz w:val="24"/>
          <w:szCs w:val="24"/>
        </w:rPr>
        <w:t>74</w:t>
      </w:r>
      <w:r w:rsidRPr="00282F47">
        <w:rPr>
          <w:rFonts w:ascii="Arial" w:hAnsi="Arial" w:cs="Arial"/>
          <w:sz w:val="24"/>
          <w:szCs w:val="24"/>
        </w:rPr>
        <w:t>, 979-1004.</w:t>
      </w:r>
    </w:p>
    <w:p w14:paraId="4BE25149"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18.</w:t>
      </w:r>
      <w:r w:rsidRPr="00282F47">
        <w:rPr>
          <w:rFonts w:ascii="Arial" w:hAnsi="Arial" w:cs="Arial"/>
          <w:sz w:val="24"/>
          <w:szCs w:val="24"/>
        </w:rPr>
        <w:tab/>
        <w:t xml:space="preserve">Li, M., Tang, Y., and Yao, J. (2018). Photoacoustic tomography of blood oxygenation: A mini review. Photoacoustics </w:t>
      </w:r>
      <w:r w:rsidRPr="00282F47">
        <w:rPr>
          <w:rFonts w:ascii="Arial" w:hAnsi="Arial" w:cs="Arial"/>
          <w:i/>
          <w:sz w:val="24"/>
          <w:szCs w:val="24"/>
        </w:rPr>
        <w:t>10</w:t>
      </w:r>
      <w:r w:rsidRPr="00282F47">
        <w:rPr>
          <w:rFonts w:ascii="Arial" w:hAnsi="Arial" w:cs="Arial"/>
          <w:sz w:val="24"/>
          <w:szCs w:val="24"/>
        </w:rPr>
        <w:t>, 65-73.</w:t>
      </w:r>
    </w:p>
    <w:p w14:paraId="44553483"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19.</w:t>
      </w:r>
      <w:r w:rsidRPr="00282F47">
        <w:rPr>
          <w:rFonts w:ascii="Arial" w:hAnsi="Arial" w:cs="Arial"/>
          <w:sz w:val="24"/>
          <w:szCs w:val="24"/>
        </w:rPr>
        <w:tab/>
        <w:t xml:space="preserve">Kim, H., and Chang, J.H. (2018). Multimodal photoacoustic imaging as a tool for sentinel lymph node identification and biopsy guidance. Biomedical Engineering Letters </w:t>
      </w:r>
      <w:r w:rsidRPr="00282F47">
        <w:rPr>
          <w:rFonts w:ascii="Arial" w:hAnsi="Arial" w:cs="Arial"/>
          <w:i/>
          <w:sz w:val="24"/>
          <w:szCs w:val="24"/>
        </w:rPr>
        <w:t>8</w:t>
      </w:r>
      <w:r w:rsidRPr="00282F47">
        <w:rPr>
          <w:rFonts w:ascii="Arial" w:hAnsi="Arial" w:cs="Arial"/>
          <w:sz w:val="24"/>
          <w:szCs w:val="24"/>
        </w:rPr>
        <w:t>, 183-191.</w:t>
      </w:r>
    </w:p>
    <w:p w14:paraId="13CC5B03"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20.</w:t>
      </w:r>
      <w:r w:rsidRPr="00282F47">
        <w:rPr>
          <w:rFonts w:ascii="Arial" w:hAnsi="Arial" w:cs="Arial"/>
          <w:sz w:val="24"/>
          <w:szCs w:val="24"/>
        </w:rPr>
        <w:tab/>
        <w:t xml:space="preserve">Anani, T., Brannen, A., Panizzi, P., Duin, E.C., and David, A.E. (2020). Quantitative, real-time in vivo tracking of magnetic nanoparticles using multispectral optoacoustic tomography (MSOT) imaging. Journal of pharmaceutical and biomedical analysis </w:t>
      </w:r>
      <w:r w:rsidRPr="00282F47">
        <w:rPr>
          <w:rFonts w:ascii="Arial" w:hAnsi="Arial" w:cs="Arial"/>
          <w:i/>
          <w:sz w:val="24"/>
          <w:szCs w:val="24"/>
        </w:rPr>
        <w:t>178</w:t>
      </w:r>
      <w:r w:rsidRPr="00282F47">
        <w:rPr>
          <w:rFonts w:ascii="Arial" w:hAnsi="Arial" w:cs="Arial"/>
          <w:sz w:val="24"/>
          <w:szCs w:val="24"/>
        </w:rPr>
        <w:t>, 112951.</w:t>
      </w:r>
    </w:p>
    <w:p w14:paraId="21CC3844"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21.</w:t>
      </w:r>
      <w:r w:rsidRPr="00282F47">
        <w:rPr>
          <w:rFonts w:ascii="Arial" w:hAnsi="Arial" w:cs="Arial"/>
          <w:sz w:val="24"/>
          <w:szCs w:val="24"/>
        </w:rPr>
        <w:tab/>
        <w:t xml:space="preserve">Hashem, F., Nasr, M., and Ahmed, Y. (2018). Preparation and evaluation of iron oxide nanoparticles for treatment of iron deficiency anemia. Int J Pharm Pharm Sci </w:t>
      </w:r>
      <w:r w:rsidRPr="00282F47">
        <w:rPr>
          <w:rFonts w:ascii="Arial" w:hAnsi="Arial" w:cs="Arial"/>
          <w:i/>
          <w:sz w:val="24"/>
          <w:szCs w:val="24"/>
        </w:rPr>
        <w:t>10</w:t>
      </w:r>
      <w:r w:rsidRPr="00282F47">
        <w:rPr>
          <w:rFonts w:ascii="Arial" w:hAnsi="Arial" w:cs="Arial"/>
          <w:sz w:val="24"/>
          <w:szCs w:val="24"/>
        </w:rPr>
        <w:t>, 142.</w:t>
      </w:r>
    </w:p>
    <w:p w14:paraId="329748B1"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22.</w:t>
      </w:r>
      <w:r w:rsidRPr="00282F47">
        <w:rPr>
          <w:rFonts w:ascii="Arial" w:hAnsi="Arial" w:cs="Arial"/>
          <w:sz w:val="24"/>
          <w:szCs w:val="24"/>
        </w:rPr>
        <w:tab/>
        <w:t xml:space="preserve">Zeiderman, M.R., Morgan, D.E., Christein, J.D., Grizzle, W.E., McMasters, K.M., and McNally, L.R. (2016). Acidic pH-targeted chitosan-capped mesoporous silica coated gold nanorods facilitate detection of pancreatic tumors via multispectral optoacoustic tomography. ACS biomaterials science &amp; engineering </w:t>
      </w:r>
      <w:r w:rsidRPr="00282F47">
        <w:rPr>
          <w:rFonts w:ascii="Arial" w:hAnsi="Arial" w:cs="Arial"/>
          <w:i/>
          <w:sz w:val="24"/>
          <w:szCs w:val="24"/>
        </w:rPr>
        <w:t>2</w:t>
      </w:r>
      <w:r w:rsidRPr="00282F47">
        <w:rPr>
          <w:rFonts w:ascii="Arial" w:hAnsi="Arial" w:cs="Arial"/>
          <w:sz w:val="24"/>
          <w:szCs w:val="24"/>
        </w:rPr>
        <w:t>, 1108-1120.</w:t>
      </w:r>
    </w:p>
    <w:p w14:paraId="70CC8CC8"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23.</w:t>
      </w:r>
      <w:r w:rsidRPr="00282F47">
        <w:rPr>
          <w:rFonts w:ascii="Arial" w:hAnsi="Arial" w:cs="Arial"/>
          <w:sz w:val="24"/>
          <w:szCs w:val="24"/>
        </w:rPr>
        <w:tab/>
        <w:t>Deán</w:t>
      </w:r>
      <w:r w:rsidRPr="00282F47">
        <w:rPr>
          <w:rFonts w:ascii="Cambria Math" w:hAnsi="Cambria Math" w:cs="Cambria Math"/>
          <w:sz w:val="24"/>
          <w:szCs w:val="24"/>
        </w:rPr>
        <w:t>‐</w:t>
      </w:r>
      <w:r w:rsidRPr="00282F47">
        <w:rPr>
          <w:rFonts w:ascii="Arial" w:hAnsi="Arial" w:cs="Arial"/>
          <w:sz w:val="24"/>
          <w:szCs w:val="24"/>
        </w:rPr>
        <w:t>Ben, X.L., Fehm, T.F., Gostic, M., and Razansky, D. (2016). Volumetric hand</w:t>
      </w:r>
      <w:r w:rsidRPr="00282F47">
        <w:rPr>
          <w:rFonts w:ascii="Cambria Math" w:hAnsi="Cambria Math" w:cs="Cambria Math"/>
          <w:sz w:val="24"/>
          <w:szCs w:val="24"/>
        </w:rPr>
        <w:t>‐</w:t>
      </w:r>
      <w:r w:rsidRPr="00282F47">
        <w:rPr>
          <w:rFonts w:ascii="Arial" w:hAnsi="Arial" w:cs="Arial"/>
          <w:sz w:val="24"/>
          <w:szCs w:val="24"/>
        </w:rPr>
        <w:t>held optoacoustic angiography as a tool for real</w:t>
      </w:r>
      <w:r w:rsidRPr="00282F47">
        <w:rPr>
          <w:rFonts w:ascii="Cambria Math" w:hAnsi="Cambria Math" w:cs="Cambria Math"/>
          <w:sz w:val="24"/>
          <w:szCs w:val="24"/>
        </w:rPr>
        <w:t>‐</w:t>
      </w:r>
      <w:r w:rsidRPr="00282F47">
        <w:rPr>
          <w:rFonts w:ascii="Arial" w:hAnsi="Arial" w:cs="Arial"/>
          <w:sz w:val="24"/>
          <w:szCs w:val="24"/>
        </w:rPr>
        <w:t xml:space="preserve">time screening of dense breast. Journal of biophotonics </w:t>
      </w:r>
      <w:r w:rsidRPr="00282F47">
        <w:rPr>
          <w:rFonts w:ascii="Arial" w:hAnsi="Arial" w:cs="Arial"/>
          <w:i/>
          <w:sz w:val="24"/>
          <w:szCs w:val="24"/>
        </w:rPr>
        <w:t>9</w:t>
      </w:r>
      <w:r w:rsidRPr="00282F47">
        <w:rPr>
          <w:rFonts w:ascii="Arial" w:hAnsi="Arial" w:cs="Arial"/>
          <w:sz w:val="24"/>
          <w:szCs w:val="24"/>
        </w:rPr>
        <w:t>, 253-259.</w:t>
      </w:r>
    </w:p>
    <w:p w14:paraId="7241D6BB"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24.</w:t>
      </w:r>
      <w:r w:rsidRPr="00282F47">
        <w:rPr>
          <w:rFonts w:ascii="Arial" w:hAnsi="Arial" w:cs="Arial"/>
          <w:sz w:val="24"/>
          <w:szCs w:val="24"/>
        </w:rPr>
        <w:tab/>
        <w:t xml:space="preserve">Toi, M., Asao, Y., Matsumoto, Y., Sekiguchi, H., Yoshikawa, A., Takada, M., Kataoka, M., Endo, T., Kawaguchi-Sakita, N., and Kawashima, M. (2017). Visualization of tumor-related blood vessels in human breast by photoacoustic imaging system with a hemispherical detector array. Scientific reports </w:t>
      </w:r>
      <w:r w:rsidRPr="00282F47">
        <w:rPr>
          <w:rFonts w:ascii="Arial" w:hAnsi="Arial" w:cs="Arial"/>
          <w:i/>
          <w:sz w:val="24"/>
          <w:szCs w:val="24"/>
        </w:rPr>
        <w:t>7</w:t>
      </w:r>
      <w:r w:rsidRPr="00282F47">
        <w:rPr>
          <w:rFonts w:ascii="Arial" w:hAnsi="Arial" w:cs="Arial"/>
          <w:sz w:val="24"/>
          <w:szCs w:val="24"/>
        </w:rPr>
        <w:t>, 41970.</w:t>
      </w:r>
    </w:p>
    <w:p w14:paraId="62D7AA5C"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25.</w:t>
      </w:r>
      <w:r w:rsidRPr="00282F47">
        <w:rPr>
          <w:rFonts w:ascii="Arial" w:hAnsi="Arial" w:cs="Arial"/>
          <w:sz w:val="24"/>
          <w:szCs w:val="24"/>
        </w:rPr>
        <w:tab/>
        <w:t xml:space="preserve">Abeyakoon, O., Woitek, R.A., Wallis, M., Moyle, P.L., Morscher, S., Malchus, N., Manavaki, R., Mendichovsky, I.A., Joseph, J., Quiros-Gonzalez, I., et al. (2018). Optoacoustic imaging increases the sensitivity of mammography and specificity of US: implications for practice (Abstract). Insights Imaging </w:t>
      </w:r>
      <w:r w:rsidRPr="00282F47">
        <w:rPr>
          <w:rFonts w:ascii="Arial" w:hAnsi="Arial" w:cs="Arial"/>
          <w:i/>
          <w:sz w:val="24"/>
          <w:szCs w:val="24"/>
        </w:rPr>
        <w:t>9</w:t>
      </w:r>
      <w:r w:rsidRPr="00282F47">
        <w:rPr>
          <w:rFonts w:ascii="Arial" w:hAnsi="Arial" w:cs="Arial"/>
          <w:sz w:val="24"/>
          <w:szCs w:val="24"/>
        </w:rPr>
        <w:t>, 415.</w:t>
      </w:r>
    </w:p>
    <w:p w14:paraId="06AF70F4"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26.</w:t>
      </w:r>
      <w:r w:rsidRPr="00282F47">
        <w:rPr>
          <w:rFonts w:ascii="Arial" w:hAnsi="Arial" w:cs="Arial"/>
          <w:sz w:val="24"/>
          <w:szCs w:val="24"/>
        </w:rPr>
        <w:tab/>
        <w:t xml:space="preserve">Neuschler, E.I., Butler, R., Young, C.A., Barke, L.D., Bertrand, M.L., Böhm-Vélez, M., Destounis, S., Donlan, P., Grobmyer, S.R., and Katzen, J. (2018). A pivotal </w:t>
      </w:r>
      <w:r w:rsidRPr="00282F47">
        <w:rPr>
          <w:rFonts w:ascii="Arial" w:hAnsi="Arial" w:cs="Arial"/>
          <w:sz w:val="24"/>
          <w:szCs w:val="24"/>
        </w:rPr>
        <w:lastRenderedPageBreak/>
        <w:t xml:space="preserve">study of optoacoustic imaging to diagnose benign and malignant breast masses: a new evaluation tool for radiologists. Radiology </w:t>
      </w:r>
      <w:r w:rsidRPr="00282F47">
        <w:rPr>
          <w:rFonts w:ascii="Arial" w:hAnsi="Arial" w:cs="Arial"/>
          <w:i/>
          <w:sz w:val="24"/>
          <w:szCs w:val="24"/>
        </w:rPr>
        <w:t>287</w:t>
      </w:r>
      <w:r w:rsidRPr="00282F47">
        <w:rPr>
          <w:rFonts w:ascii="Arial" w:hAnsi="Arial" w:cs="Arial"/>
          <w:sz w:val="24"/>
          <w:szCs w:val="24"/>
        </w:rPr>
        <w:t>, 398-412.</w:t>
      </w:r>
    </w:p>
    <w:p w14:paraId="138CF8D7"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27.</w:t>
      </w:r>
      <w:r w:rsidRPr="00282F47">
        <w:rPr>
          <w:rFonts w:ascii="Arial" w:hAnsi="Arial" w:cs="Arial"/>
          <w:sz w:val="24"/>
          <w:szCs w:val="24"/>
        </w:rPr>
        <w:tab/>
        <w:t xml:space="preserve">Menezes, G.L., Pijnappel, R.M., Meeuwis, C., Bisschops, R., Veltman, J., Lavin, P.T., Van De Vijver, M.J., and Mann, R.M. (2018). Downgrading of breast masses suspicious for cancer by using optoacoustic breast imaging. Radiology </w:t>
      </w:r>
      <w:r w:rsidRPr="00282F47">
        <w:rPr>
          <w:rFonts w:ascii="Arial" w:hAnsi="Arial" w:cs="Arial"/>
          <w:i/>
          <w:sz w:val="24"/>
          <w:szCs w:val="24"/>
        </w:rPr>
        <w:t>288</w:t>
      </w:r>
      <w:r w:rsidRPr="00282F47">
        <w:rPr>
          <w:rFonts w:ascii="Arial" w:hAnsi="Arial" w:cs="Arial"/>
          <w:sz w:val="24"/>
          <w:szCs w:val="24"/>
        </w:rPr>
        <w:t>, 355-365.</w:t>
      </w:r>
    </w:p>
    <w:p w14:paraId="22330C6D"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28.</w:t>
      </w:r>
      <w:r w:rsidRPr="00282F47">
        <w:rPr>
          <w:rFonts w:ascii="Arial" w:hAnsi="Arial" w:cs="Arial"/>
          <w:sz w:val="24"/>
          <w:szCs w:val="24"/>
        </w:rPr>
        <w:tab/>
        <w:t xml:space="preserve">Kothapalli, S.-R., Sonn, G.A., Choe, J.W., Nikoozadeh, A., Bhuyan, A., Park, K.K., Cristman, P., Fan, R., Moini, A., and Lee, B.C. (2019). Simultaneous transrectal ultrasound and photoacoustic human prostate imaging. Science translational medicine </w:t>
      </w:r>
      <w:r w:rsidRPr="00282F47">
        <w:rPr>
          <w:rFonts w:ascii="Arial" w:hAnsi="Arial" w:cs="Arial"/>
          <w:i/>
          <w:sz w:val="24"/>
          <w:szCs w:val="24"/>
        </w:rPr>
        <w:t>11</w:t>
      </w:r>
      <w:r w:rsidRPr="00282F47">
        <w:rPr>
          <w:rFonts w:ascii="Arial" w:hAnsi="Arial" w:cs="Arial"/>
          <w:sz w:val="24"/>
          <w:szCs w:val="24"/>
        </w:rPr>
        <w:t>, eaav2169.</w:t>
      </w:r>
    </w:p>
    <w:p w14:paraId="1B706D8B"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29.</w:t>
      </w:r>
      <w:r w:rsidRPr="00282F47">
        <w:rPr>
          <w:rFonts w:ascii="Arial" w:hAnsi="Arial" w:cs="Arial"/>
          <w:sz w:val="24"/>
          <w:szCs w:val="24"/>
        </w:rPr>
        <w:tab/>
        <w:t xml:space="preserve">Peng, K., He, L., Wang, B., and Xiao, J. (2015). Detection of cervical cancer based on photoacoustic imaging—the in-vitro results. Biomedical optics express </w:t>
      </w:r>
      <w:r w:rsidRPr="00282F47">
        <w:rPr>
          <w:rFonts w:ascii="Arial" w:hAnsi="Arial" w:cs="Arial"/>
          <w:i/>
          <w:sz w:val="24"/>
          <w:szCs w:val="24"/>
        </w:rPr>
        <w:t>6</w:t>
      </w:r>
      <w:r w:rsidRPr="00282F47">
        <w:rPr>
          <w:rFonts w:ascii="Arial" w:hAnsi="Arial" w:cs="Arial"/>
          <w:sz w:val="24"/>
          <w:szCs w:val="24"/>
        </w:rPr>
        <w:t>, 135-143.</w:t>
      </w:r>
    </w:p>
    <w:p w14:paraId="43272CF6"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30.</w:t>
      </w:r>
      <w:r w:rsidRPr="00282F47">
        <w:rPr>
          <w:rFonts w:ascii="Arial" w:hAnsi="Arial" w:cs="Arial"/>
          <w:sz w:val="24"/>
          <w:szCs w:val="24"/>
        </w:rPr>
        <w:tab/>
        <w:t xml:space="preserve">Nandy, S., Mostafa, A., Hagemann, I.S., Powell, M.A., Amidi, E., Robinson, K., Mutch, D.G., Siegel, C., and Zhu, Q. (2018). Evaluation of ovarian cancer: initial application of coregistered photoacoustic tomography and US. Radiology </w:t>
      </w:r>
      <w:r w:rsidRPr="00282F47">
        <w:rPr>
          <w:rFonts w:ascii="Arial" w:hAnsi="Arial" w:cs="Arial"/>
          <w:i/>
          <w:sz w:val="24"/>
          <w:szCs w:val="24"/>
        </w:rPr>
        <w:t>289</w:t>
      </w:r>
      <w:r w:rsidRPr="00282F47">
        <w:rPr>
          <w:rFonts w:ascii="Arial" w:hAnsi="Arial" w:cs="Arial"/>
          <w:sz w:val="24"/>
          <w:szCs w:val="24"/>
        </w:rPr>
        <w:t>, 740-747.</w:t>
      </w:r>
    </w:p>
    <w:p w14:paraId="50F4AD70"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31.</w:t>
      </w:r>
      <w:r w:rsidRPr="00282F47">
        <w:rPr>
          <w:rFonts w:ascii="Arial" w:hAnsi="Arial" w:cs="Arial"/>
          <w:sz w:val="24"/>
          <w:szCs w:val="24"/>
        </w:rPr>
        <w:tab/>
        <w:t xml:space="preserve">Qu, Y., Li, C., Shi, J., Chen, R., Xu, S., Rafsanjani, H., Maslov, K., Krigman, H., Garvey, L., and Hu, P. (2018). Transvaginal fast-scanning optical-resolution photoacoustic endoscopy. Journal of biomedical optics </w:t>
      </w:r>
      <w:r w:rsidRPr="00282F47">
        <w:rPr>
          <w:rFonts w:ascii="Arial" w:hAnsi="Arial" w:cs="Arial"/>
          <w:i/>
          <w:sz w:val="24"/>
          <w:szCs w:val="24"/>
        </w:rPr>
        <w:t>23</w:t>
      </w:r>
      <w:r w:rsidRPr="00282F47">
        <w:rPr>
          <w:rFonts w:ascii="Arial" w:hAnsi="Arial" w:cs="Arial"/>
          <w:sz w:val="24"/>
          <w:szCs w:val="24"/>
        </w:rPr>
        <w:t>, 121617-121617.</w:t>
      </w:r>
    </w:p>
    <w:p w14:paraId="55AE73E2"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32.</w:t>
      </w:r>
      <w:r w:rsidRPr="00282F47">
        <w:rPr>
          <w:rFonts w:ascii="Arial" w:hAnsi="Arial" w:cs="Arial"/>
          <w:sz w:val="24"/>
          <w:szCs w:val="24"/>
        </w:rPr>
        <w:tab/>
        <w:t xml:space="preserve">Knieling, F., Hartmann, A., Claussen, J., Urich, A., Atreya, R., Rascher, W., and Waldner, M. (2017). Multispectral Optoacoustic Tomography in Ulcerative Colitis-A First-in-human Diagnostic Clinical Trial. Journal of Nuclear Medicine </w:t>
      </w:r>
      <w:r w:rsidRPr="00282F47">
        <w:rPr>
          <w:rFonts w:ascii="Arial" w:hAnsi="Arial" w:cs="Arial"/>
          <w:i/>
          <w:sz w:val="24"/>
          <w:szCs w:val="24"/>
        </w:rPr>
        <w:t>58</w:t>
      </w:r>
      <w:r w:rsidRPr="00282F47">
        <w:rPr>
          <w:rFonts w:ascii="Arial" w:hAnsi="Arial" w:cs="Arial"/>
          <w:sz w:val="24"/>
          <w:szCs w:val="24"/>
        </w:rPr>
        <w:t>, 1196-1196.</w:t>
      </w:r>
    </w:p>
    <w:p w14:paraId="20A088E9"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33.</w:t>
      </w:r>
      <w:r w:rsidRPr="00282F47">
        <w:rPr>
          <w:rFonts w:ascii="Arial" w:hAnsi="Arial" w:cs="Arial"/>
          <w:sz w:val="24"/>
          <w:szCs w:val="24"/>
        </w:rPr>
        <w:tab/>
        <w:t>Schwarz, M., Buehler, A., Aguirre, J., and Ntziachristos, V. (2016). Three</w:t>
      </w:r>
      <w:r w:rsidRPr="00282F47">
        <w:rPr>
          <w:rFonts w:ascii="Cambria Math" w:hAnsi="Cambria Math" w:cs="Cambria Math"/>
          <w:sz w:val="24"/>
          <w:szCs w:val="24"/>
        </w:rPr>
        <w:t>‐</w:t>
      </w:r>
      <w:r w:rsidRPr="00282F47">
        <w:rPr>
          <w:rFonts w:ascii="Arial" w:hAnsi="Arial" w:cs="Arial"/>
          <w:sz w:val="24"/>
          <w:szCs w:val="24"/>
        </w:rPr>
        <w:t xml:space="preserve">dimensional multispectral optoacoustic mesoscopy reveals melanin and blood oxygenation in human skin in vivo. Journal of biophotonics </w:t>
      </w:r>
      <w:r w:rsidRPr="00282F47">
        <w:rPr>
          <w:rFonts w:ascii="Arial" w:hAnsi="Arial" w:cs="Arial"/>
          <w:i/>
          <w:sz w:val="24"/>
          <w:szCs w:val="24"/>
        </w:rPr>
        <w:t>9</w:t>
      </w:r>
      <w:r w:rsidRPr="00282F47">
        <w:rPr>
          <w:rFonts w:ascii="Arial" w:hAnsi="Arial" w:cs="Arial"/>
          <w:sz w:val="24"/>
          <w:szCs w:val="24"/>
        </w:rPr>
        <w:t>, 55-60.</w:t>
      </w:r>
    </w:p>
    <w:p w14:paraId="49B10406"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34.</w:t>
      </w:r>
      <w:r w:rsidRPr="00282F47">
        <w:rPr>
          <w:rFonts w:ascii="Arial" w:hAnsi="Arial" w:cs="Arial"/>
          <w:sz w:val="24"/>
          <w:szCs w:val="24"/>
        </w:rPr>
        <w:tab/>
        <w:t>Chuah, S., Attia, A., Long, V., Ho, C., Malempati, P., Fu, C., Ford, S., Lee, J., Tan, W., and Razansky, D. (2017). Structural and functional 3D mapping of skin tumours with non</w:t>
      </w:r>
      <w:r w:rsidRPr="00282F47">
        <w:rPr>
          <w:rFonts w:ascii="Cambria Math" w:hAnsi="Cambria Math" w:cs="Cambria Math"/>
          <w:sz w:val="24"/>
          <w:szCs w:val="24"/>
        </w:rPr>
        <w:t>‐</w:t>
      </w:r>
      <w:r w:rsidRPr="00282F47">
        <w:rPr>
          <w:rFonts w:ascii="Arial" w:hAnsi="Arial" w:cs="Arial"/>
          <w:sz w:val="24"/>
          <w:szCs w:val="24"/>
        </w:rPr>
        <w:t xml:space="preserve">invasive multispectral optoacoustic tomography. Skin Research and Technology </w:t>
      </w:r>
      <w:r w:rsidRPr="00282F47">
        <w:rPr>
          <w:rFonts w:ascii="Arial" w:hAnsi="Arial" w:cs="Arial"/>
          <w:i/>
          <w:sz w:val="24"/>
          <w:szCs w:val="24"/>
        </w:rPr>
        <w:t>23</w:t>
      </w:r>
      <w:r w:rsidRPr="00282F47">
        <w:rPr>
          <w:rFonts w:ascii="Arial" w:hAnsi="Arial" w:cs="Arial"/>
          <w:sz w:val="24"/>
          <w:szCs w:val="24"/>
        </w:rPr>
        <w:t>, 221-226.</w:t>
      </w:r>
    </w:p>
    <w:p w14:paraId="26F4288E"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35.</w:t>
      </w:r>
      <w:r w:rsidRPr="00282F47">
        <w:rPr>
          <w:rFonts w:ascii="Arial" w:hAnsi="Arial" w:cs="Arial"/>
          <w:sz w:val="24"/>
          <w:szCs w:val="24"/>
        </w:rPr>
        <w:tab/>
        <w:t xml:space="preserve">Langhout, G.C., Grootendorst, D.J., Nieweg, O.E., Wouters, M.W.J.M., Hage, J.A.v.d., Jose, J., Boven, H.v., Steenbergen, W., Manohar, S., and Ruers, T.J.M. (2014). Detection of melanoma metastases in resected human lymph nodes by noninvasive multispectral photoacoustic imaging. Journal of Biomedical Imaging </w:t>
      </w:r>
      <w:r w:rsidRPr="00282F47">
        <w:rPr>
          <w:rFonts w:ascii="Arial" w:hAnsi="Arial" w:cs="Arial"/>
          <w:i/>
          <w:sz w:val="24"/>
          <w:szCs w:val="24"/>
        </w:rPr>
        <w:t>2014</w:t>
      </w:r>
      <w:r w:rsidRPr="00282F47">
        <w:rPr>
          <w:rFonts w:ascii="Arial" w:hAnsi="Arial" w:cs="Arial"/>
          <w:sz w:val="24"/>
          <w:szCs w:val="24"/>
        </w:rPr>
        <w:t>, 5-5.</w:t>
      </w:r>
    </w:p>
    <w:p w14:paraId="7FC4A946"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36.</w:t>
      </w:r>
      <w:r w:rsidRPr="00282F47">
        <w:rPr>
          <w:rFonts w:ascii="Arial" w:hAnsi="Arial" w:cs="Arial"/>
          <w:sz w:val="24"/>
          <w:szCs w:val="24"/>
        </w:rPr>
        <w:tab/>
        <w:t xml:space="preserve">Krönke, M., Karlas, A., Fasoula, N., Markwardt, N., Kallmayer, M., Eckstein, H., Scheidhauer, K., Weber, W., and Ntziachristos, V. (2019). Multispectral Optoacoustic Tomography (MSOT): A Novel Label-Free Imaging Technique for Thyroid Imaging. Nuklearmedizin </w:t>
      </w:r>
      <w:r w:rsidRPr="00282F47">
        <w:rPr>
          <w:rFonts w:ascii="Arial" w:hAnsi="Arial" w:cs="Arial"/>
          <w:i/>
          <w:sz w:val="24"/>
          <w:szCs w:val="24"/>
        </w:rPr>
        <w:t>58</w:t>
      </w:r>
      <w:r w:rsidRPr="00282F47">
        <w:rPr>
          <w:rFonts w:ascii="Arial" w:hAnsi="Arial" w:cs="Arial"/>
          <w:sz w:val="24"/>
          <w:szCs w:val="24"/>
        </w:rPr>
        <w:t>, V89.</w:t>
      </w:r>
    </w:p>
    <w:p w14:paraId="369ECC87"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37.</w:t>
      </w:r>
      <w:r w:rsidRPr="00282F47">
        <w:rPr>
          <w:rFonts w:ascii="Arial" w:hAnsi="Arial" w:cs="Arial"/>
          <w:sz w:val="24"/>
          <w:szCs w:val="24"/>
        </w:rPr>
        <w:tab/>
        <w:t xml:space="preserve">Roll, W., Markwardt, N.A., Masthoff, M., Helfen, A., Claussen, J., Eisenblätter, M., Hasenbach, A., Hermann, S., Karlas, A., and Wildgruber, M. (2019). Multispectral Optoacoustic Tomography of Benign and Malignant Thyroid Disorders: A Pilot Study. Journal of Nuclear Medicine </w:t>
      </w:r>
      <w:r w:rsidRPr="00282F47">
        <w:rPr>
          <w:rFonts w:ascii="Arial" w:hAnsi="Arial" w:cs="Arial"/>
          <w:i/>
          <w:sz w:val="24"/>
          <w:szCs w:val="24"/>
        </w:rPr>
        <w:t>60</w:t>
      </w:r>
      <w:r w:rsidRPr="00282F47">
        <w:rPr>
          <w:rFonts w:ascii="Arial" w:hAnsi="Arial" w:cs="Arial"/>
          <w:sz w:val="24"/>
          <w:szCs w:val="24"/>
        </w:rPr>
        <w:t>, 1461-1466.</w:t>
      </w:r>
    </w:p>
    <w:p w14:paraId="051938AE"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38.</w:t>
      </w:r>
      <w:r w:rsidRPr="00282F47">
        <w:rPr>
          <w:rFonts w:ascii="Arial" w:hAnsi="Arial" w:cs="Arial"/>
          <w:sz w:val="24"/>
          <w:szCs w:val="24"/>
        </w:rPr>
        <w:tab/>
        <w:t xml:space="preserve">Ivankovic, I., and Razansky, D. (2019). non-invasive 3d imaging of the human carotid artery with volumetric multispectral optoacoustic tomography (vMsOt). </w:t>
      </w:r>
      <w:r w:rsidRPr="00282F47">
        <w:rPr>
          <w:rFonts w:ascii="Arial" w:hAnsi="Arial" w:cs="Arial"/>
          <w:sz w:val="24"/>
          <w:szCs w:val="24"/>
        </w:rPr>
        <w:lastRenderedPageBreak/>
        <w:t xml:space="preserve">THE ROLE OF CORONARY CT ANGIOGRAPHY IN SUSPECTED CORONARY HEART DISEASE </w:t>
      </w:r>
      <w:r w:rsidRPr="00282F47">
        <w:rPr>
          <w:rFonts w:ascii="Arial" w:hAnsi="Arial" w:cs="Arial"/>
          <w:i/>
          <w:sz w:val="24"/>
          <w:szCs w:val="24"/>
        </w:rPr>
        <w:t>15</w:t>
      </w:r>
      <w:r w:rsidRPr="00282F47">
        <w:rPr>
          <w:rFonts w:ascii="Arial" w:hAnsi="Arial" w:cs="Arial"/>
          <w:sz w:val="24"/>
          <w:szCs w:val="24"/>
        </w:rPr>
        <w:t>, 34.</w:t>
      </w:r>
    </w:p>
    <w:p w14:paraId="33A01253"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39.</w:t>
      </w:r>
      <w:r w:rsidRPr="00282F47">
        <w:rPr>
          <w:rFonts w:ascii="Arial" w:hAnsi="Arial" w:cs="Arial"/>
          <w:sz w:val="24"/>
          <w:szCs w:val="24"/>
        </w:rPr>
        <w:tab/>
        <w:t xml:space="preserve">Masthoff, M., Helfen, A., Claussen, J., Roll, W., Karlas, A., Becker, H., Gabriëls, G., Riess, J., Heindel, W., and Schäfers, M. (2018). Multispectral optoacoustic tomography of systemic sclerosis. Journal of biophotonics </w:t>
      </w:r>
      <w:r w:rsidRPr="00282F47">
        <w:rPr>
          <w:rFonts w:ascii="Arial" w:hAnsi="Arial" w:cs="Arial"/>
          <w:i/>
          <w:sz w:val="24"/>
          <w:szCs w:val="24"/>
        </w:rPr>
        <w:t>11</w:t>
      </w:r>
      <w:r w:rsidRPr="00282F47">
        <w:rPr>
          <w:rFonts w:ascii="Arial" w:hAnsi="Arial" w:cs="Arial"/>
          <w:sz w:val="24"/>
          <w:szCs w:val="24"/>
        </w:rPr>
        <w:t>, e201800155.</w:t>
      </w:r>
    </w:p>
    <w:p w14:paraId="1EEBCCF3"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40.</w:t>
      </w:r>
      <w:r w:rsidRPr="00282F47">
        <w:rPr>
          <w:rFonts w:ascii="Arial" w:hAnsi="Arial" w:cs="Arial"/>
          <w:sz w:val="24"/>
          <w:szCs w:val="24"/>
        </w:rPr>
        <w:tab/>
        <w:t xml:space="preserve">Reber, J., Willershäuser, M., Karlas, A., Paul-Yuan, K., Diot, G., Franz, D., Fromme, T., Ovsepian, S.V., Bézière, N., and Dubikovskaya, E. (2018). Non-invasive measurement of brown fat metabolism based on optoacoustic imaging of hemoglobin gradients. Cell metabolism </w:t>
      </w:r>
      <w:r w:rsidRPr="00282F47">
        <w:rPr>
          <w:rFonts w:ascii="Arial" w:hAnsi="Arial" w:cs="Arial"/>
          <w:i/>
          <w:sz w:val="24"/>
          <w:szCs w:val="24"/>
        </w:rPr>
        <w:t>27</w:t>
      </w:r>
      <w:r w:rsidRPr="00282F47">
        <w:rPr>
          <w:rFonts w:ascii="Arial" w:hAnsi="Arial" w:cs="Arial"/>
          <w:sz w:val="24"/>
          <w:szCs w:val="24"/>
        </w:rPr>
        <w:t>, 689-701. e684.</w:t>
      </w:r>
    </w:p>
    <w:p w14:paraId="5722551A"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41.</w:t>
      </w:r>
      <w:r w:rsidRPr="00282F47">
        <w:rPr>
          <w:rFonts w:ascii="Arial" w:hAnsi="Arial" w:cs="Arial"/>
          <w:sz w:val="24"/>
          <w:szCs w:val="24"/>
        </w:rPr>
        <w:tab/>
        <w:t xml:space="preserve">Shao, Q., and Ashkenazi, S. (2015). Photoacoustic lifetime imaging for direct in vivo tissue oxygen monitoring. Journal of biomedical optics </w:t>
      </w:r>
      <w:r w:rsidRPr="00282F47">
        <w:rPr>
          <w:rFonts w:ascii="Arial" w:hAnsi="Arial" w:cs="Arial"/>
          <w:i/>
          <w:sz w:val="24"/>
          <w:szCs w:val="24"/>
        </w:rPr>
        <w:t>20</w:t>
      </w:r>
      <w:r w:rsidRPr="00282F47">
        <w:rPr>
          <w:rFonts w:ascii="Arial" w:hAnsi="Arial" w:cs="Arial"/>
          <w:sz w:val="24"/>
          <w:szCs w:val="24"/>
        </w:rPr>
        <w:t>, 036004.</w:t>
      </w:r>
    </w:p>
    <w:p w14:paraId="5B27A394"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42.</w:t>
      </w:r>
      <w:r w:rsidRPr="00282F47">
        <w:rPr>
          <w:rFonts w:ascii="Arial" w:hAnsi="Arial" w:cs="Arial"/>
          <w:sz w:val="24"/>
          <w:szCs w:val="24"/>
        </w:rPr>
        <w:tab/>
        <w:t xml:space="preserve">Shcherbakova, D.M., and Verkhusha, V.V. (2013). Near-infrared fluorescent proteins for multicolor in vivo imaging. Nature methods </w:t>
      </w:r>
      <w:r w:rsidRPr="00282F47">
        <w:rPr>
          <w:rFonts w:ascii="Arial" w:hAnsi="Arial" w:cs="Arial"/>
          <w:i/>
          <w:sz w:val="24"/>
          <w:szCs w:val="24"/>
        </w:rPr>
        <w:t>10</w:t>
      </w:r>
      <w:r w:rsidRPr="00282F47">
        <w:rPr>
          <w:rFonts w:ascii="Arial" w:hAnsi="Arial" w:cs="Arial"/>
          <w:sz w:val="24"/>
          <w:szCs w:val="24"/>
        </w:rPr>
        <w:t>, 751-754.</w:t>
      </w:r>
    </w:p>
    <w:p w14:paraId="1ABB5C81"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43.</w:t>
      </w:r>
      <w:r w:rsidRPr="00282F47">
        <w:rPr>
          <w:rFonts w:ascii="Arial" w:hAnsi="Arial" w:cs="Arial"/>
          <w:sz w:val="24"/>
          <w:szCs w:val="24"/>
        </w:rPr>
        <w:tab/>
        <w:t xml:space="preserve">Joseph, J., Tomaszewski, M.R., Quiros-Gonzalez, I., Weber, J., Brunker, J., and Bohndiek, S.E. (2017). Evaluation of precision in optoacoustic tomography for preclinical imaging in living subjects. Journal of Nuclear Medicine </w:t>
      </w:r>
      <w:r w:rsidRPr="00282F47">
        <w:rPr>
          <w:rFonts w:ascii="Arial" w:hAnsi="Arial" w:cs="Arial"/>
          <w:i/>
          <w:sz w:val="24"/>
          <w:szCs w:val="24"/>
        </w:rPr>
        <w:t>58</w:t>
      </w:r>
      <w:r w:rsidRPr="00282F47">
        <w:rPr>
          <w:rFonts w:ascii="Arial" w:hAnsi="Arial" w:cs="Arial"/>
          <w:sz w:val="24"/>
          <w:szCs w:val="24"/>
        </w:rPr>
        <w:t>, 807-814.</w:t>
      </w:r>
    </w:p>
    <w:p w14:paraId="20D87E62"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44.</w:t>
      </w:r>
      <w:r w:rsidRPr="00282F47">
        <w:rPr>
          <w:rFonts w:ascii="Arial" w:hAnsi="Arial" w:cs="Arial"/>
          <w:sz w:val="24"/>
          <w:szCs w:val="24"/>
        </w:rPr>
        <w:tab/>
        <w:t xml:space="preserve">Luo, S., Zhang, E., Su, Y., Cheng, T., and Shi, C. (2011). A review of NIR dyes in cancer targeting and imaging. Biomaterials </w:t>
      </w:r>
      <w:r w:rsidRPr="00282F47">
        <w:rPr>
          <w:rFonts w:ascii="Arial" w:hAnsi="Arial" w:cs="Arial"/>
          <w:i/>
          <w:sz w:val="24"/>
          <w:szCs w:val="24"/>
        </w:rPr>
        <w:t>32</w:t>
      </w:r>
      <w:r w:rsidRPr="00282F47">
        <w:rPr>
          <w:rFonts w:ascii="Arial" w:hAnsi="Arial" w:cs="Arial"/>
          <w:sz w:val="24"/>
          <w:szCs w:val="24"/>
        </w:rPr>
        <w:t>, 7127-7138.</w:t>
      </w:r>
    </w:p>
    <w:p w14:paraId="2C752DF3"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45.</w:t>
      </w:r>
      <w:r w:rsidRPr="00282F47">
        <w:rPr>
          <w:rFonts w:ascii="Arial" w:hAnsi="Arial" w:cs="Arial"/>
          <w:sz w:val="24"/>
          <w:szCs w:val="24"/>
        </w:rPr>
        <w:tab/>
        <w:t>Ilina, K., MacCuaig, W.M., Laramie, M., Jeouty, J.N., McNally, L.R., and Henary, M. (2019). Squaraine Dyes: Molecular Design for Different Applications and Remaining Challenges. Bioconjugate chemistry.</w:t>
      </w:r>
    </w:p>
    <w:p w14:paraId="26708D88"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46.</w:t>
      </w:r>
      <w:r w:rsidRPr="00282F47">
        <w:rPr>
          <w:rFonts w:ascii="Arial" w:hAnsi="Arial" w:cs="Arial"/>
          <w:sz w:val="24"/>
          <w:szCs w:val="24"/>
        </w:rPr>
        <w:tab/>
        <w:t xml:space="preserve">Zha, Z., Deng, Z., Li, Y., Li, C., Wang, J., Wang, S., Qu, E., and Dai, Z. (2013). Biocompatible polypyrrole nanoparticles as a novel organic photoacoustic contrast agent for deep tissue imaging. Nanoscale </w:t>
      </w:r>
      <w:r w:rsidRPr="00282F47">
        <w:rPr>
          <w:rFonts w:ascii="Arial" w:hAnsi="Arial" w:cs="Arial"/>
          <w:i/>
          <w:sz w:val="24"/>
          <w:szCs w:val="24"/>
        </w:rPr>
        <w:t>5</w:t>
      </w:r>
      <w:r w:rsidRPr="00282F47">
        <w:rPr>
          <w:rFonts w:ascii="Arial" w:hAnsi="Arial" w:cs="Arial"/>
          <w:sz w:val="24"/>
          <w:szCs w:val="24"/>
        </w:rPr>
        <w:t>, 4462-4467.</w:t>
      </w:r>
    </w:p>
    <w:p w14:paraId="46F27478"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47.</w:t>
      </w:r>
      <w:r w:rsidRPr="00282F47">
        <w:rPr>
          <w:rFonts w:ascii="Arial" w:hAnsi="Arial" w:cs="Arial"/>
          <w:sz w:val="24"/>
          <w:szCs w:val="24"/>
        </w:rPr>
        <w:tab/>
        <w:t xml:space="preserve">Treibs, A., and Jacob, K. (1965). Cyclotrimethine dyes derived from squaric acid. Angewandte Chemie International Edition in English </w:t>
      </w:r>
      <w:r w:rsidRPr="00282F47">
        <w:rPr>
          <w:rFonts w:ascii="Arial" w:hAnsi="Arial" w:cs="Arial"/>
          <w:i/>
          <w:sz w:val="24"/>
          <w:szCs w:val="24"/>
        </w:rPr>
        <w:t>4</w:t>
      </w:r>
      <w:r w:rsidRPr="00282F47">
        <w:rPr>
          <w:rFonts w:ascii="Arial" w:hAnsi="Arial" w:cs="Arial"/>
          <w:sz w:val="24"/>
          <w:szCs w:val="24"/>
        </w:rPr>
        <w:t>, 694-694.</w:t>
      </w:r>
    </w:p>
    <w:p w14:paraId="5E6B062B"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48.</w:t>
      </w:r>
      <w:r w:rsidRPr="00282F47">
        <w:rPr>
          <w:rFonts w:ascii="Arial" w:hAnsi="Arial" w:cs="Arial"/>
          <w:sz w:val="24"/>
          <w:szCs w:val="24"/>
        </w:rPr>
        <w:tab/>
        <w:t xml:space="preserve">Podgorski, K., Terpetschnig, E., Klochko, O.P., Obukhova, O.M., and Haas, K. (2012). Ultra-bright and-stable red and near-infrared squaraine fluorophores for in vivo two-photon imaging. PLoS One </w:t>
      </w:r>
      <w:r w:rsidRPr="00282F47">
        <w:rPr>
          <w:rFonts w:ascii="Arial" w:hAnsi="Arial" w:cs="Arial"/>
          <w:i/>
          <w:sz w:val="24"/>
          <w:szCs w:val="24"/>
        </w:rPr>
        <w:t>7</w:t>
      </w:r>
      <w:r w:rsidRPr="00282F47">
        <w:rPr>
          <w:rFonts w:ascii="Arial" w:hAnsi="Arial" w:cs="Arial"/>
          <w:sz w:val="24"/>
          <w:szCs w:val="24"/>
        </w:rPr>
        <w:t>, e51980.</w:t>
      </w:r>
    </w:p>
    <w:p w14:paraId="4AD89303"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49.</w:t>
      </w:r>
      <w:r w:rsidRPr="00282F47">
        <w:rPr>
          <w:rFonts w:ascii="Arial" w:hAnsi="Arial" w:cs="Arial"/>
          <w:sz w:val="24"/>
          <w:szCs w:val="24"/>
        </w:rPr>
        <w:tab/>
        <w:t xml:space="preserve">Shimi, M., Sankar, V., Rahim, M.A., Nitha, P., Das, S., Radhakrishnan, K., and Raghu, K. (2017). Novel glycoconjugated squaraine dyes for selective optical imaging of cancer cells. Chemical Communications </w:t>
      </w:r>
      <w:r w:rsidRPr="00282F47">
        <w:rPr>
          <w:rFonts w:ascii="Arial" w:hAnsi="Arial" w:cs="Arial"/>
          <w:i/>
          <w:sz w:val="24"/>
          <w:szCs w:val="24"/>
        </w:rPr>
        <w:t>53</w:t>
      </w:r>
      <w:r w:rsidRPr="00282F47">
        <w:rPr>
          <w:rFonts w:ascii="Arial" w:hAnsi="Arial" w:cs="Arial"/>
          <w:sz w:val="24"/>
          <w:szCs w:val="24"/>
        </w:rPr>
        <w:t>, 5433-5436.</w:t>
      </w:r>
    </w:p>
    <w:p w14:paraId="718CA970"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50.</w:t>
      </w:r>
      <w:r w:rsidRPr="00282F47">
        <w:rPr>
          <w:rFonts w:ascii="Arial" w:hAnsi="Arial" w:cs="Arial"/>
          <w:sz w:val="24"/>
          <w:szCs w:val="24"/>
        </w:rPr>
        <w:tab/>
        <w:t xml:space="preserve">Oswald, B., Lehmann, F., Simon, L., Terpetschnig, E., and Wolfbeis, O.S. (2000). Red laser-induced fluorescence energy transfer in an immunosystem. Analytical biochemistry </w:t>
      </w:r>
      <w:r w:rsidRPr="00282F47">
        <w:rPr>
          <w:rFonts w:ascii="Arial" w:hAnsi="Arial" w:cs="Arial"/>
          <w:i/>
          <w:sz w:val="24"/>
          <w:szCs w:val="24"/>
        </w:rPr>
        <w:t>280</w:t>
      </w:r>
      <w:r w:rsidRPr="00282F47">
        <w:rPr>
          <w:rFonts w:ascii="Arial" w:hAnsi="Arial" w:cs="Arial"/>
          <w:sz w:val="24"/>
          <w:szCs w:val="24"/>
        </w:rPr>
        <w:t>, 272-277.</w:t>
      </w:r>
    </w:p>
    <w:p w14:paraId="3C4D153D"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51.</w:t>
      </w:r>
      <w:r w:rsidRPr="00282F47">
        <w:rPr>
          <w:rFonts w:ascii="Arial" w:hAnsi="Arial" w:cs="Arial"/>
          <w:sz w:val="24"/>
          <w:szCs w:val="24"/>
        </w:rPr>
        <w:tab/>
        <w:t xml:space="preserve">Gross, S., and Piwnica-Worms, D. (2006). Molecular imaging strategies for drug discovery and development. Current opinion in chemical biology </w:t>
      </w:r>
      <w:r w:rsidRPr="00282F47">
        <w:rPr>
          <w:rFonts w:ascii="Arial" w:hAnsi="Arial" w:cs="Arial"/>
          <w:i/>
          <w:sz w:val="24"/>
          <w:szCs w:val="24"/>
        </w:rPr>
        <w:t>10</w:t>
      </w:r>
      <w:r w:rsidRPr="00282F47">
        <w:rPr>
          <w:rFonts w:ascii="Arial" w:hAnsi="Arial" w:cs="Arial"/>
          <w:sz w:val="24"/>
          <w:szCs w:val="24"/>
        </w:rPr>
        <w:t>, 334-342.</w:t>
      </w:r>
    </w:p>
    <w:p w14:paraId="7434A032"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52.</w:t>
      </w:r>
      <w:r w:rsidRPr="00282F47">
        <w:rPr>
          <w:rFonts w:ascii="Arial" w:hAnsi="Arial" w:cs="Arial"/>
          <w:sz w:val="24"/>
          <w:szCs w:val="24"/>
        </w:rPr>
        <w:tab/>
        <w:t xml:space="preserve">Keller, P.J., Pampaloni, F., and Stelzer, E.H. (2006). Life sciences require the third dimension. Current opinion in cell biology </w:t>
      </w:r>
      <w:r w:rsidRPr="00282F47">
        <w:rPr>
          <w:rFonts w:ascii="Arial" w:hAnsi="Arial" w:cs="Arial"/>
          <w:i/>
          <w:sz w:val="24"/>
          <w:szCs w:val="24"/>
        </w:rPr>
        <w:t>18</w:t>
      </w:r>
      <w:r w:rsidRPr="00282F47">
        <w:rPr>
          <w:rFonts w:ascii="Arial" w:hAnsi="Arial" w:cs="Arial"/>
          <w:sz w:val="24"/>
          <w:szCs w:val="24"/>
        </w:rPr>
        <w:t>, 117-124.</w:t>
      </w:r>
    </w:p>
    <w:p w14:paraId="21F2929B"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53.</w:t>
      </w:r>
      <w:r w:rsidRPr="00282F47">
        <w:rPr>
          <w:rFonts w:ascii="Arial" w:hAnsi="Arial" w:cs="Arial"/>
          <w:sz w:val="24"/>
          <w:szCs w:val="24"/>
        </w:rPr>
        <w:tab/>
        <w:t xml:space="preserve">Devi, D.G., Cibin, T., Ramaiah, D., and Abraham, A. (2008). Bis (3, 5-diiodo-2, 4, 6-trihydroxyphenyl) squaraine: A novel candidate in photodynamic therapy for skin cancer models in vivo. Journal of photochemistry and photobiology B: Biology </w:t>
      </w:r>
      <w:r w:rsidRPr="00282F47">
        <w:rPr>
          <w:rFonts w:ascii="Arial" w:hAnsi="Arial" w:cs="Arial"/>
          <w:i/>
          <w:sz w:val="24"/>
          <w:szCs w:val="24"/>
        </w:rPr>
        <w:t>92</w:t>
      </w:r>
      <w:r w:rsidRPr="00282F47">
        <w:rPr>
          <w:rFonts w:ascii="Arial" w:hAnsi="Arial" w:cs="Arial"/>
          <w:sz w:val="24"/>
          <w:szCs w:val="24"/>
        </w:rPr>
        <w:t>, 153-159.</w:t>
      </w:r>
    </w:p>
    <w:p w14:paraId="71EF0246"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54.</w:t>
      </w:r>
      <w:r w:rsidRPr="00282F47">
        <w:rPr>
          <w:rFonts w:ascii="Arial" w:hAnsi="Arial" w:cs="Arial"/>
          <w:sz w:val="24"/>
          <w:szCs w:val="24"/>
        </w:rPr>
        <w:tab/>
        <w:t xml:space="preserve">Wang, B., Fan, J., Sun, S., Wang, L., Song, B., and Peng, X. (2010). 1-(Carbamoylmethyl)-3H-indolium squaraine dyes: synthesis, spectra, photo-stability and association with BSA. Dyes and Pigments </w:t>
      </w:r>
      <w:r w:rsidRPr="00282F47">
        <w:rPr>
          <w:rFonts w:ascii="Arial" w:hAnsi="Arial" w:cs="Arial"/>
          <w:i/>
          <w:sz w:val="24"/>
          <w:szCs w:val="24"/>
        </w:rPr>
        <w:t>85</w:t>
      </w:r>
      <w:r w:rsidRPr="00282F47">
        <w:rPr>
          <w:rFonts w:ascii="Arial" w:hAnsi="Arial" w:cs="Arial"/>
          <w:sz w:val="24"/>
          <w:szCs w:val="24"/>
        </w:rPr>
        <w:t>, 43-50.</w:t>
      </w:r>
    </w:p>
    <w:p w14:paraId="79371995"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lastRenderedPageBreak/>
        <w:t>55.</w:t>
      </w:r>
      <w:r w:rsidRPr="00282F47">
        <w:rPr>
          <w:rFonts w:ascii="Arial" w:hAnsi="Arial" w:cs="Arial"/>
          <w:sz w:val="24"/>
          <w:szCs w:val="24"/>
        </w:rPr>
        <w:tab/>
        <w:t xml:space="preserve">Terpetsching, E., Szmacinski, H., and Lakowicz, J.R. (1993). Synthesis, spectral properties and photostabilities of symmetrical and unsymmetrical squarines; a new class of flourophores with long-wavelength exiciation and emmision. Analytica chimica acta </w:t>
      </w:r>
      <w:r w:rsidRPr="00282F47">
        <w:rPr>
          <w:rFonts w:ascii="Arial" w:hAnsi="Arial" w:cs="Arial"/>
          <w:i/>
          <w:sz w:val="24"/>
          <w:szCs w:val="24"/>
        </w:rPr>
        <w:t>282</w:t>
      </w:r>
      <w:r w:rsidRPr="00282F47">
        <w:rPr>
          <w:rFonts w:ascii="Arial" w:hAnsi="Arial" w:cs="Arial"/>
          <w:sz w:val="24"/>
          <w:szCs w:val="24"/>
        </w:rPr>
        <w:t>, 633-641.</w:t>
      </w:r>
    </w:p>
    <w:p w14:paraId="51DD6788"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56.</w:t>
      </w:r>
      <w:r w:rsidRPr="00282F47">
        <w:rPr>
          <w:rFonts w:ascii="Arial" w:hAnsi="Arial" w:cs="Arial"/>
          <w:sz w:val="24"/>
          <w:szCs w:val="24"/>
        </w:rPr>
        <w:tab/>
        <w:t>Arunkumar, E., Fu, N., and Smith, B.D. (2006). Squaraine</w:t>
      </w:r>
      <w:r w:rsidRPr="00282F47">
        <w:rPr>
          <w:rFonts w:ascii="Cambria Math" w:hAnsi="Cambria Math" w:cs="Cambria Math"/>
          <w:sz w:val="24"/>
          <w:szCs w:val="24"/>
        </w:rPr>
        <w:t>‐</w:t>
      </w:r>
      <w:r w:rsidRPr="00282F47">
        <w:rPr>
          <w:rFonts w:ascii="Arial" w:hAnsi="Arial" w:cs="Arial"/>
          <w:sz w:val="24"/>
          <w:szCs w:val="24"/>
        </w:rPr>
        <w:t>derived rotaxanes: Highly stable, fluorescent near</w:t>
      </w:r>
      <w:r w:rsidRPr="00282F47">
        <w:rPr>
          <w:rFonts w:ascii="Cambria Math" w:hAnsi="Cambria Math" w:cs="Cambria Math"/>
          <w:sz w:val="24"/>
          <w:szCs w:val="24"/>
        </w:rPr>
        <w:t>‐</w:t>
      </w:r>
      <w:r w:rsidRPr="00282F47">
        <w:rPr>
          <w:rFonts w:ascii="Arial" w:hAnsi="Arial" w:cs="Arial"/>
          <w:sz w:val="24"/>
          <w:szCs w:val="24"/>
        </w:rPr>
        <w:t xml:space="preserve">IR dyes. Chemistry–A European Journal </w:t>
      </w:r>
      <w:r w:rsidRPr="00282F47">
        <w:rPr>
          <w:rFonts w:ascii="Arial" w:hAnsi="Arial" w:cs="Arial"/>
          <w:i/>
          <w:sz w:val="24"/>
          <w:szCs w:val="24"/>
        </w:rPr>
        <w:t>12</w:t>
      </w:r>
      <w:r w:rsidRPr="00282F47">
        <w:rPr>
          <w:rFonts w:ascii="Arial" w:hAnsi="Arial" w:cs="Arial"/>
          <w:sz w:val="24"/>
          <w:szCs w:val="24"/>
        </w:rPr>
        <w:t>, 4684-4690.</w:t>
      </w:r>
    </w:p>
    <w:p w14:paraId="35D9B6BB"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57.</w:t>
      </w:r>
      <w:r w:rsidRPr="00282F47">
        <w:rPr>
          <w:rFonts w:ascii="Arial" w:hAnsi="Arial" w:cs="Arial"/>
          <w:sz w:val="24"/>
          <w:szCs w:val="24"/>
        </w:rPr>
        <w:tab/>
        <w:t xml:space="preserve">Law, K.Y. (1993). Organic photoconductive materials: recent trends and developments. Chemical Reviews </w:t>
      </w:r>
      <w:r w:rsidRPr="00282F47">
        <w:rPr>
          <w:rFonts w:ascii="Arial" w:hAnsi="Arial" w:cs="Arial"/>
          <w:i/>
          <w:sz w:val="24"/>
          <w:szCs w:val="24"/>
        </w:rPr>
        <w:t>93</w:t>
      </w:r>
      <w:r w:rsidRPr="00282F47">
        <w:rPr>
          <w:rFonts w:ascii="Arial" w:hAnsi="Arial" w:cs="Arial"/>
          <w:sz w:val="24"/>
          <w:szCs w:val="24"/>
        </w:rPr>
        <w:t>, 449-486.</w:t>
      </w:r>
    </w:p>
    <w:p w14:paraId="7C43F41A"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58.</w:t>
      </w:r>
      <w:r w:rsidRPr="00282F47">
        <w:rPr>
          <w:rFonts w:ascii="Arial" w:hAnsi="Arial" w:cs="Arial"/>
          <w:sz w:val="24"/>
          <w:szCs w:val="24"/>
        </w:rPr>
        <w:tab/>
        <w:t xml:space="preserve">Li, L., Liu, T., Fu, C., Tan, L., Meng, X., and Liu, H. (2015). Biodistribution, excretion, and toxicity of mesoporous silica nanoparticles after oral administration depend on their shape. Nanomedicine: Nanotechnology, Biology and Medicine </w:t>
      </w:r>
      <w:r w:rsidRPr="00282F47">
        <w:rPr>
          <w:rFonts w:ascii="Arial" w:hAnsi="Arial" w:cs="Arial"/>
          <w:i/>
          <w:sz w:val="24"/>
          <w:szCs w:val="24"/>
        </w:rPr>
        <w:t>11</w:t>
      </w:r>
      <w:r w:rsidRPr="00282F47">
        <w:rPr>
          <w:rFonts w:ascii="Arial" w:hAnsi="Arial" w:cs="Arial"/>
          <w:sz w:val="24"/>
          <w:szCs w:val="24"/>
        </w:rPr>
        <w:t>, 1915-1924.</w:t>
      </w:r>
    </w:p>
    <w:p w14:paraId="55F89749"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59.</w:t>
      </w:r>
      <w:r w:rsidRPr="00282F47">
        <w:rPr>
          <w:rFonts w:ascii="Arial" w:hAnsi="Arial" w:cs="Arial"/>
          <w:sz w:val="24"/>
          <w:szCs w:val="24"/>
        </w:rPr>
        <w:tab/>
        <w:t xml:space="preserve">He, Y.Q., Liu, S.P., Kong, L., and Liu, Z.F. (2005). A study on the sizes and concentrations of gold nanoparticles by spectra of absorption, resonance Rayleigh scattering and resonance non-linear scattering. Spectrochimica Acta Part A: Molecular and Biomolecular Spectroscopy </w:t>
      </w:r>
      <w:r w:rsidRPr="00282F47">
        <w:rPr>
          <w:rFonts w:ascii="Arial" w:hAnsi="Arial" w:cs="Arial"/>
          <w:i/>
          <w:sz w:val="24"/>
          <w:szCs w:val="24"/>
        </w:rPr>
        <w:t>61</w:t>
      </w:r>
      <w:r w:rsidRPr="00282F47">
        <w:rPr>
          <w:rFonts w:ascii="Arial" w:hAnsi="Arial" w:cs="Arial"/>
          <w:sz w:val="24"/>
          <w:szCs w:val="24"/>
        </w:rPr>
        <w:t>, 2861-2866.</w:t>
      </w:r>
    </w:p>
    <w:p w14:paraId="3CD09F84"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60.</w:t>
      </w:r>
      <w:r w:rsidRPr="00282F47">
        <w:rPr>
          <w:rFonts w:ascii="Arial" w:hAnsi="Arial" w:cs="Arial"/>
          <w:sz w:val="24"/>
          <w:szCs w:val="24"/>
        </w:rPr>
        <w:tab/>
        <w:t xml:space="preserve">Shrivastava, R., Kushwaha, P., Bhutia, Y.C., and Flora, S. (2016). Oxidative stress following exposure to silver and gold nanoparticles in mice. Toxicology and industrial health </w:t>
      </w:r>
      <w:r w:rsidRPr="00282F47">
        <w:rPr>
          <w:rFonts w:ascii="Arial" w:hAnsi="Arial" w:cs="Arial"/>
          <w:i/>
          <w:sz w:val="24"/>
          <w:szCs w:val="24"/>
        </w:rPr>
        <w:t>32</w:t>
      </w:r>
      <w:r w:rsidRPr="00282F47">
        <w:rPr>
          <w:rFonts w:ascii="Arial" w:hAnsi="Arial" w:cs="Arial"/>
          <w:sz w:val="24"/>
          <w:szCs w:val="24"/>
        </w:rPr>
        <w:t>, 1391-1404.</w:t>
      </w:r>
    </w:p>
    <w:p w14:paraId="2A84562F"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61.</w:t>
      </w:r>
      <w:r w:rsidRPr="00282F47">
        <w:rPr>
          <w:rFonts w:ascii="Arial" w:hAnsi="Arial" w:cs="Arial"/>
          <w:sz w:val="24"/>
          <w:szCs w:val="24"/>
        </w:rPr>
        <w:tab/>
        <w:t xml:space="preserve">Paramelle, D., Sadovoy, A., Gorelik, S., Free, P., Hobley, J., and Fernig, D.G. (2014). A rapid method to estimate the concentration of citrate capped silver nanoparticles from UV-visible light spectra. Analyst </w:t>
      </w:r>
      <w:r w:rsidRPr="00282F47">
        <w:rPr>
          <w:rFonts w:ascii="Arial" w:hAnsi="Arial" w:cs="Arial"/>
          <w:i/>
          <w:sz w:val="24"/>
          <w:szCs w:val="24"/>
        </w:rPr>
        <w:t>139</w:t>
      </w:r>
      <w:r w:rsidRPr="00282F47">
        <w:rPr>
          <w:rFonts w:ascii="Arial" w:hAnsi="Arial" w:cs="Arial"/>
          <w:sz w:val="24"/>
          <w:szCs w:val="24"/>
        </w:rPr>
        <w:t>, 4855-4861.</w:t>
      </w:r>
    </w:p>
    <w:p w14:paraId="31EB0AA3"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62.</w:t>
      </w:r>
      <w:r w:rsidRPr="00282F47">
        <w:rPr>
          <w:rFonts w:ascii="Arial" w:hAnsi="Arial" w:cs="Arial"/>
          <w:sz w:val="24"/>
          <w:szCs w:val="24"/>
        </w:rPr>
        <w:tab/>
        <w:t xml:space="preserve">Pfohl, M., Tune, D.D., Graf, A., Zaumseil, J., Krupke, R., and Flavel, B.S. (2017). Fitting single-walled carbon nanotube optical spectra. ACS omega </w:t>
      </w:r>
      <w:r w:rsidRPr="00282F47">
        <w:rPr>
          <w:rFonts w:ascii="Arial" w:hAnsi="Arial" w:cs="Arial"/>
          <w:i/>
          <w:sz w:val="24"/>
          <w:szCs w:val="24"/>
        </w:rPr>
        <w:t>2</w:t>
      </w:r>
      <w:r w:rsidRPr="00282F47">
        <w:rPr>
          <w:rFonts w:ascii="Arial" w:hAnsi="Arial" w:cs="Arial"/>
          <w:sz w:val="24"/>
          <w:szCs w:val="24"/>
        </w:rPr>
        <w:t>, 1163-1171.</w:t>
      </w:r>
    </w:p>
    <w:p w14:paraId="2103E695"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63.</w:t>
      </w:r>
      <w:r w:rsidRPr="00282F47">
        <w:rPr>
          <w:rFonts w:ascii="Arial" w:hAnsi="Arial" w:cs="Arial"/>
          <w:sz w:val="24"/>
          <w:szCs w:val="24"/>
        </w:rPr>
        <w:tab/>
        <w:t xml:space="preserve">Cheng, X., Zhong, J., Meng, J., Yang, M., Jia, F., Xu, Z., Kong, H., and Xu, H. (2011). Characterization of multiwalled carbon nanotubes dispersing in water and association with biological effects. Journal of Nanomaterials </w:t>
      </w:r>
      <w:r w:rsidRPr="00282F47">
        <w:rPr>
          <w:rFonts w:ascii="Arial" w:hAnsi="Arial" w:cs="Arial"/>
          <w:i/>
          <w:sz w:val="24"/>
          <w:szCs w:val="24"/>
        </w:rPr>
        <w:t>2011</w:t>
      </w:r>
      <w:r w:rsidRPr="00282F47">
        <w:rPr>
          <w:rFonts w:ascii="Arial" w:hAnsi="Arial" w:cs="Arial"/>
          <w:sz w:val="24"/>
          <w:szCs w:val="24"/>
        </w:rPr>
        <w:t>.</w:t>
      </w:r>
    </w:p>
    <w:p w14:paraId="2DB1B407"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64.</w:t>
      </w:r>
      <w:r w:rsidRPr="00282F47">
        <w:rPr>
          <w:rFonts w:ascii="Arial" w:hAnsi="Arial" w:cs="Arial"/>
          <w:sz w:val="24"/>
          <w:szCs w:val="24"/>
        </w:rPr>
        <w:tab/>
        <w:t xml:space="preserve">Weber, J., Beard, P.C., and Bohndiek, S.E. (2016). Contrast agents for molecular photoacoustic imaging. Nature methods </w:t>
      </w:r>
      <w:r w:rsidRPr="00282F47">
        <w:rPr>
          <w:rFonts w:ascii="Arial" w:hAnsi="Arial" w:cs="Arial"/>
          <w:i/>
          <w:sz w:val="24"/>
          <w:szCs w:val="24"/>
        </w:rPr>
        <w:t>13</w:t>
      </w:r>
      <w:r w:rsidRPr="00282F47">
        <w:rPr>
          <w:rFonts w:ascii="Arial" w:hAnsi="Arial" w:cs="Arial"/>
          <w:sz w:val="24"/>
          <w:szCs w:val="24"/>
        </w:rPr>
        <w:t>, 639-650.</w:t>
      </w:r>
    </w:p>
    <w:p w14:paraId="1554387A"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65.</w:t>
      </w:r>
      <w:r w:rsidRPr="00282F47">
        <w:rPr>
          <w:rFonts w:ascii="Arial" w:hAnsi="Arial" w:cs="Arial"/>
          <w:sz w:val="24"/>
          <w:szCs w:val="24"/>
        </w:rPr>
        <w:tab/>
        <w:t xml:space="preserve">MacCuaig, W.M., Jones, M.A., Abeyakoon, O., and McNally, L.R. (2020). Development of Multispectral Optoacoustic Tomography as a Clinically Translatable Modality for Cancer Imaging. Radiology: Imaging Cancer </w:t>
      </w:r>
      <w:r w:rsidRPr="00282F47">
        <w:rPr>
          <w:rFonts w:ascii="Arial" w:hAnsi="Arial" w:cs="Arial"/>
          <w:i/>
          <w:sz w:val="24"/>
          <w:szCs w:val="24"/>
        </w:rPr>
        <w:t>2</w:t>
      </w:r>
      <w:r w:rsidRPr="00282F47">
        <w:rPr>
          <w:rFonts w:ascii="Arial" w:hAnsi="Arial" w:cs="Arial"/>
          <w:sz w:val="24"/>
          <w:szCs w:val="24"/>
        </w:rPr>
        <w:t>.</w:t>
      </w:r>
    </w:p>
    <w:p w14:paraId="5B07622E"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66.</w:t>
      </w:r>
      <w:r w:rsidRPr="00282F47">
        <w:rPr>
          <w:rFonts w:ascii="Arial" w:hAnsi="Arial" w:cs="Arial"/>
          <w:sz w:val="24"/>
          <w:szCs w:val="24"/>
        </w:rPr>
        <w:tab/>
        <w:t xml:space="preserve">Wang, L.V., and Hu, S. (2012). Photoacoustic tomography: in vivo imaging from organelles to organs. science </w:t>
      </w:r>
      <w:r w:rsidRPr="00282F47">
        <w:rPr>
          <w:rFonts w:ascii="Arial" w:hAnsi="Arial" w:cs="Arial"/>
          <w:i/>
          <w:sz w:val="24"/>
          <w:szCs w:val="24"/>
        </w:rPr>
        <w:t>335</w:t>
      </w:r>
      <w:r w:rsidRPr="00282F47">
        <w:rPr>
          <w:rFonts w:ascii="Arial" w:hAnsi="Arial" w:cs="Arial"/>
          <w:sz w:val="24"/>
          <w:szCs w:val="24"/>
        </w:rPr>
        <w:t>, 1458-1462.</w:t>
      </w:r>
    </w:p>
    <w:p w14:paraId="454E71F3"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67.</w:t>
      </w:r>
      <w:r w:rsidRPr="00282F47">
        <w:rPr>
          <w:rFonts w:ascii="Arial" w:hAnsi="Arial" w:cs="Arial"/>
          <w:sz w:val="24"/>
          <w:szCs w:val="24"/>
        </w:rPr>
        <w:tab/>
        <w:t xml:space="preserve">Attia, A.B.E., Balasundaram, G., Moothanchery, M., Dinish, U., Bi, R., Ntziachristos, V., and Olivo, M. (2019). A review of clinical photoacoustic imaging: Current and future trends. Photoacoustics </w:t>
      </w:r>
      <w:r w:rsidRPr="00282F47">
        <w:rPr>
          <w:rFonts w:ascii="Arial" w:hAnsi="Arial" w:cs="Arial"/>
          <w:i/>
          <w:sz w:val="24"/>
          <w:szCs w:val="24"/>
        </w:rPr>
        <w:t>16</w:t>
      </w:r>
      <w:r w:rsidRPr="00282F47">
        <w:rPr>
          <w:rFonts w:ascii="Arial" w:hAnsi="Arial" w:cs="Arial"/>
          <w:sz w:val="24"/>
          <w:szCs w:val="24"/>
        </w:rPr>
        <w:t>, 100144.</w:t>
      </w:r>
    </w:p>
    <w:p w14:paraId="6D765F0D" w14:textId="77777777" w:rsidR="002027D2" w:rsidRPr="00282F47"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68.</w:t>
      </w:r>
      <w:r w:rsidRPr="00282F47">
        <w:rPr>
          <w:rFonts w:ascii="Arial" w:hAnsi="Arial" w:cs="Arial"/>
          <w:sz w:val="24"/>
          <w:szCs w:val="24"/>
        </w:rPr>
        <w:tab/>
        <w:t xml:space="preserve">Regensburger, A.P., Brown, E., Krönke, G., Waldner, M.J., and Knieling, F. (2021). Optoacoustic Imaging in Inflammation. Biomedicines </w:t>
      </w:r>
      <w:r w:rsidRPr="00282F47">
        <w:rPr>
          <w:rFonts w:ascii="Arial" w:hAnsi="Arial" w:cs="Arial"/>
          <w:i/>
          <w:sz w:val="24"/>
          <w:szCs w:val="24"/>
        </w:rPr>
        <w:t>9</w:t>
      </w:r>
      <w:r w:rsidRPr="00282F47">
        <w:rPr>
          <w:rFonts w:ascii="Arial" w:hAnsi="Arial" w:cs="Arial"/>
          <w:sz w:val="24"/>
          <w:szCs w:val="24"/>
        </w:rPr>
        <w:t>, 483.</w:t>
      </w:r>
    </w:p>
    <w:p w14:paraId="71296583" w14:textId="77777777" w:rsidR="002027D2" w:rsidRPr="002027D2" w:rsidRDefault="002027D2" w:rsidP="002027D2">
      <w:pPr>
        <w:pStyle w:val="EndNoteBibliography"/>
        <w:spacing w:after="0"/>
        <w:ind w:left="720" w:hanging="720"/>
        <w:rPr>
          <w:rFonts w:ascii="Arial" w:hAnsi="Arial" w:cs="Arial"/>
          <w:sz w:val="24"/>
          <w:szCs w:val="24"/>
        </w:rPr>
      </w:pPr>
      <w:r w:rsidRPr="00282F47">
        <w:rPr>
          <w:rFonts w:ascii="Arial" w:hAnsi="Arial" w:cs="Arial"/>
          <w:sz w:val="24"/>
          <w:szCs w:val="24"/>
        </w:rPr>
        <w:t>69.</w:t>
      </w:r>
      <w:r w:rsidRPr="00282F47">
        <w:rPr>
          <w:rFonts w:ascii="Arial" w:hAnsi="Arial" w:cs="Arial"/>
          <w:sz w:val="24"/>
          <w:szCs w:val="24"/>
        </w:rPr>
        <w:tab/>
        <w:t>Regensburger, A.P., Wagner, A.L., Claussen, J., Waldner, M.J., and Knieling</w:t>
      </w:r>
      <w:r w:rsidRPr="002027D2">
        <w:rPr>
          <w:rFonts w:ascii="Arial" w:hAnsi="Arial" w:cs="Arial"/>
          <w:sz w:val="24"/>
          <w:szCs w:val="24"/>
        </w:rPr>
        <w:t xml:space="preserve">, F. (2020). Shedding light on pediatric diseases: multispectral optoacoustic tomography at the doorway to clinical applications. Molecular and cellular pediatrics </w:t>
      </w:r>
      <w:r w:rsidRPr="002027D2">
        <w:rPr>
          <w:rFonts w:ascii="Arial" w:hAnsi="Arial" w:cs="Arial"/>
          <w:i/>
          <w:sz w:val="24"/>
          <w:szCs w:val="24"/>
        </w:rPr>
        <w:t>7</w:t>
      </w:r>
      <w:r w:rsidRPr="002027D2">
        <w:rPr>
          <w:rFonts w:ascii="Arial" w:hAnsi="Arial" w:cs="Arial"/>
          <w:sz w:val="24"/>
          <w:szCs w:val="24"/>
        </w:rPr>
        <w:t>, 1-6.</w:t>
      </w:r>
    </w:p>
    <w:p w14:paraId="5C285317"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70.</w:t>
      </w:r>
      <w:r w:rsidRPr="002027D2">
        <w:rPr>
          <w:rFonts w:ascii="Arial" w:hAnsi="Arial" w:cs="Arial"/>
          <w:sz w:val="24"/>
          <w:szCs w:val="24"/>
        </w:rPr>
        <w:tab/>
        <w:t xml:space="preserve">Manohar, S., and Gambhir, S. (2020). Clinical photoacoustic imaging. Photoacoustics </w:t>
      </w:r>
      <w:r w:rsidRPr="002027D2">
        <w:rPr>
          <w:rFonts w:ascii="Arial" w:hAnsi="Arial" w:cs="Arial"/>
          <w:i/>
          <w:sz w:val="24"/>
          <w:szCs w:val="24"/>
        </w:rPr>
        <w:t>19</w:t>
      </w:r>
      <w:r w:rsidRPr="002027D2">
        <w:rPr>
          <w:rFonts w:ascii="Arial" w:hAnsi="Arial" w:cs="Arial"/>
          <w:sz w:val="24"/>
          <w:szCs w:val="24"/>
        </w:rPr>
        <w:t>.</w:t>
      </w:r>
    </w:p>
    <w:p w14:paraId="120886F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lastRenderedPageBreak/>
        <w:t>71.</w:t>
      </w:r>
      <w:r w:rsidRPr="002027D2">
        <w:rPr>
          <w:rFonts w:ascii="Arial" w:hAnsi="Arial" w:cs="Arial"/>
          <w:sz w:val="24"/>
          <w:szCs w:val="24"/>
        </w:rPr>
        <w:tab/>
        <w:t xml:space="preserve">Regensburger, A.P., Fonteyne, L.M., Jüngert, J., Wagner, A.L., Gerhalter, T., Nagel, A.M., Heiss, R., Flenkenthaler, F., Qurashi, M., and Neurath, M.F. (2019). Detection of collagens by multispectral optoacoustic tomography as an imaging biomarker for Duchenne muscular dystrophy. Nature Medicine </w:t>
      </w:r>
      <w:r w:rsidRPr="002027D2">
        <w:rPr>
          <w:rFonts w:ascii="Arial" w:hAnsi="Arial" w:cs="Arial"/>
          <w:i/>
          <w:sz w:val="24"/>
          <w:szCs w:val="24"/>
        </w:rPr>
        <w:t>25</w:t>
      </w:r>
      <w:r w:rsidRPr="002027D2">
        <w:rPr>
          <w:rFonts w:ascii="Arial" w:hAnsi="Arial" w:cs="Arial"/>
          <w:sz w:val="24"/>
          <w:szCs w:val="24"/>
        </w:rPr>
        <w:t>, 1905-1915.</w:t>
      </w:r>
    </w:p>
    <w:p w14:paraId="6C2EF4B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72.</w:t>
      </w:r>
      <w:r w:rsidRPr="002027D2">
        <w:rPr>
          <w:rFonts w:ascii="Arial" w:hAnsi="Arial" w:cs="Arial"/>
          <w:sz w:val="24"/>
          <w:szCs w:val="24"/>
        </w:rPr>
        <w:tab/>
        <w:t xml:space="preserve">Zhang, H.F., Maslov, K., Sivaramakrishnan, M., Stoica, G., and Wang, L.V. (2007). Imaging of hemoglobin oxygen saturation variations in single vessels in vivo using photoacoustic microscopy. Applied physics letters </w:t>
      </w:r>
      <w:r w:rsidRPr="002027D2">
        <w:rPr>
          <w:rFonts w:ascii="Arial" w:hAnsi="Arial" w:cs="Arial"/>
          <w:i/>
          <w:sz w:val="24"/>
          <w:szCs w:val="24"/>
        </w:rPr>
        <w:t>90</w:t>
      </w:r>
      <w:r w:rsidRPr="002027D2">
        <w:rPr>
          <w:rFonts w:ascii="Arial" w:hAnsi="Arial" w:cs="Arial"/>
          <w:sz w:val="24"/>
          <w:szCs w:val="24"/>
        </w:rPr>
        <w:t>, 053901.</w:t>
      </w:r>
    </w:p>
    <w:p w14:paraId="606E1C44"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73.</w:t>
      </w:r>
      <w:r w:rsidRPr="002027D2">
        <w:rPr>
          <w:rFonts w:ascii="Arial" w:hAnsi="Arial" w:cs="Arial"/>
          <w:sz w:val="24"/>
          <w:szCs w:val="24"/>
        </w:rPr>
        <w:tab/>
        <w:t>Upputuri, P.K., and Pramanik, M. (2020). Recent advances in photoacoustic contrast agents for in vivo imaging. Wiley Interdisciplinary Reviews: Nanomedicine and Nanobiotechnology, e1618.</w:t>
      </w:r>
    </w:p>
    <w:p w14:paraId="7B3F412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74.</w:t>
      </w:r>
      <w:r w:rsidRPr="002027D2">
        <w:rPr>
          <w:rFonts w:ascii="Arial" w:hAnsi="Arial" w:cs="Arial"/>
          <w:sz w:val="24"/>
          <w:szCs w:val="24"/>
        </w:rPr>
        <w:tab/>
        <w:t xml:space="preserve">Knieling, F., Hartmann, A., Uter, W., Urich, A., Claussen, J., Atreya, R., Rascher, W., and Waldner, M. (2017). Multispectral Optoacoustic Tomography in Crohn’s disease-A First-in-human Diagnostic Clinical Trial. Journal of Nuclear Medicine </w:t>
      </w:r>
      <w:r w:rsidRPr="002027D2">
        <w:rPr>
          <w:rFonts w:ascii="Arial" w:hAnsi="Arial" w:cs="Arial"/>
          <w:i/>
          <w:sz w:val="24"/>
          <w:szCs w:val="24"/>
        </w:rPr>
        <w:t>58</w:t>
      </w:r>
      <w:r w:rsidRPr="002027D2">
        <w:rPr>
          <w:rFonts w:ascii="Arial" w:hAnsi="Arial" w:cs="Arial"/>
          <w:sz w:val="24"/>
          <w:szCs w:val="24"/>
        </w:rPr>
        <w:t>, 379-379.</w:t>
      </w:r>
    </w:p>
    <w:p w14:paraId="44B471C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75.</w:t>
      </w:r>
      <w:r w:rsidRPr="002027D2">
        <w:rPr>
          <w:rFonts w:ascii="Arial" w:hAnsi="Arial" w:cs="Arial"/>
          <w:sz w:val="24"/>
          <w:szCs w:val="24"/>
        </w:rPr>
        <w:tab/>
        <w:t xml:space="preserve">Attia, A.B.E., Chuah, S.Y., Razansky, D., Ho, C.J.H., Malempati, P., Dinish, U., Bi, R., Fu, C.Y., Ford, S.J., and Lee, J.S.-S. (2017). Noninvasive real-time characterization of non-melanoma skin cancers with handheld optoacoustic probes. Photoacoustics </w:t>
      </w:r>
      <w:r w:rsidRPr="002027D2">
        <w:rPr>
          <w:rFonts w:ascii="Arial" w:hAnsi="Arial" w:cs="Arial"/>
          <w:i/>
          <w:sz w:val="24"/>
          <w:szCs w:val="24"/>
        </w:rPr>
        <w:t>7</w:t>
      </w:r>
      <w:r w:rsidRPr="002027D2">
        <w:rPr>
          <w:rFonts w:ascii="Arial" w:hAnsi="Arial" w:cs="Arial"/>
          <w:sz w:val="24"/>
          <w:szCs w:val="24"/>
        </w:rPr>
        <w:t>, 20-26.</w:t>
      </w:r>
    </w:p>
    <w:p w14:paraId="597EBB7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76.</w:t>
      </w:r>
      <w:r w:rsidRPr="002027D2">
        <w:rPr>
          <w:rFonts w:ascii="Arial" w:hAnsi="Arial" w:cs="Arial"/>
          <w:sz w:val="24"/>
          <w:szCs w:val="24"/>
        </w:rPr>
        <w:tab/>
        <w:t>Zhang, Y., He, S., Chen, W., Liu, Y., Zhang, X., Miao, Q., and Pu, K. (2021). Activatable Polymeric Nanoprobe for Near</w:t>
      </w:r>
      <w:r w:rsidRPr="002027D2">
        <w:rPr>
          <w:rFonts w:ascii="Cambria Math" w:hAnsi="Cambria Math" w:cs="Cambria Math"/>
          <w:sz w:val="24"/>
          <w:szCs w:val="24"/>
        </w:rPr>
        <w:t>‐</w:t>
      </w:r>
      <w:r w:rsidRPr="002027D2">
        <w:rPr>
          <w:rFonts w:ascii="Arial" w:hAnsi="Arial" w:cs="Arial"/>
          <w:sz w:val="24"/>
          <w:szCs w:val="24"/>
        </w:rPr>
        <w:t xml:space="preserve">Infrared Fluorescence and Photoacoustic Imaging of T Lymphocytes. Angewandte Chemie </w:t>
      </w:r>
      <w:r w:rsidRPr="002027D2">
        <w:rPr>
          <w:rFonts w:ascii="Arial" w:hAnsi="Arial" w:cs="Arial"/>
          <w:i/>
          <w:sz w:val="24"/>
          <w:szCs w:val="24"/>
        </w:rPr>
        <w:t>133</w:t>
      </w:r>
      <w:r w:rsidRPr="002027D2">
        <w:rPr>
          <w:rFonts w:ascii="Arial" w:hAnsi="Arial" w:cs="Arial"/>
          <w:sz w:val="24"/>
          <w:szCs w:val="24"/>
        </w:rPr>
        <w:t>, 5986-5992.</w:t>
      </w:r>
    </w:p>
    <w:p w14:paraId="6DEB611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77.</w:t>
      </w:r>
      <w:r w:rsidRPr="002027D2">
        <w:rPr>
          <w:rFonts w:ascii="Arial" w:hAnsi="Arial" w:cs="Arial"/>
          <w:sz w:val="24"/>
          <w:szCs w:val="24"/>
        </w:rPr>
        <w:tab/>
        <w:t xml:space="preserve">Beziere, N., Lozano, N., Nunes, A., Salichs, J., Queiros, D., Kostarelos, K., and Ntziachristos, V. (2015). Dynamic imaging of PEGylated indocyanine green (ICG) liposomes within the tumor microenvironment using multi-spectral optoacoustic tomography (MSOT). Biomaterials </w:t>
      </w:r>
      <w:r w:rsidRPr="002027D2">
        <w:rPr>
          <w:rFonts w:ascii="Arial" w:hAnsi="Arial" w:cs="Arial"/>
          <w:i/>
          <w:sz w:val="24"/>
          <w:szCs w:val="24"/>
        </w:rPr>
        <w:t>37</w:t>
      </w:r>
      <w:r w:rsidRPr="002027D2">
        <w:rPr>
          <w:rFonts w:ascii="Arial" w:hAnsi="Arial" w:cs="Arial"/>
          <w:sz w:val="24"/>
          <w:szCs w:val="24"/>
        </w:rPr>
        <w:t>, 415-424.</w:t>
      </w:r>
    </w:p>
    <w:p w14:paraId="79F9399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78.</w:t>
      </w:r>
      <w:r w:rsidRPr="002027D2">
        <w:rPr>
          <w:rFonts w:ascii="Arial" w:hAnsi="Arial" w:cs="Arial"/>
          <w:sz w:val="24"/>
          <w:szCs w:val="24"/>
        </w:rPr>
        <w:tab/>
        <w:t xml:space="preserve">Laramie, M., Smith, M., Marmarchi, F., McNally, L., and Henary, M. (2018). Small Molecule Optoacoustic Contrast Agents: An Unexplored Avenue for Enhancing In Vivo Imaging. Molecules </w:t>
      </w:r>
      <w:r w:rsidRPr="002027D2">
        <w:rPr>
          <w:rFonts w:ascii="Arial" w:hAnsi="Arial" w:cs="Arial"/>
          <w:i/>
          <w:sz w:val="24"/>
          <w:szCs w:val="24"/>
        </w:rPr>
        <w:t>23</w:t>
      </w:r>
      <w:r w:rsidRPr="002027D2">
        <w:rPr>
          <w:rFonts w:ascii="Arial" w:hAnsi="Arial" w:cs="Arial"/>
          <w:sz w:val="24"/>
          <w:szCs w:val="24"/>
        </w:rPr>
        <w:t>, 2766.</w:t>
      </w:r>
    </w:p>
    <w:p w14:paraId="6922A47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79.</w:t>
      </w:r>
      <w:r w:rsidRPr="002027D2">
        <w:rPr>
          <w:rFonts w:ascii="Arial" w:hAnsi="Arial" w:cs="Arial"/>
          <w:sz w:val="24"/>
          <w:szCs w:val="24"/>
        </w:rPr>
        <w:tab/>
        <w:t xml:space="preserve">Song, K.H., Stein, E.W., Margenthaler, J.A., and Wang, L.V. (2008). Noninvasive photoacoustic identification of sentinel lymph nodes containing methylene blue in vivo in a rat model. Journal of biomedical optics </w:t>
      </w:r>
      <w:r w:rsidRPr="002027D2">
        <w:rPr>
          <w:rFonts w:ascii="Arial" w:hAnsi="Arial" w:cs="Arial"/>
          <w:i/>
          <w:sz w:val="24"/>
          <w:szCs w:val="24"/>
        </w:rPr>
        <w:t>13</w:t>
      </w:r>
      <w:r w:rsidRPr="002027D2">
        <w:rPr>
          <w:rFonts w:ascii="Arial" w:hAnsi="Arial" w:cs="Arial"/>
          <w:sz w:val="24"/>
          <w:szCs w:val="24"/>
        </w:rPr>
        <w:t>, 054033.</w:t>
      </w:r>
    </w:p>
    <w:p w14:paraId="710CC1B2"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80.</w:t>
      </w:r>
      <w:r w:rsidRPr="002027D2">
        <w:rPr>
          <w:rFonts w:ascii="Arial" w:hAnsi="Arial" w:cs="Arial"/>
          <w:sz w:val="24"/>
          <w:szCs w:val="24"/>
        </w:rPr>
        <w:tab/>
        <w:t xml:space="preserve">Chen, J., Liu, C., Zeng, G., You, Y., Wang, H., Gong, X., Zheng, R., Kim, J., Kim, C., and Song, L. (2016). Indocyanine green loaded reduced graphene oxide for in vivo photoacoustic/fluorescence dual-modality tumor imaging. Nanoscale research letters </w:t>
      </w:r>
      <w:r w:rsidRPr="002027D2">
        <w:rPr>
          <w:rFonts w:ascii="Arial" w:hAnsi="Arial" w:cs="Arial"/>
          <w:i/>
          <w:sz w:val="24"/>
          <w:szCs w:val="24"/>
        </w:rPr>
        <w:t>11</w:t>
      </w:r>
      <w:r w:rsidRPr="002027D2">
        <w:rPr>
          <w:rFonts w:ascii="Arial" w:hAnsi="Arial" w:cs="Arial"/>
          <w:sz w:val="24"/>
          <w:szCs w:val="24"/>
        </w:rPr>
        <w:t>, 1-11.</w:t>
      </w:r>
    </w:p>
    <w:p w14:paraId="116FC0A7"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81.</w:t>
      </w:r>
      <w:r w:rsidRPr="002027D2">
        <w:rPr>
          <w:rFonts w:ascii="Arial" w:hAnsi="Arial" w:cs="Arial"/>
          <w:sz w:val="24"/>
          <w:szCs w:val="24"/>
        </w:rPr>
        <w:tab/>
        <w:t xml:space="preserve">Li, W., Peng, J., Yang, Q., Chen, L., Zhang, L., Chen, X., and Qian, Z. (2018). α-Lipoic acid stabilized DTX/IR780 micelles for photoacoustic/fluorescence imaging guided photothermal therapy/chemotherapy of breast cancer. Biomaterials science </w:t>
      </w:r>
      <w:r w:rsidRPr="002027D2">
        <w:rPr>
          <w:rFonts w:ascii="Arial" w:hAnsi="Arial" w:cs="Arial"/>
          <w:i/>
          <w:sz w:val="24"/>
          <w:szCs w:val="24"/>
        </w:rPr>
        <w:t>6</w:t>
      </w:r>
      <w:r w:rsidRPr="002027D2">
        <w:rPr>
          <w:rFonts w:ascii="Arial" w:hAnsi="Arial" w:cs="Arial"/>
          <w:sz w:val="24"/>
          <w:szCs w:val="24"/>
        </w:rPr>
        <w:t>, 1201-1216.</w:t>
      </w:r>
    </w:p>
    <w:p w14:paraId="073E8B3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82.</w:t>
      </w:r>
      <w:r w:rsidRPr="002027D2">
        <w:rPr>
          <w:rFonts w:ascii="Arial" w:hAnsi="Arial" w:cs="Arial"/>
          <w:sz w:val="24"/>
          <w:szCs w:val="24"/>
        </w:rPr>
        <w:tab/>
        <w:t xml:space="preserve">Hui, J., Li, R., Phillips, E.H., Goergen, C.J., Sturek, M., and Cheng, J.-X. (2016). Bond-selective photoacoustic imaging by converting molecular vibration into acoustic waves. Photoacoustics </w:t>
      </w:r>
      <w:r w:rsidRPr="002027D2">
        <w:rPr>
          <w:rFonts w:ascii="Arial" w:hAnsi="Arial" w:cs="Arial"/>
          <w:i/>
          <w:sz w:val="24"/>
          <w:szCs w:val="24"/>
        </w:rPr>
        <w:t>4</w:t>
      </w:r>
      <w:r w:rsidRPr="002027D2">
        <w:rPr>
          <w:rFonts w:ascii="Arial" w:hAnsi="Arial" w:cs="Arial"/>
          <w:sz w:val="24"/>
          <w:szCs w:val="24"/>
        </w:rPr>
        <w:t>, 11-21.</w:t>
      </w:r>
    </w:p>
    <w:p w14:paraId="057011A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83.</w:t>
      </w:r>
      <w:r w:rsidRPr="002027D2">
        <w:rPr>
          <w:rFonts w:ascii="Arial" w:hAnsi="Arial" w:cs="Arial"/>
          <w:sz w:val="24"/>
          <w:szCs w:val="24"/>
        </w:rPr>
        <w:tab/>
        <w:t xml:space="preserve">Weng, X.-L., and Liu, J.-Y. (2021). Strategies for maximizing photothermal conversion efficiency based on organic dyes. Drug Discovery Today </w:t>
      </w:r>
      <w:r w:rsidRPr="002027D2">
        <w:rPr>
          <w:rFonts w:ascii="Arial" w:hAnsi="Arial" w:cs="Arial"/>
          <w:i/>
          <w:sz w:val="24"/>
          <w:szCs w:val="24"/>
        </w:rPr>
        <w:t>26</w:t>
      </w:r>
      <w:r w:rsidRPr="002027D2">
        <w:rPr>
          <w:rFonts w:ascii="Arial" w:hAnsi="Arial" w:cs="Arial"/>
          <w:sz w:val="24"/>
          <w:szCs w:val="24"/>
        </w:rPr>
        <w:t>, 2045-2052.</w:t>
      </w:r>
    </w:p>
    <w:p w14:paraId="376113FF"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lastRenderedPageBreak/>
        <w:t>84.</w:t>
      </w:r>
      <w:r w:rsidRPr="002027D2">
        <w:rPr>
          <w:rFonts w:ascii="Arial" w:hAnsi="Arial" w:cs="Arial"/>
          <w:sz w:val="24"/>
          <w:szCs w:val="24"/>
        </w:rPr>
        <w:tab/>
        <w:t xml:space="preserve">Yadav, Y., Owens, E., Nomura, S., Fukuda, T., Baek, Y., Kashiwagi, S., Choi, H.S., and Henary, M. (2020). Ultrabright and Serum-Stable Squaraine Dyes. Journal of medicinal chemistry </w:t>
      </w:r>
      <w:r w:rsidRPr="002027D2">
        <w:rPr>
          <w:rFonts w:ascii="Arial" w:hAnsi="Arial" w:cs="Arial"/>
          <w:i/>
          <w:sz w:val="24"/>
          <w:szCs w:val="24"/>
        </w:rPr>
        <w:t>63</w:t>
      </w:r>
      <w:r w:rsidRPr="002027D2">
        <w:rPr>
          <w:rFonts w:ascii="Arial" w:hAnsi="Arial" w:cs="Arial"/>
          <w:sz w:val="24"/>
          <w:szCs w:val="24"/>
        </w:rPr>
        <w:t>, 9436-9445.</w:t>
      </w:r>
    </w:p>
    <w:p w14:paraId="2248F48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85.</w:t>
      </w:r>
      <w:r w:rsidRPr="002027D2">
        <w:rPr>
          <w:rFonts w:ascii="Arial" w:hAnsi="Arial" w:cs="Arial"/>
          <w:sz w:val="24"/>
          <w:szCs w:val="24"/>
        </w:rPr>
        <w:tab/>
        <w:t xml:space="preserve">Liu, Y., Teng, L., Yin, B., Meng, H., Yin, X., Huan, S., Song, G., and Zhang, X.-B. (2022). Chemical design of activatable photoacoustic probes for precise biomedical applications. Chemical Reviews </w:t>
      </w:r>
      <w:r w:rsidRPr="002027D2">
        <w:rPr>
          <w:rFonts w:ascii="Arial" w:hAnsi="Arial" w:cs="Arial"/>
          <w:i/>
          <w:sz w:val="24"/>
          <w:szCs w:val="24"/>
        </w:rPr>
        <w:t>122</w:t>
      </w:r>
      <w:r w:rsidRPr="002027D2">
        <w:rPr>
          <w:rFonts w:ascii="Arial" w:hAnsi="Arial" w:cs="Arial"/>
          <w:sz w:val="24"/>
          <w:szCs w:val="24"/>
        </w:rPr>
        <w:t>, 6850-6918.</w:t>
      </w:r>
    </w:p>
    <w:p w14:paraId="63DABA09"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86.</w:t>
      </w:r>
      <w:r w:rsidRPr="002027D2">
        <w:rPr>
          <w:rFonts w:ascii="Arial" w:hAnsi="Arial" w:cs="Arial"/>
          <w:sz w:val="24"/>
          <w:szCs w:val="24"/>
        </w:rPr>
        <w:tab/>
        <w:t xml:space="preserve">Koziar, J.C., and Cowan, D.O. (1978). Photochemical heavy-atom effects. Accounts of chemical research </w:t>
      </w:r>
      <w:r w:rsidRPr="002027D2">
        <w:rPr>
          <w:rFonts w:ascii="Arial" w:hAnsi="Arial" w:cs="Arial"/>
          <w:i/>
          <w:sz w:val="24"/>
          <w:szCs w:val="24"/>
        </w:rPr>
        <w:t>11</w:t>
      </w:r>
      <w:r w:rsidRPr="002027D2">
        <w:rPr>
          <w:rFonts w:ascii="Arial" w:hAnsi="Arial" w:cs="Arial"/>
          <w:sz w:val="24"/>
          <w:szCs w:val="24"/>
        </w:rPr>
        <w:t>, 334-341.</w:t>
      </w:r>
    </w:p>
    <w:p w14:paraId="591FCBED"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87.</w:t>
      </w:r>
      <w:r w:rsidRPr="002027D2">
        <w:rPr>
          <w:rFonts w:ascii="Arial" w:hAnsi="Arial" w:cs="Arial"/>
          <w:sz w:val="24"/>
          <w:szCs w:val="24"/>
        </w:rPr>
        <w:tab/>
        <w:t xml:space="preserve">Chatterjee, M., Ben-Josef, E., Robb, R., Vedaie, M., Seum, S., Thirumoorthy, K., Palanichamy, K., Harbrecht, M., Chakravarti, A., and Williams, T.M. (2017). Caveolae-mediated endocytosis is critical for albumin cellular uptake and response to albumin-bound chemotherapy. Cancer research </w:t>
      </w:r>
      <w:r w:rsidRPr="002027D2">
        <w:rPr>
          <w:rFonts w:ascii="Arial" w:hAnsi="Arial" w:cs="Arial"/>
          <w:i/>
          <w:sz w:val="24"/>
          <w:szCs w:val="24"/>
        </w:rPr>
        <w:t>77</w:t>
      </w:r>
      <w:r w:rsidRPr="002027D2">
        <w:rPr>
          <w:rFonts w:ascii="Arial" w:hAnsi="Arial" w:cs="Arial"/>
          <w:sz w:val="24"/>
          <w:szCs w:val="24"/>
        </w:rPr>
        <w:t>, 5925-5937.</w:t>
      </w:r>
    </w:p>
    <w:p w14:paraId="33DF291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88.</w:t>
      </w:r>
      <w:r w:rsidRPr="002027D2">
        <w:rPr>
          <w:rFonts w:ascii="Arial" w:hAnsi="Arial" w:cs="Arial"/>
          <w:sz w:val="24"/>
          <w:szCs w:val="24"/>
        </w:rPr>
        <w:tab/>
        <w:t>Wang, T.H., Wang, H.S., and Soong, Y.K. (2000). Paclitaxel</w:t>
      </w:r>
      <w:r w:rsidRPr="002027D2">
        <w:rPr>
          <w:rFonts w:ascii="Cambria Math" w:hAnsi="Cambria Math" w:cs="Cambria Math"/>
          <w:sz w:val="24"/>
          <w:szCs w:val="24"/>
        </w:rPr>
        <w:t>‐</w:t>
      </w:r>
      <w:r w:rsidRPr="002027D2">
        <w:rPr>
          <w:rFonts w:ascii="Arial" w:hAnsi="Arial" w:cs="Arial"/>
          <w:sz w:val="24"/>
          <w:szCs w:val="24"/>
        </w:rPr>
        <w:t xml:space="preserve">induced cell death: where the cell cycle and apoptosis come together. Cancer: Interdisciplinary International Journal of the American Cancer Society </w:t>
      </w:r>
      <w:r w:rsidRPr="002027D2">
        <w:rPr>
          <w:rFonts w:ascii="Arial" w:hAnsi="Arial" w:cs="Arial"/>
          <w:i/>
          <w:sz w:val="24"/>
          <w:szCs w:val="24"/>
        </w:rPr>
        <w:t>88</w:t>
      </w:r>
      <w:r w:rsidRPr="002027D2">
        <w:rPr>
          <w:rFonts w:ascii="Arial" w:hAnsi="Arial" w:cs="Arial"/>
          <w:sz w:val="24"/>
          <w:szCs w:val="24"/>
        </w:rPr>
        <w:t>, 2619-2628.</w:t>
      </w:r>
    </w:p>
    <w:p w14:paraId="13379FE9"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89.</w:t>
      </w:r>
      <w:r w:rsidRPr="002027D2">
        <w:rPr>
          <w:rFonts w:ascii="Arial" w:hAnsi="Arial" w:cs="Arial"/>
          <w:sz w:val="24"/>
          <w:szCs w:val="24"/>
        </w:rPr>
        <w:tab/>
        <w:t xml:space="preserve">St. Lorenz, A., Buabeng, E.R., Taratula, O., Taratula, O., and Henary, M. (2021). Near-infrared heptamethine cyanine dyes for nanoparticle-based photoacoustic imaging and photothermal therapy. Journal of Medicinal Chemistry </w:t>
      </w:r>
      <w:r w:rsidRPr="002027D2">
        <w:rPr>
          <w:rFonts w:ascii="Arial" w:hAnsi="Arial" w:cs="Arial"/>
          <w:i/>
          <w:sz w:val="24"/>
          <w:szCs w:val="24"/>
        </w:rPr>
        <w:t>64</w:t>
      </w:r>
      <w:r w:rsidRPr="002027D2">
        <w:rPr>
          <w:rFonts w:ascii="Arial" w:hAnsi="Arial" w:cs="Arial"/>
          <w:sz w:val="24"/>
          <w:szCs w:val="24"/>
        </w:rPr>
        <w:t>, 8798-8805.</w:t>
      </w:r>
    </w:p>
    <w:p w14:paraId="57FE7799"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90.</w:t>
      </w:r>
      <w:r w:rsidRPr="002027D2">
        <w:rPr>
          <w:rFonts w:ascii="Arial" w:hAnsi="Arial" w:cs="Arial"/>
          <w:sz w:val="24"/>
          <w:szCs w:val="24"/>
        </w:rPr>
        <w:tab/>
        <w:t xml:space="preserve">Al-Otaibi, J.S., and Al-Wabli, R.I. (2015). Vibrational spectroscopic investigation (FT-IR and FT-Raman) using ab initio (HF) and DFT (B3LYP) calculations of 3-ethoxymethyl-1, 4-dihydroquinolin-4-one. Spectrochimica Acta Part A: Molecular and Biomolecular Spectroscopy </w:t>
      </w:r>
      <w:r w:rsidRPr="002027D2">
        <w:rPr>
          <w:rFonts w:ascii="Arial" w:hAnsi="Arial" w:cs="Arial"/>
          <w:i/>
          <w:sz w:val="24"/>
          <w:szCs w:val="24"/>
        </w:rPr>
        <w:t>137</w:t>
      </w:r>
      <w:r w:rsidRPr="002027D2">
        <w:rPr>
          <w:rFonts w:ascii="Arial" w:hAnsi="Arial" w:cs="Arial"/>
          <w:sz w:val="24"/>
          <w:szCs w:val="24"/>
        </w:rPr>
        <w:t>, 7-15.</w:t>
      </w:r>
    </w:p>
    <w:p w14:paraId="583F0D22"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91.</w:t>
      </w:r>
      <w:r w:rsidRPr="002027D2">
        <w:rPr>
          <w:rFonts w:ascii="Arial" w:hAnsi="Arial" w:cs="Arial"/>
          <w:sz w:val="24"/>
          <w:szCs w:val="24"/>
        </w:rPr>
        <w:tab/>
        <w:t xml:space="preserve">An, X.-X., Liu, C., Chen, Z.-Z., Xie, K.-F., and Zhang, Y. (2019). Fluorescence properties and density functional theory calculation of a structurally characterized heterotetranuclear [ZnII2–SmIII2] 4, 4′-bipy-salamo-constructed complex. Crystals </w:t>
      </w:r>
      <w:r w:rsidRPr="002027D2">
        <w:rPr>
          <w:rFonts w:ascii="Arial" w:hAnsi="Arial" w:cs="Arial"/>
          <w:i/>
          <w:sz w:val="24"/>
          <w:szCs w:val="24"/>
        </w:rPr>
        <w:t>9</w:t>
      </w:r>
      <w:r w:rsidRPr="002027D2">
        <w:rPr>
          <w:rFonts w:ascii="Arial" w:hAnsi="Arial" w:cs="Arial"/>
          <w:sz w:val="24"/>
          <w:szCs w:val="24"/>
        </w:rPr>
        <w:t>, 602.</w:t>
      </w:r>
    </w:p>
    <w:p w14:paraId="05E7C86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92.</w:t>
      </w:r>
      <w:r w:rsidRPr="002027D2">
        <w:rPr>
          <w:rFonts w:ascii="Arial" w:hAnsi="Arial" w:cs="Arial"/>
          <w:sz w:val="24"/>
          <w:szCs w:val="24"/>
        </w:rPr>
        <w:tab/>
        <w:t xml:space="preserve">Essam, Z.M., Ozmen, G.E., Setiawan, D., Hamid, R.R., Abd El-Aal, R.M., Aneja, R., Hamelberg, D., and Henary, M. (2021). Donor acceptor fluorophores: synthesis, optical properties, TD-DFT and cytotoxicity studies. Organic &amp; biomolecular chemistry </w:t>
      </w:r>
      <w:r w:rsidRPr="002027D2">
        <w:rPr>
          <w:rFonts w:ascii="Arial" w:hAnsi="Arial" w:cs="Arial"/>
          <w:i/>
          <w:sz w:val="24"/>
          <w:szCs w:val="24"/>
        </w:rPr>
        <w:t>19</w:t>
      </w:r>
      <w:r w:rsidRPr="002027D2">
        <w:rPr>
          <w:rFonts w:ascii="Arial" w:hAnsi="Arial" w:cs="Arial"/>
          <w:sz w:val="24"/>
          <w:szCs w:val="24"/>
        </w:rPr>
        <w:t>, 1835-1846.</w:t>
      </w:r>
    </w:p>
    <w:p w14:paraId="2800560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93.</w:t>
      </w:r>
      <w:r w:rsidRPr="002027D2">
        <w:rPr>
          <w:rFonts w:ascii="Arial" w:hAnsi="Arial" w:cs="Arial"/>
          <w:sz w:val="24"/>
          <w:szCs w:val="24"/>
        </w:rPr>
        <w:tab/>
        <w:t xml:space="preserve">Furche, F., and Ahlrichs, R. (2002). Adiabatic time-dependent density functional methods for excited state properties. The Journal of chemical physics </w:t>
      </w:r>
      <w:r w:rsidRPr="002027D2">
        <w:rPr>
          <w:rFonts w:ascii="Arial" w:hAnsi="Arial" w:cs="Arial"/>
          <w:i/>
          <w:sz w:val="24"/>
          <w:szCs w:val="24"/>
        </w:rPr>
        <w:t>117</w:t>
      </w:r>
      <w:r w:rsidRPr="002027D2">
        <w:rPr>
          <w:rFonts w:ascii="Arial" w:hAnsi="Arial" w:cs="Arial"/>
          <w:sz w:val="24"/>
          <w:szCs w:val="24"/>
        </w:rPr>
        <w:t>, 7433-7447.</w:t>
      </w:r>
    </w:p>
    <w:p w14:paraId="2FF174B5"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94.</w:t>
      </w:r>
      <w:r w:rsidRPr="002027D2">
        <w:rPr>
          <w:rFonts w:ascii="Arial" w:hAnsi="Arial" w:cs="Arial"/>
          <w:sz w:val="24"/>
          <w:szCs w:val="24"/>
        </w:rPr>
        <w:tab/>
        <w:t xml:space="preserve">Epifanovsky, E., Gilbert, A.T., Feng, X., Lee, J., Mao, Y., Mardirossian, N., Pokhilko, P., White, A.F., Coons, M.P., and Dempwolff, A.L. (2021). Software for the frontiers of quantum chemistry: An overview of developments in the Q-Chem 5 package. The Journal of chemical physics </w:t>
      </w:r>
      <w:r w:rsidRPr="002027D2">
        <w:rPr>
          <w:rFonts w:ascii="Arial" w:hAnsi="Arial" w:cs="Arial"/>
          <w:i/>
          <w:sz w:val="24"/>
          <w:szCs w:val="24"/>
        </w:rPr>
        <w:t>155</w:t>
      </w:r>
      <w:r w:rsidRPr="002027D2">
        <w:rPr>
          <w:rFonts w:ascii="Arial" w:hAnsi="Arial" w:cs="Arial"/>
          <w:sz w:val="24"/>
          <w:szCs w:val="24"/>
        </w:rPr>
        <w:t>, 084801.</w:t>
      </w:r>
    </w:p>
    <w:p w14:paraId="5D170AA2"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95.</w:t>
      </w:r>
      <w:r w:rsidRPr="002027D2">
        <w:rPr>
          <w:rFonts w:ascii="Arial" w:hAnsi="Arial" w:cs="Arial"/>
          <w:sz w:val="24"/>
          <w:szCs w:val="24"/>
        </w:rPr>
        <w:tab/>
        <w:t xml:space="preserve">Perdew, J.P., Burke, K., and Ernzerhof, M. (1996). Generalized gradient approximation made simple. Physical review letters </w:t>
      </w:r>
      <w:r w:rsidRPr="002027D2">
        <w:rPr>
          <w:rFonts w:ascii="Arial" w:hAnsi="Arial" w:cs="Arial"/>
          <w:i/>
          <w:sz w:val="24"/>
          <w:szCs w:val="24"/>
        </w:rPr>
        <w:t>77</w:t>
      </w:r>
      <w:r w:rsidRPr="002027D2">
        <w:rPr>
          <w:rFonts w:ascii="Arial" w:hAnsi="Arial" w:cs="Arial"/>
          <w:sz w:val="24"/>
          <w:szCs w:val="24"/>
        </w:rPr>
        <w:t>, 3865.</w:t>
      </w:r>
    </w:p>
    <w:p w14:paraId="57FFE29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96.</w:t>
      </w:r>
      <w:r w:rsidRPr="002027D2">
        <w:rPr>
          <w:rFonts w:ascii="Arial" w:hAnsi="Arial" w:cs="Arial"/>
          <w:sz w:val="24"/>
          <w:szCs w:val="24"/>
        </w:rPr>
        <w:tab/>
        <w:t xml:space="preserve">Hehre, W.J., Ditchfield, R., and Pople, J.A. (1972). Self—consistent molecular orbital methods. XII. Further extensions of Gaussian—type basis sets for use in molecular orbital studies of organic molecules. The Journal of Chemical Physics </w:t>
      </w:r>
      <w:r w:rsidRPr="002027D2">
        <w:rPr>
          <w:rFonts w:ascii="Arial" w:hAnsi="Arial" w:cs="Arial"/>
          <w:i/>
          <w:sz w:val="24"/>
          <w:szCs w:val="24"/>
        </w:rPr>
        <w:t>56</w:t>
      </w:r>
      <w:r w:rsidRPr="002027D2">
        <w:rPr>
          <w:rFonts w:ascii="Arial" w:hAnsi="Arial" w:cs="Arial"/>
          <w:sz w:val="24"/>
          <w:szCs w:val="24"/>
        </w:rPr>
        <w:t>, 2257-2261.</w:t>
      </w:r>
    </w:p>
    <w:p w14:paraId="0EA55AE2"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lastRenderedPageBreak/>
        <w:t>97.</w:t>
      </w:r>
      <w:r w:rsidRPr="002027D2">
        <w:rPr>
          <w:rFonts w:ascii="Arial" w:hAnsi="Arial" w:cs="Arial"/>
          <w:sz w:val="24"/>
          <w:szCs w:val="24"/>
        </w:rPr>
        <w:tab/>
        <w:t xml:space="preserve">Gao, F., Kishor, R., Feng, X., Liu, S., Ding, R., Zhang, R., and Zheng, Y. (2017). An analytical study of photoacoustic and thermoacoustic generation efficiency towards contrast agent and film design optimization. Photoacoustics </w:t>
      </w:r>
      <w:r w:rsidRPr="002027D2">
        <w:rPr>
          <w:rFonts w:ascii="Arial" w:hAnsi="Arial" w:cs="Arial"/>
          <w:i/>
          <w:sz w:val="24"/>
          <w:szCs w:val="24"/>
        </w:rPr>
        <w:t>7</w:t>
      </w:r>
      <w:r w:rsidRPr="002027D2">
        <w:rPr>
          <w:rFonts w:ascii="Arial" w:hAnsi="Arial" w:cs="Arial"/>
          <w:sz w:val="24"/>
          <w:szCs w:val="24"/>
        </w:rPr>
        <w:t>, 1-11.</w:t>
      </w:r>
    </w:p>
    <w:p w14:paraId="789C4C44"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98.</w:t>
      </w:r>
      <w:r w:rsidRPr="002027D2">
        <w:rPr>
          <w:rFonts w:ascii="Arial" w:hAnsi="Arial" w:cs="Arial"/>
          <w:sz w:val="24"/>
          <w:szCs w:val="24"/>
        </w:rPr>
        <w:tab/>
        <w:t>Roncali, J. (2007). Molecular engineering of the band gap of π</w:t>
      </w:r>
      <w:r w:rsidRPr="002027D2">
        <w:rPr>
          <w:rFonts w:ascii="Cambria Math" w:hAnsi="Cambria Math" w:cs="Cambria Math"/>
          <w:sz w:val="24"/>
          <w:szCs w:val="24"/>
        </w:rPr>
        <w:t>‐</w:t>
      </w:r>
      <w:r w:rsidRPr="002027D2">
        <w:rPr>
          <w:rFonts w:ascii="Arial" w:hAnsi="Arial" w:cs="Arial"/>
          <w:sz w:val="24"/>
          <w:szCs w:val="24"/>
        </w:rPr>
        <w:t xml:space="preserve">conjugated systems: Facing technological applications. Macromolecular Rapid Communications </w:t>
      </w:r>
      <w:r w:rsidRPr="002027D2">
        <w:rPr>
          <w:rFonts w:ascii="Arial" w:hAnsi="Arial" w:cs="Arial"/>
          <w:i/>
          <w:sz w:val="24"/>
          <w:szCs w:val="24"/>
        </w:rPr>
        <w:t>28</w:t>
      </w:r>
      <w:r w:rsidRPr="002027D2">
        <w:rPr>
          <w:rFonts w:ascii="Arial" w:hAnsi="Arial" w:cs="Arial"/>
          <w:sz w:val="24"/>
          <w:szCs w:val="24"/>
        </w:rPr>
        <w:t>, 1761-1775.</w:t>
      </w:r>
    </w:p>
    <w:p w14:paraId="1F26C77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99.</w:t>
      </w:r>
      <w:r w:rsidRPr="002027D2">
        <w:rPr>
          <w:rFonts w:ascii="Arial" w:hAnsi="Arial" w:cs="Arial"/>
          <w:sz w:val="24"/>
          <w:szCs w:val="24"/>
        </w:rPr>
        <w:tab/>
        <w:t xml:space="preserve">Yanagisawa, S., Yasuda, T., Inagaki, K., Morikawa, Y., Manseki, K., and Yanagida, S. (2013). Intermolecular interaction as the origin of red shifts in absorption spectra of zinc-phthalocyanine from first-principles. The Journal of Physical Chemistry A </w:t>
      </w:r>
      <w:r w:rsidRPr="002027D2">
        <w:rPr>
          <w:rFonts w:ascii="Arial" w:hAnsi="Arial" w:cs="Arial"/>
          <w:i/>
          <w:sz w:val="24"/>
          <w:szCs w:val="24"/>
        </w:rPr>
        <w:t>117</w:t>
      </w:r>
      <w:r w:rsidRPr="002027D2">
        <w:rPr>
          <w:rFonts w:ascii="Arial" w:hAnsi="Arial" w:cs="Arial"/>
          <w:sz w:val="24"/>
          <w:szCs w:val="24"/>
        </w:rPr>
        <w:t>, 11246-11253.</w:t>
      </w:r>
    </w:p>
    <w:p w14:paraId="2DBDDB8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100.</w:t>
      </w:r>
      <w:r w:rsidRPr="002027D2">
        <w:rPr>
          <w:rFonts w:ascii="Arial" w:hAnsi="Arial" w:cs="Arial"/>
          <w:sz w:val="24"/>
          <w:szCs w:val="24"/>
        </w:rPr>
        <w:tab/>
        <w:t>Toutain, P.-L., and Bousquet</w:t>
      </w:r>
      <w:r w:rsidRPr="002027D2">
        <w:rPr>
          <w:rFonts w:ascii="Cambria Math" w:hAnsi="Cambria Math" w:cs="Cambria Math"/>
          <w:sz w:val="24"/>
          <w:szCs w:val="24"/>
        </w:rPr>
        <w:t>‐</w:t>
      </w:r>
      <w:r w:rsidRPr="002027D2">
        <w:rPr>
          <w:rFonts w:ascii="Arial" w:hAnsi="Arial" w:cs="Arial"/>
          <w:sz w:val="24"/>
          <w:szCs w:val="24"/>
        </w:rPr>
        <w:t xml:space="preserve">mélou, A. (2004). Plasma clearance. Journal of veterinary pharmacology and therapeutics </w:t>
      </w:r>
      <w:r w:rsidRPr="002027D2">
        <w:rPr>
          <w:rFonts w:ascii="Arial" w:hAnsi="Arial" w:cs="Arial"/>
          <w:i/>
          <w:sz w:val="24"/>
          <w:szCs w:val="24"/>
        </w:rPr>
        <w:t>27</w:t>
      </w:r>
      <w:r w:rsidRPr="002027D2">
        <w:rPr>
          <w:rFonts w:ascii="Arial" w:hAnsi="Arial" w:cs="Arial"/>
          <w:sz w:val="24"/>
          <w:szCs w:val="24"/>
        </w:rPr>
        <w:t>, 415-425.</w:t>
      </w:r>
    </w:p>
    <w:p w14:paraId="679C44C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101.</w:t>
      </w:r>
      <w:r w:rsidRPr="002027D2">
        <w:rPr>
          <w:rFonts w:ascii="Arial" w:hAnsi="Arial" w:cs="Arial"/>
          <w:sz w:val="24"/>
          <w:szCs w:val="24"/>
        </w:rPr>
        <w:tab/>
        <w:t xml:space="preserve">Lau, S., Gossen, M., Lendlein, A., and Jung, F. (2021). Venous and arterial endothelial cells from human umbilical cords: potential cell sources for cardiovascular research. International Journal of Molecular Sciences </w:t>
      </w:r>
      <w:r w:rsidRPr="002027D2">
        <w:rPr>
          <w:rFonts w:ascii="Arial" w:hAnsi="Arial" w:cs="Arial"/>
          <w:i/>
          <w:sz w:val="24"/>
          <w:szCs w:val="24"/>
        </w:rPr>
        <w:t>22</w:t>
      </w:r>
      <w:r w:rsidRPr="002027D2">
        <w:rPr>
          <w:rFonts w:ascii="Arial" w:hAnsi="Arial" w:cs="Arial"/>
          <w:sz w:val="24"/>
          <w:szCs w:val="24"/>
        </w:rPr>
        <w:t>, 978.</w:t>
      </w:r>
    </w:p>
    <w:p w14:paraId="7106711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102.</w:t>
      </w:r>
      <w:r w:rsidRPr="002027D2">
        <w:rPr>
          <w:rFonts w:ascii="Arial" w:hAnsi="Arial" w:cs="Arial"/>
          <w:sz w:val="24"/>
          <w:szCs w:val="24"/>
        </w:rPr>
        <w:tab/>
        <w:t>Bell, A.G. (1881). On the production and reproduction of sound by light. pp. 115-136.</w:t>
      </w:r>
    </w:p>
    <w:p w14:paraId="1F2E269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103.</w:t>
      </w:r>
      <w:r w:rsidRPr="002027D2">
        <w:rPr>
          <w:rFonts w:ascii="Arial" w:hAnsi="Arial" w:cs="Arial"/>
          <w:sz w:val="24"/>
          <w:szCs w:val="24"/>
        </w:rPr>
        <w:tab/>
        <w:t xml:space="preserve">Beard, P. (2011). Biomedical photoacoustic imaging. Interface focus </w:t>
      </w:r>
      <w:r w:rsidRPr="002027D2">
        <w:rPr>
          <w:rFonts w:ascii="Arial" w:hAnsi="Arial" w:cs="Arial"/>
          <w:i/>
          <w:sz w:val="24"/>
          <w:szCs w:val="24"/>
        </w:rPr>
        <w:t>1</w:t>
      </w:r>
      <w:r w:rsidRPr="002027D2">
        <w:rPr>
          <w:rFonts w:ascii="Arial" w:hAnsi="Arial" w:cs="Arial"/>
          <w:sz w:val="24"/>
          <w:szCs w:val="24"/>
        </w:rPr>
        <w:t>, 602-631.</w:t>
      </w:r>
    </w:p>
    <w:p w14:paraId="488AA25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104.</w:t>
      </w:r>
      <w:r w:rsidRPr="002027D2">
        <w:rPr>
          <w:rFonts w:ascii="Arial" w:hAnsi="Arial" w:cs="Arial"/>
          <w:sz w:val="24"/>
          <w:szCs w:val="24"/>
        </w:rPr>
        <w:tab/>
        <w:t xml:space="preserve">Rajapaksha, A.A., Fu, Y.-X., Guo, W.Y., Liu, S.-Y., Li, Z.-W., Xiong, C.-Q., Yang, W.-C., and Yang, G.-F. (2021). Review on the recent progress in the development of fluorescent probes targeting enzymes. Methods and Applications in Fluorescence </w:t>
      </w:r>
      <w:r w:rsidRPr="002027D2">
        <w:rPr>
          <w:rFonts w:ascii="Arial" w:hAnsi="Arial" w:cs="Arial"/>
          <w:i/>
          <w:sz w:val="24"/>
          <w:szCs w:val="24"/>
        </w:rPr>
        <w:t>9</w:t>
      </w:r>
      <w:r w:rsidRPr="002027D2">
        <w:rPr>
          <w:rFonts w:ascii="Arial" w:hAnsi="Arial" w:cs="Arial"/>
          <w:sz w:val="24"/>
          <w:szCs w:val="24"/>
        </w:rPr>
        <w:t>, 032001.</w:t>
      </w:r>
    </w:p>
    <w:p w14:paraId="0983457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105.</w:t>
      </w:r>
      <w:r w:rsidRPr="002027D2">
        <w:rPr>
          <w:rFonts w:ascii="Arial" w:hAnsi="Arial" w:cs="Arial"/>
          <w:sz w:val="24"/>
          <w:szCs w:val="24"/>
        </w:rPr>
        <w:tab/>
        <w:t xml:space="preserve">Sun, W., Guo, S., Hu, C., Fan, J., and Peng, X. (2016). Recent development of chemosensors based on cyanine platforms. Chemical reviews </w:t>
      </w:r>
      <w:r w:rsidRPr="002027D2">
        <w:rPr>
          <w:rFonts w:ascii="Arial" w:hAnsi="Arial" w:cs="Arial"/>
          <w:i/>
          <w:sz w:val="24"/>
          <w:szCs w:val="24"/>
        </w:rPr>
        <w:t>116</w:t>
      </w:r>
      <w:r w:rsidRPr="002027D2">
        <w:rPr>
          <w:rFonts w:ascii="Arial" w:hAnsi="Arial" w:cs="Arial"/>
          <w:sz w:val="24"/>
          <w:szCs w:val="24"/>
        </w:rPr>
        <w:t>, 7768-7817.</w:t>
      </w:r>
    </w:p>
    <w:p w14:paraId="0C0BC55D"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106.</w:t>
      </w:r>
      <w:r w:rsidRPr="002027D2">
        <w:rPr>
          <w:rFonts w:ascii="Arial" w:hAnsi="Arial" w:cs="Arial"/>
          <w:sz w:val="24"/>
          <w:szCs w:val="24"/>
        </w:rPr>
        <w:tab/>
        <w:t xml:space="preserve">Li, H., Kim, H., Xu, F., Han, J., Yao, Q., Wang, J., Pu, K., Peng, X., and Yoon, J. (2022). Activity-based NIR fluorescent probes based on the versatile hemicyanine scaffold: design strategy, biomedical applications, and outlook. Chemical Society Reviews </w:t>
      </w:r>
      <w:r w:rsidRPr="002027D2">
        <w:rPr>
          <w:rFonts w:ascii="Arial" w:hAnsi="Arial" w:cs="Arial"/>
          <w:i/>
          <w:sz w:val="24"/>
          <w:szCs w:val="24"/>
        </w:rPr>
        <w:t>51</w:t>
      </w:r>
      <w:r w:rsidRPr="002027D2">
        <w:rPr>
          <w:rFonts w:ascii="Arial" w:hAnsi="Arial" w:cs="Arial"/>
          <w:sz w:val="24"/>
          <w:szCs w:val="24"/>
        </w:rPr>
        <w:t>, 1795-1835.</w:t>
      </w:r>
    </w:p>
    <w:p w14:paraId="3A9F34F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107.</w:t>
      </w:r>
      <w:r w:rsidRPr="002027D2">
        <w:rPr>
          <w:rFonts w:ascii="Arial" w:hAnsi="Arial" w:cs="Arial"/>
          <w:sz w:val="24"/>
          <w:szCs w:val="24"/>
        </w:rPr>
        <w:tab/>
        <w:t>Zeng, Z., Liew, S.S., Wei, X., and Pu, K. (2021). Hemicyanine</w:t>
      </w:r>
      <w:r w:rsidRPr="002027D2">
        <w:rPr>
          <w:rFonts w:ascii="Cambria Math" w:hAnsi="Cambria Math" w:cs="Cambria Math"/>
          <w:sz w:val="24"/>
          <w:szCs w:val="24"/>
        </w:rPr>
        <w:t>‐</w:t>
      </w:r>
      <w:r w:rsidRPr="002027D2">
        <w:rPr>
          <w:rFonts w:ascii="Arial" w:hAnsi="Arial" w:cs="Arial"/>
          <w:sz w:val="24"/>
          <w:szCs w:val="24"/>
        </w:rPr>
        <w:t>based near</w:t>
      </w:r>
      <w:r w:rsidRPr="002027D2">
        <w:rPr>
          <w:rFonts w:ascii="Cambria Math" w:hAnsi="Cambria Math" w:cs="Cambria Math"/>
          <w:sz w:val="24"/>
          <w:szCs w:val="24"/>
        </w:rPr>
        <w:t>‐</w:t>
      </w:r>
      <w:r w:rsidRPr="002027D2">
        <w:rPr>
          <w:rFonts w:ascii="Arial" w:hAnsi="Arial" w:cs="Arial"/>
          <w:sz w:val="24"/>
          <w:szCs w:val="24"/>
        </w:rPr>
        <w:t xml:space="preserve">infrared activatable probes for imaging and diagnosis of diseases. Angewandte Chemie </w:t>
      </w:r>
      <w:r w:rsidRPr="002027D2">
        <w:rPr>
          <w:rFonts w:ascii="Arial" w:hAnsi="Arial" w:cs="Arial"/>
          <w:i/>
          <w:sz w:val="24"/>
          <w:szCs w:val="24"/>
        </w:rPr>
        <w:t>133</w:t>
      </w:r>
      <w:r w:rsidRPr="002027D2">
        <w:rPr>
          <w:rFonts w:ascii="Arial" w:hAnsi="Arial" w:cs="Arial"/>
          <w:sz w:val="24"/>
          <w:szCs w:val="24"/>
        </w:rPr>
        <w:t>, 26658-26679.</w:t>
      </w:r>
    </w:p>
    <w:p w14:paraId="08BE9ED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108.</w:t>
      </w:r>
      <w:r w:rsidRPr="002027D2">
        <w:rPr>
          <w:rFonts w:ascii="Arial" w:hAnsi="Arial" w:cs="Arial"/>
          <w:sz w:val="24"/>
          <w:szCs w:val="24"/>
        </w:rPr>
        <w:tab/>
        <w:t xml:space="preserve">Gardner, S.H., Brady, C.J., Keeton, C., Yadav, A.K., Mallojjala, S.C., Lucero, M.Y., Su, S., Yu, Z., Hirschi, J.S., and Mirica, L.M. (2021). A general approach to convert hemicyanine dyes into highly optimized photoacoustic scaffolds for analyte sensing. Angewandte Chemie International Edition </w:t>
      </w:r>
      <w:r w:rsidRPr="002027D2">
        <w:rPr>
          <w:rFonts w:ascii="Arial" w:hAnsi="Arial" w:cs="Arial"/>
          <w:i/>
          <w:sz w:val="24"/>
          <w:szCs w:val="24"/>
        </w:rPr>
        <w:t>60</w:t>
      </w:r>
      <w:r w:rsidRPr="002027D2">
        <w:rPr>
          <w:rFonts w:ascii="Arial" w:hAnsi="Arial" w:cs="Arial"/>
          <w:sz w:val="24"/>
          <w:szCs w:val="24"/>
        </w:rPr>
        <w:t>, 18860-18866.</w:t>
      </w:r>
    </w:p>
    <w:p w14:paraId="13E0C58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109.</w:t>
      </w:r>
      <w:r w:rsidRPr="002027D2">
        <w:rPr>
          <w:rFonts w:ascii="Arial" w:hAnsi="Arial" w:cs="Arial"/>
          <w:sz w:val="24"/>
          <w:szCs w:val="24"/>
        </w:rPr>
        <w:tab/>
        <w:t xml:space="preserve">Knox, H.J., and Chan, J. (2018). Acoustogenic probes: a new frontier in photoacoustic imaging. Accounts of chemical research </w:t>
      </w:r>
      <w:r w:rsidRPr="002027D2">
        <w:rPr>
          <w:rFonts w:ascii="Arial" w:hAnsi="Arial" w:cs="Arial"/>
          <w:i/>
          <w:sz w:val="24"/>
          <w:szCs w:val="24"/>
        </w:rPr>
        <w:t>51</w:t>
      </w:r>
      <w:r w:rsidRPr="002027D2">
        <w:rPr>
          <w:rFonts w:ascii="Arial" w:hAnsi="Arial" w:cs="Arial"/>
          <w:sz w:val="24"/>
          <w:szCs w:val="24"/>
        </w:rPr>
        <w:t>, 2897-2905.</w:t>
      </w:r>
    </w:p>
    <w:p w14:paraId="31056AB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110.</w:t>
      </w:r>
      <w:r w:rsidRPr="002027D2">
        <w:rPr>
          <w:rFonts w:ascii="Arial" w:hAnsi="Arial" w:cs="Arial"/>
          <w:sz w:val="24"/>
          <w:szCs w:val="24"/>
        </w:rPr>
        <w:tab/>
        <w:t xml:space="preserve">He, X., Li, L., Fang, Y., Shi, W., Li, X., and Ma, H. (2017). In vivo imaging of leucine aminopeptidase activity in drug-induced liver injury and liver cancer via a near-infrared fluorescent probe. Chemical Science </w:t>
      </w:r>
      <w:r w:rsidRPr="002027D2">
        <w:rPr>
          <w:rFonts w:ascii="Arial" w:hAnsi="Arial" w:cs="Arial"/>
          <w:i/>
          <w:sz w:val="24"/>
          <w:szCs w:val="24"/>
        </w:rPr>
        <w:t>8</w:t>
      </w:r>
      <w:r w:rsidRPr="002027D2">
        <w:rPr>
          <w:rFonts w:ascii="Arial" w:hAnsi="Arial" w:cs="Arial"/>
          <w:sz w:val="24"/>
          <w:szCs w:val="24"/>
        </w:rPr>
        <w:t>, 3479-3483.</w:t>
      </w:r>
    </w:p>
    <w:p w14:paraId="37DC80B8"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111.</w:t>
      </w:r>
      <w:r w:rsidRPr="002027D2">
        <w:rPr>
          <w:rFonts w:ascii="Arial" w:hAnsi="Arial" w:cs="Arial"/>
          <w:sz w:val="24"/>
          <w:szCs w:val="24"/>
        </w:rPr>
        <w:tab/>
        <w:t xml:space="preserve">Wang, C., Chi, W., Qiao, Q., Tan, D., Xu, Z., and Liu, X. (2021). Twisted intramolecular charge transfer (TICT) and twists beyond TICT: From mechanisms to rational designs of bright and sensitive fluorophores. Chemical Society Reviews </w:t>
      </w:r>
      <w:r w:rsidRPr="002027D2">
        <w:rPr>
          <w:rFonts w:ascii="Arial" w:hAnsi="Arial" w:cs="Arial"/>
          <w:i/>
          <w:sz w:val="24"/>
          <w:szCs w:val="24"/>
        </w:rPr>
        <w:t>50</w:t>
      </w:r>
      <w:r w:rsidRPr="002027D2">
        <w:rPr>
          <w:rFonts w:ascii="Arial" w:hAnsi="Arial" w:cs="Arial"/>
          <w:sz w:val="24"/>
          <w:szCs w:val="24"/>
        </w:rPr>
        <w:t>, 12656-12678.</w:t>
      </w:r>
    </w:p>
    <w:p w14:paraId="2142E53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112.</w:t>
      </w:r>
      <w:r w:rsidRPr="002027D2">
        <w:rPr>
          <w:rFonts w:ascii="Arial" w:hAnsi="Arial" w:cs="Arial"/>
          <w:sz w:val="24"/>
          <w:szCs w:val="24"/>
        </w:rPr>
        <w:tab/>
        <w:t xml:space="preserve">Hu, R., Lager, E., Aguilar-Aguilar, A., Liu, J., Lam, J.W., Sung, H.H., Williams, I.D., Zhong, Y., Wong, K.S., and Pena-Cabrera, E. (2009). Twisted intramolecular </w:t>
      </w:r>
      <w:r w:rsidRPr="002027D2">
        <w:rPr>
          <w:rFonts w:ascii="Arial" w:hAnsi="Arial" w:cs="Arial"/>
          <w:sz w:val="24"/>
          <w:szCs w:val="24"/>
        </w:rPr>
        <w:lastRenderedPageBreak/>
        <w:t xml:space="preserve">charge transfer and aggregation-induced emission of BODIPY derivatives. The Journal of Physical Chemistry C </w:t>
      </w:r>
      <w:r w:rsidRPr="002027D2">
        <w:rPr>
          <w:rFonts w:ascii="Arial" w:hAnsi="Arial" w:cs="Arial"/>
          <w:i/>
          <w:sz w:val="24"/>
          <w:szCs w:val="24"/>
        </w:rPr>
        <w:t>113</w:t>
      </w:r>
      <w:r w:rsidRPr="002027D2">
        <w:rPr>
          <w:rFonts w:ascii="Arial" w:hAnsi="Arial" w:cs="Arial"/>
          <w:sz w:val="24"/>
          <w:szCs w:val="24"/>
        </w:rPr>
        <w:t>, 15845-15853.</w:t>
      </w:r>
    </w:p>
    <w:p w14:paraId="1E5F542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113.</w:t>
      </w:r>
      <w:r w:rsidRPr="002027D2">
        <w:rPr>
          <w:rFonts w:ascii="Arial" w:hAnsi="Arial" w:cs="Arial"/>
          <w:sz w:val="24"/>
          <w:szCs w:val="24"/>
        </w:rPr>
        <w:tab/>
        <w:t xml:space="preserve">Tanaka, H., Shizu, K., Nakanotani, H., and Adachi, C. (2013). Twisted intramolecular charge transfer state for long-wavelength thermally activated delayed fluorescence. Chemistry of Materials </w:t>
      </w:r>
      <w:r w:rsidRPr="002027D2">
        <w:rPr>
          <w:rFonts w:ascii="Arial" w:hAnsi="Arial" w:cs="Arial"/>
          <w:i/>
          <w:sz w:val="24"/>
          <w:szCs w:val="24"/>
        </w:rPr>
        <w:t>25</w:t>
      </w:r>
      <w:r w:rsidRPr="002027D2">
        <w:rPr>
          <w:rFonts w:ascii="Arial" w:hAnsi="Arial" w:cs="Arial"/>
          <w:sz w:val="24"/>
          <w:szCs w:val="24"/>
        </w:rPr>
        <w:t>, 3766-3771.</w:t>
      </w:r>
    </w:p>
    <w:p w14:paraId="4A2D3836"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114.</w:t>
      </w:r>
      <w:r w:rsidRPr="002027D2">
        <w:rPr>
          <w:rFonts w:ascii="Arial" w:hAnsi="Arial" w:cs="Arial"/>
          <w:sz w:val="24"/>
          <w:szCs w:val="24"/>
        </w:rPr>
        <w:tab/>
        <w:t xml:space="preserve">Chen, C., and Fang, C. (2023). Fluorescence Modulation by Amines: Mechanistic Insights into Twisted Intramolecular Charge Transfer (TICT) and Beyond. Chemosensors </w:t>
      </w:r>
      <w:r w:rsidRPr="002027D2">
        <w:rPr>
          <w:rFonts w:ascii="Arial" w:hAnsi="Arial" w:cs="Arial"/>
          <w:i/>
          <w:sz w:val="24"/>
          <w:szCs w:val="24"/>
        </w:rPr>
        <w:t>11</w:t>
      </w:r>
      <w:r w:rsidRPr="002027D2">
        <w:rPr>
          <w:rFonts w:ascii="Arial" w:hAnsi="Arial" w:cs="Arial"/>
          <w:sz w:val="24"/>
          <w:szCs w:val="24"/>
        </w:rPr>
        <w:t>, 87.</w:t>
      </w:r>
    </w:p>
    <w:p w14:paraId="43D23EB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115.</w:t>
      </w:r>
      <w:r w:rsidRPr="002027D2">
        <w:rPr>
          <w:rFonts w:ascii="Arial" w:hAnsi="Arial" w:cs="Arial"/>
          <w:sz w:val="24"/>
          <w:szCs w:val="24"/>
        </w:rPr>
        <w:tab/>
        <w:t xml:space="preserve">Sasaki, S., Drummen, G.P., and Konishi, G.-i. (2016). Recent advances in twisted intramolecular charge transfer (TICT) fluorescence and related phenomena in materials chemistry. Journal of Materials Chemistry C </w:t>
      </w:r>
      <w:r w:rsidRPr="002027D2">
        <w:rPr>
          <w:rFonts w:ascii="Arial" w:hAnsi="Arial" w:cs="Arial"/>
          <w:i/>
          <w:sz w:val="24"/>
          <w:szCs w:val="24"/>
        </w:rPr>
        <w:t>4</w:t>
      </w:r>
      <w:r w:rsidRPr="002027D2">
        <w:rPr>
          <w:rFonts w:ascii="Arial" w:hAnsi="Arial" w:cs="Arial"/>
          <w:sz w:val="24"/>
          <w:szCs w:val="24"/>
        </w:rPr>
        <w:t>, 2731-2743.</w:t>
      </w:r>
    </w:p>
    <w:p w14:paraId="73BDD1A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116.</w:t>
      </w:r>
      <w:r w:rsidRPr="002027D2">
        <w:rPr>
          <w:rFonts w:ascii="Arial" w:hAnsi="Arial" w:cs="Arial"/>
          <w:sz w:val="24"/>
          <w:szCs w:val="24"/>
        </w:rPr>
        <w:tab/>
        <w:t xml:space="preserve">Owens, E.A., Hyun, H., Tawney, J.G., Choi, H.S., and Henary, M.J.J.o.m.c. (2015). Correlating molecular character of NIR imaging agents with tissue-specific uptake. </w:t>
      </w:r>
      <w:r w:rsidRPr="002027D2">
        <w:rPr>
          <w:rFonts w:ascii="Arial" w:hAnsi="Arial" w:cs="Arial"/>
          <w:i/>
          <w:sz w:val="24"/>
          <w:szCs w:val="24"/>
        </w:rPr>
        <w:t>58</w:t>
      </w:r>
      <w:r w:rsidRPr="002027D2">
        <w:rPr>
          <w:rFonts w:ascii="Arial" w:hAnsi="Arial" w:cs="Arial"/>
          <w:sz w:val="24"/>
          <w:szCs w:val="24"/>
        </w:rPr>
        <w:t>, 4348-4356.</w:t>
      </w:r>
    </w:p>
    <w:p w14:paraId="5421745F"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117.</w:t>
      </w:r>
      <w:r w:rsidRPr="002027D2">
        <w:rPr>
          <w:rFonts w:ascii="Arial" w:hAnsi="Arial" w:cs="Arial"/>
          <w:sz w:val="24"/>
          <w:szCs w:val="24"/>
        </w:rPr>
        <w:tab/>
        <w:t xml:space="preserve">Yuan, L., Lin, W., Zhao, S., Gao, W., Chen, B., He, L., and Zhu, S. (2012). A unique approach to development of near-infrared fluorescent sensors for in vivo imaging. Journal of the American Chemical Society </w:t>
      </w:r>
      <w:r w:rsidRPr="002027D2">
        <w:rPr>
          <w:rFonts w:ascii="Arial" w:hAnsi="Arial" w:cs="Arial"/>
          <w:i/>
          <w:sz w:val="24"/>
          <w:szCs w:val="24"/>
        </w:rPr>
        <w:t>134</w:t>
      </w:r>
      <w:r w:rsidRPr="002027D2">
        <w:rPr>
          <w:rFonts w:ascii="Arial" w:hAnsi="Arial" w:cs="Arial"/>
          <w:sz w:val="24"/>
          <w:szCs w:val="24"/>
        </w:rPr>
        <w:t>, 13510-13523.</w:t>
      </w:r>
    </w:p>
    <w:p w14:paraId="227A460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118.</w:t>
      </w:r>
      <w:r w:rsidRPr="002027D2">
        <w:rPr>
          <w:rFonts w:ascii="Arial" w:hAnsi="Arial" w:cs="Arial"/>
          <w:sz w:val="24"/>
          <w:szCs w:val="24"/>
        </w:rPr>
        <w:tab/>
        <w:t xml:space="preserve">Levitz, A., Marmarchi, F., and Henary, M. (2018). Introduction of various substitutions to the methine bridge of heptamethine cyanine dyes Via substituted dianil linkers. Photochemical &amp; Photobiological Sciences </w:t>
      </w:r>
      <w:r w:rsidRPr="002027D2">
        <w:rPr>
          <w:rFonts w:ascii="Arial" w:hAnsi="Arial" w:cs="Arial"/>
          <w:i/>
          <w:sz w:val="24"/>
          <w:szCs w:val="24"/>
        </w:rPr>
        <w:t>17</w:t>
      </w:r>
      <w:r w:rsidRPr="002027D2">
        <w:rPr>
          <w:rFonts w:ascii="Arial" w:hAnsi="Arial" w:cs="Arial"/>
          <w:sz w:val="24"/>
          <w:szCs w:val="24"/>
        </w:rPr>
        <w:t>, 1409-1416.</w:t>
      </w:r>
    </w:p>
    <w:p w14:paraId="47DDCC3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119.</w:t>
      </w:r>
      <w:r w:rsidRPr="002027D2">
        <w:rPr>
          <w:rFonts w:ascii="Arial" w:hAnsi="Arial" w:cs="Arial"/>
          <w:sz w:val="24"/>
          <w:szCs w:val="24"/>
        </w:rPr>
        <w:tab/>
        <w:t xml:space="preserve">Hecht, M., and Wurthner, F. (2020). Supramolecularly engineered J-aggregates based on perylene bisimide dyes. Accounts of Chemical Research </w:t>
      </w:r>
      <w:r w:rsidRPr="002027D2">
        <w:rPr>
          <w:rFonts w:ascii="Arial" w:hAnsi="Arial" w:cs="Arial"/>
          <w:i/>
          <w:sz w:val="24"/>
          <w:szCs w:val="24"/>
        </w:rPr>
        <w:t>54</w:t>
      </w:r>
      <w:r w:rsidRPr="002027D2">
        <w:rPr>
          <w:rFonts w:ascii="Arial" w:hAnsi="Arial" w:cs="Arial"/>
          <w:sz w:val="24"/>
          <w:szCs w:val="24"/>
        </w:rPr>
        <w:t>, 642-653.</w:t>
      </w:r>
    </w:p>
    <w:p w14:paraId="22EF567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120.</w:t>
      </w:r>
      <w:r w:rsidRPr="002027D2">
        <w:rPr>
          <w:rFonts w:ascii="Arial" w:hAnsi="Arial" w:cs="Arial"/>
          <w:sz w:val="24"/>
          <w:szCs w:val="24"/>
        </w:rPr>
        <w:tab/>
        <w:t xml:space="preserve">Pelaz, B., Alexiou, C., Alvarez-Puebla, R.A., Alves, F., Andrews, A.M., Ashraf, S., Balogh, L.P., Ballerini, L., Bestetti, A., and Brendel, C. (2017). Diverse applications of nanomedicine. ACS nano </w:t>
      </w:r>
      <w:r w:rsidRPr="002027D2">
        <w:rPr>
          <w:rFonts w:ascii="Arial" w:hAnsi="Arial" w:cs="Arial"/>
          <w:i/>
          <w:sz w:val="24"/>
          <w:szCs w:val="24"/>
        </w:rPr>
        <w:t>11</w:t>
      </w:r>
      <w:r w:rsidRPr="002027D2">
        <w:rPr>
          <w:rFonts w:ascii="Arial" w:hAnsi="Arial" w:cs="Arial"/>
          <w:sz w:val="24"/>
          <w:szCs w:val="24"/>
        </w:rPr>
        <w:t>, 2313-2381.</w:t>
      </w:r>
    </w:p>
    <w:p w14:paraId="52D58EFD"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121.</w:t>
      </w:r>
      <w:r w:rsidRPr="002027D2">
        <w:rPr>
          <w:rFonts w:ascii="Arial" w:hAnsi="Arial" w:cs="Arial"/>
          <w:sz w:val="24"/>
          <w:szCs w:val="24"/>
        </w:rPr>
        <w:tab/>
        <w:t>Manzano, M., and Vallet</w:t>
      </w:r>
      <w:r w:rsidRPr="002027D2">
        <w:rPr>
          <w:rFonts w:ascii="Cambria Math" w:hAnsi="Cambria Math" w:cs="Cambria Math"/>
          <w:sz w:val="24"/>
          <w:szCs w:val="24"/>
        </w:rPr>
        <w:t>‐</w:t>
      </w:r>
      <w:r w:rsidRPr="002027D2">
        <w:rPr>
          <w:rFonts w:ascii="Arial" w:hAnsi="Arial" w:cs="Arial"/>
          <w:sz w:val="24"/>
          <w:szCs w:val="24"/>
        </w:rPr>
        <w:t xml:space="preserve">Regí, M. (2020). Mesoporous silica nanoparticles for drug delivery. Advanced Functional Materials </w:t>
      </w:r>
      <w:r w:rsidRPr="002027D2">
        <w:rPr>
          <w:rFonts w:ascii="Arial" w:hAnsi="Arial" w:cs="Arial"/>
          <w:i/>
          <w:sz w:val="24"/>
          <w:szCs w:val="24"/>
        </w:rPr>
        <w:t>30</w:t>
      </w:r>
      <w:r w:rsidRPr="002027D2">
        <w:rPr>
          <w:rFonts w:ascii="Arial" w:hAnsi="Arial" w:cs="Arial"/>
          <w:sz w:val="24"/>
          <w:szCs w:val="24"/>
        </w:rPr>
        <w:t>, 1902634.</w:t>
      </w:r>
    </w:p>
    <w:p w14:paraId="65DB65B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122.</w:t>
      </w:r>
      <w:r w:rsidRPr="002027D2">
        <w:rPr>
          <w:rFonts w:ascii="Arial" w:hAnsi="Arial" w:cs="Arial"/>
          <w:sz w:val="24"/>
          <w:szCs w:val="24"/>
        </w:rPr>
        <w:tab/>
        <w:t xml:space="preserve">Jeelani, P.G., Mulay, P., Venkat, R., and Ramalingam, C. (2020). Multifaceted application of silica nanoparticles. A review. Silicon </w:t>
      </w:r>
      <w:r w:rsidRPr="002027D2">
        <w:rPr>
          <w:rFonts w:ascii="Arial" w:hAnsi="Arial" w:cs="Arial"/>
          <w:i/>
          <w:sz w:val="24"/>
          <w:szCs w:val="24"/>
        </w:rPr>
        <w:t>12</w:t>
      </w:r>
      <w:r w:rsidRPr="002027D2">
        <w:rPr>
          <w:rFonts w:ascii="Arial" w:hAnsi="Arial" w:cs="Arial"/>
          <w:sz w:val="24"/>
          <w:szCs w:val="24"/>
        </w:rPr>
        <w:t>, 1337-1354.</w:t>
      </w:r>
    </w:p>
    <w:p w14:paraId="2CDAD7B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123.</w:t>
      </w:r>
      <w:r w:rsidRPr="002027D2">
        <w:rPr>
          <w:rFonts w:ascii="Arial" w:hAnsi="Arial" w:cs="Arial"/>
          <w:sz w:val="24"/>
          <w:szCs w:val="24"/>
        </w:rPr>
        <w:tab/>
        <w:t>Carniato, F., Tei, L., and Botta, M. (2018). Gd</w:t>
      </w:r>
      <w:r w:rsidRPr="002027D2">
        <w:rPr>
          <w:rFonts w:ascii="Cambria Math" w:hAnsi="Cambria Math" w:cs="Cambria Math"/>
          <w:sz w:val="24"/>
          <w:szCs w:val="24"/>
        </w:rPr>
        <w:t>‐</w:t>
      </w:r>
      <w:r w:rsidRPr="002027D2">
        <w:rPr>
          <w:rFonts w:ascii="Arial" w:hAnsi="Arial" w:cs="Arial"/>
          <w:sz w:val="24"/>
          <w:szCs w:val="24"/>
        </w:rPr>
        <w:t xml:space="preserve">Based Mesoporous Silica Nanoparticles as MRI Probes. European Journal of Inorganic Chemistry </w:t>
      </w:r>
      <w:r w:rsidRPr="002027D2">
        <w:rPr>
          <w:rFonts w:ascii="Arial" w:hAnsi="Arial" w:cs="Arial"/>
          <w:i/>
          <w:sz w:val="24"/>
          <w:szCs w:val="24"/>
        </w:rPr>
        <w:t>2018</w:t>
      </w:r>
      <w:r w:rsidRPr="002027D2">
        <w:rPr>
          <w:rFonts w:ascii="Arial" w:hAnsi="Arial" w:cs="Arial"/>
          <w:sz w:val="24"/>
          <w:szCs w:val="24"/>
        </w:rPr>
        <w:t>, 4936-4954.</w:t>
      </w:r>
    </w:p>
    <w:p w14:paraId="6292F32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124.</w:t>
      </w:r>
      <w:r w:rsidRPr="002027D2">
        <w:rPr>
          <w:rFonts w:ascii="Arial" w:hAnsi="Arial" w:cs="Arial"/>
          <w:sz w:val="24"/>
          <w:szCs w:val="24"/>
        </w:rPr>
        <w:tab/>
        <w:t xml:space="preserve">Nakamura, T., Sugihara, F., Matsushita, H., Yoshioka, Y., Mizukami, S., and Kikuchi, K. (2015). Mesoporous silica nanoparticles for 19 F magnetic resonance imaging, fluorescence imaging, and drug delivery. Chemical science </w:t>
      </w:r>
      <w:r w:rsidRPr="002027D2">
        <w:rPr>
          <w:rFonts w:ascii="Arial" w:hAnsi="Arial" w:cs="Arial"/>
          <w:i/>
          <w:sz w:val="24"/>
          <w:szCs w:val="24"/>
        </w:rPr>
        <w:t>6</w:t>
      </w:r>
      <w:r w:rsidRPr="002027D2">
        <w:rPr>
          <w:rFonts w:ascii="Arial" w:hAnsi="Arial" w:cs="Arial"/>
          <w:sz w:val="24"/>
          <w:szCs w:val="24"/>
        </w:rPr>
        <w:t>, 1986-1990.</w:t>
      </w:r>
    </w:p>
    <w:p w14:paraId="3A861CC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125.</w:t>
      </w:r>
      <w:r w:rsidRPr="002027D2">
        <w:rPr>
          <w:rFonts w:ascii="Arial" w:hAnsi="Arial" w:cs="Arial"/>
          <w:sz w:val="24"/>
          <w:szCs w:val="24"/>
        </w:rPr>
        <w:tab/>
        <w:t xml:space="preserve">Gurka, M.K., Pender, D., Chuong, P., Fouts, B.L., Sobelov, A., McNally, M.W., Mezera, M., Woo, S.Y., and McNally, L.R. (2016). Identification of pancreatic tumors in vivo with ligand-targeted, pH responsive mesoporous silica nanoparticles by multispectral optoacoustic tomography. Journal of controlled release </w:t>
      </w:r>
      <w:r w:rsidRPr="002027D2">
        <w:rPr>
          <w:rFonts w:ascii="Arial" w:hAnsi="Arial" w:cs="Arial"/>
          <w:i/>
          <w:sz w:val="24"/>
          <w:szCs w:val="24"/>
        </w:rPr>
        <w:t>231</w:t>
      </w:r>
      <w:r w:rsidRPr="002027D2">
        <w:rPr>
          <w:rFonts w:ascii="Arial" w:hAnsi="Arial" w:cs="Arial"/>
          <w:sz w:val="24"/>
          <w:szCs w:val="24"/>
        </w:rPr>
        <w:t>, 60-67.</w:t>
      </w:r>
    </w:p>
    <w:p w14:paraId="460B6F7D"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126.</w:t>
      </w:r>
      <w:r w:rsidRPr="002027D2">
        <w:rPr>
          <w:rFonts w:ascii="Arial" w:hAnsi="Arial" w:cs="Arial"/>
          <w:sz w:val="24"/>
          <w:szCs w:val="24"/>
        </w:rPr>
        <w:tab/>
        <w:t xml:space="preserve">Khanal, A., Ullum, C., Kimbrough, C.W., Garbett, N.C., Burlison, J.A., McNally, M.W., Chuong, P., El-Baz, A.S., Jasinski, J.B., and McNally, L.R. (2015). Tumor targeted mesoporous silica-coated gold nanorods facilitate detection of pancreatic tumors using Multispectral optoacoustic tomography. Nano Research </w:t>
      </w:r>
      <w:r w:rsidRPr="002027D2">
        <w:rPr>
          <w:rFonts w:ascii="Arial" w:hAnsi="Arial" w:cs="Arial"/>
          <w:i/>
          <w:sz w:val="24"/>
          <w:szCs w:val="24"/>
        </w:rPr>
        <w:t>8</w:t>
      </w:r>
      <w:r w:rsidRPr="002027D2">
        <w:rPr>
          <w:rFonts w:ascii="Arial" w:hAnsi="Arial" w:cs="Arial"/>
          <w:sz w:val="24"/>
          <w:szCs w:val="24"/>
        </w:rPr>
        <w:t>, 3864-3877.</w:t>
      </w:r>
    </w:p>
    <w:p w14:paraId="3FC0DCC9"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lastRenderedPageBreak/>
        <w:t>127.</w:t>
      </w:r>
      <w:r w:rsidRPr="002027D2">
        <w:rPr>
          <w:rFonts w:ascii="Arial" w:hAnsi="Arial" w:cs="Arial"/>
          <w:sz w:val="24"/>
          <w:szCs w:val="24"/>
        </w:rPr>
        <w:tab/>
        <w:t xml:space="preserve">Samykutty, A., Grizzle, W.E., Fouts, B.L., McNally, M.W., Chuong, P., Thomas, A., Chiba, A., Otali, D., Woloszynska, A., Said, N., et al. (2018). Optoacoustic imaging identifies ovarian cancer using a microenvironment targeted theranostic wormhole mesoporous silica nanoparticle. Biomaterials </w:t>
      </w:r>
      <w:r w:rsidRPr="002027D2">
        <w:rPr>
          <w:rFonts w:ascii="Arial" w:hAnsi="Arial" w:cs="Arial"/>
          <w:i/>
          <w:sz w:val="24"/>
          <w:szCs w:val="24"/>
        </w:rPr>
        <w:t>182</w:t>
      </w:r>
      <w:r w:rsidRPr="002027D2">
        <w:rPr>
          <w:rFonts w:ascii="Arial" w:hAnsi="Arial" w:cs="Arial"/>
          <w:sz w:val="24"/>
          <w:szCs w:val="24"/>
        </w:rPr>
        <w:t>, 114-126.</w:t>
      </w:r>
    </w:p>
    <w:p w14:paraId="64E2E4B5"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128.</w:t>
      </w:r>
      <w:r w:rsidRPr="002027D2">
        <w:rPr>
          <w:rFonts w:ascii="Arial" w:hAnsi="Arial" w:cs="Arial"/>
          <w:sz w:val="24"/>
          <w:szCs w:val="24"/>
        </w:rPr>
        <w:tab/>
        <w:t xml:space="preserve">Rimal, B., Greenberg, A.K., and Rom, W.N. (2005). Basic pathogenetic mechanisms in silicosis: current understanding. Current opinion in pulmonary medicine </w:t>
      </w:r>
      <w:r w:rsidRPr="002027D2">
        <w:rPr>
          <w:rFonts w:ascii="Arial" w:hAnsi="Arial" w:cs="Arial"/>
          <w:i/>
          <w:sz w:val="24"/>
          <w:szCs w:val="24"/>
        </w:rPr>
        <w:t>11</w:t>
      </w:r>
      <w:r w:rsidRPr="002027D2">
        <w:rPr>
          <w:rFonts w:ascii="Arial" w:hAnsi="Arial" w:cs="Arial"/>
          <w:sz w:val="24"/>
          <w:szCs w:val="24"/>
        </w:rPr>
        <w:t>, 169-173.</w:t>
      </w:r>
    </w:p>
    <w:p w14:paraId="6F6CDDD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129.</w:t>
      </w:r>
      <w:r w:rsidRPr="002027D2">
        <w:rPr>
          <w:rFonts w:ascii="Arial" w:hAnsi="Arial" w:cs="Arial"/>
          <w:sz w:val="24"/>
          <w:szCs w:val="24"/>
        </w:rPr>
        <w:tab/>
        <w:t xml:space="preserve">Mahmoud, A.M., Desouky, E.M., Hozayen, W.G., Bin-Jumah, M., El-Nahass, E.-S., Soliman, H.A., and Farghali, A.A. (2019). Mesoporous Silica Nanoparticles Trigger Liver and Kidney Injury and Fibrosis Via Altering TLR4/NF-κB, JAK2/STAT3 and Nrf2/HO-1 Signaling in Rats. Biomolecules </w:t>
      </w:r>
      <w:r w:rsidRPr="002027D2">
        <w:rPr>
          <w:rFonts w:ascii="Arial" w:hAnsi="Arial" w:cs="Arial"/>
          <w:i/>
          <w:sz w:val="24"/>
          <w:szCs w:val="24"/>
        </w:rPr>
        <w:t>9</w:t>
      </w:r>
      <w:r w:rsidRPr="002027D2">
        <w:rPr>
          <w:rFonts w:ascii="Arial" w:hAnsi="Arial" w:cs="Arial"/>
          <w:sz w:val="24"/>
          <w:szCs w:val="24"/>
        </w:rPr>
        <w:t>, 528.</w:t>
      </w:r>
    </w:p>
    <w:p w14:paraId="3E87D5D4"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130.</w:t>
      </w:r>
      <w:r w:rsidRPr="002027D2">
        <w:rPr>
          <w:rFonts w:ascii="Arial" w:hAnsi="Arial" w:cs="Arial"/>
          <w:sz w:val="24"/>
          <w:szCs w:val="24"/>
        </w:rPr>
        <w:tab/>
        <w:t xml:space="preserve">Yu, Y., Li, Y., Wang, W., Jin, M., Du, Z., Li, Y., Duan, J., Yu, Y., and Sun, Z. (2013). Acute toxicity of amorphous silica nanoparticles in intravenously exposed ICR mice. PloS one </w:t>
      </w:r>
      <w:r w:rsidRPr="002027D2">
        <w:rPr>
          <w:rFonts w:ascii="Arial" w:hAnsi="Arial" w:cs="Arial"/>
          <w:i/>
          <w:sz w:val="24"/>
          <w:szCs w:val="24"/>
        </w:rPr>
        <w:t>8</w:t>
      </w:r>
      <w:r w:rsidRPr="002027D2">
        <w:rPr>
          <w:rFonts w:ascii="Arial" w:hAnsi="Arial" w:cs="Arial"/>
          <w:sz w:val="24"/>
          <w:szCs w:val="24"/>
        </w:rPr>
        <w:t>, e61346.</w:t>
      </w:r>
    </w:p>
    <w:p w14:paraId="7C22F39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131.</w:t>
      </w:r>
      <w:r w:rsidRPr="002027D2">
        <w:rPr>
          <w:rFonts w:ascii="Arial" w:hAnsi="Arial" w:cs="Arial"/>
          <w:sz w:val="24"/>
          <w:szCs w:val="24"/>
        </w:rPr>
        <w:tab/>
        <w:t xml:space="preserve">Waegeneers, N., Brasseur, A., Van Doren, E., Van der Heyden, S., Serreyn, P.-J., Pussemier, L., Mast, J., Schneider, Y.-J., Ruttens, A., and Roels, S. (2018). Short-term biodistribution and clearance of intravenously administered silica nanoparticles. Toxicology reports </w:t>
      </w:r>
      <w:r w:rsidRPr="002027D2">
        <w:rPr>
          <w:rFonts w:ascii="Arial" w:hAnsi="Arial" w:cs="Arial"/>
          <w:i/>
          <w:sz w:val="24"/>
          <w:szCs w:val="24"/>
        </w:rPr>
        <w:t>5</w:t>
      </w:r>
      <w:r w:rsidRPr="002027D2">
        <w:rPr>
          <w:rFonts w:ascii="Arial" w:hAnsi="Arial" w:cs="Arial"/>
          <w:sz w:val="24"/>
          <w:szCs w:val="24"/>
        </w:rPr>
        <w:t>, 632-638.</w:t>
      </w:r>
    </w:p>
    <w:p w14:paraId="63E6DB7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132.</w:t>
      </w:r>
      <w:r w:rsidRPr="002027D2">
        <w:rPr>
          <w:rFonts w:ascii="Arial" w:hAnsi="Arial" w:cs="Arial"/>
          <w:sz w:val="24"/>
          <w:szCs w:val="24"/>
        </w:rPr>
        <w:tab/>
        <w:t xml:space="preserve">Tarn, D., Ashley, C.E., Xue, M., Carnes, E.C., Zink, J.I., and Brinker, C.J. (2013). Mesoporous silica nanoparticle nanocarriers: biofunctionality and biocompatibility. Accounts of chemical research </w:t>
      </w:r>
      <w:r w:rsidRPr="002027D2">
        <w:rPr>
          <w:rFonts w:ascii="Arial" w:hAnsi="Arial" w:cs="Arial"/>
          <w:i/>
          <w:sz w:val="24"/>
          <w:szCs w:val="24"/>
        </w:rPr>
        <w:t>46</w:t>
      </w:r>
      <w:r w:rsidRPr="002027D2">
        <w:rPr>
          <w:rFonts w:ascii="Arial" w:hAnsi="Arial" w:cs="Arial"/>
          <w:sz w:val="24"/>
          <w:szCs w:val="24"/>
        </w:rPr>
        <w:t>, 792-801.</w:t>
      </w:r>
    </w:p>
    <w:p w14:paraId="2A7D48E8"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133.</w:t>
      </w:r>
      <w:r w:rsidRPr="002027D2">
        <w:rPr>
          <w:rFonts w:ascii="Arial" w:hAnsi="Arial" w:cs="Arial"/>
          <w:sz w:val="24"/>
          <w:szCs w:val="24"/>
        </w:rPr>
        <w:tab/>
        <w:t xml:space="preserve">Li, X., Xie, C., Xia, H., and Wang, Z. (2018). pH and ultrasound dual-responsive polydopamine-coated mesoporous silica nanoparticles for controlled drug delivery. Langmuir </w:t>
      </w:r>
      <w:r w:rsidRPr="002027D2">
        <w:rPr>
          <w:rFonts w:ascii="Arial" w:hAnsi="Arial" w:cs="Arial"/>
          <w:i/>
          <w:sz w:val="24"/>
          <w:szCs w:val="24"/>
        </w:rPr>
        <w:t>34</w:t>
      </w:r>
      <w:r w:rsidRPr="002027D2">
        <w:rPr>
          <w:rFonts w:ascii="Arial" w:hAnsi="Arial" w:cs="Arial"/>
          <w:sz w:val="24"/>
          <w:szCs w:val="24"/>
        </w:rPr>
        <w:t>, 9974-9981.</w:t>
      </w:r>
    </w:p>
    <w:p w14:paraId="2362B15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134.</w:t>
      </w:r>
      <w:r w:rsidRPr="002027D2">
        <w:rPr>
          <w:rFonts w:ascii="Arial" w:hAnsi="Arial" w:cs="Arial"/>
          <w:sz w:val="24"/>
          <w:szCs w:val="24"/>
        </w:rPr>
        <w:tab/>
        <w:t xml:space="preserve">Li, Z., Zhang, Y., and Feng, N. (2019). Mesoporous silica nanoparticles: Synthesis, classification, drug loading, pharmacokinetics, biocompatibility, and application in drug delivery. Expert opinion on drug delivery </w:t>
      </w:r>
      <w:r w:rsidRPr="002027D2">
        <w:rPr>
          <w:rFonts w:ascii="Arial" w:hAnsi="Arial" w:cs="Arial"/>
          <w:i/>
          <w:sz w:val="24"/>
          <w:szCs w:val="24"/>
        </w:rPr>
        <w:t>16</w:t>
      </w:r>
      <w:r w:rsidRPr="002027D2">
        <w:rPr>
          <w:rFonts w:ascii="Arial" w:hAnsi="Arial" w:cs="Arial"/>
          <w:sz w:val="24"/>
          <w:szCs w:val="24"/>
        </w:rPr>
        <w:t>, 219-237.</w:t>
      </w:r>
    </w:p>
    <w:p w14:paraId="1C3B28C2"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135.</w:t>
      </w:r>
      <w:r w:rsidRPr="002027D2">
        <w:rPr>
          <w:rFonts w:ascii="Arial" w:hAnsi="Arial" w:cs="Arial"/>
          <w:sz w:val="24"/>
          <w:szCs w:val="24"/>
        </w:rPr>
        <w:tab/>
        <w:t xml:space="preserve">Tian, Z., Yu, X., Ruan, Z., Zhu, M., Zhu, Y., and Hanagata, N. (2018). Magnetic mesoporous silica nanoparticles coated with thermo-responsive copolymer for potential chemo-and magnetic hyperthermia therapy. Microporous and Mesoporous Materials </w:t>
      </w:r>
      <w:r w:rsidRPr="002027D2">
        <w:rPr>
          <w:rFonts w:ascii="Arial" w:hAnsi="Arial" w:cs="Arial"/>
          <w:i/>
          <w:sz w:val="24"/>
          <w:szCs w:val="24"/>
        </w:rPr>
        <w:t>256</w:t>
      </w:r>
      <w:r w:rsidRPr="002027D2">
        <w:rPr>
          <w:rFonts w:ascii="Arial" w:hAnsi="Arial" w:cs="Arial"/>
          <w:sz w:val="24"/>
          <w:szCs w:val="24"/>
        </w:rPr>
        <w:t>, 1-9.</w:t>
      </w:r>
    </w:p>
    <w:p w14:paraId="24976A8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136.</w:t>
      </w:r>
      <w:r w:rsidRPr="002027D2">
        <w:rPr>
          <w:rFonts w:ascii="Arial" w:hAnsi="Arial" w:cs="Arial"/>
          <w:sz w:val="24"/>
          <w:szCs w:val="24"/>
        </w:rPr>
        <w:tab/>
        <w:t xml:space="preserve">Amoozgar, Z., and Yeo, Y. (2012). Recent advances in stealth coating of nanoparticle drug delivery systems. Wiley Interdisciplinary Reviews: Nanomedicine and Nanobiotechnology </w:t>
      </w:r>
      <w:r w:rsidRPr="002027D2">
        <w:rPr>
          <w:rFonts w:ascii="Arial" w:hAnsi="Arial" w:cs="Arial"/>
          <w:i/>
          <w:sz w:val="24"/>
          <w:szCs w:val="24"/>
        </w:rPr>
        <w:t>4</w:t>
      </w:r>
      <w:r w:rsidRPr="002027D2">
        <w:rPr>
          <w:rFonts w:ascii="Arial" w:hAnsi="Arial" w:cs="Arial"/>
          <w:sz w:val="24"/>
          <w:szCs w:val="24"/>
        </w:rPr>
        <w:t>, 219-233.</w:t>
      </w:r>
    </w:p>
    <w:p w14:paraId="5FDD8A0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137.</w:t>
      </w:r>
      <w:r w:rsidRPr="002027D2">
        <w:rPr>
          <w:rFonts w:ascii="Arial" w:hAnsi="Arial" w:cs="Arial"/>
          <w:sz w:val="24"/>
          <w:szCs w:val="24"/>
        </w:rPr>
        <w:tab/>
        <w:t xml:space="preserve">He, X., Nie, H., Wang, K., Tan, W., Wu, X., and Zhang, P. (2008). In vivo study of biodistribution and urinary excretion of surface-modified silica nanoparticles. Analytical chemistry </w:t>
      </w:r>
      <w:r w:rsidRPr="002027D2">
        <w:rPr>
          <w:rFonts w:ascii="Arial" w:hAnsi="Arial" w:cs="Arial"/>
          <w:i/>
          <w:sz w:val="24"/>
          <w:szCs w:val="24"/>
        </w:rPr>
        <w:t>80</w:t>
      </w:r>
      <w:r w:rsidRPr="002027D2">
        <w:rPr>
          <w:rFonts w:ascii="Arial" w:hAnsi="Arial" w:cs="Arial"/>
          <w:sz w:val="24"/>
          <w:szCs w:val="24"/>
        </w:rPr>
        <w:t>, 9597-9603.</w:t>
      </w:r>
    </w:p>
    <w:p w14:paraId="51057DC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138.</w:t>
      </w:r>
      <w:r w:rsidRPr="002027D2">
        <w:rPr>
          <w:rFonts w:ascii="Arial" w:hAnsi="Arial" w:cs="Arial"/>
          <w:sz w:val="24"/>
          <w:szCs w:val="24"/>
        </w:rPr>
        <w:tab/>
        <w:t xml:space="preserve">Cui, J., Björnmalm, M., Ju, Y., and Caruso, F. (2018). Nanoengineering of poly (ethylene glycol) particles for stealth and targeting. Langmuir </w:t>
      </w:r>
      <w:r w:rsidRPr="002027D2">
        <w:rPr>
          <w:rFonts w:ascii="Arial" w:hAnsi="Arial" w:cs="Arial"/>
          <w:i/>
          <w:sz w:val="24"/>
          <w:szCs w:val="24"/>
        </w:rPr>
        <w:t>34</w:t>
      </w:r>
      <w:r w:rsidRPr="002027D2">
        <w:rPr>
          <w:rFonts w:ascii="Arial" w:hAnsi="Arial" w:cs="Arial"/>
          <w:sz w:val="24"/>
          <w:szCs w:val="24"/>
        </w:rPr>
        <w:t>, 10817-10827.</w:t>
      </w:r>
    </w:p>
    <w:p w14:paraId="5AB7BE9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139.</w:t>
      </w:r>
      <w:r w:rsidRPr="002027D2">
        <w:rPr>
          <w:rFonts w:ascii="Arial" w:hAnsi="Arial" w:cs="Arial"/>
          <w:sz w:val="24"/>
          <w:szCs w:val="24"/>
        </w:rPr>
        <w:tab/>
        <w:t>Dai, Q., Bertleff</w:t>
      </w:r>
      <w:r w:rsidRPr="002027D2">
        <w:rPr>
          <w:rFonts w:ascii="Cambria Math" w:hAnsi="Cambria Math" w:cs="Cambria Math"/>
          <w:sz w:val="24"/>
          <w:szCs w:val="24"/>
        </w:rPr>
        <w:t>‐</w:t>
      </w:r>
      <w:r w:rsidRPr="002027D2">
        <w:rPr>
          <w:rFonts w:ascii="Arial" w:hAnsi="Arial" w:cs="Arial"/>
          <w:sz w:val="24"/>
          <w:szCs w:val="24"/>
        </w:rPr>
        <w:t>Zieschang, N., Braunger, J.A., Björnmalm, M., Cortez</w:t>
      </w:r>
      <w:r w:rsidRPr="002027D2">
        <w:rPr>
          <w:rFonts w:ascii="Cambria Math" w:hAnsi="Cambria Math" w:cs="Cambria Math"/>
          <w:sz w:val="24"/>
          <w:szCs w:val="24"/>
        </w:rPr>
        <w:t>‐</w:t>
      </w:r>
      <w:r w:rsidRPr="002027D2">
        <w:rPr>
          <w:rFonts w:ascii="Arial" w:hAnsi="Arial" w:cs="Arial"/>
          <w:sz w:val="24"/>
          <w:szCs w:val="24"/>
        </w:rPr>
        <w:t xml:space="preserve">Jugo, C., and Caruso, F. (2018). Particle targeting in complex biological media. Advanced healthcare materials </w:t>
      </w:r>
      <w:r w:rsidRPr="002027D2">
        <w:rPr>
          <w:rFonts w:ascii="Arial" w:hAnsi="Arial" w:cs="Arial"/>
          <w:i/>
          <w:sz w:val="24"/>
          <w:szCs w:val="24"/>
        </w:rPr>
        <w:t>7</w:t>
      </w:r>
      <w:r w:rsidRPr="002027D2">
        <w:rPr>
          <w:rFonts w:ascii="Arial" w:hAnsi="Arial" w:cs="Arial"/>
          <w:sz w:val="24"/>
          <w:szCs w:val="24"/>
        </w:rPr>
        <w:t>, 1700575.</w:t>
      </w:r>
    </w:p>
    <w:p w14:paraId="5618A67D"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140.</w:t>
      </w:r>
      <w:r w:rsidRPr="002027D2">
        <w:rPr>
          <w:rFonts w:ascii="Arial" w:hAnsi="Arial" w:cs="Arial"/>
          <w:sz w:val="24"/>
          <w:szCs w:val="24"/>
        </w:rPr>
        <w:tab/>
        <w:t xml:space="preserve">Han, X., Li, Z., Sun, J., Luo, C., Li, L., Liu, Y., Du, Y., Qiu, S., Ai, X., and Wu, C. (2015). Stealth CD44-targeted hyaluronic acid supramolecular nanoassemblies for doxorubicin delivery: probing the effect of uncovalent pegylation degree on </w:t>
      </w:r>
      <w:r w:rsidRPr="002027D2">
        <w:rPr>
          <w:rFonts w:ascii="Arial" w:hAnsi="Arial" w:cs="Arial"/>
          <w:sz w:val="24"/>
          <w:szCs w:val="24"/>
        </w:rPr>
        <w:lastRenderedPageBreak/>
        <w:t xml:space="preserve">cellular uptake and blood long circulation. Journal of Controlled Release </w:t>
      </w:r>
      <w:r w:rsidRPr="002027D2">
        <w:rPr>
          <w:rFonts w:ascii="Arial" w:hAnsi="Arial" w:cs="Arial"/>
          <w:i/>
          <w:sz w:val="24"/>
          <w:szCs w:val="24"/>
        </w:rPr>
        <w:t>197</w:t>
      </w:r>
      <w:r w:rsidRPr="002027D2">
        <w:rPr>
          <w:rFonts w:ascii="Arial" w:hAnsi="Arial" w:cs="Arial"/>
          <w:sz w:val="24"/>
          <w:szCs w:val="24"/>
        </w:rPr>
        <w:t>, 29-40.</w:t>
      </w:r>
    </w:p>
    <w:p w14:paraId="0AB7E34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141.</w:t>
      </w:r>
      <w:r w:rsidRPr="002027D2">
        <w:rPr>
          <w:rFonts w:ascii="Arial" w:hAnsi="Arial" w:cs="Arial"/>
          <w:sz w:val="24"/>
          <w:szCs w:val="24"/>
        </w:rPr>
        <w:tab/>
        <w:t xml:space="preserve">Zhang, X.-D., Di Wu, X.S., Liu, P.-X., Yang, N., Zhao, B., Zhang, H., Sun, Y.-M., Zhang, L.-A., and Fan, F.-Y. (2011). Size-dependent in vivo toxicity of PEG-coated gold nanoparticles. International journal of nanomedicine </w:t>
      </w:r>
      <w:r w:rsidRPr="002027D2">
        <w:rPr>
          <w:rFonts w:ascii="Arial" w:hAnsi="Arial" w:cs="Arial"/>
          <w:i/>
          <w:sz w:val="24"/>
          <w:szCs w:val="24"/>
        </w:rPr>
        <w:t>6</w:t>
      </w:r>
      <w:r w:rsidRPr="002027D2">
        <w:rPr>
          <w:rFonts w:ascii="Arial" w:hAnsi="Arial" w:cs="Arial"/>
          <w:sz w:val="24"/>
          <w:szCs w:val="24"/>
        </w:rPr>
        <w:t>, 2071.</w:t>
      </w:r>
    </w:p>
    <w:p w14:paraId="4B95DFE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142.</w:t>
      </w:r>
      <w:r w:rsidRPr="002027D2">
        <w:rPr>
          <w:rFonts w:ascii="Arial" w:hAnsi="Arial" w:cs="Arial"/>
          <w:sz w:val="24"/>
          <w:szCs w:val="24"/>
        </w:rPr>
        <w:tab/>
        <w:t xml:space="preserve">Cerdá, V.J., Pacheco, R.R., Witek, J.D., de la Calle, F.M.M., and de la Sen Fernández, M.L. (2019). Immediate hypersensitivity to polyethylene glycols in unrelated products: when standardization in the nomenclature of the components of drugs, cosmetics, and food becomes necessary. Allergy, Asthma &amp; Clinical Immunology </w:t>
      </w:r>
      <w:r w:rsidRPr="002027D2">
        <w:rPr>
          <w:rFonts w:ascii="Arial" w:hAnsi="Arial" w:cs="Arial"/>
          <w:i/>
          <w:sz w:val="24"/>
          <w:szCs w:val="24"/>
        </w:rPr>
        <w:t>15</w:t>
      </w:r>
      <w:r w:rsidRPr="002027D2">
        <w:rPr>
          <w:rFonts w:ascii="Arial" w:hAnsi="Arial" w:cs="Arial"/>
          <w:sz w:val="24"/>
          <w:szCs w:val="24"/>
        </w:rPr>
        <w:t>, 1-5.</w:t>
      </w:r>
    </w:p>
    <w:p w14:paraId="4FBC3A2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143.</w:t>
      </w:r>
      <w:r w:rsidRPr="002027D2">
        <w:rPr>
          <w:rFonts w:ascii="Arial" w:hAnsi="Arial" w:cs="Arial"/>
          <w:sz w:val="24"/>
          <w:szCs w:val="24"/>
        </w:rPr>
        <w:tab/>
        <w:t xml:space="preserve">Laramie, M.D., Fouts, B.L., MacCuaig, W.M., Buabeng, E., Jones, M.A., Mukherjee, P., Behkam, B., McNally, L.R., and Henary, M. (2021). Improved pentamethine cyanine nanosensors for optoacoustic imaging of pancreatic cancer. Scientific reports </w:t>
      </w:r>
      <w:r w:rsidRPr="002027D2">
        <w:rPr>
          <w:rFonts w:ascii="Arial" w:hAnsi="Arial" w:cs="Arial"/>
          <w:i/>
          <w:sz w:val="24"/>
          <w:szCs w:val="24"/>
        </w:rPr>
        <w:t>11</w:t>
      </w:r>
      <w:r w:rsidRPr="002027D2">
        <w:rPr>
          <w:rFonts w:ascii="Arial" w:hAnsi="Arial" w:cs="Arial"/>
          <w:sz w:val="24"/>
          <w:szCs w:val="24"/>
        </w:rPr>
        <w:t>, 1-12.</w:t>
      </w:r>
    </w:p>
    <w:p w14:paraId="030EABD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144.</w:t>
      </w:r>
      <w:r w:rsidRPr="002027D2">
        <w:rPr>
          <w:rFonts w:ascii="Arial" w:hAnsi="Arial" w:cs="Arial"/>
          <w:sz w:val="24"/>
          <w:szCs w:val="24"/>
        </w:rPr>
        <w:tab/>
        <w:t xml:space="preserve">Mohammed, M.A., Syeda, J., Wasan, K.M., and Wasan, E.K. (2017). An overview of chitosan nanoparticles and its application in non-parenteral drug delivery. Pharmaceutics </w:t>
      </w:r>
      <w:r w:rsidRPr="002027D2">
        <w:rPr>
          <w:rFonts w:ascii="Arial" w:hAnsi="Arial" w:cs="Arial"/>
          <w:i/>
          <w:sz w:val="24"/>
          <w:szCs w:val="24"/>
        </w:rPr>
        <w:t>9</w:t>
      </w:r>
      <w:r w:rsidRPr="002027D2">
        <w:rPr>
          <w:rFonts w:ascii="Arial" w:hAnsi="Arial" w:cs="Arial"/>
          <w:sz w:val="24"/>
          <w:szCs w:val="24"/>
        </w:rPr>
        <w:t>, 53.</w:t>
      </w:r>
    </w:p>
    <w:p w14:paraId="64E395F2"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145.</w:t>
      </w:r>
      <w:r w:rsidRPr="002027D2">
        <w:rPr>
          <w:rFonts w:ascii="Arial" w:hAnsi="Arial" w:cs="Arial"/>
          <w:sz w:val="24"/>
          <w:szCs w:val="24"/>
        </w:rPr>
        <w:tab/>
        <w:t xml:space="preserve">Li, J., Cai, C., Li, J., Li, J., Li, J., Sun, T., Wang, L., Wu, H., and Yu, G. (2018). Chitosan-based nanomaterials for drug delivery. Molecules </w:t>
      </w:r>
      <w:r w:rsidRPr="002027D2">
        <w:rPr>
          <w:rFonts w:ascii="Arial" w:hAnsi="Arial" w:cs="Arial"/>
          <w:i/>
          <w:sz w:val="24"/>
          <w:szCs w:val="24"/>
        </w:rPr>
        <w:t>23</w:t>
      </w:r>
      <w:r w:rsidRPr="002027D2">
        <w:rPr>
          <w:rFonts w:ascii="Arial" w:hAnsi="Arial" w:cs="Arial"/>
          <w:sz w:val="24"/>
          <w:szCs w:val="24"/>
        </w:rPr>
        <w:t>, 2661.</w:t>
      </w:r>
    </w:p>
    <w:p w14:paraId="09FC574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146.</w:t>
      </w:r>
      <w:r w:rsidRPr="002027D2">
        <w:rPr>
          <w:rFonts w:ascii="Arial" w:hAnsi="Arial" w:cs="Arial"/>
          <w:sz w:val="24"/>
          <w:szCs w:val="24"/>
        </w:rPr>
        <w:tab/>
        <w:t xml:space="preserve">Gerweck, L.E., and Seetharaman, K. (1996). Cellular pH gradient in tumor versus normal tissue: potential exploitation for the treatment of cancer. Cancer research </w:t>
      </w:r>
      <w:r w:rsidRPr="002027D2">
        <w:rPr>
          <w:rFonts w:ascii="Arial" w:hAnsi="Arial" w:cs="Arial"/>
          <w:i/>
          <w:sz w:val="24"/>
          <w:szCs w:val="24"/>
        </w:rPr>
        <w:t>56</w:t>
      </w:r>
      <w:r w:rsidRPr="002027D2">
        <w:rPr>
          <w:rFonts w:ascii="Arial" w:hAnsi="Arial" w:cs="Arial"/>
          <w:sz w:val="24"/>
          <w:szCs w:val="24"/>
        </w:rPr>
        <w:t>, 1194-1198.</w:t>
      </w:r>
    </w:p>
    <w:p w14:paraId="30AC508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147.</w:t>
      </w:r>
      <w:r w:rsidRPr="002027D2">
        <w:rPr>
          <w:rFonts w:ascii="Arial" w:hAnsi="Arial" w:cs="Arial"/>
          <w:sz w:val="24"/>
          <w:szCs w:val="24"/>
        </w:rPr>
        <w:tab/>
        <w:t xml:space="preserve">Garg, U., Chauhan, S., Nagaich, U., and Jain, N. (2019). Current advances in chitosan nanoparticles based drug delivery and targeting. Advanced pharmaceutical bulletin </w:t>
      </w:r>
      <w:r w:rsidRPr="002027D2">
        <w:rPr>
          <w:rFonts w:ascii="Arial" w:hAnsi="Arial" w:cs="Arial"/>
          <w:i/>
          <w:sz w:val="24"/>
          <w:szCs w:val="24"/>
        </w:rPr>
        <w:t>9</w:t>
      </w:r>
      <w:r w:rsidRPr="002027D2">
        <w:rPr>
          <w:rFonts w:ascii="Arial" w:hAnsi="Arial" w:cs="Arial"/>
          <w:sz w:val="24"/>
          <w:szCs w:val="24"/>
        </w:rPr>
        <w:t>, 195.</w:t>
      </w:r>
    </w:p>
    <w:p w14:paraId="5D9909F4"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148.</w:t>
      </w:r>
      <w:r w:rsidRPr="002027D2">
        <w:rPr>
          <w:rFonts w:ascii="Arial" w:hAnsi="Arial" w:cs="Arial"/>
          <w:sz w:val="24"/>
          <w:szCs w:val="24"/>
        </w:rPr>
        <w:tab/>
        <w:t xml:space="preserve">Rizeq, B.R., Younes, N.N., Rasool, K., and Nasrallah, G.K. (2019). Synthesis, bioapplications, and toxicity evaluation of chitosan-based nanoparticles. International journal of molecular sciences </w:t>
      </w:r>
      <w:r w:rsidRPr="002027D2">
        <w:rPr>
          <w:rFonts w:ascii="Arial" w:hAnsi="Arial" w:cs="Arial"/>
          <w:i/>
          <w:sz w:val="24"/>
          <w:szCs w:val="24"/>
        </w:rPr>
        <w:t>20</w:t>
      </w:r>
      <w:r w:rsidRPr="002027D2">
        <w:rPr>
          <w:rFonts w:ascii="Arial" w:hAnsi="Arial" w:cs="Arial"/>
          <w:sz w:val="24"/>
          <w:szCs w:val="24"/>
        </w:rPr>
        <w:t>, 5776.</w:t>
      </w:r>
    </w:p>
    <w:p w14:paraId="531FAC1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149.</w:t>
      </w:r>
      <w:r w:rsidRPr="002027D2">
        <w:rPr>
          <w:rFonts w:ascii="Arial" w:hAnsi="Arial" w:cs="Arial"/>
          <w:sz w:val="24"/>
          <w:szCs w:val="24"/>
        </w:rPr>
        <w:tab/>
        <w:t xml:space="preserve">Zubareva, A., Shagdarova, B., Varlamov, V., Kashirina, E., and Svirshchevskaya, E. (2017). Penetration and toxicity of chitosan and its derivatives. European Polymer Journal </w:t>
      </w:r>
      <w:r w:rsidRPr="002027D2">
        <w:rPr>
          <w:rFonts w:ascii="Arial" w:hAnsi="Arial" w:cs="Arial"/>
          <w:i/>
          <w:sz w:val="24"/>
          <w:szCs w:val="24"/>
        </w:rPr>
        <w:t>93</w:t>
      </w:r>
      <w:r w:rsidRPr="002027D2">
        <w:rPr>
          <w:rFonts w:ascii="Arial" w:hAnsi="Arial" w:cs="Arial"/>
          <w:sz w:val="24"/>
          <w:szCs w:val="24"/>
        </w:rPr>
        <w:t>, 743-749.</w:t>
      </w:r>
    </w:p>
    <w:p w14:paraId="011A792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150.</w:t>
      </w:r>
      <w:r w:rsidRPr="002027D2">
        <w:rPr>
          <w:rFonts w:ascii="Arial" w:hAnsi="Arial" w:cs="Arial"/>
          <w:sz w:val="24"/>
          <w:szCs w:val="24"/>
        </w:rPr>
        <w:tab/>
        <w:t xml:space="preserve">Moghaddam, S.P.H., Mohammadpour, R., and Ghandehari, H. (2019). In vitro and in vivo evaluation of degradation, toxicity, biodistribution, and clearance of silica nanoparticles as a function of size, porosity, density, and composition. Journal of Controlled Release </w:t>
      </w:r>
      <w:r w:rsidRPr="002027D2">
        <w:rPr>
          <w:rFonts w:ascii="Arial" w:hAnsi="Arial" w:cs="Arial"/>
          <w:i/>
          <w:sz w:val="24"/>
          <w:szCs w:val="24"/>
        </w:rPr>
        <w:t>311</w:t>
      </w:r>
      <w:r w:rsidRPr="002027D2">
        <w:rPr>
          <w:rFonts w:ascii="Arial" w:hAnsi="Arial" w:cs="Arial"/>
          <w:sz w:val="24"/>
          <w:szCs w:val="24"/>
        </w:rPr>
        <w:t>, 1-15.</w:t>
      </w:r>
    </w:p>
    <w:p w14:paraId="6FA7865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151.</w:t>
      </w:r>
      <w:r w:rsidRPr="002027D2">
        <w:rPr>
          <w:rFonts w:ascii="Arial" w:hAnsi="Arial" w:cs="Arial"/>
          <w:sz w:val="24"/>
          <w:szCs w:val="24"/>
        </w:rPr>
        <w:tab/>
        <w:t xml:space="preserve">Bhavsar, D., Patel, V., and Sawant, K. (2019). Systematic investigation of in vitro and in vivo safety, toxicity and degradation of mesoporous silica nanoparticles synthesized using commercial sodium silicate. Microporous and Mesoporous Materials </w:t>
      </w:r>
      <w:r w:rsidRPr="002027D2">
        <w:rPr>
          <w:rFonts w:ascii="Arial" w:hAnsi="Arial" w:cs="Arial"/>
          <w:i/>
          <w:sz w:val="24"/>
          <w:szCs w:val="24"/>
        </w:rPr>
        <w:t>284</w:t>
      </w:r>
      <w:r w:rsidRPr="002027D2">
        <w:rPr>
          <w:rFonts w:ascii="Arial" w:hAnsi="Arial" w:cs="Arial"/>
          <w:sz w:val="24"/>
          <w:szCs w:val="24"/>
        </w:rPr>
        <w:t>, 343-352.</w:t>
      </w:r>
    </w:p>
    <w:p w14:paraId="08DAA7E2"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152.</w:t>
      </w:r>
      <w:r w:rsidRPr="002027D2">
        <w:rPr>
          <w:rFonts w:ascii="Arial" w:hAnsi="Arial" w:cs="Arial"/>
          <w:sz w:val="24"/>
          <w:szCs w:val="24"/>
        </w:rPr>
        <w:tab/>
        <w:t xml:space="preserve">Ullman-Culleré, M.H., and Foltz, C.J. (1999). Body condition scoring: a rapid and accurate method for assessing health status in mice. Comparative Medicine </w:t>
      </w:r>
      <w:r w:rsidRPr="002027D2">
        <w:rPr>
          <w:rFonts w:ascii="Arial" w:hAnsi="Arial" w:cs="Arial"/>
          <w:i/>
          <w:sz w:val="24"/>
          <w:szCs w:val="24"/>
        </w:rPr>
        <w:t>49</w:t>
      </w:r>
      <w:r w:rsidRPr="002027D2">
        <w:rPr>
          <w:rFonts w:ascii="Arial" w:hAnsi="Arial" w:cs="Arial"/>
          <w:sz w:val="24"/>
          <w:szCs w:val="24"/>
        </w:rPr>
        <w:t>, 319-323.</w:t>
      </w:r>
    </w:p>
    <w:p w14:paraId="47673F2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153.</w:t>
      </w:r>
      <w:r w:rsidRPr="002027D2">
        <w:rPr>
          <w:rFonts w:ascii="Arial" w:hAnsi="Arial" w:cs="Arial"/>
          <w:sz w:val="24"/>
          <w:szCs w:val="24"/>
        </w:rPr>
        <w:tab/>
        <w:t xml:space="preserve">Lehman, S.E., Morris, A.S., Mueller, P.S., Salem, A.K., Grassian, V.H., and Larsen, S.C. (2016). Silica nanoparticle-generated ROS as a predictor of cellular toxicity: mechanistic insights and safety by design. Environmental Science: Nano </w:t>
      </w:r>
      <w:r w:rsidRPr="002027D2">
        <w:rPr>
          <w:rFonts w:ascii="Arial" w:hAnsi="Arial" w:cs="Arial"/>
          <w:i/>
          <w:sz w:val="24"/>
          <w:szCs w:val="24"/>
        </w:rPr>
        <w:t>3</w:t>
      </w:r>
      <w:r w:rsidRPr="002027D2">
        <w:rPr>
          <w:rFonts w:ascii="Arial" w:hAnsi="Arial" w:cs="Arial"/>
          <w:sz w:val="24"/>
          <w:szCs w:val="24"/>
        </w:rPr>
        <w:t>, 56-66.</w:t>
      </w:r>
    </w:p>
    <w:p w14:paraId="5EED870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lastRenderedPageBreak/>
        <w:t>154.</w:t>
      </w:r>
      <w:r w:rsidRPr="002027D2">
        <w:rPr>
          <w:rFonts w:ascii="Arial" w:hAnsi="Arial" w:cs="Arial"/>
          <w:sz w:val="24"/>
          <w:szCs w:val="24"/>
        </w:rPr>
        <w:tab/>
        <w:t>MacCuaig, W.M., Fouts, B.L., McNally, M.W., Grizzle, W.E., Chuong, P., Samykutty, A., Mukherjee, P., Li, M., Jasinski, J.B., and Behkam, B. (2021). Active Targeting Significantly Outperforms Nanoparticle Size in Facilitating Tumor-Specific Uptake in Orthotopic Pancreatic Cancer. ACS Applied Materials &amp; Interfaces.</w:t>
      </w:r>
    </w:p>
    <w:p w14:paraId="5962715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155.</w:t>
      </w:r>
      <w:r w:rsidRPr="002027D2">
        <w:rPr>
          <w:rFonts w:ascii="Arial" w:hAnsi="Arial" w:cs="Arial"/>
          <w:sz w:val="24"/>
          <w:szCs w:val="24"/>
        </w:rPr>
        <w:tab/>
        <w:t xml:space="preserve">Qian, Q., Zhu, L., Zhu, X., Sun, M., and Yan, D. (2019). Drug-polymer hybrid macromolecular engineering: degradable PEG integrated by platinum (IV) for cancer therapy. Matter </w:t>
      </w:r>
      <w:r w:rsidRPr="002027D2">
        <w:rPr>
          <w:rFonts w:ascii="Arial" w:hAnsi="Arial" w:cs="Arial"/>
          <w:i/>
          <w:sz w:val="24"/>
          <w:szCs w:val="24"/>
        </w:rPr>
        <w:t>1</w:t>
      </w:r>
      <w:r w:rsidRPr="002027D2">
        <w:rPr>
          <w:rFonts w:ascii="Arial" w:hAnsi="Arial" w:cs="Arial"/>
          <w:sz w:val="24"/>
          <w:szCs w:val="24"/>
        </w:rPr>
        <w:t>, 1618-1630.</w:t>
      </w:r>
    </w:p>
    <w:p w14:paraId="30A3B16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156.</w:t>
      </w:r>
      <w:r w:rsidRPr="002027D2">
        <w:rPr>
          <w:rFonts w:ascii="Arial" w:hAnsi="Arial" w:cs="Arial"/>
          <w:sz w:val="24"/>
          <w:szCs w:val="24"/>
        </w:rPr>
        <w:tab/>
        <w:t xml:space="preserve">Andreani, T., de Souza, A.L.R., Kiill, C.P., Lorenzón, E.N., Fangueiro, J.F., Calpena, A.C., Chaud, M.V., Garcia, M.L., Gremião, M.P.D., and Silva, A.M. (2014). Preparation and characterization of PEG-coated silica nanoparticles for oral insulin delivery. International journal of pharmaceutics </w:t>
      </w:r>
      <w:r w:rsidRPr="002027D2">
        <w:rPr>
          <w:rFonts w:ascii="Arial" w:hAnsi="Arial" w:cs="Arial"/>
          <w:i/>
          <w:sz w:val="24"/>
          <w:szCs w:val="24"/>
        </w:rPr>
        <w:t>473</w:t>
      </w:r>
      <w:r w:rsidRPr="002027D2">
        <w:rPr>
          <w:rFonts w:ascii="Arial" w:hAnsi="Arial" w:cs="Arial"/>
          <w:sz w:val="24"/>
          <w:szCs w:val="24"/>
        </w:rPr>
        <w:t>, 627-635.</w:t>
      </w:r>
    </w:p>
    <w:p w14:paraId="12D8EA1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157.</w:t>
      </w:r>
      <w:r w:rsidRPr="002027D2">
        <w:rPr>
          <w:rFonts w:ascii="Arial" w:hAnsi="Arial" w:cs="Arial"/>
          <w:sz w:val="24"/>
          <w:szCs w:val="24"/>
        </w:rPr>
        <w:tab/>
        <w:t>Xu, H., Yan, F., Monson, E.E., and Kopelman, R. (2003). Room</w:t>
      </w:r>
      <w:r w:rsidRPr="002027D2">
        <w:rPr>
          <w:rFonts w:ascii="Cambria Math" w:hAnsi="Cambria Math" w:cs="Cambria Math"/>
          <w:sz w:val="24"/>
          <w:szCs w:val="24"/>
        </w:rPr>
        <w:t>‐</w:t>
      </w:r>
      <w:r w:rsidRPr="002027D2">
        <w:rPr>
          <w:rFonts w:ascii="Arial" w:hAnsi="Arial" w:cs="Arial"/>
          <w:sz w:val="24"/>
          <w:szCs w:val="24"/>
        </w:rPr>
        <w:t>temperature preparation and characterization of poly (ethylene glycol)</w:t>
      </w:r>
      <w:r w:rsidRPr="002027D2">
        <w:rPr>
          <w:rFonts w:ascii="Cambria Math" w:hAnsi="Cambria Math" w:cs="Cambria Math"/>
          <w:sz w:val="24"/>
          <w:szCs w:val="24"/>
        </w:rPr>
        <w:t>‐</w:t>
      </w:r>
      <w:r w:rsidRPr="002027D2">
        <w:rPr>
          <w:rFonts w:ascii="Arial" w:hAnsi="Arial" w:cs="Arial"/>
          <w:sz w:val="24"/>
          <w:szCs w:val="24"/>
        </w:rPr>
        <w:t xml:space="preserve">coated silica nanoparticles for biomedical applications. Journal of Biomedical Materials Research Part A: An Official Journal of The Society for Biomaterials, The Japanese Society for Biomaterials, and The Australian Society for Biomaterials and the Korean Society for Biomaterials </w:t>
      </w:r>
      <w:r w:rsidRPr="002027D2">
        <w:rPr>
          <w:rFonts w:ascii="Arial" w:hAnsi="Arial" w:cs="Arial"/>
          <w:i/>
          <w:sz w:val="24"/>
          <w:szCs w:val="24"/>
        </w:rPr>
        <w:t>66</w:t>
      </w:r>
      <w:r w:rsidRPr="002027D2">
        <w:rPr>
          <w:rFonts w:ascii="Arial" w:hAnsi="Arial" w:cs="Arial"/>
          <w:sz w:val="24"/>
          <w:szCs w:val="24"/>
        </w:rPr>
        <w:t>, 870-879.</w:t>
      </w:r>
    </w:p>
    <w:p w14:paraId="26989CD7"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158.</w:t>
      </w:r>
      <w:r w:rsidRPr="002027D2">
        <w:rPr>
          <w:rFonts w:ascii="Arial" w:hAnsi="Arial" w:cs="Arial"/>
          <w:sz w:val="24"/>
          <w:szCs w:val="24"/>
        </w:rPr>
        <w:tab/>
        <w:t>Berridge, B.R., Van Vleet, J.F., and Herman, E. (2013). Cardiac, vascular, and skeletal muscle systems. Haschek and Rousseaux's Handbook of Toxicologic Pathology, 1567-1665.</w:t>
      </w:r>
    </w:p>
    <w:p w14:paraId="47C5B7F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159.</w:t>
      </w:r>
      <w:r w:rsidRPr="002027D2">
        <w:rPr>
          <w:rFonts w:ascii="Arial" w:hAnsi="Arial" w:cs="Arial"/>
          <w:sz w:val="24"/>
          <w:szCs w:val="24"/>
        </w:rPr>
        <w:tab/>
        <w:t xml:space="preserve">Babcock, M.B., and Cardell Jr, R.R. (1975). Fine structure of hepatocytes from fasted and fed rats. American Journal of Anatomy </w:t>
      </w:r>
      <w:r w:rsidRPr="002027D2">
        <w:rPr>
          <w:rFonts w:ascii="Arial" w:hAnsi="Arial" w:cs="Arial"/>
          <w:i/>
          <w:sz w:val="24"/>
          <w:szCs w:val="24"/>
        </w:rPr>
        <w:t>143</w:t>
      </w:r>
      <w:r w:rsidRPr="002027D2">
        <w:rPr>
          <w:rFonts w:ascii="Arial" w:hAnsi="Arial" w:cs="Arial"/>
          <w:sz w:val="24"/>
          <w:szCs w:val="24"/>
        </w:rPr>
        <w:t>, 399-437.</w:t>
      </w:r>
    </w:p>
    <w:p w14:paraId="072EC8F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160.</w:t>
      </w:r>
      <w:r w:rsidRPr="002027D2">
        <w:rPr>
          <w:rFonts w:ascii="Arial" w:hAnsi="Arial" w:cs="Arial"/>
          <w:sz w:val="24"/>
          <w:szCs w:val="24"/>
        </w:rPr>
        <w:tab/>
        <w:t xml:space="preserve">Babcock, M.B., and Cardell Jr, R.R. (1974). Hepatic glycogen patterns in fasted and fed rats. American Journal of Anatomy </w:t>
      </w:r>
      <w:r w:rsidRPr="002027D2">
        <w:rPr>
          <w:rFonts w:ascii="Arial" w:hAnsi="Arial" w:cs="Arial"/>
          <w:i/>
          <w:sz w:val="24"/>
          <w:szCs w:val="24"/>
        </w:rPr>
        <w:t>140</w:t>
      </w:r>
      <w:r w:rsidRPr="002027D2">
        <w:rPr>
          <w:rFonts w:ascii="Arial" w:hAnsi="Arial" w:cs="Arial"/>
          <w:sz w:val="24"/>
          <w:szCs w:val="24"/>
        </w:rPr>
        <w:t>, 299-337.</w:t>
      </w:r>
    </w:p>
    <w:p w14:paraId="28DF42A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161.</w:t>
      </w:r>
      <w:r w:rsidRPr="002027D2">
        <w:rPr>
          <w:rFonts w:ascii="Arial" w:hAnsi="Arial" w:cs="Arial"/>
          <w:sz w:val="24"/>
          <w:szCs w:val="24"/>
        </w:rPr>
        <w:tab/>
        <w:t xml:space="preserve">Bradley, A., Mukaratirwa, S., and Petersen-Jones, M. (2012). Incidences and range of spontaneous findings in the lymphoid and haemopoietic system of control Charles River CD-1 mice (Crl: CD-1 (ICR) BR) used in chronic toxicity studies. Toxicologic pathology </w:t>
      </w:r>
      <w:r w:rsidRPr="002027D2">
        <w:rPr>
          <w:rFonts w:ascii="Arial" w:hAnsi="Arial" w:cs="Arial"/>
          <w:i/>
          <w:sz w:val="24"/>
          <w:szCs w:val="24"/>
        </w:rPr>
        <w:t>40</w:t>
      </w:r>
      <w:r w:rsidRPr="002027D2">
        <w:rPr>
          <w:rFonts w:ascii="Arial" w:hAnsi="Arial" w:cs="Arial"/>
          <w:sz w:val="24"/>
          <w:szCs w:val="24"/>
        </w:rPr>
        <w:t>, 375-381.</w:t>
      </w:r>
    </w:p>
    <w:p w14:paraId="180BF11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162.</w:t>
      </w:r>
      <w:r w:rsidRPr="002027D2">
        <w:rPr>
          <w:rFonts w:ascii="Arial" w:hAnsi="Arial" w:cs="Arial"/>
          <w:sz w:val="24"/>
          <w:szCs w:val="24"/>
        </w:rPr>
        <w:tab/>
        <w:t xml:space="preserve">Elangbam, C.S., Colman, K.A., Lightfoot, R.M., Tyler, R.D., and Wall, H.G. (2002). Endocardial Myxomatous Change in Harlan Sprague-Dawley Rats (Hsd: S—D) and CD-1 Mice: Its Microscopic Resemblance to Drug-Induced Valvulopathy in Humans. Toxicologic pathology </w:t>
      </w:r>
      <w:r w:rsidRPr="002027D2">
        <w:rPr>
          <w:rFonts w:ascii="Arial" w:hAnsi="Arial" w:cs="Arial"/>
          <w:i/>
          <w:sz w:val="24"/>
          <w:szCs w:val="24"/>
        </w:rPr>
        <w:t>30</w:t>
      </w:r>
      <w:r w:rsidRPr="002027D2">
        <w:rPr>
          <w:rFonts w:ascii="Arial" w:hAnsi="Arial" w:cs="Arial"/>
          <w:sz w:val="24"/>
          <w:szCs w:val="24"/>
        </w:rPr>
        <w:t>, 483-491.</w:t>
      </w:r>
    </w:p>
    <w:p w14:paraId="1D2D71C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163.</w:t>
      </w:r>
      <w:r w:rsidRPr="002027D2">
        <w:rPr>
          <w:rFonts w:ascii="Arial" w:hAnsi="Arial" w:cs="Arial"/>
          <w:sz w:val="24"/>
          <w:szCs w:val="24"/>
        </w:rPr>
        <w:tab/>
        <w:t>Ruben, Z., Arceo, R., Bishop, S., Elwell, M., Kerns, W., Mesfin, G., Sandusky, G., and Van Vleet, J. (2000). Non-proliferative lesions of the heart and vasculature in rats. Guides for toxicologic pathology, 1-10.</w:t>
      </w:r>
    </w:p>
    <w:p w14:paraId="73719D87"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164.</w:t>
      </w:r>
      <w:r w:rsidRPr="002027D2">
        <w:rPr>
          <w:rFonts w:ascii="Arial" w:hAnsi="Arial" w:cs="Arial"/>
          <w:sz w:val="24"/>
          <w:szCs w:val="24"/>
        </w:rPr>
        <w:tab/>
        <w:t xml:space="preserve">Berridge, B.R., Mowat, V., Nagai, H., Nyska, A., Okazaki, Y., Clements, P.J., Rinke, M., Snyder, P.W., Boyle, M.C., and Wells, M.Y. (2016). Non-proliferative and proliferative lesions of the cardiovascular system of the rat and mouse. Journal of toxicologic pathology </w:t>
      </w:r>
      <w:r w:rsidRPr="002027D2">
        <w:rPr>
          <w:rFonts w:ascii="Arial" w:hAnsi="Arial" w:cs="Arial"/>
          <w:i/>
          <w:sz w:val="24"/>
          <w:szCs w:val="24"/>
        </w:rPr>
        <w:t>29</w:t>
      </w:r>
      <w:r w:rsidRPr="002027D2">
        <w:rPr>
          <w:rFonts w:ascii="Arial" w:hAnsi="Arial" w:cs="Arial"/>
          <w:sz w:val="24"/>
          <w:szCs w:val="24"/>
        </w:rPr>
        <w:t>, 1S-47S.</w:t>
      </w:r>
    </w:p>
    <w:p w14:paraId="68B52885"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165.</w:t>
      </w:r>
      <w:r w:rsidRPr="002027D2">
        <w:rPr>
          <w:rFonts w:ascii="Arial" w:hAnsi="Arial" w:cs="Arial"/>
          <w:sz w:val="24"/>
          <w:szCs w:val="24"/>
        </w:rPr>
        <w:tab/>
        <w:t xml:space="preserve">Vervloet, M.G., Sezer, S., Massy, Z.A., Johansson, L., Cozzolino, M., and Fouque, D. (2017). The role of phosphate in kidney disease. Nature Reviews Nephrology </w:t>
      </w:r>
      <w:r w:rsidRPr="002027D2">
        <w:rPr>
          <w:rFonts w:ascii="Arial" w:hAnsi="Arial" w:cs="Arial"/>
          <w:i/>
          <w:sz w:val="24"/>
          <w:szCs w:val="24"/>
        </w:rPr>
        <w:t>13</w:t>
      </w:r>
      <w:r w:rsidRPr="002027D2">
        <w:rPr>
          <w:rFonts w:ascii="Arial" w:hAnsi="Arial" w:cs="Arial"/>
          <w:sz w:val="24"/>
          <w:szCs w:val="24"/>
        </w:rPr>
        <w:t>, 27-38.</w:t>
      </w:r>
    </w:p>
    <w:p w14:paraId="08E0667D"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166.</w:t>
      </w:r>
      <w:r w:rsidRPr="002027D2">
        <w:rPr>
          <w:rFonts w:ascii="Arial" w:hAnsi="Arial" w:cs="Arial"/>
          <w:sz w:val="24"/>
          <w:szCs w:val="24"/>
        </w:rPr>
        <w:tab/>
        <w:t xml:space="preserve">Webster, R., Elliott, V., Park, B.K., Walker, D., Hankin, M., and Taupin, P. (2009). PEG and PEG conjugates toxicity: towards an understanding of the toxicity of </w:t>
      </w:r>
      <w:r w:rsidRPr="002027D2">
        <w:rPr>
          <w:rFonts w:ascii="Arial" w:hAnsi="Arial" w:cs="Arial"/>
          <w:sz w:val="24"/>
          <w:szCs w:val="24"/>
        </w:rPr>
        <w:lastRenderedPageBreak/>
        <w:t>PEG and its relevance to PEGylated biologicals. PEGylated protein drugs: Basic science and clinical applications, 127-146.</w:t>
      </w:r>
    </w:p>
    <w:p w14:paraId="23C879A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167.</w:t>
      </w:r>
      <w:r w:rsidRPr="002027D2">
        <w:rPr>
          <w:rFonts w:ascii="Arial" w:hAnsi="Arial" w:cs="Arial"/>
          <w:sz w:val="24"/>
          <w:szCs w:val="24"/>
        </w:rPr>
        <w:tab/>
        <w:t xml:space="preserve">Choi, N., Lee, J., Chang, Y., Jung, S., Kim, Y., Lee, S., Lee, J., Kim, J., Song, H., and Park, B. (2013). Polyethylene glycol bowel preparation does not eliminate the risk of acute renal failure: a population-based case-crossover study. Endoscopy </w:t>
      </w:r>
      <w:r w:rsidRPr="002027D2">
        <w:rPr>
          <w:rFonts w:ascii="Arial" w:hAnsi="Arial" w:cs="Arial"/>
          <w:i/>
          <w:sz w:val="24"/>
          <w:szCs w:val="24"/>
        </w:rPr>
        <w:t>45</w:t>
      </w:r>
      <w:r w:rsidRPr="002027D2">
        <w:rPr>
          <w:rFonts w:ascii="Arial" w:hAnsi="Arial" w:cs="Arial"/>
          <w:sz w:val="24"/>
          <w:szCs w:val="24"/>
        </w:rPr>
        <w:t>, 208-213.</w:t>
      </w:r>
    </w:p>
    <w:p w14:paraId="5CF047B2"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168.</w:t>
      </w:r>
      <w:r w:rsidRPr="002027D2">
        <w:rPr>
          <w:rFonts w:ascii="Arial" w:hAnsi="Arial" w:cs="Arial"/>
          <w:sz w:val="24"/>
          <w:szCs w:val="24"/>
        </w:rPr>
        <w:tab/>
        <w:t xml:space="preserve">Malta, D., Petersen, K.S., Johnson, C., Trieu, K., Rae, S., Jefferson, K., Santos, J.A., Wong, M.M., Raj, T.S., and Webster, J. (2018). High sodium intake increases blood pressure and risk of kidney disease. From the Science of Salt: A regularly updated systematic review of salt and health outcomes (August 2016 to March 2017). The Journal of Clinical Hypertension </w:t>
      </w:r>
      <w:r w:rsidRPr="002027D2">
        <w:rPr>
          <w:rFonts w:ascii="Arial" w:hAnsi="Arial" w:cs="Arial"/>
          <w:i/>
          <w:sz w:val="24"/>
          <w:szCs w:val="24"/>
        </w:rPr>
        <w:t>20</w:t>
      </w:r>
      <w:r w:rsidRPr="002027D2">
        <w:rPr>
          <w:rFonts w:ascii="Arial" w:hAnsi="Arial" w:cs="Arial"/>
          <w:sz w:val="24"/>
          <w:szCs w:val="24"/>
        </w:rPr>
        <w:t>, 1654-1665.</w:t>
      </w:r>
    </w:p>
    <w:p w14:paraId="08FB68CF"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169.</w:t>
      </w:r>
      <w:r w:rsidRPr="002027D2">
        <w:rPr>
          <w:rFonts w:ascii="Arial" w:hAnsi="Arial" w:cs="Arial"/>
          <w:sz w:val="24"/>
          <w:szCs w:val="24"/>
        </w:rPr>
        <w:tab/>
        <w:t xml:space="preserve">Turecek, P.L., Bossard, M.J., Schoetens, F., and Ivens, I.A. (2016). PEGylation of biopharmaceuticals: a review of chemistry and nonclinical safety information of approved drugs. Journal of pharmaceutical sciences </w:t>
      </w:r>
      <w:r w:rsidRPr="002027D2">
        <w:rPr>
          <w:rFonts w:ascii="Arial" w:hAnsi="Arial" w:cs="Arial"/>
          <w:i/>
          <w:sz w:val="24"/>
          <w:szCs w:val="24"/>
        </w:rPr>
        <w:t>105</w:t>
      </w:r>
      <w:r w:rsidRPr="002027D2">
        <w:rPr>
          <w:rFonts w:ascii="Arial" w:hAnsi="Arial" w:cs="Arial"/>
          <w:sz w:val="24"/>
          <w:szCs w:val="24"/>
        </w:rPr>
        <w:t>, 460-475.</w:t>
      </w:r>
    </w:p>
    <w:p w14:paraId="2FF08B5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170.</w:t>
      </w:r>
      <w:r w:rsidRPr="002027D2">
        <w:rPr>
          <w:rFonts w:ascii="Arial" w:hAnsi="Arial" w:cs="Arial"/>
          <w:sz w:val="24"/>
          <w:szCs w:val="24"/>
        </w:rPr>
        <w:tab/>
        <w:t xml:space="preserve">Ivens, I.A., Achanzar, W., Baumann, A., Brändli-Baiocco, A., Cavagnaro, J., Dempster, M., Depelchin, B.O., Irizarry Rovira, A.R., Dill-Morton, L., and Lane, J.H. (2015). PEGylated biopharmaceuticals: current experience and considerations for nonclinical development. Toxicologic pathology </w:t>
      </w:r>
      <w:r w:rsidRPr="002027D2">
        <w:rPr>
          <w:rFonts w:ascii="Arial" w:hAnsi="Arial" w:cs="Arial"/>
          <w:i/>
          <w:sz w:val="24"/>
          <w:szCs w:val="24"/>
        </w:rPr>
        <w:t>43</w:t>
      </w:r>
      <w:r w:rsidRPr="002027D2">
        <w:rPr>
          <w:rFonts w:ascii="Arial" w:hAnsi="Arial" w:cs="Arial"/>
          <w:sz w:val="24"/>
          <w:szCs w:val="24"/>
        </w:rPr>
        <w:t>, 959-983.</w:t>
      </w:r>
    </w:p>
    <w:p w14:paraId="3A1D6C28"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171.</w:t>
      </w:r>
      <w:r w:rsidRPr="002027D2">
        <w:rPr>
          <w:rFonts w:ascii="Arial" w:hAnsi="Arial" w:cs="Arial"/>
          <w:sz w:val="24"/>
          <w:szCs w:val="24"/>
        </w:rPr>
        <w:tab/>
        <w:t xml:space="preserve">Chiu, H.-Y., Gößl, D.e., Haddick, L., Engelke, H., and Bein, T. (2018). Clickable multifunctional large-pore mesoporous silica nanoparticles as nanocarriers. Chemistry of Materials </w:t>
      </w:r>
      <w:r w:rsidRPr="002027D2">
        <w:rPr>
          <w:rFonts w:ascii="Arial" w:hAnsi="Arial" w:cs="Arial"/>
          <w:i/>
          <w:sz w:val="24"/>
          <w:szCs w:val="24"/>
        </w:rPr>
        <w:t>30</w:t>
      </w:r>
      <w:r w:rsidRPr="002027D2">
        <w:rPr>
          <w:rFonts w:ascii="Arial" w:hAnsi="Arial" w:cs="Arial"/>
          <w:sz w:val="24"/>
          <w:szCs w:val="24"/>
        </w:rPr>
        <w:t>, 644-654.</w:t>
      </w:r>
    </w:p>
    <w:p w14:paraId="15CB0A2F"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172.</w:t>
      </w:r>
      <w:r w:rsidRPr="002027D2">
        <w:rPr>
          <w:rFonts w:ascii="Arial" w:hAnsi="Arial" w:cs="Arial"/>
          <w:sz w:val="24"/>
          <w:szCs w:val="24"/>
        </w:rPr>
        <w:tab/>
        <w:t xml:space="preserve">Wu, S.-H., Hung, Y., and Mou, C.-Y. (2011). Mesoporous silica nanoparticles as nanocarriers. Chemical Communications </w:t>
      </w:r>
      <w:r w:rsidRPr="002027D2">
        <w:rPr>
          <w:rFonts w:ascii="Arial" w:hAnsi="Arial" w:cs="Arial"/>
          <w:i/>
          <w:sz w:val="24"/>
          <w:szCs w:val="24"/>
        </w:rPr>
        <w:t>47</w:t>
      </w:r>
      <w:r w:rsidRPr="002027D2">
        <w:rPr>
          <w:rFonts w:ascii="Arial" w:hAnsi="Arial" w:cs="Arial"/>
          <w:sz w:val="24"/>
          <w:szCs w:val="24"/>
        </w:rPr>
        <w:t>, 9972-9985. 10.1039/C1CC11760B.</w:t>
      </w:r>
    </w:p>
    <w:p w14:paraId="295263C6"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173.</w:t>
      </w:r>
      <w:r w:rsidRPr="002027D2">
        <w:rPr>
          <w:rFonts w:ascii="Arial" w:hAnsi="Arial" w:cs="Arial"/>
          <w:sz w:val="24"/>
          <w:szCs w:val="24"/>
        </w:rPr>
        <w:tab/>
        <w:t xml:space="preserve">Huang, D.-M., Hung, Y., Ko, B.-S., Hsu, S.-C., Chen, W.-H., Chien, C.-L., Tsai, C.-P., Kuo, C.-T., Kang, J.-C., and Yang, C.-S.J.T.F.j. (2005). Highly efficient cellular labeling of mesoporous nanoparticles in human mesenchymal stem cells: implication for stem cell tracking. </w:t>
      </w:r>
      <w:r w:rsidRPr="002027D2">
        <w:rPr>
          <w:rFonts w:ascii="Arial" w:hAnsi="Arial" w:cs="Arial"/>
          <w:i/>
          <w:sz w:val="24"/>
          <w:szCs w:val="24"/>
        </w:rPr>
        <w:t>19</w:t>
      </w:r>
      <w:r w:rsidRPr="002027D2">
        <w:rPr>
          <w:rFonts w:ascii="Arial" w:hAnsi="Arial" w:cs="Arial"/>
          <w:sz w:val="24"/>
          <w:szCs w:val="24"/>
        </w:rPr>
        <w:t>, 2014-2016.</w:t>
      </w:r>
    </w:p>
    <w:p w14:paraId="58CA6D55"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174.</w:t>
      </w:r>
      <w:r w:rsidRPr="002027D2">
        <w:rPr>
          <w:rFonts w:ascii="Arial" w:hAnsi="Arial" w:cs="Arial"/>
          <w:sz w:val="24"/>
          <w:szCs w:val="24"/>
        </w:rPr>
        <w:tab/>
        <w:t xml:space="preserve">Song, Y., Li, Y., Xu, Q., and Liu, Z. (2017). Mesoporous silica nanoparticles for stimuli-responsive controlled drug delivery: advances, challenges, and outlook. International journal of nanomedicine </w:t>
      </w:r>
      <w:r w:rsidRPr="002027D2">
        <w:rPr>
          <w:rFonts w:ascii="Arial" w:hAnsi="Arial" w:cs="Arial"/>
          <w:i/>
          <w:sz w:val="24"/>
          <w:szCs w:val="24"/>
        </w:rPr>
        <w:t>12</w:t>
      </w:r>
      <w:r w:rsidRPr="002027D2">
        <w:rPr>
          <w:rFonts w:ascii="Arial" w:hAnsi="Arial" w:cs="Arial"/>
          <w:sz w:val="24"/>
          <w:szCs w:val="24"/>
        </w:rPr>
        <w:t>, 87.</w:t>
      </w:r>
    </w:p>
    <w:p w14:paraId="68D13DE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175.</w:t>
      </w:r>
      <w:r w:rsidRPr="002027D2">
        <w:rPr>
          <w:rFonts w:ascii="Arial" w:hAnsi="Arial" w:cs="Arial"/>
          <w:sz w:val="24"/>
          <w:szCs w:val="24"/>
        </w:rPr>
        <w:tab/>
        <w:t xml:space="preserve">How, K.N., Yap, W.H., Lim, C.L.H., Goh, B.H., and Lai, Z.W. (2020). Hyaluronic acid-mediated drug delivery system targeting for inflammatory skin diseases: A mini review. Frontiers in Pharmacology </w:t>
      </w:r>
      <w:r w:rsidRPr="002027D2">
        <w:rPr>
          <w:rFonts w:ascii="Arial" w:hAnsi="Arial" w:cs="Arial"/>
          <w:i/>
          <w:sz w:val="24"/>
          <w:szCs w:val="24"/>
        </w:rPr>
        <w:t>11</w:t>
      </w:r>
      <w:r w:rsidRPr="002027D2">
        <w:rPr>
          <w:rFonts w:ascii="Arial" w:hAnsi="Arial" w:cs="Arial"/>
          <w:sz w:val="24"/>
          <w:szCs w:val="24"/>
        </w:rPr>
        <w:t>, 1105.</w:t>
      </w:r>
    </w:p>
    <w:p w14:paraId="3E3FBF1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176.</w:t>
      </w:r>
      <w:r w:rsidRPr="002027D2">
        <w:rPr>
          <w:rFonts w:ascii="Arial" w:hAnsi="Arial" w:cs="Arial"/>
          <w:sz w:val="24"/>
          <w:szCs w:val="24"/>
        </w:rPr>
        <w:tab/>
        <w:t xml:space="preserve">Castillo, R.R., Lozano, D., González, B., Manzano, M., Izquierdo-Barba, I., and Vallet-Regí, M. (2019). Advances in mesoporous silica nanoparticles for targeted stimuli-responsive drug delivery: An update. Expert opinion on drug delivery </w:t>
      </w:r>
      <w:r w:rsidRPr="002027D2">
        <w:rPr>
          <w:rFonts w:ascii="Arial" w:hAnsi="Arial" w:cs="Arial"/>
          <w:i/>
          <w:sz w:val="24"/>
          <w:szCs w:val="24"/>
        </w:rPr>
        <w:t>16</w:t>
      </w:r>
      <w:r w:rsidRPr="002027D2">
        <w:rPr>
          <w:rFonts w:ascii="Arial" w:hAnsi="Arial" w:cs="Arial"/>
          <w:sz w:val="24"/>
          <w:szCs w:val="24"/>
        </w:rPr>
        <w:t>, 415-439.</w:t>
      </w:r>
    </w:p>
    <w:p w14:paraId="2E9209A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177.</w:t>
      </w:r>
      <w:r w:rsidRPr="002027D2">
        <w:rPr>
          <w:rFonts w:ascii="Arial" w:hAnsi="Arial" w:cs="Arial"/>
          <w:sz w:val="24"/>
          <w:szCs w:val="24"/>
        </w:rPr>
        <w:tab/>
        <w:t xml:space="preserve">Frickenstein, A.N., Hagood, J.M., Britten, C.N., Abbott, B.S., McNally, M.W., Vopat, C.A., Patterson, E.G., MacCuaig, W.M., Jain, A., and Walters, K.B. (2021). Mesoporous Silica Nanoparticles: Properties and Strategies for Enhancing Clinical Effect. Pharmaceutics </w:t>
      </w:r>
      <w:r w:rsidRPr="002027D2">
        <w:rPr>
          <w:rFonts w:ascii="Arial" w:hAnsi="Arial" w:cs="Arial"/>
          <w:i/>
          <w:sz w:val="24"/>
          <w:szCs w:val="24"/>
        </w:rPr>
        <w:t>13</w:t>
      </w:r>
      <w:r w:rsidRPr="002027D2">
        <w:rPr>
          <w:rFonts w:ascii="Arial" w:hAnsi="Arial" w:cs="Arial"/>
          <w:sz w:val="24"/>
          <w:szCs w:val="24"/>
        </w:rPr>
        <w:t>, 570.</w:t>
      </w:r>
    </w:p>
    <w:p w14:paraId="338A2085"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178.</w:t>
      </w:r>
      <w:r w:rsidRPr="002027D2">
        <w:rPr>
          <w:rFonts w:ascii="Arial" w:hAnsi="Arial" w:cs="Arial"/>
          <w:sz w:val="24"/>
          <w:szCs w:val="24"/>
        </w:rPr>
        <w:tab/>
        <w:t xml:space="preserve">Zhang, G., Li, X., Liao, Q., Liu, Y., Xi, K., Huang, W., and Jia, X. (2018). Water-dispersible PEG-curcumin/amine-functionalized covalent organic framework nanocomposites as smart carriers for in vivo drug delivery. Nature communications </w:t>
      </w:r>
      <w:r w:rsidRPr="002027D2">
        <w:rPr>
          <w:rFonts w:ascii="Arial" w:hAnsi="Arial" w:cs="Arial"/>
          <w:i/>
          <w:sz w:val="24"/>
          <w:szCs w:val="24"/>
        </w:rPr>
        <w:t>9</w:t>
      </w:r>
      <w:r w:rsidRPr="002027D2">
        <w:rPr>
          <w:rFonts w:ascii="Arial" w:hAnsi="Arial" w:cs="Arial"/>
          <w:sz w:val="24"/>
          <w:szCs w:val="24"/>
        </w:rPr>
        <w:t>, 1-11.</w:t>
      </w:r>
    </w:p>
    <w:p w14:paraId="550E4CA8"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lastRenderedPageBreak/>
        <w:t>179.</w:t>
      </w:r>
      <w:r w:rsidRPr="002027D2">
        <w:rPr>
          <w:rFonts w:ascii="Arial" w:hAnsi="Arial" w:cs="Arial"/>
          <w:sz w:val="24"/>
          <w:szCs w:val="24"/>
        </w:rPr>
        <w:tab/>
        <w:t xml:space="preserve">Reboredo, C., González-Navarro, C.J., Martínez-López, A.L., Martínez-Ohárriz, C., Sarmento, B., and Irache, J.M. (2021). Zein-Based Nanoparticles as Oral Carriers for Insulin Delivery. Pharmaceutics </w:t>
      </w:r>
      <w:r w:rsidRPr="002027D2">
        <w:rPr>
          <w:rFonts w:ascii="Arial" w:hAnsi="Arial" w:cs="Arial"/>
          <w:i/>
          <w:sz w:val="24"/>
          <w:szCs w:val="24"/>
        </w:rPr>
        <w:t>14</w:t>
      </w:r>
      <w:r w:rsidRPr="002027D2">
        <w:rPr>
          <w:rFonts w:ascii="Arial" w:hAnsi="Arial" w:cs="Arial"/>
          <w:sz w:val="24"/>
          <w:szCs w:val="24"/>
        </w:rPr>
        <w:t>, 39.</w:t>
      </w:r>
    </w:p>
    <w:p w14:paraId="209FA7A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180.</w:t>
      </w:r>
      <w:r w:rsidRPr="002027D2">
        <w:rPr>
          <w:rFonts w:ascii="Arial" w:hAnsi="Arial" w:cs="Arial"/>
          <w:sz w:val="24"/>
          <w:szCs w:val="24"/>
        </w:rPr>
        <w:tab/>
        <w:t>Poon, W., Kingston, B.R., Ouyang, B., Ngo, W., and Chan, W.C. (2020). A framework for designing delivery systems. Nature Nanotechnology, 1-11.</w:t>
      </w:r>
    </w:p>
    <w:p w14:paraId="27F00E69"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181.</w:t>
      </w:r>
      <w:r w:rsidRPr="002027D2">
        <w:rPr>
          <w:rFonts w:ascii="Arial" w:hAnsi="Arial" w:cs="Arial"/>
          <w:sz w:val="24"/>
          <w:szCs w:val="24"/>
        </w:rPr>
        <w:tab/>
        <w:t xml:space="preserve">Sykes, E.A., Chen, J., Zheng, G., and Chan, W.C. (2014). Investigating the impact of nanoparticle size on active and passive tumor targeting efficiency. ACS nano </w:t>
      </w:r>
      <w:r w:rsidRPr="002027D2">
        <w:rPr>
          <w:rFonts w:ascii="Arial" w:hAnsi="Arial" w:cs="Arial"/>
          <w:i/>
          <w:sz w:val="24"/>
          <w:szCs w:val="24"/>
        </w:rPr>
        <w:t>8</w:t>
      </w:r>
      <w:r w:rsidRPr="002027D2">
        <w:rPr>
          <w:rFonts w:ascii="Arial" w:hAnsi="Arial" w:cs="Arial"/>
          <w:sz w:val="24"/>
          <w:szCs w:val="24"/>
        </w:rPr>
        <w:t>, 5696-5706.</w:t>
      </w:r>
    </w:p>
    <w:p w14:paraId="3F6589F7"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182.</w:t>
      </w:r>
      <w:r w:rsidRPr="002027D2">
        <w:rPr>
          <w:rFonts w:ascii="Arial" w:hAnsi="Arial" w:cs="Arial"/>
          <w:sz w:val="24"/>
          <w:szCs w:val="24"/>
        </w:rPr>
        <w:tab/>
        <w:t xml:space="preserve">Frieboes, H.B., Wu, M., Lowengrub, J., Decuzzi, P., and Cristini, V. (2013). A computational model for predicting nanoparticle accumulation in tumor vasculature. PloS one </w:t>
      </w:r>
      <w:r w:rsidRPr="002027D2">
        <w:rPr>
          <w:rFonts w:ascii="Arial" w:hAnsi="Arial" w:cs="Arial"/>
          <w:i/>
          <w:sz w:val="24"/>
          <w:szCs w:val="24"/>
        </w:rPr>
        <w:t>8</w:t>
      </w:r>
      <w:r w:rsidRPr="002027D2">
        <w:rPr>
          <w:rFonts w:ascii="Arial" w:hAnsi="Arial" w:cs="Arial"/>
          <w:sz w:val="24"/>
          <w:szCs w:val="24"/>
        </w:rPr>
        <w:t>, e56876.</w:t>
      </w:r>
    </w:p>
    <w:p w14:paraId="356AAEEF"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183.</w:t>
      </w:r>
      <w:r w:rsidRPr="002027D2">
        <w:rPr>
          <w:rFonts w:ascii="Arial" w:hAnsi="Arial" w:cs="Arial"/>
          <w:sz w:val="24"/>
          <w:szCs w:val="24"/>
        </w:rPr>
        <w:tab/>
        <w:t xml:space="preserve">Bertrand, N., Wu, J., Xu, X., Kamaly, N., and Farokhzad, O.C. (2014). Cancer nanotechnology: the impact of passive and active targeting in the era of modern cancer biology. Advanced drug delivery reviews </w:t>
      </w:r>
      <w:r w:rsidRPr="002027D2">
        <w:rPr>
          <w:rFonts w:ascii="Arial" w:hAnsi="Arial" w:cs="Arial"/>
          <w:i/>
          <w:sz w:val="24"/>
          <w:szCs w:val="24"/>
        </w:rPr>
        <w:t>66</w:t>
      </w:r>
      <w:r w:rsidRPr="002027D2">
        <w:rPr>
          <w:rFonts w:ascii="Arial" w:hAnsi="Arial" w:cs="Arial"/>
          <w:sz w:val="24"/>
          <w:szCs w:val="24"/>
        </w:rPr>
        <w:t>, 2-25.</w:t>
      </w:r>
    </w:p>
    <w:p w14:paraId="58C5D75F"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184.</w:t>
      </w:r>
      <w:r w:rsidRPr="002027D2">
        <w:rPr>
          <w:rFonts w:ascii="Arial" w:hAnsi="Arial" w:cs="Arial"/>
          <w:sz w:val="24"/>
          <w:szCs w:val="24"/>
        </w:rPr>
        <w:tab/>
        <w:t xml:space="preserve">Perry, J.L., Reuter, K.G., Luft, J.C., Pecot, C.V., Zamboni, W., and DeSimone, J.M. (2017). Mediating passive tumor accumulation through particle size, tumor type, and location. Nano letters </w:t>
      </w:r>
      <w:r w:rsidRPr="002027D2">
        <w:rPr>
          <w:rFonts w:ascii="Arial" w:hAnsi="Arial" w:cs="Arial"/>
          <w:i/>
          <w:sz w:val="24"/>
          <w:szCs w:val="24"/>
        </w:rPr>
        <w:t>17</w:t>
      </w:r>
      <w:r w:rsidRPr="002027D2">
        <w:rPr>
          <w:rFonts w:ascii="Arial" w:hAnsi="Arial" w:cs="Arial"/>
          <w:sz w:val="24"/>
          <w:szCs w:val="24"/>
        </w:rPr>
        <w:t>, 2879-2886.</w:t>
      </w:r>
    </w:p>
    <w:p w14:paraId="38E43B78"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185.</w:t>
      </w:r>
      <w:r w:rsidRPr="002027D2">
        <w:rPr>
          <w:rFonts w:ascii="Arial" w:hAnsi="Arial" w:cs="Arial"/>
          <w:sz w:val="24"/>
          <w:szCs w:val="24"/>
        </w:rPr>
        <w:tab/>
        <w:t xml:space="preserve">Korangath, P., Barnett, J.D., Sharma, A., Henderson, E.T., Stewart, J., Yu, S.-H., Kandala, S.K., Yang, C.-T., Caserto, J.S., and Hedayati, M. (2020). Nanoparticle interactions with immune cells dominate tumor retention and induce T cell–mediated tumor suppression in models of breast cancer. Science Advances </w:t>
      </w:r>
      <w:r w:rsidRPr="002027D2">
        <w:rPr>
          <w:rFonts w:ascii="Arial" w:hAnsi="Arial" w:cs="Arial"/>
          <w:i/>
          <w:sz w:val="24"/>
          <w:szCs w:val="24"/>
        </w:rPr>
        <w:t>6</w:t>
      </w:r>
      <w:r w:rsidRPr="002027D2">
        <w:rPr>
          <w:rFonts w:ascii="Arial" w:hAnsi="Arial" w:cs="Arial"/>
          <w:sz w:val="24"/>
          <w:szCs w:val="24"/>
        </w:rPr>
        <w:t>, eaay1601.</w:t>
      </w:r>
    </w:p>
    <w:p w14:paraId="26CA29E9"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186.</w:t>
      </w:r>
      <w:r w:rsidRPr="002027D2">
        <w:rPr>
          <w:rFonts w:ascii="Arial" w:hAnsi="Arial" w:cs="Arial"/>
          <w:sz w:val="24"/>
          <w:szCs w:val="24"/>
        </w:rPr>
        <w:tab/>
        <w:t xml:space="preserve">Haubner, R., Wester, H.-J., Burkhart, F., Senekowitsch-Schmidtke, R., Weber, W., Goodman, S.L., Kessler, H., and Schwaiger, M. (2001). Glycosylated RGD-containing peptides: tracer for tumor targeting and angiogenesis imaging with improved biokinetics. Journal of Nuclear Medicine </w:t>
      </w:r>
      <w:r w:rsidRPr="002027D2">
        <w:rPr>
          <w:rFonts w:ascii="Arial" w:hAnsi="Arial" w:cs="Arial"/>
          <w:i/>
          <w:sz w:val="24"/>
          <w:szCs w:val="24"/>
        </w:rPr>
        <w:t>42</w:t>
      </w:r>
      <w:r w:rsidRPr="002027D2">
        <w:rPr>
          <w:rFonts w:ascii="Arial" w:hAnsi="Arial" w:cs="Arial"/>
          <w:sz w:val="24"/>
          <w:szCs w:val="24"/>
        </w:rPr>
        <w:t>, 326-336.</w:t>
      </w:r>
    </w:p>
    <w:p w14:paraId="34B695C7"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187.</w:t>
      </w:r>
      <w:r w:rsidRPr="002027D2">
        <w:rPr>
          <w:rFonts w:ascii="Arial" w:hAnsi="Arial" w:cs="Arial"/>
          <w:sz w:val="24"/>
          <w:szCs w:val="24"/>
        </w:rPr>
        <w:tab/>
        <w:t xml:space="preserve">Gao, W., Xiang, B., Meng, T.-T., Liu, F., and Qi, X.-R. (2013). Chemotherapeutic drug delivery to cancer cells using a combination of folate targeting and tumor microenvironment-sensitive polypeptides. Biomaterials </w:t>
      </w:r>
      <w:r w:rsidRPr="002027D2">
        <w:rPr>
          <w:rFonts w:ascii="Arial" w:hAnsi="Arial" w:cs="Arial"/>
          <w:i/>
          <w:sz w:val="24"/>
          <w:szCs w:val="24"/>
        </w:rPr>
        <w:t>34</w:t>
      </w:r>
      <w:r w:rsidRPr="002027D2">
        <w:rPr>
          <w:rFonts w:ascii="Arial" w:hAnsi="Arial" w:cs="Arial"/>
          <w:sz w:val="24"/>
          <w:szCs w:val="24"/>
        </w:rPr>
        <w:t>, 4137-4149.</w:t>
      </w:r>
    </w:p>
    <w:p w14:paraId="5B9CCDB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188.</w:t>
      </w:r>
      <w:r w:rsidRPr="002027D2">
        <w:rPr>
          <w:rFonts w:ascii="Arial" w:hAnsi="Arial" w:cs="Arial"/>
          <w:sz w:val="24"/>
          <w:szCs w:val="24"/>
        </w:rPr>
        <w:tab/>
        <w:t xml:space="preserve">Du, W., and Elemento, O. (2015). Cancer systems biology: embracing complexity to develop better anticancer therapeutic strategies. Oncogene </w:t>
      </w:r>
      <w:r w:rsidRPr="002027D2">
        <w:rPr>
          <w:rFonts w:ascii="Arial" w:hAnsi="Arial" w:cs="Arial"/>
          <w:i/>
          <w:sz w:val="24"/>
          <w:szCs w:val="24"/>
        </w:rPr>
        <w:t>34</w:t>
      </w:r>
      <w:r w:rsidRPr="002027D2">
        <w:rPr>
          <w:rFonts w:ascii="Arial" w:hAnsi="Arial" w:cs="Arial"/>
          <w:sz w:val="24"/>
          <w:szCs w:val="24"/>
        </w:rPr>
        <w:t>, 3215-3225.</w:t>
      </w:r>
    </w:p>
    <w:p w14:paraId="298D61F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189.</w:t>
      </w:r>
      <w:r w:rsidRPr="002027D2">
        <w:rPr>
          <w:rFonts w:ascii="Arial" w:hAnsi="Arial" w:cs="Arial"/>
          <w:sz w:val="24"/>
          <w:szCs w:val="24"/>
        </w:rPr>
        <w:tab/>
        <w:t xml:space="preserve">Kimbrough, C.W., Khanal, A., Zeiderman, M., Khanal, B.R., Burton, N.C., McMasters, K.M., Vickers, S.M., Grizzle, W.E., and McNally, L.R. (2015). Targeting acidity in pancreatic adenocarcinoma: multispectral optoacoustic tomography detects pH-low insertion peptide probes in vivo. Clinical cancer research </w:t>
      </w:r>
      <w:r w:rsidRPr="002027D2">
        <w:rPr>
          <w:rFonts w:ascii="Arial" w:hAnsi="Arial" w:cs="Arial"/>
          <w:i/>
          <w:sz w:val="24"/>
          <w:szCs w:val="24"/>
        </w:rPr>
        <w:t>21</w:t>
      </w:r>
      <w:r w:rsidRPr="002027D2">
        <w:rPr>
          <w:rFonts w:ascii="Arial" w:hAnsi="Arial" w:cs="Arial"/>
          <w:sz w:val="24"/>
          <w:szCs w:val="24"/>
        </w:rPr>
        <w:t>, 4576-4585.</w:t>
      </w:r>
    </w:p>
    <w:p w14:paraId="2FF505B2"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190.</w:t>
      </w:r>
      <w:r w:rsidRPr="002027D2">
        <w:rPr>
          <w:rFonts w:ascii="Arial" w:hAnsi="Arial" w:cs="Arial"/>
          <w:sz w:val="24"/>
          <w:szCs w:val="24"/>
        </w:rPr>
        <w:tab/>
        <w:t xml:space="preserve">Gillies, R.J., Verduzco, D., and Gatenby, R.A. (2012). Evolutionary dynamics of carcinogenesis and why targeted therapy does not work. Nature Reviews Cancer </w:t>
      </w:r>
      <w:r w:rsidRPr="002027D2">
        <w:rPr>
          <w:rFonts w:ascii="Arial" w:hAnsi="Arial" w:cs="Arial"/>
          <w:i/>
          <w:sz w:val="24"/>
          <w:szCs w:val="24"/>
        </w:rPr>
        <w:t>12</w:t>
      </w:r>
      <w:r w:rsidRPr="002027D2">
        <w:rPr>
          <w:rFonts w:ascii="Arial" w:hAnsi="Arial" w:cs="Arial"/>
          <w:sz w:val="24"/>
          <w:szCs w:val="24"/>
        </w:rPr>
        <w:t>, 487-493.</w:t>
      </w:r>
    </w:p>
    <w:p w14:paraId="65E84EE2"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191.</w:t>
      </w:r>
      <w:r w:rsidRPr="002027D2">
        <w:rPr>
          <w:rFonts w:ascii="Arial" w:hAnsi="Arial" w:cs="Arial"/>
          <w:sz w:val="24"/>
          <w:szCs w:val="24"/>
        </w:rPr>
        <w:tab/>
        <w:t xml:space="preserve">Weerakkody, D., Moshnikova, A., Thakur, M.S., Moshnikova, V., Daniels, J., Engelman, D.M., Andreev, O.A., and Reshetnyak, Y.K. (2013). Family of pH (low) insertion peptides for tumor targeting. Proceedings of the National Academy of Sciences </w:t>
      </w:r>
      <w:r w:rsidRPr="002027D2">
        <w:rPr>
          <w:rFonts w:ascii="Arial" w:hAnsi="Arial" w:cs="Arial"/>
          <w:i/>
          <w:sz w:val="24"/>
          <w:szCs w:val="24"/>
        </w:rPr>
        <w:t>110</w:t>
      </w:r>
      <w:r w:rsidRPr="002027D2">
        <w:rPr>
          <w:rFonts w:ascii="Arial" w:hAnsi="Arial" w:cs="Arial"/>
          <w:sz w:val="24"/>
          <w:szCs w:val="24"/>
        </w:rPr>
        <w:t>, 5834-5839.</w:t>
      </w:r>
    </w:p>
    <w:p w14:paraId="1C273069"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192.</w:t>
      </w:r>
      <w:r w:rsidRPr="002027D2">
        <w:rPr>
          <w:rFonts w:ascii="Arial" w:hAnsi="Arial" w:cs="Arial"/>
          <w:sz w:val="24"/>
          <w:szCs w:val="24"/>
        </w:rPr>
        <w:tab/>
        <w:t xml:space="preserve">Andreev, O.A., Engelman, D.M., and Reshetnyak, Y.K. (2014). Targeting diseased tissues by pHLIP insertion at low cell surface pH. Frontiers in physiology </w:t>
      </w:r>
      <w:r w:rsidRPr="002027D2">
        <w:rPr>
          <w:rFonts w:ascii="Arial" w:hAnsi="Arial" w:cs="Arial"/>
          <w:i/>
          <w:sz w:val="24"/>
          <w:szCs w:val="24"/>
        </w:rPr>
        <w:t>5</w:t>
      </w:r>
      <w:r w:rsidRPr="002027D2">
        <w:rPr>
          <w:rFonts w:ascii="Arial" w:hAnsi="Arial" w:cs="Arial"/>
          <w:sz w:val="24"/>
          <w:szCs w:val="24"/>
        </w:rPr>
        <w:t>, 97.</w:t>
      </w:r>
    </w:p>
    <w:p w14:paraId="2678ECB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lastRenderedPageBreak/>
        <w:t>193.</w:t>
      </w:r>
      <w:r w:rsidRPr="002027D2">
        <w:rPr>
          <w:rFonts w:ascii="Arial" w:hAnsi="Arial" w:cs="Arial"/>
          <w:sz w:val="24"/>
          <w:szCs w:val="24"/>
        </w:rPr>
        <w:tab/>
        <w:t xml:space="preserve">Andreev, O.A., Engelman, D.M., and Reshetnyak, Y.K. (2010). pH-sensitive membrane peptides (pHLIPs) as a novel class of delivery agents. Molecular membrane biology </w:t>
      </w:r>
      <w:r w:rsidRPr="002027D2">
        <w:rPr>
          <w:rFonts w:ascii="Arial" w:hAnsi="Arial" w:cs="Arial"/>
          <w:i/>
          <w:sz w:val="24"/>
          <w:szCs w:val="24"/>
        </w:rPr>
        <w:t>27</w:t>
      </w:r>
      <w:r w:rsidRPr="002027D2">
        <w:rPr>
          <w:rFonts w:ascii="Arial" w:hAnsi="Arial" w:cs="Arial"/>
          <w:sz w:val="24"/>
          <w:szCs w:val="24"/>
        </w:rPr>
        <w:t>, 341-352.</w:t>
      </w:r>
    </w:p>
    <w:p w14:paraId="081EB1C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194.</w:t>
      </w:r>
      <w:r w:rsidRPr="002027D2">
        <w:rPr>
          <w:rFonts w:ascii="Arial" w:hAnsi="Arial" w:cs="Arial"/>
          <w:sz w:val="24"/>
          <w:szCs w:val="24"/>
        </w:rPr>
        <w:tab/>
        <w:t xml:space="preserve">Reshetnyak, Y.K., Andreev, O.A., Segala, M., Markin, V.S., and Engelman, D.M. (2008). Energetics of peptide (pHLIP) binding to and folding across a lipid bilayer membrane. Proceedings of the National Academy of Sciences </w:t>
      </w:r>
      <w:r w:rsidRPr="002027D2">
        <w:rPr>
          <w:rFonts w:ascii="Arial" w:hAnsi="Arial" w:cs="Arial"/>
          <w:i/>
          <w:sz w:val="24"/>
          <w:szCs w:val="24"/>
        </w:rPr>
        <w:t>105</w:t>
      </w:r>
      <w:r w:rsidRPr="002027D2">
        <w:rPr>
          <w:rFonts w:ascii="Arial" w:hAnsi="Arial" w:cs="Arial"/>
          <w:sz w:val="24"/>
          <w:szCs w:val="24"/>
        </w:rPr>
        <w:t>, 15340-15345.</w:t>
      </w:r>
    </w:p>
    <w:p w14:paraId="1C97E695"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195.</w:t>
      </w:r>
      <w:r w:rsidRPr="002027D2">
        <w:rPr>
          <w:rFonts w:ascii="Arial" w:hAnsi="Arial" w:cs="Arial"/>
          <w:sz w:val="24"/>
          <w:szCs w:val="24"/>
        </w:rPr>
        <w:tab/>
        <w:t xml:space="preserve">Singh, P., Szigyártó, I.C., Ricci, M., Zsila, F., Juhász, T., Mihály, J., Bősze, S., Bulyáki, É., Kardos, J., and Kitka, D. (2020). Membrane active peptides remove surface adsorbed protein corona from extracellular vesicles of red blood cells. Frontiers in chemistry </w:t>
      </w:r>
      <w:r w:rsidRPr="002027D2">
        <w:rPr>
          <w:rFonts w:ascii="Arial" w:hAnsi="Arial" w:cs="Arial"/>
          <w:i/>
          <w:sz w:val="24"/>
          <w:szCs w:val="24"/>
        </w:rPr>
        <w:t>8</w:t>
      </w:r>
      <w:r w:rsidRPr="002027D2">
        <w:rPr>
          <w:rFonts w:ascii="Arial" w:hAnsi="Arial" w:cs="Arial"/>
          <w:sz w:val="24"/>
          <w:szCs w:val="24"/>
        </w:rPr>
        <w:t>, 703.</w:t>
      </w:r>
    </w:p>
    <w:p w14:paraId="0A75A53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196.</w:t>
      </w:r>
      <w:r w:rsidRPr="002027D2">
        <w:rPr>
          <w:rFonts w:ascii="Arial" w:hAnsi="Arial" w:cs="Arial"/>
          <w:sz w:val="24"/>
          <w:szCs w:val="24"/>
        </w:rPr>
        <w:tab/>
        <w:t xml:space="preserve">Natte, K., Friedrich, J.F., Wohlrab, S., Lutzki, J., von Klitzing, R., Österle, W., and Orts-Gil, G. (2013). Impact of polymer shell on the formation and time evolution of nanoparticle–protein corona. Colloids and Surfaces B: Biointerfaces </w:t>
      </w:r>
      <w:r w:rsidRPr="002027D2">
        <w:rPr>
          <w:rFonts w:ascii="Arial" w:hAnsi="Arial" w:cs="Arial"/>
          <w:i/>
          <w:sz w:val="24"/>
          <w:szCs w:val="24"/>
        </w:rPr>
        <w:t>104</w:t>
      </w:r>
      <w:r w:rsidRPr="002027D2">
        <w:rPr>
          <w:rFonts w:ascii="Arial" w:hAnsi="Arial" w:cs="Arial"/>
          <w:sz w:val="24"/>
          <w:szCs w:val="24"/>
        </w:rPr>
        <w:t>, 213-220.</w:t>
      </w:r>
    </w:p>
    <w:p w14:paraId="5E4F1214"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197.</w:t>
      </w:r>
      <w:r w:rsidRPr="002027D2">
        <w:rPr>
          <w:rFonts w:ascii="Arial" w:hAnsi="Arial" w:cs="Arial"/>
          <w:sz w:val="24"/>
          <w:szCs w:val="24"/>
        </w:rPr>
        <w:tab/>
        <w:t xml:space="preserve">Xiao, W., and Gao, H. (2018). The impact of protein corona on the behavior and targeting capability of nanoparticle-based delivery system. International Journal of Pharmaceutics </w:t>
      </w:r>
      <w:r w:rsidRPr="002027D2">
        <w:rPr>
          <w:rFonts w:ascii="Arial" w:hAnsi="Arial" w:cs="Arial"/>
          <w:i/>
          <w:sz w:val="24"/>
          <w:szCs w:val="24"/>
        </w:rPr>
        <w:t>552</w:t>
      </w:r>
      <w:r w:rsidRPr="002027D2">
        <w:rPr>
          <w:rFonts w:ascii="Arial" w:hAnsi="Arial" w:cs="Arial"/>
          <w:sz w:val="24"/>
          <w:szCs w:val="24"/>
        </w:rPr>
        <w:t>, 328-339.</w:t>
      </w:r>
    </w:p>
    <w:p w14:paraId="1A757BD5"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198.</w:t>
      </w:r>
      <w:r w:rsidRPr="002027D2">
        <w:rPr>
          <w:rFonts w:ascii="Arial" w:hAnsi="Arial" w:cs="Arial"/>
          <w:sz w:val="24"/>
          <w:szCs w:val="24"/>
        </w:rPr>
        <w:tab/>
        <w:t xml:space="preserve">Blanco, E., Shen, H., and Ferrari, M. (2015). Principles of nanoparticle design for overcoming biological barriers to drug delivery. Nature biotechnology </w:t>
      </w:r>
      <w:r w:rsidRPr="002027D2">
        <w:rPr>
          <w:rFonts w:ascii="Arial" w:hAnsi="Arial" w:cs="Arial"/>
          <w:i/>
          <w:sz w:val="24"/>
          <w:szCs w:val="24"/>
        </w:rPr>
        <w:t>33</w:t>
      </w:r>
      <w:r w:rsidRPr="002027D2">
        <w:rPr>
          <w:rFonts w:ascii="Arial" w:hAnsi="Arial" w:cs="Arial"/>
          <w:sz w:val="24"/>
          <w:szCs w:val="24"/>
        </w:rPr>
        <w:t>, 941.</w:t>
      </w:r>
    </w:p>
    <w:p w14:paraId="281C69C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199.</w:t>
      </w:r>
      <w:r w:rsidRPr="002027D2">
        <w:rPr>
          <w:rFonts w:ascii="Arial" w:hAnsi="Arial" w:cs="Arial"/>
          <w:sz w:val="24"/>
          <w:szCs w:val="24"/>
        </w:rPr>
        <w:tab/>
        <w:t xml:space="preserve">Oh, N., and Park, J.-H. (2014). Endocytosis and exocytosis of nanoparticles in mammalian cells. International journal of nanomedicine </w:t>
      </w:r>
      <w:r w:rsidRPr="002027D2">
        <w:rPr>
          <w:rFonts w:ascii="Arial" w:hAnsi="Arial" w:cs="Arial"/>
          <w:i/>
          <w:sz w:val="24"/>
          <w:szCs w:val="24"/>
        </w:rPr>
        <w:t>9</w:t>
      </w:r>
      <w:r w:rsidRPr="002027D2">
        <w:rPr>
          <w:rFonts w:ascii="Arial" w:hAnsi="Arial" w:cs="Arial"/>
          <w:sz w:val="24"/>
          <w:szCs w:val="24"/>
        </w:rPr>
        <w:t>, 51.</w:t>
      </w:r>
    </w:p>
    <w:p w14:paraId="6513CBFD"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200.</w:t>
      </w:r>
      <w:r w:rsidRPr="002027D2">
        <w:rPr>
          <w:rFonts w:ascii="Arial" w:hAnsi="Arial" w:cs="Arial"/>
          <w:sz w:val="24"/>
          <w:szCs w:val="24"/>
        </w:rPr>
        <w:tab/>
        <w:t xml:space="preserve">Cabral, H., Matsumoto, Y., Mizuno, K., Chen, Q., Murakami, M., Kimura, M., Terada, Y., Kano, M., Miyazono, K., and Uesaka, M. (2011). Accumulation of sub-100 nm polymeric micelles in poorly permeable tumours depends on size. Nature nanotechnology </w:t>
      </w:r>
      <w:r w:rsidRPr="002027D2">
        <w:rPr>
          <w:rFonts w:ascii="Arial" w:hAnsi="Arial" w:cs="Arial"/>
          <w:i/>
          <w:sz w:val="24"/>
          <w:szCs w:val="24"/>
        </w:rPr>
        <w:t>6</w:t>
      </w:r>
      <w:r w:rsidRPr="002027D2">
        <w:rPr>
          <w:rFonts w:ascii="Arial" w:hAnsi="Arial" w:cs="Arial"/>
          <w:sz w:val="24"/>
          <w:szCs w:val="24"/>
        </w:rPr>
        <w:t>, 815.</w:t>
      </w:r>
    </w:p>
    <w:p w14:paraId="4385A60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201.</w:t>
      </w:r>
      <w:r w:rsidRPr="002027D2">
        <w:rPr>
          <w:rFonts w:ascii="Arial" w:hAnsi="Arial" w:cs="Arial"/>
          <w:sz w:val="24"/>
          <w:szCs w:val="24"/>
        </w:rPr>
        <w:tab/>
        <w:t xml:space="preserve">Bharti, C., Nagaich, U., Pal, A.K., and Gulati, N. (2015). Mesoporous silica nanoparticles in target drug delivery system: A review. International journal of pharmaceutical investigation </w:t>
      </w:r>
      <w:r w:rsidRPr="002027D2">
        <w:rPr>
          <w:rFonts w:ascii="Arial" w:hAnsi="Arial" w:cs="Arial"/>
          <w:i/>
          <w:sz w:val="24"/>
          <w:szCs w:val="24"/>
        </w:rPr>
        <w:t>5</w:t>
      </w:r>
      <w:r w:rsidRPr="002027D2">
        <w:rPr>
          <w:rFonts w:ascii="Arial" w:hAnsi="Arial" w:cs="Arial"/>
          <w:sz w:val="24"/>
          <w:szCs w:val="24"/>
        </w:rPr>
        <w:t>, 124.</w:t>
      </w:r>
    </w:p>
    <w:p w14:paraId="793FB482"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202.</w:t>
      </w:r>
      <w:r w:rsidRPr="002027D2">
        <w:rPr>
          <w:rFonts w:ascii="Arial" w:hAnsi="Arial" w:cs="Arial"/>
          <w:sz w:val="24"/>
          <w:szCs w:val="24"/>
        </w:rPr>
        <w:tab/>
        <w:t xml:space="preserve">Narayan, R., Nayak, U.Y., Raichur, A.M., and Garg, S. (2018). Mesoporous silica nanoparticles: A comprehensive review on synthesis and recent advances. Pharmaceutics </w:t>
      </w:r>
      <w:r w:rsidRPr="002027D2">
        <w:rPr>
          <w:rFonts w:ascii="Arial" w:hAnsi="Arial" w:cs="Arial"/>
          <w:i/>
          <w:sz w:val="24"/>
          <w:szCs w:val="24"/>
        </w:rPr>
        <w:t>10</w:t>
      </w:r>
      <w:r w:rsidRPr="002027D2">
        <w:rPr>
          <w:rFonts w:ascii="Arial" w:hAnsi="Arial" w:cs="Arial"/>
          <w:sz w:val="24"/>
          <w:szCs w:val="24"/>
        </w:rPr>
        <w:t>, 118.</w:t>
      </w:r>
    </w:p>
    <w:p w14:paraId="1BFCC82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203.</w:t>
      </w:r>
      <w:r w:rsidRPr="002027D2">
        <w:rPr>
          <w:rFonts w:ascii="Arial" w:hAnsi="Arial" w:cs="Arial"/>
          <w:sz w:val="24"/>
          <w:szCs w:val="24"/>
        </w:rPr>
        <w:tab/>
        <w:t xml:space="preserve">Wu, Y., Cain-Hom, C., Choy, L., Hagenbeek, T.J., de Leon, G.P., Chen, Y., Finkle, D., Venook, R., Wu, X., and Ridgway, J. (2010). Therapeutic antibody targeting of individual Notch receptors. Nature </w:t>
      </w:r>
      <w:r w:rsidRPr="002027D2">
        <w:rPr>
          <w:rFonts w:ascii="Arial" w:hAnsi="Arial" w:cs="Arial"/>
          <w:i/>
          <w:sz w:val="24"/>
          <w:szCs w:val="24"/>
        </w:rPr>
        <w:t>464</w:t>
      </w:r>
      <w:r w:rsidRPr="002027D2">
        <w:rPr>
          <w:rFonts w:ascii="Arial" w:hAnsi="Arial" w:cs="Arial"/>
          <w:sz w:val="24"/>
          <w:szCs w:val="24"/>
        </w:rPr>
        <w:t>, 1052-1057.</w:t>
      </w:r>
    </w:p>
    <w:p w14:paraId="4B9658D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204.</w:t>
      </w:r>
      <w:r w:rsidRPr="002027D2">
        <w:rPr>
          <w:rFonts w:ascii="Arial" w:hAnsi="Arial" w:cs="Arial"/>
          <w:sz w:val="24"/>
          <w:szCs w:val="24"/>
        </w:rPr>
        <w:tab/>
        <w:t xml:space="preserve">Wang, T., Chai, F., Fu, Q., Zhang, L., Liu, H., Li, L., Liao, Y., Su, Z., Wang, C., and Duan, B. (2011). Uniform hollow mesoporous silica nanocages for drug delivery in vitro and in vivo for liver cancer therapy. Journal of Materials Chemistry </w:t>
      </w:r>
      <w:r w:rsidRPr="002027D2">
        <w:rPr>
          <w:rFonts w:ascii="Arial" w:hAnsi="Arial" w:cs="Arial"/>
          <w:i/>
          <w:sz w:val="24"/>
          <w:szCs w:val="24"/>
        </w:rPr>
        <w:t>21</w:t>
      </w:r>
      <w:r w:rsidRPr="002027D2">
        <w:rPr>
          <w:rFonts w:ascii="Arial" w:hAnsi="Arial" w:cs="Arial"/>
          <w:sz w:val="24"/>
          <w:szCs w:val="24"/>
        </w:rPr>
        <w:t>, 5299-5306.</w:t>
      </w:r>
    </w:p>
    <w:p w14:paraId="61DB8C3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205.</w:t>
      </w:r>
      <w:r w:rsidRPr="002027D2">
        <w:rPr>
          <w:rFonts w:ascii="Arial" w:hAnsi="Arial" w:cs="Arial"/>
          <w:sz w:val="24"/>
          <w:szCs w:val="24"/>
        </w:rPr>
        <w:tab/>
        <w:t>Gary</w:t>
      </w:r>
      <w:r w:rsidRPr="002027D2">
        <w:rPr>
          <w:rFonts w:ascii="Cambria Math" w:hAnsi="Cambria Math" w:cs="Cambria Math"/>
          <w:sz w:val="24"/>
          <w:szCs w:val="24"/>
        </w:rPr>
        <w:t>‐</w:t>
      </w:r>
      <w:r w:rsidRPr="002027D2">
        <w:rPr>
          <w:rFonts w:ascii="Arial" w:hAnsi="Arial" w:cs="Arial"/>
          <w:sz w:val="24"/>
          <w:szCs w:val="24"/>
        </w:rPr>
        <w:t>Bobo, M., Mir, Y., Rouxel, C., Brevet, D., Basile, I., Maynadier, M., Vaillant, O., Mongin, O., Blanchard</w:t>
      </w:r>
      <w:r w:rsidRPr="002027D2">
        <w:rPr>
          <w:rFonts w:ascii="Cambria Math" w:hAnsi="Cambria Math" w:cs="Cambria Math"/>
          <w:sz w:val="24"/>
          <w:szCs w:val="24"/>
        </w:rPr>
        <w:t>‐</w:t>
      </w:r>
      <w:r w:rsidRPr="002027D2">
        <w:rPr>
          <w:rFonts w:ascii="Arial" w:hAnsi="Arial" w:cs="Arial"/>
          <w:sz w:val="24"/>
          <w:szCs w:val="24"/>
        </w:rPr>
        <w:t>Desce, M., and Morère, A. (2011). Mannose</w:t>
      </w:r>
      <w:r w:rsidRPr="002027D2">
        <w:rPr>
          <w:rFonts w:ascii="Cambria Math" w:hAnsi="Cambria Math" w:cs="Cambria Math"/>
          <w:sz w:val="24"/>
          <w:szCs w:val="24"/>
        </w:rPr>
        <w:t>‐</w:t>
      </w:r>
      <w:r w:rsidRPr="002027D2">
        <w:rPr>
          <w:rFonts w:ascii="Arial" w:hAnsi="Arial" w:cs="Arial"/>
          <w:sz w:val="24"/>
          <w:szCs w:val="24"/>
        </w:rPr>
        <w:t>functionalized mesoporous silica nanoparticles for efficient two</w:t>
      </w:r>
      <w:r w:rsidRPr="002027D2">
        <w:rPr>
          <w:rFonts w:ascii="Cambria Math" w:hAnsi="Cambria Math" w:cs="Cambria Math"/>
          <w:sz w:val="24"/>
          <w:szCs w:val="24"/>
        </w:rPr>
        <w:t>‐</w:t>
      </w:r>
      <w:r w:rsidRPr="002027D2">
        <w:rPr>
          <w:rFonts w:ascii="Arial" w:hAnsi="Arial" w:cs="Arial"/>
          <w:sz w:val="24"/>
          <w:szCs w:val="24"/>
        </w:rPr>
        <w:t xml:space="preserve">photon photodynamic therapy of solid tumors. Angewandte Chemie International Edition </w:t>
      </w:r>
      <w:r w:rsidRPr="002027D2">
        <w:rPr>
          <w:rFonts w:ascii="Arial" w:hAnsi="Arial" w:cs="Arial"/>
          <w:i/>
          <w:sz w:val="24"/>
          <w:szCs w:val="24"/>
        </w:rPr>
        <w:t>50</w:t>
      </w:r>
      <w:r w:rsidRPr="002027D2">
        <w:rPr>
          <w:rFonts w:ascii="Arial" w:hAnsi="Arial" w:cs="Arial"/>
          <w:sz w:val="24"/>
          <w:szCs w:val="24"/>
        </w:rPr>
        <w:t>, 11425-11429.</w:t>
      </w:r>
    </w:p>
    <w:p w14:paraId="3EA019B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206.</w:t>
      </w:r>
      <w:r w:rsidRPr="002027D2">
        <w:rPr>
          <w:rFonts w:ascii="Arial" w:hAnsi="Arial" w:cs="Arial"/>
          <w:sz w:val="24"/>
          <w:szCs w:val="24"/>
        </w:rPr>
        <w:tab/>
        <w:t xml:space="preserve">Shen, S.-C., Ng, W.K., Shi, Z., Chia, L., Neoh, K.G., and Tan, R.B.H. (2011). Mesoporous silica nanoparticle-functionalized poly (methyl methacrylate)-based </w:t>
      </w:r>
      <w:r w:rsidRPr="002027D2">
        <w:rPr>
          <w:rFonts w:ascii="Arial" w:hAnsi="Arial" w:cs="Arial"/>
          <w:sz w:val="24"/>
          <w:szCs w:val="24"/>
        </w:rPr>
        <w:lastRenderedPageBreak/>
        <w:t xml:space="preserve">bone cement for effective antibiotics delivery. Journal of Materials Science: Materials in Medicine </w:t>
      </w:r>
      <w:r w:rsidRPr="002027D2">
        <w:rPr>
          <w:rFonts w:ascii="Arial" w:hAnsi="Arial" w:cs="Arial"/>
          <w:i/>
          <w:sz w:val="24"/>
          <w:szCs w:val="24"/>
        </w:rPr>
        <w:t>22</w:t>
      </w:r>
      <w:r w:rsidRPr="002027D2">
        <w:rPr>
          <w:rFonts w:ascii="Arial" w:hAnsi="Arial" w:cs="Arial"/>
          <w:sz w:val="24"/>
          <w:szCs w:val="24"/>
        </w:rPr>
        <w:t>, 2283.</w:t>
      </w:r>
    </w:p>
    <w:p w14:paraId="1F0655BF"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207.</w:t>
      </w:r>
      <w:r w:rsidRPr="002027D2">
        <w:rPr>
          <w:rFonts w:ascii="Arial" w:hAnsi="Arial" w:cs="Arial"/>
          <w:sz w:val="24"/>
          <w:szCs w:val="24"/>
        </w:rPr>
        <w:tab/>
        <w:t xml:space="preserve">Shang, L., Nienhaus, K., and Nienhaus, G.U. (2014). Engineered nanoparticles interacting with cells: size matters. Journal of nanobiotechnology </w:t>
      </w:r>
      <w:r w:rsidRPr="002027D2">
        <w:rPr>
          <w:rFonts w:ascii="Arial" w:hAnsi="Arial" w:cs="Arial"/>
          <w:i/>
          <w:sz w:val="24"/>
          <w:szCs w:val="24"/>
        </w:rPr>
        <w:t>12</w:t>
      </w:r>
      <w:r w:rsidRPr="002027D2">
        <w:rPr>
          <w:rFonts w:ascii="Arial" w:hAnsi="Arial" w:cs="Arial"/>
          <w:sz w:val="24"/>
          <w:szCs w:val="24"/>
        </w:rPr>
        <w:t>, 5.</w:t>
      </w:r>
    </w:p>
    <w:p w14:paraId="51144DF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208.</w:t>
      </w:r>
      <w:r w:rsidRPr="002027D2">
        <w:rPr>
          <w:rFonts w:ascii="Arial" w:hAnsi="Arial" w:cs="Arial"/>
          <w:sz w:val="24"/>
          <w:szCs w:val="24"/>
        </w:rPr>
        <w:tab/>
        <w:t xml:space="preserve">Daum, N., Tscheka, C., Neumeyer, A., and Schneider, M. (2012). Novel approaches for drug delivery systems in nanomedicine: effects of particle design and shape. Wiley Interdisciplinary Reviews: Nanomedicine and Nanobiotechnology </w:t>
      </w:r>
      <w:r w:rsidRPr="002027D2">
        <w:rPr>
          <w:rFonts w:ascii="Arial" w:hAnsi="Arial" w:cs="Arial"/>
          <w:i/>
          <w:sz w:val="24"/>
          <w:szCs w:val="24"/>
        </w:rPr>
        <w:t>4</w:t>
      </w:r>
      <w:r w:rsidRPr="002027D2">
        <w:rPr>
          <w:rFonts w:ascii="Arial" w:hAnsi="Arial" w:cs="Arial"/>
          <w:sz w:val="24"/>
          <w:szCs w:val="24"/>
        </w:rPr>
        <w:t>, 52-65.</w:t>
      </w:r>
    </w:p>
    <w:p w14:paraId="12FEC9F4"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209.</w:t>
      </w:r>
      <w:r w:rsidRPr="002027D2">
        <w:rPr>
          <w:rFonts w:ascii="Arial" w:hAnsi="Arial" w:cs="Arial"/>
          <w:sz w:val="24"/>
          <w:szCs w:val="24"/>
        </w:rPr>
        <w:tab/>
        <w:t xml:space="preserve">Yanes, R.E., and Tamanoi, F. (2012). Development of mesoporous silica nanomaterials as a vehicle for anticancer drug delivery. Therapeutic delivery </w:t>
      </w:r>
      <w:r w:rsidRPr="002027D2">
        <w:rPr>
          <w:rFonts w:ascii="Arial" w:hAnsi="Arial" w:cs="Arial"/>
          <w:i/>
          <w:sz w:val="24"/>
          <w:szCs w:val="24"/>
        </w:rPr>
        <w:t>3</w:t>
      </w:r>
      <w:r w:rsidRPr="002027D2">
        <w:rPr>
          <w:rFonts w:ascii="Arial" w:hAnsi="Arial" w:cs="Arial"/>
          <w:sz w:val="24"/>
          <w:szCs w:val="24"/>
        </w:rPr>
        <w:t>, 389-404.</w:t>
      </w:r>
    </w:p>
    <w:p w14:paraId="53966058"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210.</w:t>
      </w:r>
      <w:r w:rsidRPr="002027D2">
        <w:rPr>
          <w:rFonts w:ascii="Arial" w:hAnsi="Arial" w:cs="Arial"/>
          <w:sz w:val="24"/>
          <w:szCs w:val="24"/>
        </w:rPr>
        <w:tab/>
        <w:t xml:space="preserve">Moreira, A.F., Dias, D.R., and Correia, I.J. (2016). Stimuli-responsive mesoporous silica nanoparticles for cancer therapy: A review. Microporous and Mesoporous Materials </w:t>
      </w:r>
      <w:r w:rsidRPr="002027D2">
        <w:rPr>
          <w:rFonts w:ascii="Arial" w:hAnsi="Arial" w:cs="Arial"/>
          <w:i/>
          <w:sz w:val="24"/>
          <w:szCs w:val="24"/>
        </w:rPr>
        <w:t>236</w:t>
      </w:r>
      <w:r w:rsidRPr="002027D2">
        <w:rPr>
          <w:rFonts w:ascii="Arial" w:hAnsi="Arial" w:cs="Arial"/>
          <w:sz w:val="24"/>
          <w:szCs w:val="24"/>
        </w:rPr>
        <w:t>, 141-157.</w:t>
      </w:r>
    </w:p>
    <w:p w14:paraId="4AFAED7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211.</w:t>
      </w:r>
      <w:r w:rsidRPr="002027D2">
        <w:rPr>
          <w:rFonts w:ascii="Arial" w:hAnsi="Arial" w:cs="Arial"/>
          <w:sz w:val="24"/>
          <w:szCs w:val="24"/>
        </w:rPr>
        <w:tab/>
        <w:t xml:space="preserve">Mamaeva, V., Sahlgren, C., and Lindén, M. (2013). Mesoporous silica nanoparticles in medicine—Recent advances. Advanced drug delivery reviews </w:t>
      </w:r>
      <w:r w:rsidRPr="002027D2">
        <w:rPr>
          <w:rFonts w:ascii="Arial" w:hAnsi="Arial" w:cs="Arial"/>
          <w:i/>
          <w:sz w:val="24"/>
          <w:szCs w:val="24"/>
        </w:rPr>
        <w:t>65</w:t>
      </w:r>
      <w:r w:rsidRPr="002027D2">
        <w:rPr>
          <w:rFonts w:ascii="Arial" w:hAnsi="Arial" w:cs="Arial"/>
          <w:sz w:val="24"/>
          <w:szCs w:val="24"/>
        </w:rPr>
        <w:t>, 689-702.</w:t>
      </w:r>
    </w:p>
    <w:p w14:paraId="17755589"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212.</w:t>
      </w:r>
      <w:r w:rsidRPr="002027D2">
        <w:rPr>
          <w:rFonts w:ascii="Arial" w:hAnsi="Arial" w:cs="Arial"/>
          <w:sz w:val="24"/>
          <w:szCs w:val="24"/>
        </w:rPr>
        <w:tab/>
        <w:t xml:space="preserve">Wen, J., Yang, K., Liu, F., Li, H., Xu, Y., and Sun, S. (2017). Diverse gatekeepers for mesoporous silica nanoparticle based drug delivery systems. Chemical Society Reviews </w:t>
      </w:r>
      <w:r w:rsidRPr="002027D2">
        <w:rPr>
          <w:rFonts w:ascii="Arial" w:hAnsi="Arial" w:cs="Arial"/>
          <w:i/>
          <w:sz w:val="24"/>
          <w:szCs w:val="24"/>
        </w:rPr>
        <w:t>46</w:t>
      </w:r>
      <w:r w:rsidRPr="002027D2">
        <w:rPr>
          <w:rFonts w:ascii="Arial" w:hAnsi="Arial" w:cs="Arial"/>
          <w:sz w:val="24"/>
          <w:szCs w:val="24"/>
        </w:rPr>
        <w:t>, 6024-6045.</w:t>
      </w:r>
    </w:p>
    <w:p w14:paraId="0B5F380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213.</w:t>
      </w:r>
      <w:r w:rsidRPr="002027D2">
        <w:rPr>
          <w:rFonts w:ascii="Arial" w:hAnsi="Arial" w:cs="Arial"/>
          <w:sz w:val="24"/>
          <w:szCs w:val="24"/>
        </w:rPr>
        <w:tab/>
        <w:t xml:space="preserve">Kaasalainen, M., Aseyev, V., von Haartman, E., Karaman, D.Ş., Mäkilä, E., Tenhu, H., Rosenholm, J., and Salonen, J. (2017). Size, stability, and porosity of mesoporous nanoparticles characterized with light scattering. Nanoscale research letters </w:t>
      </w:r>
      <w:r w:rsidRPr="002027D2">
        <w:rPr>
          <w:rFonts w:ascii="Arial" w:hAnsi="Arial" w:cs="Arial"/>
          <w:i/>
          <w:sz w:val="24"/>
          <w:szCs w:val="24"/>
        </w:rPr>
        <w:t>12</w:t>
      </w:r>
      <w:r w:rsidRPr="002027D2">
        <w:rPr>
          <w:rFonts w:ascii="Arial" w:hAnsi="Arial" w:cs="Arial"/>
          <w:sz w:val="24"/>
          <w:szCs w:val="24"/>
        </w:rPr>
        <w:t>, 74.</w:t>
      </w:r>
    </w:p>
    <w:p w14:paraId="5EF5DE94"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214.</w:t>
      </w:r>
      <w:r w:rsidRPr="002027D2">
        <w:rPr>
          <w:rFonts w:ascii="Arial" w:hAnsi="Arial" w:cs="Arial"/>
          <w:sz w:val="24"/>
          <w:szCs w:val="24"/>
        </w:rPr>
        <w:tab/>
        <w:t xml:space="preserve">Christian, D.A., Cai, S., Garbuzenko, O.B., Harada, T., Zajac, A.L., Minko, T., and Discher, D.E. (2009). Flexible filaments for in vivo imaging and delivery: persistent circulation of filomicelles opens the dosage window for sustained tumor shrinkage. Molecular pharmaceutics </w:t>
      </w:r>
      <w:r w:rsidRPr="002027D2">
        <w:rPr>
          <w:rFonts w:ascii="Arial" w:hAnsi="Arial" w:cs="Arial"/>
          <w:i/>
          <w:sz w:val="24"/>
          <w:szCs w:val="24"/>
        </w:rPr>
        <w:t>6</w:t>
      </w:r>
      <w:r w:rsidRPr="002027D2">
        <w:rPr>
          <w:rFonts w:ascii="Arial" w:hAnsi="Arial" w:cs="Arial"/>
          <w:sz w:val="24"/>
          <w:szCs w:val="24"/>
        </w:rPr>
        <w:t>, 1343-1352.</w:t>
      </w:r>
    </w:p>
    <w:p w14:paraId="1968B2C7"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215.</w:t>
      </w:r>
      <w:r w:rsidRPr="002027D2">
        <w:rPr>
          <w:rFonts w:ascii="Arial" w:hAnsi="Arial" w:cs="Arial"/>
          <w:sz w:val="24"/>
          <w:szCs w:val="24"/>
        </w:rPr>
        <w:tab/>
        <w:t xml:space="preserve">Bhutiani, N., Samykutty, A., McMasters, K.M., Egilmez, N.K., and McNally, L.R. (2019). In vivo tracking of orally-administered particles within the gastrointestinal tract of murine models using multispectral optoacoustic tomography. Photoacoustics </w:t>
      </w:r>
      <w:r w:rsidRPr="002027D2">
        <w:rPr>
          <w:rFonts w:ascii="Arial" w:hAnsi="Arial" w:cs="Arial"/>
          <w:i/>
          <w:sz w:val="24"/>
          <w:szCs w:val="24"/>
        </w:rPr>
        <w:t>13</w:t>
      </w:r>
      <w:r w:rsidRPr="002027D2">
        <w:rPr>
          <w:rFonts w:ascii="Arial" w:hAnsi="Arial" w:cs="Arial"/>
          <w:sz w:val="24"/>
          <w:szCs w:val="24"/>
        </w:rPr>
        <w:t>, 46-52.</w:t>
      </w:r>
    </w:p>
    <w:p w14:paraId="609F3C0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216.</w:t>
      </w:r>
      <w:r w:rsidRPr="002027D2">
        <w:rPr>
          <w:rFonts w:ascii="Arial" w:hAnsi="Arial" w:cs="Arial"/>
          <w:sz w:val="24"/>
          <w:szCs w:val="24"/>
        </w:rPr>
        <w:tab/>
        <w:t>Kalyane, D., Raval, N., Maheshwari, R., Tambe, V., Kalia, K., and Tekade, R.K. (2019). Employment of enhanced permeability and retention effect (EPR): Nanoparticle-based precision tools for targeting of therapeutic and diagnostic agent in cancer. Materials Science and Engineering: C.</w:t>
      </w:r>
    </w:p>
    <w:p w14:paraId="57CFD507"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217.</w:t>
      </w:r>
      <w:r w:rsidRPr="002027D2">
        <w:rPr>
          <w:rFonts w:ascii="Arial" w:hAnsi="Arial" w:cs="Arial"/>
          <w:sz w:val="24"/>
          <w:szCs w:val="24"/>
        </w:rPr>
        <w:tab/>
        <w:t xml:space="preserve">Kimbrough, C.W., Hudson, S., Khanal, A., Egger, M.E., and McNally, L.R. (2015). Orthotopic pancreatic tumors detected by optoacoustic tomography using Syndecan-1. Journal of surgical research </w:t>
      </w:r>
      <w:r w:rsidRPr="002027D2">
        <w:rPr>
          <w:rFonts w:ascii="Arial" w:hAnsi="Arial" w:cs="Arial"/>
          <w:i/>
          <w:sz w:val="24"/>
          <w:szCs w:val="24"/>
        </w:rPr>
        <w:t>193</w:t>
      </w:r>
      <w:r w:rsidRPr="002027D2">
        <w:rPr>
          <w:rFonts w:ascii="Arial" w:hAnsi="Arial" w:cs="Arial"/>
          <w:sz w:val="24"/>
          <w:szCs w:val="24"/>
        </w:rPr>
        <w:t>, 246-254.</w:t>
      </w:r>
    </w:p>
    <w:p w14:paraId="5B2C559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218.</w:t>
      </w:r>
      <w:r w:rsidRPr="002027D2">
        <w:rPr>
          <w:rFonts w:ascii="Arial" w:hAnsi="Arial" w:cs="Arial"/>
          <w:sz w:val="24"/>
          <w:szCs w:val="24"/>
        </w:rPr>
        <w:tab/>
        <w:t xml:space="preserve">Tallury, P., Payton, K., and Santra, S. (2008). Silica-based multimodal/multifunctional nanoparticles for bioimaging and biosensing applications. </w:t>
      </w:r>
      <w:r w:rsidRPr="002027D2">
        <w:rPr>
          <w:rFonts w:ascii="Arial" w:hAnsi="Arial" w:cs="Arial"/>
          <w:i/>
          <w:sz w:val="24"/>
          <w:szCs w:val="24"/>
        </w:rPr>
        <w:t>3</w:t>
      </w:r>
      <w:r w:rsidRPr="002027D2">
        <w:rPr>
          <w:rFonts w:ascii="Arial" w:hAnsi="Arial" w:cs="Arial"/>
          <w:sz w:val="24"/>
          <w:szCs w:val="24"/>
        </w:rPr>
        <w:t>, 579-592. 10.2217/17435889.3.4.579.</w:t>
      </w:r>
    </w:p>
    <w:p w14:paraId="4EDD73B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219.</w:t>
      </w:r>
      <w:r w:rsidRPr="002027D2">
        <w:rPr>
          <w:rFonts w:ascii="Arial" w:hAnsi="Arial" w:cs="Arial"/>
          <w:sz w:val="24"/>
          <w:szCs w:val="24"/>
        </w:rPr>
        <w:tab/>
        <w:t xml:space="preserve">Lutzweiler, C., Meier, R., Rummeny, E., Ntziachristos, V., and Razansky, D. (2014). Real-time optoacoustic tomography of indocyanine green perfusion and oxygenation parameters in human finger vasculature. Optics letters </w:t>
      </w:r>
      <w:r w:rsidRPr="002027D2">
        <w:rPr>
          <w:rFonts w:ascii="Arial" w:hAnsi="Arial" w:cs="Arial"/>
          <w:i/>
          <w:sz w:val="24"/>
          <w:szCs w:val="24"/>
        </w:rPr>
        <w:t>39</w:t>
      </w:r>
      <w:r w:rsidRPr="002027D2">
        <w:rPr>
          <w:rFonts w:ascii="Arial" w:hAnsi="Arial" w:cs="Arial"/>
          <w:sz w:val="24"/>
          <w:szCs w:val="24"/>
        </w:rPr>
        <w:t>, 4061-4064.</w:t>
      </w:r>
    </w:p>
    <w:p w14:paraId="20AC8A0C"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lastRenderedPageBreak/>
        <w:t>220.</w:t>
      </w:r>
      <w:r w:rsidRPr="002027D2">
        <w:rPr>
          <w:rFonts w:ascii="Arial" w:hAnsi="Arial" w:cs="Arial"/>
          <w:sz w:val="24"/>
          <w:szCs w:val="24"/>
        </w:rPr>
        <w:tab/>
        <w:t>Lu, F., Wu, S.H., Hung, Y., and Mou, C.Y. (2009). Size effect on cell uptake in well</w:t>
      </w:r>
      <w:r w:rsidRPr="002027D2">
        <w:rPr>
          <w:rFonts w:ascii="Cambria Math" w:hAnsi="Cambria Math" w:cs="Cambria Math"/>
          <w:sz w:val="24"/>
          <w:szCs w:val="24"/>
        </w:rPr>
        <w:t>‐</w:t>
      </w:r>
      <w:r w:rsidRPr="002027D2">
        <w:rPr>
          <w:rFonts w:ascii="Arial" w:hAnsi="Arial" w:cs="Arial"/>
          <w:sz w:val="24"/>
          <w:szCs w:val="24"/>
        </w:rPr>
        <w:t xml:space="preserve">suspended, uniform mesoporous silica nanoparticles. small </w:t>
      </w:r>
      <w:r w:rsidRPr="002027D2">
        <w:rPr>
          <w:rFonts w:ascii="Arial" w:hAnsi="Arial" w:cs="Arial"/>
          <w:i/>
          <w:sz w:val="24"/>
          <w:szCs w:val="24"/>
        </w:rPr>
        <w:t>5</w:t>
      </w:r>
      <w:r w:rsidRPr="002027D2">
        <w:rPr>
          <w:rFonts w:ascii="Arial" w:hAnsi="Arial" w:cs="Arial"/>
          <w:sz w:val="24"/>
          <w:szCs w:val="24"/>
        </w:rPr>
        <w:t>, 1408-1413.</w:t>
      </w:r>
    </w:p>
    <w:p w14:paraId="1638B70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221.</w:t>
      </w:r>
      <w:r w:rsidRPr="002027D2">
        <w:rPr>
          <w:rFonts w:ascii="Arial" w:hAnsi="Arial" w:cs="Arial"/>
          <w:sz w:val="24"/>
          <w:szCs w:val="24"/>
        </w:rPr>
        <w:tab/>
        <w:t xml:space="preserve">Chauhan, V.P., Stylianopoulos, T., Martin, J.D., Popović, Z., Chen, O., Kamoun, W.S., Bawendi, M.G., Fukumura, D., and Jain, R.K. (2012). Normalization of tumour blood vessels improves the delivery of nanomedicines in a size-dependent manner. Nature nanotechnology </w:t>
      </w:r>
      <w:r w:rsidRPr="002027D2">
        <w:rPr>
          <w:rFonts w:ascii="Arial" w:hAnsi="Arial" w:cs="Arial"/>
          <w:i/>
          <w:sz w:val="24"/>
          <w:szCs w:val="24"/>
        </w:rPr>
        <w:t>7</w:t>
      </w:r>
      <w:r w:rsidRPr="002027D2">
        <w:rPr>
          <w:rFonts w:ascii="Arial" w:hAnsi="Arial" w:cs="Arial"/>
          <w:sz w:val="24"/>
          <w:szCs w:val="24"/>
        </w:rPr>
        <w:t>, 383.</w:t>
      </w:r>
    </w:p>
    <w:p w14:paraId="18D2DBD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222.</w:t>
      </w:r>
      <w:r w:rsidRPr="002027D2">
        <w:rPr>
          <w:rFonts w:ascii="Arial" w:hAnsi="Arial" w:cs="Arial"/>
          <w:sz w:val="24"/>
          <w:szCs w:val="24"/>
        </w:rPr>
        <w:tab/>
        <w:t xml:space="preserve">Sadauskas, E., Wallin, H., Stoltenberg, M., Vogel, U., Doering, P., Larsen, A., and Danscher, G. (2007). Kupffer cells are central in the removal of nanoparticles from the organism. Particle and fibre toxicology </w:t>
      </w:r>
      <w:r w:rsidRPr="002027D2">
        <w:rPr>
          <w:rFonts w:ascii="Arial" w:hAnsi="Arial" w:cs="Arial"/>
          <w:i/>
          <w:sz w:val="24"/>
          <w:szCs w:val="24"/>
        </w:rPr>
        <w:t>4</w:t>
      </w:r>
      <w:r w:rsidRPr="002027D2">
        <w:rPr>
          <w:rFonts w:ascii="Arial" w:hAnsi="Arial" w:cs="Arial"/>
          <w:sz w:val="24"/>
          <w:szCs w:val="24"/>
        </w:rPr>
        <w:t>, 10.</w:t>
      </w:r>
    </w:p>
    <w:p w14:paraId="6C47AAF4"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223.</w:t>
      </w:r>
      <w:r w:rsidRPr="002027D2">
        <w:rPr>
          <w:rFonts w:ascii="Arial" w:hAnsi="Arial" w:cs="Arial"/>
          <w:sz w:val="24"/>
          <w:szCs w:val="24"/>
        </w:rPr>
        <w:tab/>
        <w:t xml:space="preserve">Chan, K.W.-Y., and Wong, W.-T. (2007). Small molecular gadolinium (III) complexes as MRI contrast agents for diagnostic imaging. Coordination Chemistry Reviews </w:t>
      </w:r>
      <w:r w:rsidRPr="002027D2">
        <w:rPr>
          <w:rFonts w:ascii="Arial" w:hAnsi="Arial" w:cs="Arial"/>
          <w:i/>
          <w:sz w:val="24"/>
          <w:szCs w:val="24"/>
        </w:rPr>
        <w:t>251</w:t>
      </w:r>
      <w:r w:rsidRPr="002027D2">
        <w:rPr>
          <w:rFonts w:ascii="Arial" w:hAnsi="Arial" w:cs="Arial"/>
          <w:sz w:val="24"/>
          <w:szCs w:val="24"/>
        </w:rPr>
        <w:t>, 2428-2451.</w:t>
      </w:r>
    </w:p>
    <w:p w14:paraId="14763E2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224.</w:t>
      </w:r>
      <w:r w:rsidRPr="002027D2">
        <w:rPr>
          <w:rFonts w:ascii="Arial" w:hAnsi="Arial" w:cs="Arial"/>
          <w:sz w:val="24"/>
          <w:szCs w:val="24"/>
        </w:rPr>
        <w:tab/>
        <w:t xml:space="preserve">Takakura, Y., Mahato, R.I., and Hashida, M. (1998). Extravasation of macromolecules. Advanced drug delivery reviews </w:t>
      </w:r>
      <w:r w:rsidRPr="002027D2">
        <w:rPr>
          <w:rFonts w:ascii="Arial" w:hAnsi="Arial" w:cs="Arial"/>
          <w:i/>
          <w:sz w:val="24"/>
          <w:szCs w:val="24"/>
        </w:rPr>
        <w:t>34</w:t>
      </w:r>
      <w:r w:rsidRPr="002027D2">
        <w:rPr>
          <w:rFonts w:ascii="Arial" w:hAnsi="Arial" w:cs="Arial"/>
          <w:sz w:val="24"/>
          <w:szCs w:val="24"/>
        </w:rPr>
        <w:t>, 93-108.</w:t>
      </w:r>
    </w:p>
    <w:p w14:paraId="173B9DE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225.</w:t>
      </w:r>
      <w:r w:rsidRPr="002027D2">
        <w:rPr>
          <w:rFonts w:ascii="Arial" w:hAnsi="Arial" w:cs="Arial"/>
          <w:sz w:val="24"/>
          <w:szCs w:val="24"/>
        </w:rPr>
        <w:tab/>
        <w:t xml:space="preserve">Gaumet, M., Vargas, A., Gurny, R., and Delie, F. (2008). Nanoparticles for drug delivery: the need for precision in reporting particle size parameters. European journal of pharmaceutics and biopharmaceutics </w:t>
      </w:r>
      <w:r w:rsidRPr="002027D2">
        <w:rPr>
          <w:rFonts w:ascii="Arial" w:hAnsi="Arial" w:cs="Arial"/>
          <w:i/>
          <w:sz w:val="24"/>
          <w:szCs w:val="24"/>
        </w:rPr>
        <w:t>69</w:t>
      </w:r>
      <w:r w:rsidRPr="002027D2">
        <w:rPr>
          <w:rFonts w:ascii="Arial" w:hAnsi="Arial" w:cs="Arial"/>
          <w:sz w:val="24"/>
          <w:szCs w:val="24"/>
        </w:rPr>
        <w:t>, 1-9.</w:t>
      </w:r>
    </w:p>
    <w:p w14:paraId="6525C68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226.</w:t>
      </w:r>
      <w:r w:rsidRPr="002027D2">
        <w:rPr>
          <w:rFonts w:ascii="Arial" w:hAnsi="Arial" w:cs="Arial"/>
          <w:sz w:val="24"/>
          <w:szCs w:val="24"/>
        </w:rPr>
        <w:tab/>
        <w:t xml:space="preserve">Morscher, S., Driessen, W.H., Claussen, J., and Burton, N.C. (2014). Semi-quantitative Multispectral Optoacoustic Tomography (MSOT) for volumetric PK imaging of gastric emptying. Photoacoustics </w:t>
      </w:r>
      <w:r w:rsidRPr="002027D2">
        <w:rPr>
          <w:rFonts w:ascii="Arial" w:hAnsi="Arial" w:cs="Arial"/>
          <w:i/>
          <w:sz w:val="24"/>
          <w:szCs w:val="24"/>
        </w:rPr>
        <w:t>2</w:t>
      </w:r>
      <w:r w:rsidRPr="002027D2">
        <w:rPr>
          <w:rFonts w:ascii="Arial" w:hAnsi="Arial" w:cs="Arial"/>
          <w:sz w:val="24"/>
          <w:szCs w:val="24"/>
        </w:rPr>
        <w:t>, 103-110.</w:t>
      </w:r>
    </w:p>
    <w:p w14:paraId="753D8BB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227.</w:t>
      </w:r>
      <w:r w:rsidRPr="002027D2">
        <w:rPr>
          <w:rFonts w:ascii="Arial" w:hAnsi="Arial" w:cs="Arial"/>
          <w:sz w:val="24"/>
          <w:szCs w:val="24"/>
        </w:rPr>
        <w:tab/>
        <w:t xml:space="preserve">Xiao, T.G., Weis, J.A., Gayzik, F.S., Thomas, A., Chiba, A., Gurcan, M.N., Topaloglu, U., Samykutty, A., and McNally, L.R. (2018). Applying dynamic contrast enhanced MSOT imaging to intratumoral pharmacokinetic modeling. Photoacoustics </w:t>
      </w:r>
      <w:r w:rsidRPr="002027D2">
        <w:rPr>
          <w:rFonts w:ascii="Arial" w:hAnsi="Arial" w:cs="Arial"/>
          <w:i/>
          <w:sz w:val="24"/>
          <w:szCs w:val="24"/>
        </w:rPr>
        <w:t>11</w:t>
      </w:r>
      <w:r w:rsidRPr="002027D2">
        <w:rPr>
          <w:rFonts w:ascii="Arial" w:hAnsi="Arial" w:cs="Arial"/>
          <w:sz w:val="24"/>
          <w:szCs w:val="24"/>
        </w:rPr>
        <w:t>, 28-35.</w:t>
      </w:r>
    </w:p>
    <w:p w14:paraId="5526F767"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228.</w:t>
      </w:r>
      <w:r w:rsidRPr="002027D2">
        <w:rPr>
          <w:rFonts w:ascii="Arial" w:hAnsi="Arial" w:cs="Arial"/>
          <w:sz w:val="24"/>
          <w:szCs w:val="24"/>
        </w:rPr>
        <w:tab/>
        <w:t xml:space="preserve">Yamada, H., Urata, C., Aoyama, Y., Osada, S., Yamauchi, Y., and Kuroda, K. (2012). Preparation of colloidal mesoporous silica nanoparticles with different diameters and their unique degradation behavior in static aqueous systems. Chemistry of Materials </w:t>
      </w:r>
      <w:r w:rsidRPr="002027D2">
        <w:rPr>
          <w:rFonts w:ascii="Arial" w:hAnsi="Arial" w:cs="Arial"/>
          <w:i/>
          <w:sz w:val="24"/>
          <w:szCs w:val="24"/>
        </w:rPr>
        <w:t>24</w:t>
      </w:r>
      <w:r w:rsidRPr="002027D2">
        <w:rPr>
          <w:rFonts w:ascii="Arial" w:hAnsi="Arial" w:cs="Arial"/>
          <w:sz w:val="24"/>
          <w:szCs w:val="24"/>
        </w:rPr>
        <w:t>, 1462-1471.</w:t>
      </w:r>
    </w:p>
    <w:p w14:paraId="52EDFC2A"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229.</w:t>
      </w:r>
      <w:r w:rsidRPr="002027D2">
        <w:rPr>
          <w:rFonts w:ascii="Arial" w:hAnsi="Arial" w:cs="Arial"/>
          <w:sz w:val="24"/>
          <w:szCs w:val="24"/>
        </w:rPr>
        <w:tab/>
        <w:t>Urata, C., Aoyama, Y., Tonegawa, A., Yamauchi, Y., and Kuroda, K.J.C.C. (2009). Dialysis process for the removal of surfactants to form colloidal mesoporous silica nanoparticles. 5094-5096.</w:t>
      </w:r>
    </w:p>
    <w:p w14:paraId="0EEFB79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230.</w:t>
      </w:r>
      <w:r w:rsidRPr="002027D2">
        <w:rPr>
          <w:rFonts w:ascii="Arial" w:hAnsi="Arial" w:cs="Arial"/>
          <w:sz w:val="24"/>
          <w:szCs w:val="24"/>
        </w:rPr>
        <w:tab/>
        <w:t xml:space="preserve">Kobayashi, M., Juillerat, F., Galletto, P., Bowen, P., and Borkovec, M. (2005). Aggregation and charging of colloidal silica particles: effect of particle size. Langmuir </w:t>
      </w:r>
      <w:r w:rsidRPr="002027D2">
        <w:rPr>
          <w:rFonts w:ascii="Arial" w:hAnsi="Arial" w:cs="Arial"/>
          <w:i/>
          <w:sz w:val="24"/>
          <w:szCs w:val="24"/>
        </w:rPr>
        <w:t>21</w:t>
      </w:r>
      <w:r w:rsidRPr="002027D2">
        <w:rPr>
          <w:rFonts w:ascii="Arial" w:hAnsi="Arial" w:cs="Arial"/>
          <w:sz w:val="24"/>
          <w:szCs w:val="24"/>
        </w:rPr>
        <w:t>, 5761-5769.</w:t>
      </w:r>
    </w:p>
    <w:p w14:paraId="1D63F28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231.</w:t>
      </w:r>
      <w:r w:rsidRPr="002027D2">
        <w:rPr>
          <w:rFonts w:ascii="Arial" w:hAnsi="Arial" w:cs="Arial"/>
          <w:sz w:val="24"/>
          <w:szCs w:val="24"/>
        </w:rPr>
        <w:tab/>
        <w:t xml:space="preserve">Swietach, P., Vaughan-Jones, R.D., and Harris, A.L. (2007). Regulation of tumor pH and the role of carbonic anhydrase 9. Cancer and Metastasis Reviews </w:t>
      </w:r>
      <w:r w:rsidRPr="002027D2">
        <w:rPr>
          <w:rFonts w:ascii="Arial" w:hAnsi="Arial" w:cs="Arial"/>
          <w:i/>
          <w:sz w:val="24"/>
          <w:szCs w:val="24"/>
        </w:rPr>
        <w:t>26</w:t>
      </w:r>
      <w:r w:rsidRPr="002027D2">
        <w:rPr>
          <w:rFonts w:ascii="Arial" w:hAnsi="Arial" w:cs="Arial"/>
          <w:sz w:val="24"/>
          <w:szCs w:val="24"/>
        </w:rPr>
        <w:t>, 299-310.</w:t>
      </w:r>
    </w:p>
    <w:p w14:paraId="1E5B0AF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232.</w:t>
      </w:r>
      <w:r w:rsidRPr="002027D2">
        <w:rPr>
          <w:rFonts w:ascii="Arial" w:hAnsi="Arial" w:cs="Arial"/>
          <w:sz w:val="24"/>
          <w:szCs w:val="24"/>
        </w:rPr>
        <w:tab/>
        <w:t xml:space="preserve">Cruz-Monserrate, Z., Roland, C.L., Deng, D., Arumugam, T., Moshnikova, A., Andreev, O.A., Reshetnyak, Y.K., and Logsdon, C.D. (2014). Targeting pancreatic ductal adenocarcinoma acidic microenvironment. Scientific reports </w:t>
      </w:r>
      <w:r w:rsidRPr="002027D2">
        <w:rPr>
          <w:rFonts w:ascii="Arial" w:hAnsi="Arial" w:cs="Arial"/>
          <w:i/>
          <w:sz w:val="24"/>
          <w:szCs w:val="24"/>
        </w:rPr>
        <w:t>4</w:t>
      </w:r>
      <w:r w:rsidRPr="002027D2">
        <w:rPr>
          <w:rFonts w:ascii="Arial" w:hAnsi="Arial" w:cs="Arial"/>
          <w:sz w:val="24"/>
          <w:szCs w:val="24"/>
        </w:rPr>
        <w:t>, 4410.</w:t>
      </w:r>
    </w:p>
    <w:p w14:paraId="25C17AB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233.</w:t>
      </w:r>
      <w:r w:rsidRPr="002027D2">
        <w:rPr>
          <w:rFonts w:ascii="Arial" w:hAnsi="Arial" w:cs="Arial"/>
          <w:sz w:val="24"/>
          <w:szCs w:val="24"/>
        </w:rPr>
        <w:tab/>
        <w:t xml:space="preserve">Zhang, X., Lin, Y., and Gillies, R.J. (2010). Tumor pH and its measurement. Journal of Nuclear Medicine </w:t>
      </w:r>
      <w:r w:rsidRPr="002027D2">
        <w:rPr>
          <w:rFonts w:ascii="Arial" w:hAnsi="Arial" w:cs="Arial"/>
          <w:i/>
          <w:sz w:val="24"/>
          <w:szCs w:val="24"/>
        </w:rPr>
        <w:t>51</w:t>
      </w:r>
      <w:r w:rsidRPr="002027D2">
        <w:rPr>
          <w:rFonts w:ascii="Arial" w:hAnsi="Arial" w:cs="Arial"/>
          <w:sz w:val="24"/>
          <w:szCs w:val="24"/>
        </w:rPr>
        <w:t>, 1167-1170.</w:t>
      </w:r>
    </w:p>
    <w:p w14:paraId="0A8E2437"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234.</w:t>
      </w:r>
      <w:r w:rsidRPr="002027D2">
        <w:rPr>
          <w:rFonts w:ascii="Arial" w:hAnsi="Arial" w:cs="Arial"/>
          <w:sz w:val="24"/>
          <w:szCs w:val="24"/>
        </w:rPr>
        <w:tab/>
        <w:t xml:space="preserve">Andreev, O.A., Dupuy, A.D., Segala, M., Sandugu, S., Serra, D.A., Chichester, C.O., Engelman, D.M., and Reshetnyak, Y.K. (2007). Mechanism and uses of a membrane peptide that targets tumors and other acidic tissues in vivo. Proceedings of the National Academy of Sciences </w:t>
      </w:r>
      <w:r w:rsidRPr="002027D2">
        <w:rPr>
          <w:rFonts w:ascii="Arial" w:hAnsi="Arial" w:cs="Arial"/>
          <w:i/>
          <w:sz w:val="24"/>
          <w:szCs w:val="24"/>
        </w:rPr>
        <w:t>104</w:t>
      </w:r>
      <w:r w:rsidRPr="002027D2">
        <w:rPr>
          <w:rFonts w:ascii="Arial" w:hAnsi="Arial" w:cs="Arial"/>
          <w:sz w:val="24"/>
          <w:szCs w:val="24"/>
        </w:rPr>
        <w:t>, 7893-7898.</w:t>
      </w:r>
    </w:p>
    <w:p w14:paraId="0A10020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lastRenderedPageBreak/>
        <w:t>235.</w:t>
      </w:r>
      <w:r w:rsidRPr="002027D2">
        <w:rPr>
          <w:rFonts w:ascii="Arial" w:hAnsi="Arial" w:cs="Arial"/>
          <w:sz w:val="24"/>
          <w:szCs w:val="24"/>
        </w:rPr>
        <w:tab/>
        <w:t xml:space="preserve">Yin, W., Kimbrough, C.W., Gomez-Gutierrez, J.G., Burns, C.T., Chuong, P., Grizzle, W.E., and McNally, L.R. (2015). Tumor specific liposomes improve detection of pancreatic adenocarcinoma in vivo using optoacoustic tomography. Journal of nanobiotechnology </w:t>
      </w:r>
      <w:r w:rsidRPr="002027D2">
        <w:rPr>
          <w:rFonts w:ascii="Arial" w:hAnsi="Arial" w:cs="Arial"/>
          <w:i/>
          <w:sz w:val="24"/>
          <w:szCs w:val="24"/>
        </w:rPr>
        <w:t>13</w:t>
      </w:r>
      <w:r w:rsidRPr="002027D2">
        <w:rPr>
          <w:rFonts w:ascii="Arial" w:hAnsi="Arial" w:cs="Arial"/>
          <w:sz w:val="24"/>
          <w:szCs w:val="24"/>
        </w:rPr>
        <w:t>, 90.</w:t>
      </w:r>
    </w:p>
    <w:p w14:paraId="2329F12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236.</w:t>
      </w:r>
      <w:r w:rsidRPr="002027D2">
        <w:rPr>
          <w:rFonts w:ascii="Arial" w:hAnsi="Arial" w:cs="Arial"/>
          <w:sz w:val="24"/>
          <w:szCs w:val="24"/>
        </w:rPr>
        <w:tab/>
        <w:t xml:space="preserve">Ernsting, M.J., Murakami, M., Roy, A., and Li, S.-D. (2013). Factors controlling the pharmacokinetics, biodistribution and intratumoral penetration of nanoparticles. Journal of controlled release </w:t>
      </w:r>
      <w:r w:rsidRPr="002027D2">
        <w:rPr>
          <w:rFonts w:ascii="Arial" w:hAnsi="Arial" w:cs="Arial"/>
          <w:i/>
          <w:sz w:val="24"/>
          <w:szCs w:val="24"/>
        </w:rPr>
        <w:t>172</w:t>
      </w:r>
      <w:r w:rsidRPr="002027D2">
        <w:rPr>
          <w:rFonts w:ascii="Arial" w:hAnsi="Arial" w:cs="Arial"/>
          <w:sz w:val="24"/>
          <w:szCs w:val="24"/>
        </w:rPr>
        <w:t>, 782-794.</w:t>
      </w:r>
    </w:p>
    <w:p w14:paraId="1B142FC5"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237.</w:t>
      </w:r>
      <w:r w:rsidRPr="002027D2">
        <w:rPr>
          <w:rFonts w:ascii="Arial" w:hAnsi="Arial" w:cs="Arial"/>
          <w:sz w:val="24"/>
          <w:szCs w:val="24"/>
        </w:rPr>
        <w:tab/>
        <w:t xml:space="preserve">Li, S.-D., and Huang, L. (2008). Pharmacokinetics and biodistribution of nanoparticles. Molecular pharmaceutics </w:t>
      </w:r>
      <w:r w:rsidRPr="002027D2">
        <w:rPr>
          <w:rFonts w:ascii="Arial" w:hAnsi="Arial" w:cs="Arial"/>
          <w:i/>
          <w:sz w:val="24"/>
          <w:szCs w:val="24"/>
        </w:rPr>
        <w:t>5</w:t>
      </w:r>
      <w:r w:rsidRPr="002027D2">
        <w:rPr>
          <w:rFonts w:ascii="Arial" w:hAnsi="Arial" w:cs="Arial"/>
          <w:sz w:val="24"/>
          <w:szCs w:val="24"/>
        </w:rPr>
        <w:t>, 496-504.</w:t>
      </w:r>
    </w:p>
    <w:p w14:paraId="7079558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238.</w:t>
      </w:r>
      <w:r w:rsidRPr="002027D2">
        <w:rPr>
          <w:rFonts w:ascii="Arial" w:hAnsi="Arial" w:cs="Arial"/>
          <w:sz w:val="24"/>
          <w:szCs w:val="24"/>
        </w:rPr>
        <w:tab/>
        <w:t>Ouyang, B., Poon, W., Zhang, Y.-N., Lin, Z.P., Kingston, B.R., Tavares, A.J., Zhang, Y., Chen, J., Valic, M.S., and Syed, A.M. (2020). The dose threshold for nanoparticle tumour delivery. Nature Materials, 1-10.</w:t>
      </w:r>
    </w:p>
    <w:p w14:paraId="79D4233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239.</w:t>
      </w:r>
      <w:r w:rsidRPr="002027D2">
        <w:rPr>
          <w:rFonts w:ascii="Arial" w:hAnsi="Arial" w:cs="Arial"/>
          <w:sz w:val="24"/>
          <w:szCs w:val="24"/>
        </w:rPr>
        <w:tab/>
        <w:t xml:space="preserve">Torchilin, V. (2011). Tumor delivery of macromolecular drugs based on the EPR effect. Advanced Drug Delivery Reviews </w:t>
      </w:r>
      <w:r w:rsidRPr="002027D2">
        <w:rPr>
          <w:rFonts w:ascii="Arial" w:hAnsi="Arial" w:cs="Arial"/>
          <w:i/>
          <w:sz w:val="24"/>
          <w:szCs w:val="24"/>
        </w:rPr>
        <w:t>63</w:t>
      </w:r>
      <w:r w:rsidRPr="002027D2">
        <w:rPr>
          <w:rFonts w:ascii="Arial" w:hAnsi="Arial" w:cs="Arial"/>
          <w:sz w:val="24"/>
          <w:szCs w:val="24"/>
        </w:rPr>
        <w:t>, 131-135. https://doi.org/10.1016/j.addr.2010.03.011.</w:t>
      </w:r>
    </w:p>
    <w:p w14:paraId="5A58E8B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240.</w:t>
      </w:r>
      <w:r w:rsidRPr="002027D2">
        <w:rPr>
          <w:rFonts w:ascii="Arial" w:hAnsi="Arial" w:cs="Arial"/>
          <w:sz w:val="24"/>
          <w:szCs w:val="24"/>
        </w:rPr>
        <w:tab/>
        <w:t xml:space="preserve">Baxter, L.T., and Jain, R.K. (1989). Transport of fluid and macromolecules in tumors. I. Role of interstitial pressure and convection. Microvascular research </w:t>
      </w:r>
      <w:r w:rsidRPr="002027D2">
        <w:rPr>
          <w:rFonts w:ascii="Arial" w:hAnsi="Arial" w:cs="Arial"/>
          <w:i/>
          <w:sz w:val="24"/>
          <w:szCs w:val="24"/>
        </w:rPr>
        <w:t>37</w:t>
      </w:r>
      <w:r w:rsidRPr="002027D2">
        <w:rPr>
          <w:rFonts w:ascii="Arial" w:hAnsi="Arial" w:cs="Arial"/>
          <w:sz w:val="24"/>
          <w:szCs w:val="24"/>
        </w:rPr>
        <w:t>, 77-104.</w:t>
      </w:r>
    </w:p>
    <w:p w14:paraId="1FE3F984"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241.</w:t>
      </w:r>
      <w:r w:rsidRPr="002027D2">
        <w:rPr>
          <w:rFonts w:ascii="Arial" w:hAnsi="Arial" w:cs="Arial"/>
          <w:sz w:val="24"/>
          <w:szCs w:val="24"/>
        </w:rPr>
        <w:tab/>
        <w:t>Longmire, M., Choyke, P.L., and Kobayashi, H. (2008). Clearance properties of nano-sized particles and molecules as imaging agents: considerations and caveats.</w:t>
      </w:r>
    </w:p>
    <w:p w14:paraId="07E7F24E"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242.</w:t>
      </w:r>
      <w:r w:rsidRPr="002027D2">
        <w:rPr>
          <w:rFonts w:ascii="Arial" w:hAnsi="Arial" w:cs="Arial"/>
          <w:sz w:val="24"/>
          <w:szCs w:val="24"/>
        </w:rPr>
        <w:tab/>
        <w:t xml:space="preserve">Gachoka, D. (2015). Polyethylene glycol (PEG)-induced anaphylactic reaction during bowel preparation. ACG Case Reports Journal </w:t>
      </w:r>
      <w:r w:rsidRPr="002027D2">
        <w:rPr>
          <w:rFonts w:ascii="Arial" w:hAnsi="Arial" w:cs="Arial"/>
          <w:i/>
          <w:sz w:val="24"/>
          <w:szCs w:val="24"/>
        </w:rPr>
        <w:t>2</w:t>
      </w:r>
      <w:r w:rsidRPr="002027D2">
        <w:rPr>
          <w:rFonts w:ascii="Arial" w:hAnsi="Arial" w:cs="Arial"/>
          <w:sz w:val="24"/>
          <w:szCs w:val="24"/>
        </w:rPr>
        <w:t>, 216.</w:t>
      </w:r>
    </w:p>
    <w:p w14:paraId="68475A66"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243.</w:t>
      </w:r>
      <w:r w:rsidRPr="002027D2">
        <w:rPr>
          <w:rFonts w:ascii="Arial" w:hAnsi="Arial" w:cs="Arial"/>
          <w:sz w:val="24"/>
          <w:szCs w:val="24"/>
        </w:rPr>
        <w:tab/>
        <w:t xml:space="preserve">Wylon, K., Dölle, S., and Worm, M. (2016). Polyethylene glycol as a cause of anaphylaxis. Allergy, Asthma &amp; Clinical Immunology </w:t>
      </w:r>
      <w:r w:rsidRPr="002027D2">
        <w:rPr>
          <w:rFonts w:ascii="Arial" w:hAnsi="Arial" w:cs="Arial"/>
          <w:i/>
          <w:sz w:val="24"/>
          <w:szCs w:val="24"/>
        </w:rPr>
        <w:t>12</w:t>
      </w:r>
      <w:r w:rsidRPr="002027D2">
        <w:rPr>
          <w:rFonts w:ascii="Arial" w:hAnsi="Arial" w:cs="Arial"/>
          <w:sz w:val="24"/>
          <w:szCs w:val="24"/>
        </w:rPr>
        <w:t>, 67.</w:t>
      </w:r>
    </w:p>
    <w:p w14:paraId="1463E083"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244.</w:t>
      </w:r>
      <w:r w:rsidRPr="002027D2">
        <w:rPr>
          <w:rFonts w:ascii="Arial" w:hAnsi="Arial" w:cs="Arial"/>
          <w:sz w:val="24"/>
          <w:szCs w:val="24"/>
        </w:rPr>
        <w:tab/>
        <w:t xml:space="preserve">Hatakeyama, H., Akita, H., and Harashima, H. (2011). A multifunctional envelope type nano device (MEND) for gene delivery to tumours based on the EPR effect: a strategy for overcoming the PEG dilemma. Advanced drug delivery reviews </w:t>
      </w:r>
      <w:r w:rsidRPr="002027D2">
        <w:rPr>
          <w:rFonts w:ascii="Arial" w:hAnsi="Arial" w:cs="Arial"/>
          <w:i/>
          <w:sz w:val="24"/>
          <w:szCs w:val="24"/>
        </w:rPr>
        <w:t>63</w:t>
      </w:r>
      <w:r w:rsidRPr="002027D2">
        <w:rPr>
          <w:rFonts w:ascii="Arial" w:hAnsi="Arial" w:cs="Arial"/>
          <w:sz w:val="24"/>
          <w:szCs w:val="24"/>
        </w:rPr>
        <w:t>, 152-160.</w:t>
      </w:r>
    </w:p>
    <w:p w14:paraId="56A8B2D1"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245.</w:t>
      </w:r>
      <w:r w:rsidRPr="002027D2">
        <w:rPr>
          <w:rFonts w:ascii="Arial" w:hAnsi="Arial" w:cs="Arial"/>
          <w:sz w:val="24"/>
          <w:szCs w:val="24"/>
        </w:rPr>
        <w:tab/>
        <w:t xml:space="preserve">Almalik, A., Benabdelkamel, H., Masood, A., Alanazi, I.O., Alradwan, I., Majrashi, M.A., Alfadda, A.A., Alghamdi, W.M., Alrabiah, H., and Tirelli, N. (2017). Hyaluronic acid coated chitosan nanoparticles reduced the immunogenicity of the formed protein corona. Scientific reports </w:t>
      </w:r>
      <w:r w:rsidRPr="002027D2">
        <w:rPr>
          <w:rFonts w:ascii="Arial" w:hAnsi="Arial" w:cs="Arial"/>
          <w:i/>
          <w:sz w:val="24"/>
          <w:szCs w:val="24"/>
        </w:rPr>
        <w:t>7</w:t>
      </w:r>
      <w:r w:rsidRPr="002027D2">
        <w:rPr>
          <w:rFonts w:ascii="Arial" w:hAnsi="Arial" w:cs="Arial"/>
          <w:sz w:val="24"/>
          <w:szCs w:val="24"/>
        </w:rPr>
        <w:t>, 1-9.</w:t>
      </w:r>
    </w:p>
    <w:p w14:paraId="20E0E2BB"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246.</w:t>
      </w:r>
      <w:r w:rsidRPr="002027D2">
        <w:rPr>
          <w:rFonts w:ascii="Arial" w:hAnsi="Arial" w:cs="Arial"/>
          <w:sz w:val="24"/>
          <w:szCs w:val="24"/>
        </w:rPr>
        <w:tab/>
        <w:t xml:space="preserve">Sloan-Dennison, S., Bevins, M.R., Scarpitti, B.T., Sauvé, V.K., and Schultz, Z.D. (2019). Protein corona-resistant SERS tags for live cell detection of integrin receptors. Analyst </w:t>
      </w:r>
      <w:r w:rsidRPr="002027D2">
        <w:rPr>
          <w:rFonts w:ascii="Arial" w:hAnsi="Arial" w:cs="Arial"/>
          <w:i/>
          <w:sz w:val="24"/>
          <w:szCs w:val="24"/>
        </w:rPr>
        <w:t>144</w:t>
      </w:r>
      <w:r w:rsidRPr="002027D2">
        <w:rPr>
          <w:rFonts w:ascii="Arial" w:hAnsi="Arial" w:cs="Arial"/>
          <w:sz w:val="24"/>
          <w:szCs w:val="24"/>
        </w:rPr>
        <w:t>, 5538-5546.</w:t>
      </w:r>
    </w:p>
    <w:p w14:paraId="6E66DB80" w14:textId="77777777" w:rsidR="002027D2" w:rsidRPr="002027D2" w:rsidRDefault="002027D2" w:rsidP="002027D2">
      <w:pPr>
        <w:pStyle w:val="EndNoteBibliography"/>
        <w:spacing w:after="0"/>
        <w:ind w:left="720" w:hanging="720"/>
        <w:rPr>
          <w:rFonts w:ascii="Arial" w:hAnsi="Arial" w:cs="Arial"/>
          <w:sz w:val="24"/>
          <w:szCs w:val="24"/>
        </w:rPr>
      </w:pPr>
      <w:r w:rsidRPr="002027D2">
        <w:rPr>
          <w:rFonts w:ascii="Arial" w:hAnsi="Arial" w:cs="Arial"/>
          <w:sz w:val="24"/>
          <w:szCs w:val="24"/>
        </w:rPr>
        <w:t>247.</w:t>
      </w:r>
      <w:r w:rsidRPr="002027D2">
        <w:rPr>
          <w:rFonts w:ascii="Arial" w:hAnsi="Arial" w:cs="Arial"/>
          <w:sz w:val="24"/>
          <w:szCs w:val="24"/>
        </w:rPr>
        <w:tab/>
        <w:t xml:space="preserve">Lynch, I., and Dawson, K.A. (2008). Protein-nanoparticle interactions. Nano today </w:t>
      </w:r>
      <w:r w:rsidRPr="002027D2">
        <w:rPr>
          <w:rFonts w:ascii="Arial" w:hAnsi="Arial" w:cs="Arial"/>
          <w:i/>
          <w:sz w:val="24"/>
          <w:szCs w:val="24"/>
        </w:rPr>
        <w:t>3</w:t>
      </w:r>
      <w:r w:rsidRPr="002027D2">
        <w:rPr>
          <w:rFonts w:ascii="Arial" w:hAnsi="Arial" w:cs="Arial"/>
          <w:sz w:val="24"/>
          <w:szCs w:val="24"/>
        </w:rPr>
        <w:t>, 40-47.</w:t>
      </w:r>
    </w:p>
    <w:p w14:paraId="7AFFA6D9" w14:textId="77777777" w:rsidR="002027D2" w:rsidRPr="002027D2" w:rsidRDefault="002027D2" w:rsidP="002027D2">
      <w:pPr>
        <w:pStyle w:val="EndNoteBibliography"/>
        <w:ind w:left="720" w:hanging="720"/>
        <w:rPr>
          <w:rFonts w:ascii="Arial" w:hAnsi="Arial" w:cs="Arial"/>
          <w:sz w:val="24"/>
          <w:szCs w:val="24"/>
        </w:rPr>
      </w:pPr>
      <w:r w:rsidRPr="002027D2">
        <w:rPr>
          <w:rFonts w:ascii="Arial" w:hAnsi="Arial" w:cs="Arial"/>
          <w:sz w:val="24"/>
          <w:szCs w:val="24"/>
        </w:rPr>
        <w:t>248.</w:t>
      </w:r>
      <w:r w:rsidRPr="002027D2">
        <w:rPr>
          <w:rFonts w:ascii="Arial" w:hAnsi="Arial" w:cs="Arial"/>
          <w:sz w:val="24"/>
          <w:szCs w:val="24"/>
        </w:rPr>
        <w:tab/>
        <w:t>Liu, J., Yu, M., Ning, X., Zhou, C., Yang, S., and Zheng, J.J.A.C.I.E. (2013). PEGylation and zwitterionization: pros and cons in the renal clearance and tumor targeting of near</w:t>
      </w:r>
      <w:r w:rsidRPr="002027D2">
        <w:rPr>
          <w:rFonts w:ascii="Cambria Math" w:hAnsi="Cambria Math" w:cs="Cambria Math"/>
          <w:sz w:val="24"/>
          <w:szCs w:val="24"/>
        </w:rPr>
        <w:t>‐</w:t>
      </w:r>
      <w:r w:rsidRPr="002027D2">
        <w:rPr>
          <w:rFonts w:ascii="Arial" w:hAnsi="Arial" w:cs="Arial"/>
          <w:sz w:val="24"/>
          <w:szCs w:val="24"/>
        </w:rPr>
        <w:t>IR</w:t>
      </w:r>
      <w:r w:rsidRPr="002027D2">
        <w:rPr>
          <w:rFonts w:ascii="Cambria Math" w:hAnsi="Cambria Math" w:cs="Cambria Math"/>
          <w:sz w:val="24"/>
          <w:szCs w:val="24"/>
        </w:rPr>
        <w:t>‐</w:t>
      </w:r>
      <w:r w:rsidRPr="002027D2">
        <w:rPr>
          <w:rFonts w:ascii="Arial" w:hAnsi="Arial" w:cs="Arial"/>
          <w:sz w:val="24"/>
          <w:szCs w:val="24"/>
        </w:rPr>
        <w:t xml:space="preserve">emitting gold nanoparticles. </w:t>
      </w:r>
      <w:r w:rsidRPr="002027D2">
        <w:rPr>
          <w:rFonts w:ascii="Arial" w:hAnsi="Arial" w:cs="Arial"/>
          <w:i/>
          <w:sz w:val="24"/>
          <w:szCs w:val="24"/>
        </w:rPr>
        <w:t>52</w:t>
      </w:r>
      <w:r w:rsidRPr="002027D2">
        <w:rPr>
          <w:rFonts w:ascii="Arial" w:hAnsi="Arial" w:cs="Arial"/>
          <w:sz w:val="24"/>
          <w:szCs w:val="24"/>
        </w:rPr>
        <w:t>, 12572-12576.</w:t>
      </w:r>
    </w:p>
    <w:p w14:paraId="6E665D40" w14:textId="77777777" w:rsidR="002027D2" w:rsidRPr="002027D2" w:rsidRDefault="002027D2" w:rsidP="002A4DB5">
      <w:pPr>
        <w:spacing w:line="480" w:lineRule="auto"/>
        <w:rPr>
          <w:rFonts w:ascii="Arial" w:hAnsi="Arial" w:cs="Arial"/>
          <w:sz w:val="24"/>
          <w:szCs w:val="24"/>
        </w:rPr>
      </w:pPr>
    </w:p>
    <w:p w14:paraId="6814451A" w14:textId="77777777" w:rsidR="002027D2" w:rsidRPr="00F2524B" w:rsidRDefault="002027D2" w:rsidP="002A4DB5">
      <w:pPr>
        <w:spacing w:line="480" w:lineRule="auto"/>
        <w:rPr>
          <w:rFonts w:ascii="Arial" w:hAnsi="Arial" w:cs="Arial"/>
          <w:sz w:val="24"/>
          <w:szCs w:val="24"/>
        </w:rPr>
      </w:pPr>
    </w:p>
    <w:p w14:paraId="6602E6F4" w14:textId="77777777" w:rsidR="002027D2" w:rsidRPr="002027D2" w:rsidRDefault="002027D2" w:rsidP="00E67763">
      <w:pPr>
        <w:pStyle w:val="Style3"/>
        <w:spacing w:line="480" w:lineRule="auto"/>
        <w:rPr>
          <w:color w:val="auto"/>
        </w:rPr>
      </w:pPr>
      <w:bookmarkStart w:id="59" w:name="_Toc152874289"/>
      <w:r w:rsidRPr="002027D2">
        <w:rPr>
          <w:color w:val="auto"/>
        </w:rPr>
        <w:lastRenderedPageBreak/>
        <w:t>Appendix A – Abbreviations:</w:t>
      </w:r>
      <w:bookmarkEnd w:id="59"/>
    </w:p>
    <w:p w14:paraId="18631435" w14:textId="77777777" w:rsidR="002027D2" w:rsidRPr="0087590E" w:rsidRDefault="002027D2" w:rsidP="00EB0BCC">
      <w:pPr>
        <w:spacing w:line="276" w:lineRule="auto"/>
        <w:rPr>
          <w:rFonts w:ascii="Arial" w:hAnsi="Arial" w:cs="Arial"/>
          <w:b/>
          <w:bCs/>
          <w:sz w:val="24"/>
          <w:szCs w:val="24"/>
        </w:rPr>
      </w:pPr>
      <w:r w:rsidRPr="0087590E">
        <w:rPr>
          <w:rFonts w:ascii="Arial" w:hAnsi="Arial" w:cs="Arial"/>
          <w:b/>
          <w:bCs/>
          <w:sz w:val="24"/>
          <w:szCs w:val="24"/>
        </w:rPr>
        <w:t>Chapter 1:</w:t>
      </w:r>
    </w:p>
    <w:p w14:paraId="2C0AE882" w14:textId="094B558D" w:rsidR="002027D2" w:rsidRPr="0087590E" w:rsidRDefault="002027D2" w:rsidP="00EB0BCC">
      <w:pPr>
        <w:spacing w:line="276" w:lineRule="auto"/>
        <w:jc w:val="both"/>
        <w:rPr>
          <w:rFonts w:ascii="Arial" w:hAnsi="Arial" w:cs="Arial"/>
          <w:sz w:val="24"/>
          <w:szCs w:val="24"/>
        </w:rPr>
      </w:pPr>
      <w:r w:rsidRPr="0087590E">
        <w:rPr>
          <w:rFonts w:ascii="Arial" w:hAnsi="Arial" w:cs="Arial"/>
          <w:sz w:val="24"/>
          <w:szCs w:val="24"/>
        </w:rPr>
        <w:t>NIR-near infrared,</w:t>
      </w:r>
      <w:r w:rsidR="00C96415">
        <w:rPr>
          <w:rFonts w:ascii="Arial" w:hAnsi="Arial" w:cs="Arial"/>
          <w:sz w:val="24"/>
          <w:szCs w:val="24"/>
        </w:rPr>
        <w:t xml:space="preserve"> US-ultrasound,</w:t>
      </w:r>
      <w:r w:rsidRPr="0087590E">
        <w:rPr>
          <w:rFonts w:ascii="Arial" w:hAnsi="Arial" w:cs="Arial"/>
          <w:sz w:val="24"/>
          <w:szCs w:val="24"/>
        </w:rPr>
        <w:t xml:space="preserve"> MSOT-multispectral optoacoustic tomography, ICG-indocyanine green</w:t>
      </w:r>
      <w:r w:rsidR="00EB0BCC">
        <w:rPr>
          <w:rFonts w:ascii="Arial" w:hAnsi="Arial" w:cs="Arial"/>
          <w:sz w:val="24"/>
          <w:szCs w:val="24"/>
        </w:rPr>
        <w:t>.</w:t>
      </w:r>
    </w:p>
    <w:p w14:paraId="39867FFE" w14:textId="77777777" w:rsidR="002027D2" w:rsidRPr="0087590E" w:rsidRDefault="002027D2" w:rsidP="00EB0BCC">
      <w:pPr>
        <w:spacing w:line="276" w:lineRule="auto"/>
        <w:rPr>
          <w:rFonts w:ascii="Arial" w:hAnsi="Arial" w:cs="Arial"/>
          <w:b/>
          <w:bCs/>
          <w:sz w:val="24"/>
          <w:szCs w:val="24"/>
        </w:rPr>
      </w:pPr>
      <w:r w:rsidRPr="0087590E">
        <w:rPr>
          <w:rFonts w:ascii="Arial" w:hAnsi="Arial" w:cs="Arial"/>
          <w:b/>
          <w:bCs/>
          <w:sz w:val="24"/>
          <w:szCs w:val="24"/>
        </w:rPr>
        <w:t>Chapter 2:</w:t>
      </w:r>
    </w:p>
    <w:p w14:paraId="77E91906" w14:textId="4F54F6C5" w:rsidR="002027D2" w:rsidRPr="0087590E" w:rsidRDefault="002027D2" w:rsidP="00EB0BCC">
      <w:pPr>
        <w:spacing w:line="276" w:lineRule="auto"/>
        <w:jc w:val="both"/>
        <w:rPr>
          <w:rFonts w:ascii="Arial" w:hAnsi="Arial" w:cs="Arial"/>
          <w:sz w:val="24"/>
          <w:szCs w:val="24"/>
        </w:rPr>
      </w:pPr>
      <w:r w:rsidRPr="0087590E">
        <w:rPr>
          <w:rFonts w:ascii="Arial" w:hAnsi="Arial" w:cs="Arial"/>
          <w:sz w:val="24"/>
          <w:szCs w:val="24"/>
        </w:rPr>
        <w:t xml:space="preserve">MSOT-multispectral optoacoustic tomography, ICG-indocyanine green, MB-methylene blue, </w:t>
      </w:r>
      <w:r w:rsidR="00EB0BCC">
        <w:rPr>
          <w:rFonts w:ascii="Arial" w:hAnsi="Arial" w:cs="Arial"/>
          <w:sz w:val="24"/>
          <w:szCs w:val="24"/>
        </w:rPr>
        <w:t xml:space="preserve">HPLC-high performance liquid chromatography, UV-ultraviolet, VIS-visible light, NIR-near infrared, NMR-nuclear magnetic resonance, HRMS-high resolution mass spectroscopy, </w:t>
      </w:r>
      <w:r w:rsidRPr="0087590E">
        <w:rPr>
          <w:rFonts w:ascii="Arial" w:hAnsi="Arial" w:cs="Arial"/>
          <w:sz w:val="24"/>
          <w:szCs w:val="24"/>
        </w:rPr>
        <w:t xml:space="preserve">DFT-density functional theory, TD-DFT-time dependent density functional theory, PBE-Perdew/Burke/Ernzerhof, </w:t>
      </w:r>
      <w:r w:rsidR="00EB0BCC">
        <w:rPr>
          <w:rFonts w:ascii="Arial" w:hAnsi="Arial" w:cs="Arial"/>
          <w:sz w:val="24"/>
          <w:szCs w:val="24"/>
        </w:rPr>
        <w:t>HUVEC-human umbilical vein endothelial cells, DMEM-Dulbecco’s modified eagle medium, FBS- fetal bovine serum, PBS-phosphate buffer saline, AMI-advanced molecular imager</w:t>
      </w:r>
      <w:r w:rsidRPr="0087590E">
        <w:rPr>
          <w:rFonts w:ascii="Arial" w:hAnsi="Arial" w:cs="Arial"/>
          <w:sz w:val="24"/>
          <w:szCs w:val="24"/>
        </w:rPr>
        <w:t xml:space="preserve">, H&amp;E-hematoxylin and eosin, ANOVA-analysis of variance, </w:t>
      </w:r>
      <w:r w:rsidR="00EB0BCC" w:rsidRPr="0087590E">
        <w:rPr>
          <w:rFonts w:ascii="Arial" w:hAnsi="Arial" w:cs="Arial"/>
          <w:sz w:val="24"/>
          <w:szCs w:val="24"/>
        </w:rPr>
        <w:t xml:space="preserve">Br-bromine, Cl-chlorine, F-fluorine, H-hydrogen, </w:t>
      </w:r>
      <w:r w:rsidRPr="0087590E">
        <w:rPr>
          <w:rFonts w:ascii="Arial" w:hAnsi="Arial" w:cs="Arial"/>
          <w:sz w:val="24"/>
          <w:szCs w:val="24"/>
        </w:rPr>
        <w:t>TMAB-trimethylpropylammonium, S</w:t>
      </w:r>
      <w:r w:rsidR="00EB0BCC">
        <w:rPr>
          <w:rFonts w:ascii="Arial" w:hAnsi="Arial" w:cs="Arial"/>
          <w:sz w:val="24"/>
          <w:szCs w:val="24"/>
        </w:rPr>
        <w:t>Q</w:t>
      </w:r>
      <w:r w:rsidRPr="0087590E">
        <w:rPr>
          <w:rFonts w:ascii="Arial" w:hAnsi="Arial" w:cs="Arial"/>
          <w:sz w:val="24"/>
          <w:szCs w:val="24"/>
        </w:rPr>
        <w:t>-</w:t>
      </w:r>
      <w:r w:rsidR="00EB0BCC">
        <w:rPr>
          <w:rFonts w:ascii="Arial" w:hAnsi="Arial" w:cs="Arial"/>
          <w:sz w:val="24"/>
          <w:szCs w:val="24"/>
        </w:rPr>
        <w:t>squaraine</w:t>
      </w:r>
      <w:r w:rsidRPr="0087590E">
        <w:rPr>
          <w:rFonts w:ascii="Arial" w:hAnsi="Arial" w:cs="Arial"/>
          <w:sz w:val="24"/>
          <w:szCs w:val="24"/>
        </w:rPr>
        <w:t xml:space="preserve">, HOMO-highest occupied molecular orbital, LUMO-lowest unoccupied molecular orbital, </w:t>
      </w:r>
      <w:r w:rsidR="00EB0BCC">
        <w:rPr>
          <w:rFonts w:ascii="Arial" w:hAnsi="Arial" w:cs="Arial"/>
          <w:sz w:val="24"/>
          <w:szCs w:val="24"/>
        </w:rPr>
        <w:t>CY</w:t>
      </w:r>
      <w:r w:rsidRPr="0087590E">
        <w:rPr>
          <w:rFonts w:ascii="Arial" w:hAnsi="Arial" w:cs="Arial"/>
          <w:sz w:val="24"/>
          <w:szCs w:val="24"/>
        </w:rPr>
        <w:t>-</w:t>
      </w:r>
      <w:r w:rsidR="00EB0BCC">
        <w:rPr>
          <w:rFonts w:ascii="Arial" w:hAnsi="Arial" w:cs="Arial"/>
          <w:sz w:val="24"/>
          <w:szCs w:val="24"/>
        </w:rPr>
        <w:t>cyanine.</w:t>
      </w:r>
    </w:p>
    <w:p w14:paraId="4471EEA5" w14:textId="77777777" w:rsidR="002027D2" w:rsidRPr="0087590E" w:rsidRDefault="002027D2" w:rsidP="00EB0BCC">
      <w:pPr>
        <w:spacing w:line="276" w:lineRule="auto"/>
        <w:rPr>
          <w:rFonts w:ascii="Arial" w:hAnsi="Arial" w:cs="Arial"/>
          <w:b/>
          <w:bCs/>
          <w:sz w:val="24"/>
          <w:szCs w:val="24"/>
        </w:rPr>
      </w:pPr>
      <w:r w:rsidRPr="0087590E">
        <w:rPr>
          <w:rFonts w:ascii="Arial" w:hAnsi="Arial" w:cs="Arial"/>
          <w:b/>
          <w:bCs/>
          <w:sz w:val="24"/>
          <w:szCs w:val="24"/>
        </w:rPr>
        <w:t>Chapter 3:</w:t>
      </w:r>
    </w:p>
    <w:p w14:paraId="61DD0655" w14:textId="32E7FFC1" w:rsidR="002027D2" w:rsidRPr="0087590E" w:rsidRDefault="00EB0BCC" w:rsidP="00EB0BCC">
      <w:pPr>
        <w:spacing w:line="276" w:lineRule="auto"/>
        <w:jc w:val="both"/>
        <w:rPr>
          <w:rFonts w:ascii="Arial" w:hAnsi="Arial" w:cs="Arial"/>
          <w:sz w:val="24"/>
          <w:szCs w:val="24"/>
        </w:rPr>
      </w:pPr>
      <w:r w:rsidRPr="0087590E">
        <w:rPr>
          <w:rFonts w:ascii="Arial" w:hAnsi="Arial" w:cs="Arial"/>
          <w:sz w:val="24"/>
          <w:szCs w:val="24"/>
        </w:rPr>
        <w:t>ICG-indocyanine green</w:t>
      </w:r>
      <w:r>
        <w:rPr>
          <w:rFonts w:ascii="Arial" w:hAnsi="Arial" w:cs="Arial"/>
          <w:sz w:val="24"/>
          <w:szCs w:val="24"/>
        </w:rPr>
        <w:t xml:space="preserve">, </w:t>
      </w:r>
      <w:r w:rsidR="002027D2" w:rsidRPr="0087590E">
        <w:rPr>
          <w:rFonts w:ascii="Arial" w:hAnsi="Arial" w:cs="Arial"/>
          <w:sz w:val="24"/>
          <w:szCs w:val="24"/>
        </w:rPr>
        <w:t>HC-hemicyanine,</w:t>
      </w:r>
      <w:r>
        <w:rPr>
          <w:rFonts w:ascii="Arial" w:hAnsi="Arial" w:cs="Arial"/>
          <w:sz w:val="24"/>
          <w:szCs w:val="24"/>
        </w:rPr>
        <w:t xml:space="preserve"> NIR-near infrared,</w:t>
      </w:r>
      <w:r w:rsidR="002027D2" w:rsidRPr="0087590E">
        <w:rPr>
          <w:rFonts w:ascii="Arial" w:hAnsi="Arial" w:cs="Arial"/>
          <w:sz w:val="24"/>
          <w:szCs w:val="24"/>
        </w:rPr>
        <w:t xml:space="preserve"> ICT-intramolecular charge transfer, TICT-twisted intramolecular charge transfer, TGS-twisted ground state,</w:t>
      </w:r>
      <w:r w:rsidRPr="00EB0BCC">
        <w:rPr>
          <w:rFonts w:ascii="Arial" w:hAnsi="Arial" w:cs="Arial"/>
          <w:sz w:val="24"/>
          <w:szCs w:val="24"/>
        </w:rPr>
        <w:t xml:space="preserve"> </w:t>
      </w:r>
      <w:r>
        <w:rPr>
          <w:rFonts w:ascii="Arial" w:hAnsi="Arial" w:cs="Arial"/>
          <w:sz w:val="24"/>
          <w:szCs w:val="24"/>
        </w:rPr>
        <w:t>HPLC-high performance liquid chromatography,</w:t>
      </w:r>
      <w:r w:rsidRPr="00EB0BCC">
        <w:rPr>
          <w:rFonts w:ascii="Arial" w:hAnsi="Arial" w:cs="Arial"/>
          <w:sz w:val="24"/>
          <w:szCs w:val="24"/>
        </w:rPr>
        <w:t xml:space="preserve"> </w:t>
      </w:r>
      <w:r>
        <w:rPr>
          <w:rFonts w:ascii="Arial" w:hAnsi="Arial" w:cs="Arial"/>
          <w:sz w:val="24"/>
          <w:szCs w:val="24"/>
        </w:rPr>
        <w:t>NMR-nuclear magnetic resonance, TMS-tetramethylsilane, UV-ultraviolet, VIS-visible light, HUVEC-human umbilical vein endothelial cells, DMEM-Dulbecco’s modified eagle medium, FBS- fetal bovine serum,</w:t>
      </w:r>
      <w:r w:rsidRPr="00EB0BCC">
        <w:rPr>
          <w:rFonts w:ascii="Arial" w:hAnsi="Arial" w:cs="Arial"/>
          <w:sz w:val="24"/>
          <w:szCs w:val="24"/>
        </w:rPr>
        <w:t xml:space="preserve"> </w:t>
      </w:r>
      <w:r>
        <w:rPr>
          <w:rFonts w:ascii="Arial" w:hAnsi="Arial" w:cs="Arial"/>
          <w:sz w:val="24"/>
          <w:szCs w:val="24"/>
        </w:rPr>
        <w:t xml:space="preserve">AMI-advanced molecular imager, </w:t>
      </w:r>
      <w:r w:rsidR="002027D2" w:rsidRPr="0087590E">
        <w:rPr>
          <w:rFonts w:ascii="Arial" w:hAnsi="Arial" w:cs="Arial"/>
          <w:sz w:val="24"/>
          <w:szCs w:val="24"/>
        </w:rPr>
        <w:t>H&amp;E-hematoxylin and eosin</w:t>
      </w:r>
      <w:r>
        <w:rPr>
          <w:rFonts w:ascii="Arial" w:hAnsi="Arial" w:cs="Arial"/>
          <w:sz w:val="24"/>
          <w:szCs w:val="24"/>
        </w:rPr>
        <w:t>, ANOVA-analysis of variance, MSOT-multispectral optoacoustic tomography.</w:t>
      </w:r>
    </w:p>
    <w:p w14:paraId="7748D546" w14:textId="77777777" w:rsidR="002027D2" w:rsidRPr="0087590E" w:rsidRDefault="002027D2" w:rsidP="00EB0BCC">
      <w:pPr>
        <w:spacing w:line="276" w:lineRule="auto"/>
        <w:rPr>
          <w:rFonts w:ascii="Arial" w:hAnsi="Arial" w:cs="Arial"/>
          <w:b/>
          <w:bCs/>
          <w:sz w:val="24"/>
          <w:szCs w:val="24"/>
        </w:rPr>
      </w:pPr>
      <w:r w:rsidRPr="0087590E">
        <w:rPr>
          <w:rFonts w:ascii="Arial" w:hAnsi="Arial" w:cs="Arial"/>
          <w:b/>
          <w:bCs/>
          <w:sz w:val="24"/>
          <w:szCs w:val="24"/>
        </w:rPr>
        <w:t>Chapter 4:</w:t>
      </w:r>
    </w:p>
    <w:p w14:paraId="402ADBEF" w14:textId="3EA21EE8" w:rsidR="002027D2" w:rsidRPr="0087590E" w:rsidRDefault="002027D2" w:rsidP="00EB0BCC">
      <w:pPr>
        <w:spacing w:line="276" w:lineRule="auto"/>
        <w:jc w:val="both"/>
        <w:rPr>
          <w:rFonts w:ascii="Arial" w:hAnsi="Arial" w:cs="Arial"/>
          <w:sz w:val="24"/>
          <w:szCs w:val="24"/>
        </w:rPr>
      </w:pPr>
      <w:r w:rsidRPr="0087590E">
        <w:rPr>
          <w:rFonts w:ascii="Arial" w:hAnsi="Arial" w:cs="Arial"/>
          <w:sz w:val="24"/>
          <w:szCs w:val="24"/>
        </w:rPr>
        <w:t>MSN-mesoporous silica nanoparticle,</w:t>
      </w:r>
      <w:r w:rsidR="00936CD4">
        <w:rPr>
          <w:rFonts w:ascii="Arial" w:hAnsi="Arial" w:cs="Arial"/>
          <w:sz w:val="24"/>
          <w:szCs w:val="24"/>
        </w:rPr>
        <w:t xml:space="preserve"> MRI-magnetic resonance imaging,</w:t>
      </w:r>
      <w:r w:rsidRPr="0087590E">
        <w:rPr>
          <w:rFonts w:ascii="Arial" w:hAnsi="Arial" w:cs="Arial"/>
          <w:sz w:val="24"/>
          <w:szCs w:val="24"/>
        </w:rPr>
        <w:t xml:space="preserve"> PEG-polyethylene glycol, </w:t>
      </w:r>
      <w:r w:rsidR="00936CD4" w:rsidRPr="0087590E">
        <w:rPr>
          <w:rFonts w:ascii="Arial" w:hAnsi="Arial" w:cs="Arial"/>
          <w:sz w:val="24"/>
          <w:szCs w:val="24"/>
        </w:rPr>
        <w:t>CTAB-cetyltrimethylammonium bromide, 2KPEG-2000Molecular weight PEG, 35KPEG-35000Molecular weight PEG, GPTMS-glycidyloxypropyltrimethoxysilane,</w:t>
      </w:r>
      <w:r w:rsidR="00936CD4" w:rsidRPr="00936CD4">
        <w:rPr>
          <w:rFonts w:ascii="Arial" w:hAnsi="Arial" w:cs="Arial"/>
          <w:sz w:val="24"/>
          <w:szCs w:val="24"/>
        </w:rPr>
        <w:t xml:space="preserve"> </w:t>
      </w:r>
      <w:r w:rsidR="00936CD4" w:rsidRPr="0087590E">
        <w:rPr>
          <w:rFonts w:ascii="Arial" w:hAnsi="Arial" w:cs="Arial"/>
          <w:sz w:val="24"/>
          <w:szCs w:val="24"/>
        </w:rPr>
        <w:t>TMOS-trimethyl orthosilicate,</w:t>
      </w:r>
      <w:r w:rsidR="00936CD4">
        <w:rPr>
          <w:rFonts w:ascii="Arial" w:hAnsi="Arial" w:cs="Arial"/>
          <w:sz w:val="24"/>
          <w:szCs w:val="24"/>
        </w:rPr>
        <w:t xml:space="preserve"> </w:t>
      </w:r>
      <w:r w:rsidRPr="0087590E">
        <w:rPr>
          <w:rFonts w:ascii="Arial" w:hAnsi="Arial" w:cs="Arial"/>
          <w:sz w:val="24"/>
          <w:szCs w:val="24"/>
        </w:rPr>
        <w:t>TEA-triethanolamine,</w:t>
      </w:r>
      <w:r w:rsidR="00936CD4">
        <w:rPr>
          <w:rFonts w:ascii="Arial" w:hAnsi="Arial" w:cs="Arial"/>
          <w:sz w:val="24"/>
          <w:szCs w:val="24"/>
        </w:rPr>
        <w:t xml:space="preserve"> DMEM-Dulbecco’s modified eagle medium, </w:t>
      </w:r>
      <w:r w:rsidRPr="0087590E">
        <w:rPr>
          <w:rFonts w:ascii="Arial" w:hAnsi="Arial" w:cs="Arial"/>
          <w:sz w:val="24"/>
          <w:szCs w:val="24"/>
        </w:rPr>
        <w:t xml:space="preserve"> </w:t>
      </w:r>
      <w:r w:rsidR="00936CD4" w:rsidRPr="0087590E">
        <w:rPr>
          <w:rFonts w:ascii="Arial" w:hAnsi="Arial" w:cs="Arial"/>
          <w:sz w:val="24"/>
          <w:szCs w:val="24"/>
        </w:rPr>
        <w:t>FBS-fetal bovine serum,</w:t>
      </w:r>
      <w:r w:rsidR="00936CD4">
        <w:rPr>
          <w:rFonts w:ascii="Arial" w:hAnsi="Arial" w:cs="Arial"/>
          <w:sz w:val="24"/>
          <w:szCs w:val="24"/>
        </w:rPr>
        <w:t xml:space="preserve"> PDI-polydispersity index, </w:t>
      </w:r>
      <w:r w:rsidRPr="0087590E">
        <w:rPr>
          <w:rFonts w:ascii="Arial" w:hAnsi="Arial" w:cs="Arial"/>
          <w:sz w:val="24"/>
          <w:szCs w:val="24"/>
        </w:rPr>
        <w:t>DLS-dynamic light scattering, MADLS-multi angle dynamic light scattering, BET-Brunauer-Emmett-Teller, BJH-Barrett-Joyner-Halenda, C-MSN-chitosan coated-MSN, CBC-complete blood count, BC-blood chemistry, H&amp;E-hematoxylin and eosin,</w:t>
      </w:r>
      <w:r w:rsidR="00936CD4">
        <w:rPr>
          <w:rFonts w:ascii="Arial" w:hAnsi="Arial" w:cs="Arial"/>
          <w:sz w:val="24"/>
          <w:szCs w:val="24"/>
        </w:rPr>
        <w:t xml:space="preserve"> EDTA-ethylenediaminetetraacetic acid, </w:t>
      </w:r>
      <w:r w:rsidRPr="0087590E">
        <w:rPr>
          <w:rFonts w:ascii="Arial" w:hAnsi="Arial" w:cs="Arial"/>
          <w:sz w:val="24"/>
          <w:szCs w:val="24"/>
        </w:rPr>
        <w:t>LH-lithium heparin,</w:t>
      </w:r>
      <w:r w:rsidR="005556B5">
        <w:rPr>
          <w:rFonts w:ascii="Arial" w:hAnsi="Arial" w:cs="Arial"/>
          <w:sz w:val="24"/>
          <w:szCs w:val="24"/>
        </w:rPr>
        <w:t xml:space="preserve"> ANOVA-analysis of variance,</w:t>
      </w:r>
      <w:r w:rsidRPr="0087590E">
        <w:rPr>
          <w:rFonts w:ascii="Arial" w:hAnsi="Arial" w:cs="Arial"/>
          <w:sz w:val="24"/>
          <w:szCs w:val="24"/>
        </w:rPr>
        <w:t xml:space="preserve"> ALB-albumin, ALP-alkaline phosphatase, ALT-alanine transaminase, AMY-amylase, TBIL-total bilirubin, BUN-blood urea nitrogen, CA-calcium, PHOS-phosphorus, CRE-creatinine, GLU-glucose, NA+-sodium, K+-potassium, TP-total protein, GLOB-globulin, RBC-red </w:t>
      </w:r>
      <w:r w:rsidRPr="0087590E">
        <w:rPr>
          <w:rFonts w:ascii="Arial" w:hAnsi="Arial" w:cs="Arial"/>
          <w:sz w:val="24"/>
          <w:szCs w:val="24"/>
        </w:rPr>
        <w:lastRenderedPageBreak/>
        <w:t>blood cell, HGB-hemoglobin, HCT-hematocrit, MCV-mean corpuscular volume, MCH-mean corpuscular hemoglobin, MCHC-mean corpuscular hemoglobin concentration, RDW-red cell distribution width, RET-reticulocyte, PLT-platelets, PDW-platelet distribution width, MPV-mean platelet volume, P-LCR-platelet/large cell ratio, PCT-procalcitonin, WBC-white blood cell, NEUT-neutrophils, LYMPH-lymphocytes, MONO-monocytes, EO-eosinophils, BASO-basophils.</w:t>
      </w:r>
    </w:p>
    <w:p w14:paraId="47444341" w14:textId="77777777" w:rsidR="002027D2" w:rsidRPr="0087590E" w:rsidRDefault="002027D2" w:rsidP="00EB0BCC">
      <w:pPr>
        <w:spacing w:line="276" w:lineRule="auto"/>
        <w:rPr>
          <w:rFonts w:ascii="Arial" w:hAnsi="Arial" w:cs="Arial"/>
          <w:b/>
          <w:bCs/>
          <w:sz w:val="24"/>
          <w:szCs w:val="24"/>
        </w:rPr>
      </w:pPr>
      <w:r w:rsidRPr="0087590E">
        <w:rPr>
          <w:rFonts w:ascii="Arial" w:hAnsi="Arial" w:cs="Arial"/>
          <w:b/>
          <w:bCs/>
          <w:sz w:val="24"/>
          <w:szCs w:val="24"/>
        </w:rPr>
        <w:t>Chapter 5:</w:t>
      </w:r>
    </w:p>
    <w:p w14:paraId="20D4EFE1" w14:textId="6E9BC466" w:rsidR="002027D2" w:rsidRPr="0087590E" w:rsidRDefault="005556B5" w:rsidP="00EB0BCC">
      <w:pPr>
        <w:spacing w:line="276" w:lineRule="auto"/>
        <w:jc w:val="both"/>
        <w:rPr>
          <w:rFonts w:ascii="Arial" w:hAnsi="Arial" w:cs="Arial"/>
          <w:sz w:val="24"/>
          <w:szCs w:val="24"/>
        </w:rPr>
      </w:pPr>
      <w:r w:rsidRPr="0087590E">
        <w:rPr>
          <w:rFonts w:ascii="Arial" w:hAnsi="Arial" w:cs="Arial"/>
          <w:sz w:val="24"/>
          <w:szCs w:val="24"/>
        </w:rPr>
        <w:t>SMCC-succinimidyl 4-n-maleimidomethylcyclohexane-1-carboxylate,</w:t>
      </w:r>
      <w:r w:rsidRPr="005556B5">
        <w:rPr>
          <w:rFonts w:ascii="Arial" w:hAnsi="Arial" w:cs="Arial"/>
          <w:sz w:val="24"/>
          <w:szCs w:val="24"/>
        </w:rPr>
        <w:t xml:space="preserve"> </w:t>
      </w:r>
      <w:r w:rsidRPr="0087590E">
        <w:rPr>
          <w:rFonts w:ascii="Arial" w:hAnsi="Arial" w:cs="Arial"/>
          <w:sz w:val="24"/>
          <w:szCs w:val="24"/>
        </w:rPr>
        <w:t xml:space="preserve">PEG-polyethylene glycol, </w:t>
      </w:r>
      <w:r>
        <w:rPr>
          <w:rFonts w:ascii="Arial" w:hAnsi="Arial" w:cs="Arial"/>
          <w:sz w:val="24"/>
          <w:szCs w:val="24"/>
        </w:rPr>
        <w:t xml:space="preserve"> </w:t>
      </w:r>
      <w:r w:rsidR="002027D2" w:rsidRPr="0087590E">
        <w:rPr>
          <w:rFonts w:ascii="Arial" w:hAnsi="Arial" w:cs="Arial"/>
          <w:sz w:val="24"/>
          <w:szCs w:val="24"/>
        </w:rPr>
        <w:t xml:space="preserve">EPR-enhanced permeability and retention, MSN-mesoporous silica nanoparticle, MSOT-multispectral optoacoustic tomography, NIR-near infrared, PET-positron emission tomography, </w:t>
      </w:r>
      <w:r>
        <w:rPr>
          <w:rFonts w:ascii="Arial" w:hAnsi="Arial" w:cs="Arial"/>
          <w:sz w:val="24"/>
          <w:szCs w:val="24"/>
        </w:rPr>
        <w:t>MRI-magnetic resonance imaging,</w:t>
      </w:r>
      <w:r w:rsidR="002027D2" w:rsidRPr="0087590E">
        <w:rPr>
          <w:rFonts w:ascii="Arial" w:hAnsi="Arial" w:cs="Arial"/>
          <w:sz w:val="24"/>
          <w:szCs w:val="24"/>
        </w:rPr>
        <w:t xml:space="preserve"> ICG-indocyanine green,</w:t>
      </w:r>
      <w:r>
        <w:rPr>
          <w:rFonts w:ascii="Arial" w:hAnsi="Arial" w:cs="Arial"/>
          <w:sz w:val="24"/>
          <w:szCs w:val="24"/>
        </w:rPr>
        <w:t xml:space="preserve"> </w:t>
      </w:r>
      <w:r w:rsidRPr="0087590E">
        <w:rPr>
          <w:rFonts w:ascii="Arial" w:hAnsi="Arial" w:cs="Arial"/>
          <w:sz w:val="24"/>
          <w:szCs w:val="24"/>
        </w:rPr>
        <w:t>TMOS-trimethyl orthosilicate, TEOS-triethyl orthosilicate, TPOS-tripropyl orthosilicate</w:t>
      </w:r>
      <w:r>
        <w:rPr>
          <w:rFonts w:ascii="Arial" w:hAnsi="Arial" w:cs="Arial"/>
          <w:sz w:val="24"/>
          <w:szCs w:val="24"/>
        </w:rPr>
        <w:t>,</w:t>
      </w:r>
      <w:r w:rsidR="002027D2" w:rsidRPr="0087590E">
        <w:rPr>
          <w:rFonts w:ascii="Arial" w:hAnsi="Arial" w:cs="Arial"/>
          <w:sz w:val="24"/>
          <w:szCs w:val="24"/>
        </w:rPr>
        <w:t xml:space="preserve"> CTAB-cetyltrimethylammonium bromide, GPTMS-glycidyloxypropyltrimethoxysilane,</w:t>
      </w:r>
      <w:r>
        <w:rPr>
          <w:rFonts w:ascii="Arial" w:hAnsi="Arial" w:cs="Arial"/>
          <w:sz w:val="24"/>
          <w:szCs w:val="24"/>
        </w:rPr>
        <w:t xml:space="preserve"> </w:t>
      </w:r>
      <w:r w:rsidR="002027D2" w:rsidRPr="0087590E">
        <w:rPr>
          <w:rFonts w:ascii="Arial" w:hAnsi="Arial" w:cs="Arial"/>
          <w:sz w:val="24"/>
          <w:szCs w:val="24"/>
        </w:rPr>
        <w:t xml:space="preserve">TEA-triethanolamine, </w:t>
      </w:r>
      <w:r>
        <w:rPr>
          <w:rFonts w:ascii="Arial" w:hAnsi="Arial" w:cs="Arial"/>
          <w:sz w:val="24"/>
          <w:szCs w:val="24"/>
        </w:rPr>
        <w:t xml:space="preserve">PI-propidium iodide, </w:t>
      </w:r>
      <w:r w:rsidR="002027D2" w:rsidRPr="0087590E">
        <w:rPr>
          <w:rFonts w:ascii="Arial" w:hAnsi="Arial" w:cs="Arial"/>
          <w:sz w:val="24"/>
          <w:szCs w:val="24"/>
        </w:rPr>
        <w:t>PDAC-pancreatic ductal adenocarcinoma, DMEM-Dulbecco’s modified eagle medium, FBS-fetal bovine serum, DLS-dynamic light scattering</w:t>
      </w:r>
      <w:r>
        <w:rPr>
          <w:rFonts w:ascii="Arial" w:hAnsi="Arial" w:cs="Arial"/>
          <w:sz w:val="24"/>
          <w:szCs w:val="24"/>
        </w:rPr>
        <w:t>, PDI-polydispersity index,</w:t>
      </w:r>
      <w:r w:rsidR="002027D2" w:rsidRPr="0087590E">
        <w:rPr>
          <w:rFonts w:ascii="Arial" w:hAnsi="Arial" w:cs="Arial"/>
          <w:sz w:val="24"/>
          <w:szCs w:val="24"/>
        </w:rPr>
        <w:t xml:space="preserve"> MADLS-multi angle dynamic light scattering, BET-Brunauer-Emmett-Teller, BJH-Barrett-Joyner-Halenda, TEM-transmission electron microscopy, </w:t>
      </w:r>
      <w:r w:rsidRPr="0087590E">
        <w:rPr>
          <w:rFonts w:ascii="Arial" w:hAnsi="Arial" w:cs="Arial"/>
          <w:sz w:val="24"/>
          <w:szCs w:val="24"/>
        </w:rPr>
        <w:t>ATPES-3-aminopropyltriethoxysilane</w:t>
      </w:r>
      <w:r>
        <w:rPr>
          <w:rFonts w:ascii="Arial" w:hAnsi="Arial" w:cs="Arial"/>
          <w:sz w:val="24"/>
          <w:szCs w:val="24"/>
        </w:rPr>
        <w:t>,</w:t>
      </w:r>
      <w:r w:rsidRPr="0087590E">
        <w:rPr>
          <w:rFonts w:ascii="Arial" w:hAnsi="Arial" w:cs="Arial"/>
          <w:sz w:val="24"/>
          <w:szCs w:val="24"/>
        </w:rPr>
        <w:t xml:space="preserve"> </w:t>
      </w:r>
      <w:r>
        <w:rPr>
          <w:rFonts w:ascii="Arial" w:hAnsi="Arial" w:cs="Arial"/>
          <w:sz w:val="24"/>
          <w:szCs w:val="24"/>
        </w:rPr>
        <w:t xml:space="preserve">UV-ultraviolet, VIS-visible light, OD-optical density, pHLIP-pH low insertion peptide, </w:t>
      </w:r>
      <w:r w:rsidRPr="0087590E">
        <w:rPr>
          <w:rFonts w:ascii="Arial" w:hAnsi="Arial" w:cs="Arial"/>
          <w:sz w:val="24"/>
          <w:szCs w:val="24"/>
        </w:rPr>
        <w:t>ATP-adenosine triphosphate</w:t>
      </w:r>
      <w:r w:rsidR="002027D2" w:rsidRPr="0087590E">
        <w:rPr>
          <w:rFonts w:ascii="Arial" w:hAnsi="Arial" w:cs="Arial"/>
          <w:sz w:val="24"/>
          <w:szCs w:val="24"/>
        </w:rPr>
        <w:t xml:space="preserve">, </w:t>
      </w:r>
      <w:r w:rsidRPr="0087590E">
        <w:rPr>
          <w:rFonts w:ascii="Arial" w:hAnsi="Arial" w:cs="Arial"/>
          <w:sz w:val="24"/>
          <w:szCs w:val="24"/>
        </w:rPr>
        <w:t>PBS-phosphate buffered saline</w:t>
      </w:r>
      <w:r>
        <w:rPr>
          <w:rFonts w:ascii="Arial" w:hAnsi="Arial" w:cs="Arial"/>
          <w:sz w:val="24"/>
          <w:szCs w:val="24"/>
        </w:rPr>
        <w:t xml:space="preserve">, ROI-region of interest, </w:t>
      </w:r>
      <w:r w:rsidRPr="0087590E">
        <w:rPr>
          <w:rFonts w:ascii="Arial" w:hAnsi="Arial" w:cs="Arial"/>
          <w:sz w:val="24"/>
          <w:szCs w:val="24"/>
        </w:rPr>
        <w:t>IV-intravenous,</w:t>
      </w:r>
      <w:r>
        <w:rPr>
          <w:rFonts w:ascii="Arial" w:hAnsi="Arial" w:cs="Arial"/>
          <w:sz w:val="24"/>
          <w:szCs w:val="24"/>
        </w:rPr>
        <w:t xml:space="preserve"> AMI-advanced molecular imager, </w:t>
      </w:r>
      <w:r w:rsidR="002027D2" w:rsidRPr="0087590E">
        <w:rPr>
          <w:rFonts w:ascii="Arial" w:hAnsi="Arial" w:cs="Arial"/>
          <w:sz w:val="24"/>
          <w:szCs w:val="24"/>
        </w:rPr>
        <w:t>H&amp;E-hematoxylin and eosin, ANOVA- analysis of variance</w:t>
      </w:r>
      <w:r>
        <w:rPr>
          <w:rFonts w:ascii="Arial" w:hAnsi="Arial" w:cs="Arial"/>
          <w:sz w:val="24"/>
          <w:szCs w:val="24"/>
        </w:rPr>
        <w:t>.</w:t>
      </w:r>
    </w:p>
    <w:p w14:paraId="2403475B" w14:textId="77777777" w:rsidR="002027D2" w:rsidRPr="0087590E" w:rsidRDefault="002027D2" w:rsidP="00EB0BCC">
      <w:pPr>
        <w:spacing w:line="276" w:lineRule="auto"/>
        <w:rPr>
          <w:rFonts w:ascii="Arial" w:hAnsi="Arial" w:cs="Arial"/>
          <w:b/>
          <w:bCs/>
          <w:sz w:val="24"/>
          <w:szCs w:val="24"/>
        </w:rPr>
      </w:pPr>
      <w:r w:rsidRPr="0087590E">
        <w:rPr>
          <w:rFonts w:ascii="Arial" w:hAnsi="Arial" w:cs="Arial"/>
          <w:b/>
          <w:bCs/>
          <w:sz w:val="24"/>
          <w:szCs w:val="24"/>
        </w:rPr>
        <w:t>Chapter 6:</w:t>
      </w:r>
    </w:p>
    <w:p w14:paraId="2CD545E0" w14:textId="38588E9C" w:rsidR="002027D2" w:rsidRPr="0087590E" w:rsidRDefault="002027D2" w:rsidP="00EB0BCC">
      <w:pPr>
        <w:spacing w:line="276" w:lineRule="auto"/>
        <w:jc w:val="both"/>
        <w:rPr>
          <w:rFonts w:ascii="Arial" w:hAnsi="Arial" w:cs="Arial"/>
          <w:sz w:val="24"/>
          <w:szCs w:val="24"/>
        </w:rPr>
      </w:pPr>
      <w:r w:rsidRPr="0087590E">
        <w:rPr>
          <w:rFonts w:ascii="Arial" w:hAnsi="Arial" w:cs="Arial"/>
          <w:sz w:val="24"/>
          <w:szCs w:val="24"/>
        </w:rPr>
        <w:t xml:space="preserve">NIR-near infrared, </w:t>
      </w:r>
      <w:r w:rsidR="005556B5">
        <w:rPr>
          <w:rFonts w:ascii="Arial" w:hAnsi="Arial" w:cs="Arial"/>
          <w:sz w:val="24"/>
          <w:szCs w:val="24"/>
        </w:rPr>
        <w:t xml:space="preserve">MSOT-multispectral optoacoustic tomography, </w:t>
      </w:r>
      <w:r w:rsidRPr="0087590E">
        <w:rPr>
          <w:rFonts w:ascii="Arial" w:hAnsi="Arial" w:cs="Arial"/>
          <w:sz w:val="24"/>
          <w:szCs w:val="24"/>
        </w:rPr>
        <w:t>MSN-mesoporous silica nanoparticle, PEG-polyethylene glycol</w:t>
      </w:r>
    </w:p>
    <w:p w14:paraId="0CE677B9" w14:textId="77777777" w:rsidR="002027D2" w:rsidRPr="00F2524B" w:rsidRDefault="002027D2" w:rsidP="002A4DB5">
      <w:pPr>
        <w:spacing w:line="480" w:lineRule="auto"/>
        <w:rPr>
          <w:rFonts w:ascii="Arial" w:hAnsi="Arial" w:cs="Arial"/>
          <w:sz w:val="24"/>
          <w:szCs w:val="24"/>
        </w:rPr>
      </w:pPr>
    </w:p>
    <w:p w14:paraId="008BA36B" w14:textId="77777777" w:rsidR="002027D2" w:rsidRPr="00F2524B" w:rsidRDefault="002027D2" w:rsidP="002A4DB5">
      <w:pPr>
        <w:spacing w:line="480" w:lineRule="auto"/>
        <w:rPr>
          <w:rFonts w:ascii="Arial" w:hAnsi="Arial" w:cs="Arial"/>
          <w:sz w:val="24"/>
          <w:szCs w:val="24"/>
        </w:rPr>
      </w:pPr>
    </w:p>
    <w:p w14:paraId="0808DD9F" w14:textId="77777777" w:rsidR="002027D2" w:rsidRPr="00F2524B" w:rsidRDefault="002027D2" w:rsidP="002A4DB5">
      <w:pPr>
        <w:spacing w:line="480" w:lineRule="auto"/>
        <w:rPr>
          <w:rFonts w:ascii="Arial" w:hAnsi="Arial" w:cs="Arial"/>
          <w:sz w:val="24"/>
          <w:szCs w:val="24"/>
        </w:rPr>
      </w:pPr>
    </w:p>
    <w:p w14:paraId="6C40F1F0" w14:textId="77777777" w:rsidR="002027D2" w:rsidRDefault="002027D2" w:rsidP="002A4DB5">
      <w:pPr>
        <w:spacing w:line="480" w:lineRule="auto"/>
        <w:rPr>
          <w:rFonts w:ascii="Arial" w:hAnsi="Arial" w:cs="Arial"/>
          <w:sz w:val="24"/>
          <w:szCs w:val="24"/>
        </w:rPr>
      </w:pPr>
    </w:p>
    <w:p w14:paraId="4A222360" w14:textId="77777777" w:rsidR="005556B5" w:rsidRPr="00F2524B" w:rsidRDefault="005556B5" w:rsidP="002A4DB5">
      <w:pPr>
        <w:spacing w:line="480" w:lineRule="auto"/>
        <w:rPr>
          <w:rFonts w:ascii="Arial" w:hAnsi="Arial" w:cs="Arial"/>
          <w:sz w:val="24"/>
          <w:szCs w:val="24"/>
        </w:rPr>
      </w:pPr>
    </w:p>
    <w:p w14:paraId="128E7F26" w14:textId="77777777" w:rsidR="002027D2" w:rsidRPr="00F2524B" w:rsidRDefault="002027D2" w:rsidP="002A4DB5">
      <w:pPr>
        <w:spacing w:line="480" w:lineRule="auto"/>
        <w:rPr>
          <w:rFonts w:ascii="Arial" w:hAnsi="Arial" w:cs="Arial"/>
          <w:sz w:val="24"/>
          <w:szCs w:val="24"/>
        </w:rPr>
      </w:pPr>
    </w:p>
    <w:p w14:paraId="7FB08B20" w14:textId="77777777" w:rsidR="002027D2" w:rsidRPr="002027D2" w:rsidRDefault="002027D2" w:rsidP="002A4DB5">
      <w:pPr>
        <w:pStyle w:val="Style3"/>
        <w:spacing w:after="240" w:line="480" w:lineRule="auto"/>
        <w:rPr>
          <w:color w:val="auto"/>
        </w:rPr>
      </w:pPr>
      <w:bookmarkStart w:id="60" w:name="_Toc152874290"/>
      <w:r w:rsidRPr="002027D2">
        <w:rPr>
          <w:color w:val="auto"/>
        </w:rPr>
        <w:lastRenderedPageBreak/>
        <w:t>Appendix B – Supporting Information:</w:t>
      </w:r>
      <w:bookmarkEnd w:id="60"/>
    </w:p>
    <w:p w14:paraId="32D63EEA" w14:textId="77777777" w:rsidR="002027D2" w:rsidRPr="0087590E" w:rsidRDefault="002027D2" w:rsidP="0087590E">
      <w:pPr>
        <w:rPr>
          <w:rFonts w:ascii="Arial" w:hAnsi="Arial" w:cs="Arial"/>
          <w:b/>
          <w:bCs/>
          <w:sz w:val="24"/>
          <w:szCs w:val="24"/>
        </w:rPr>
      </w:pPr>
      <w:r w:rsidRPr="0087590E">
        <w:rPr>
          <w:rFonts w:ascii="Arial" w:hAnsi="Arial" w:cs="Arial"/>
          <w:b/>
          <w:bCs/>
          <w:sz w:val="24"/>
          <w:szCs w:val="24"/>
        </w:rPr>
        <w:t>Chapter 1:</w:t>
      </w:r>
    </w:p>
    <w:p w14:paraId="60386D40" w14:textId="77777777" w:rsidR="002027D2" w:rsidRPr="0087590E" w:rsidRDefault="002027D2" w:rsidP="0087590E">
      <w:pPr>
        <w:jc w:val="center"/>
        <w:rPr>
          <w:rFonts w:ascii="Arial" w:hAnsi="Arial" w:cs="Arial"/>
          <w:sz w:val="24"/>
          <w:szCs w:val="24"/>
        </w:rPr>
      </w:pPr>
      <w:r w:rsidRPr="0087590E">
        <w:rPr>
          <w:rFonts w:ascii="Arial" w:hAnsi="Arial" w:cs="Arial"/>
          <w:noProof/>
          <w:sz w:val="24"/>
          <w:szCs w:val="24"/>
        </w:rPr>
        <w:drawing>
          <wp:inline distT="0" distB="0" distL="0" distR="0" wp14:anchorId="6EC3CB81" wp14:editId="6863169C">
            <wp:extent cx="5795056" cy="3995530"/>
            <wp:effectExtent l="0" t="0" r="0" b="5080"/>
            <wp:docPr id="29031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2831"/>
                    <a:stretch/>
                  </pic:blipFill>
                  <pic:spPr bwMode="auto">
                    <a:xfrm>
                      <a:off x="0" y="0"/>
                      <a:ext cx="5870543" cy="4047576"/>
                    </a:xfrm>
                    <a:prstGeom prst="rect">
                      <a:avLst/>
                    </a:prstGeom>
                    <a:noFill/>
                    <a:ln>
                      <a:noFill/>
                    </a:ln>
                    <a:extLst>
                      <a:ext uri="{53640926-AAD7-44D8-BBD7-CCE9431645EC}">
                        <a14:shadowObscured xmlns:a14="http://schemas.microsoft.com/office/drawing/2010/main"/>
                      </a:ext>
                    </a:extLst>
                  </pic:spPr>
                </pic:pic>
              </a:graphicData>
            </a:graphic>
          </wp:inline>
        </w:drawing>
      </w:r>
    </w:p>
    <w:p w14:paraId="6FC40CB5" w14:textId="77777777" w:rsidR="002027D2" w:rsidRDefault="002027D2" w:rsidP="005556B5">
      <w:pPr>
        <w:spacing w:line="276" w:lineRule="auto"/>
        <w:jc w:val="both"/>
        <w:rPr>
          <w:rFonts w:ascii="Arial" w:hAnsi="Arial" w:cs="Arial"/>
          <w:bCs/>
          <w:sz w:val="24"/>
          <w:szCs w:val="24"/>
        </w:rPr>
      </w:pPr>
      <w:r>
        <w:rPr>
          <w:rFonts w:ascii="Arial" w:hAnsi="Arial" w:cs="Arial"/>
          <w:b/>
          <w:bCs/>
          <w:sz w:val="24"/>
          <w:szCs w:val="24"/>
        </w:rPr>
        <w:t xml:space="preserve">Figure </w:t>
      </w:r>
      <w:r w:rsidRPr="0087590E">
        <w:rPr>
          <w:rFonts w:ascii="Arial" w:hAnsi="Arial" w:cs="Arial"/>
          <w:b/>
          <w:bCs/>
          <w:sz w:val="24"/>
          <w:szCs w:val="24"/>
        </w:rPr>
        <w:t>S1.1:</w:t>
      </w:r>
      <w:r w:rsidRPr="0087590E">
        <w:rPr>
          <w:rFonts w:ascii="Arial" w:hAnsi="Arial" w:cs="Arial"/>
          <w:bCs/>
          <w:sz w:val="24"/>
          <w:szCs w:val="24"/>
        </w:rPr>
        <w:t xml:space="preserve"> Optoacoustic imaging setups for </w:t>
      </w:r>
      <w:r w:rsidRPr="0087590E">
        <w:rPr>
          <w:rFonts w:ascii="Arial" w:hAnsi="Arial" w:cs="Arial"/>
          <w:bCs/>
          <w:i/>
          <w:iCs/>
          <w:sz w:val="24"/>
          <w:szCs w:val="24"/>
        </w:rPr>
        <w:t xml:space="preserve">in vitro </w:t>
      </w:r>
      <w:r w:rsidRPr="0087590E">
        <w:rPr>
          <w:rFonts w:ascii="Arial" w:hAnsi="Arial" w:cs="Arial"/>
          <w:bCs/>
          <w:sz w:val="24"/>
          <w:szCs w:val="24"/>
        </w:rPr>
        <w:t xml:space="preserve">(A-D) and </w:t>
      </w:r>
      <w:r w:rsidRPr="0087590E">
        <w:rPr>
          <w:rFonts w:ascii="Arial" w:hAnsi="Arial" w:cs="Arial"/>
          <w:bCs/>
          <w:i/>
          <w:iCs/>
          <w:sz w:val="24"/>
          <w:szCs w:val="24"/>
        </w:rPr>
        <w:t xml:space="preserve">in vivo </w:t>
      </w:r>
      <w:r w:rsidRPr="0087590E">
        <w:rPr>
          <w:rFonts w:ascii="Arial" w:hAnsi="Arial" w:cs="Arial"/>
          <w:bCs/>
          <w:sz w:val="24"/>
          <w:szCs w:val="24"/>
        </w:rPr>
        <w:t>(E-F) evaluation. A) Loading of contrast agent (1: green) within cylindrical opening of an agar-based tissue mimicking phantom from a frontal perspective (left) and a top-down perspective (right). A second cylindrical well is prepared and used as a blank (2: white). B) Encapsulation of contrast agent, rotation of phantom, and insertion into imaging setup perpendicular to system. C) Reconstructed optoacoustic image of sample at imaging slice shown in B. D) Spectrally unmixed optoacoustic agent of sample at imaging slice shown in B. E) Perspective of a mouse prior to optoacoustic evaluation. F) Insertion of a mouse into the imaging system with two imaging slices shown. Top images show optoacoustic images acquired at corresponding imaging slices. Bottom images show cross sections of mouse anatomy in color corresponding to imaging slices for reference. The following structures are labeled: spinal cord (SC); aorta (A); vena cava (VC); vena porta (VP); liver (L); stomach (ST); kidney (K); spleen (SP). Panels F and G are adapted from reference 6.</w:t>
      </w:r>
    </w:p>
    <w:p w14:paraId="4F288180" w14:textId="77777777" w:rsidR="002027D2" w:rsidRDefault="002027D2" w:rsidP="0087590E">
      <w:pPr>
        <w:jc w:val="center"/>
        <w:rPr>
          <w:rFonts w:ascii="Arial" w:hAnsi="Arial" w:cs="Arial"/>
          <w:bCs/>
          <w:sz w:val="24"/>
          <w:szCs w:val="24"/>
        </w:rPr>
      </w:pPr>
    </w:p>
    <w:p w14:paraId="3A9E254D" w14:textId="77777777" w:rsidR="002027D2" w:rsidRPr="0087590E" w:rsidRDefault="002027D2" w:rsidP="005556B5">
      <w:pPr>
        <w:rPr>
          <w:rFonts w:ascii="Arial" w:hAnsi="Arial" w:cs="Arial"/>
          <w:sz w:val="24"/>
          <w:szCs w:val="24"/>
        </w:rPr>
      </w:pPr>
    </w:p>
    <w:p w14:paraId="6009DF4D" w14:textId="77777777" w:rsidR="002027D2" w:rsidRPr="0087590E" w:rsidRDefault="002027D2" w:rsidP="0087590E">
      <w:pPr>
        <w:rPr>
          <w:rFonts w:ascii="Arial" w:hAnsi="Arial" w:cs="Arial"/>
          <w:b/>
          <w:sz w:val="24"/>
          <w:szCs w:val="24"/>
        </w:rPr>
      </w:pPr>
      <w:r w:rsidRPr="0087590E">
        <w:rPr>
          <w:rFonts w:ascii="Arial" w:hAnsi="Arial" w:cs="Arial"/>
          <w:b/>
          <w:sz w:val="24"/>
          <w:szCs w:val="24"/>
        </w:rPr>
        <w:lastRenderedPageBreak/>
        <w:t>Chapter 2:</w:t>
      </w:r>
    </w:p>
    <w:p w14:paraId="75C86F20" w14:textId="77777777" w:rsidR="002027D2" w:rsidRPr="0087590E" w:rsidRDefault="002027D2" w:rsidP="0087590E">
      <w:pPr>
        <w:jc w:val="center"/>
        <w:rPr>
          <w:rFonts w:ascii="Arial" w:hAnsi="Arial" w:cs="Arial"/>
          <w:b/>
          <w:bCs/>
          <w:sz w:val="24"/>
          <w:szCs w:val="24"/>
        </w:rPr>
      </w:pPr>
      <w:r w:rsidRPr="0087590E">
        <w:rPr>
          <w:rFonts w:ascii="Arial" w:hAnsi="Arial" w:cs="Arial"/>
          <w:noProof/>
          <w:sz w:val="24"/>
          <w:szCs w:val="24"/>
        </w:rPr>
        <w:drawing>
          <wp:inline distT="0" distB="0" distL="0" distR="0" wp14:anchorId="3C675D87" wp14:editId="647BCB5F">
            <wp:extent cx="5685790" cy="2011680"/>
            <wp:effectExtent l="0" t="0" r="0" b="7620"/>
            <wp:docPr id="404677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85790" cy="2011680"/>
                    </a:xfrm>
                    <a:prstGeom prst="rect">
                      <a:avLst/>
                    </a:prstGeom>
                    <a:noFill/>
                  </pic:spPr>
                </pic:pic>
              </a:graphicData>
            </a:graphic>
          </wp:inline>
        </w:drawing>
      </w:r>
    </w:p>
    <w:p w14:paraId="255C1CE2"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7590E">
        <w:rPr>
          <w:rFonts w:ascii="Arial" w:hAnsi="Arial" w:cs="Arial"/>
          <w:b/>
          <w:bCs/>
          <w:sz w:val="24"/>
          <w:szCs w:val="24"/>
        </w:rPr>
        <w:t xml:space="preserve"> S2.1</w:t>
      </w:r>
      <w:r w:rsidRPr="000452A8">
        <w:rPr>
          <w:rFonts w:ascii="Arial" w:hAnsi="Arial" w:cs="Arial"/>
          <w:b/>
          <w:bCs/>
          <w:sz w:val="24"/>
          <w:szCs w:val="24"/>
        </w:rPr>
        <w:t>:</w:t>
      </w:r>
      <w:r w:rsidRPr="0087590E">
        <w:rPr>
          <w:rFonts w:ascii="Arial" w:hAnsi="Arial" w:cs="Arial"/>
          <w:b/>
          <w:bCs/>
          <w:sz w:val="24"/>
          <w:szCs w:val="24"/>
        </w:rPr>
        <w:t xml:space="preserve"> </w:t>
      </w:r>
      <w:r w:rsidRPr="0087590E">
        <w:rPr>
          <w:rFonts w:ascii="Arial" w:hAnsi="Arial" w:cs="Arial"/>
          <w:sz w:val="24"/>
          <w:szCs w:val="24"/>
          <w:highlight w:val="yellow"/>
        </w:rPr>
        <w:t>Synthetic step</w:t>
      </w:r>
      <w:r w:rsidRPr="0087590E">
        <w:rPr>
          <w:rFonts w:ascii="Arial" w:hAnsi="Arial" w:cs="Arial"/>
          <w:sz w:val="24"/>
          <w:szCs w:val="24"/>
        </w:rPr>
        <w:t xml:space="preserve"> for </w:t>
      </w:r>
      <w:r w:rsidRPr="008D1712">
        <w:rPr>
          <w:rFonts w:ascii="Arial" w:hAnsi="Arial" w:cs="Arial"/>
          <w:sz w:val="24"/>
          <w:szCs w:val="24"/>
        </w:rPr>
        <w:t>cyanine optoacoustic probes.</w:t>
      </w:r>
    </w:p>
    <w:p w14:paraId="59CCC020"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7C35F8B7" wp14:editId="3D937253">
            <wp:extent cx="5212080" cy="3291840"/>
            <wp:effectExtent l="0" t="0" r="7620" b="381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12080" cy="3291840"/>
                    </a:xfrm>
                    <a:prstGeom prst="rect">
                      <a:avLst/>
                    </a:prstGeom>
                    <a:noFill/>
                    <a:ln>
                      <a:noFill/>
                    </a:ln>
                  </pic:spPr>
                </pic:pic>
              </a:graphicData>
            </a:graphic>
          </wp:inline>
        </w:drawing>
      </w:r>
    </w:p>
    <w:p w14:paraId="1EF3640B"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w:t>
      </w:r>
      <w:r w:rsidRPr="000452A8">
        <w:rPr>
          <w:rFonts w:ascii="Arial" w:hAnsi="Arial" w:cs="Arial"/>
          <w:b/>
          <w:sz w:val="24"/>
          <w:szCs w:val="24"/>
        </w:rPr>
        <w:t>2:</w:t>
      </w:r>
      <w:r w:rsidRPr="008D1712">
        <w:rPr>
          <w:rFonts w:ascii="Arial" w:hAnsi="Arial" w:cs="Arial"/>
          <w:sz w:val="24"/>
          <w:szCs w:val="24"/>
        </w:rPr>
        <w:t xml:space="preserve"> </w:t>
      </w:r>
      <w:r w:rsidRPr="008D1712">
        <w:rPr>
          <w:rFonts w:ascii="Arial" w:hAnsi="Arial" w:cs="Arial"/>
          <w:sz w:val="24"/>
          <w:szCs w:val="24"/>
          <w:vertAlign w:val="superscript"/>
        </w:rPr>
        <w:t>1</w:t>
      </w:r>
      <w:r w:rsidRPr="008D1712">
        <w:rPr>
          <w:rFonts w:ascii="Arial" w:hAnsi="Arial" w:cs="Arial"/>
          <w:sz w:val="24"/>
          <w:szCs w:val="24"/>
        </w:rPr>
        <w:t xml:space="preserve">H NMR spectrum of </w:t>
      </w:r>
      <w:r w:rsidRPr="008D1712">
        <w:rPr>
          <w:rFonts w:ascii="Arial" w:hAnsi="Arial" w:cs="Arial"/>
          <w:b/>
          <w:bCs/>
          <w:sz w:val="24"/>
          <w:szCs w:val="24"/>
        </w:rPr>
        <w:t>SQ H no TMAB</w:t>
      </w:r>
      <w:r w:rsidRPr="008D1712">
        <w:rPr>
          <w:rFonts w:ascii="Arial" w:hAnsi="Arial" w:cs="Arial"/>
          <w:sz w:val="24"/>
          <w:szCs w:val="24"/>
        </w:rPr>
        <w:t>.</w:t>
      </w:r>
    </w:p>
    <w:p w14:paraId="7A51BA5B" w14:textId="77777777" w:rsidR="002027D2" w:rsidRPr="008D1712" w:rsidRDefault="002027D2" w:rsidP="008D1712">
      <w:pPr>
        <w:spacing w:line="480" w:lineRule="auto"/>
        <w:jc w:val="center"/>
        <w:rPr>
          <w:rFonts w:ascii="Arial" w:hAnsi="Arial" w:cs="Arial"/>
          <w:sz w:val="24"/>
          <w:szCs w:val="24"/>
        </w:rPr>
      </w:pPr>
    </w:p>
    <w:p w14:paraId="2C673663" w14:textId="77777777" w:rsidR="002027D2" w:rsidRPr="008D1712" w:rsidRDefault="002027D2" w:rsidP="008D1712">
      <w:pPr>
        <w:spacing w:line="480" w:lineRule="auto"/>
        <w:jc w:val="center"/>
        <w:rPr>
          <w:rFonts w:ascii="Arial" w:hAnsi="Arial" w:cs="Arial"/>
          <w:b/>
          <w:sz w:val="24"/>
          <w:szCs w:val="24"/>
        </w:rPr>
      </w:pPr>
      <w:r w:rsidRPr="008D1712">
        <w:rPr>
          <w:rFonts w:ascii="Arial" w:hAnsi="Arial" w:cs="Arial"/>
          <w:noProof/>
          <w:sz w:val="24"/>
          <w:szCs w:val="24"/>
        </w:rPr>
        <w:lastRenderedPageBreak/>
        <w:drawing>
          <wp:inline distT="0" distB="0" distL="0" distR="0" wp14:anchorId="5C95BF14" wp14:editId="77D055CD">
            <wp:extent cx="5212080" cy="3291840"/>
            <wp:effectExtent l="0" t="0" r="7620" b="381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12080" cy="3291840"/>
                    </a:xfrm>
                    <a:prstGeom prst="rect">
                      <a:avLst/>
                    </a:prstGeom>
                    <a:noFill/>
                    <a:ln>
                      <a:noFill/>
                    </a:ln>
                  </pic:spPr>
                </pic:pic>
              </a:graphicData>
            </a:graphic>
          </wp:inline>
        </w:drawing>
      </w:r>
    </w:p>
    <w:p w14:paraId="0E9E3B3A"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w:t>
      </w:r>
      <w:r w:rsidRPr="000452A8">
        <w:rPr>
          <w:rFonts w:ascii="Arial" w:hAnsi="Arial" w:cs="Arial"/>
          <w:b/>
          <w:sz w:val="24"/>
          <w:szCs w:val="24"/>
        </w:rPr>
        <w:t>.3:</w:t>
      </w:r>
      <w:r w:rsidRPr="008D1712">
        <w:rPr>
          <w:rFonts w:ascii="Arial" w:hAnsi="Arial" w:cs="Arial"/>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SQ H no TMAB</w:t>
      </w:r>
      <w:r w:rsidRPr="008D1712">
        <w:rPr>
          <w:rFonts w:ascii="Arial" w:hAnsi="Arial" w:cs="Arial"/>
          <w:sz w:val="24"/>
          <w:szCs w:val="24"/>
        </w:rPr>
        <w:t>.</w:t>
      </w:r>
    </w:p>
    <w:p w14:paraId="6752C994"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0E789D20" wp14:editId="44308DA5">
            <wp:extent cx="5212715" cy="2999740"/>
            <wp:effectExtent l="0" t="0" r="6985" b="0"/>
            <wp:docPr id="5225428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12715" cy="2999740"/>
                    </a:xfrm>
                    <a:prstGeom prst="rect">
                      <a:avLst/>
                    </a:prstGeom>
                    <a:noFill/>
                  </pic:spPr>
                </pic:pic>
              </a:graphicData>
            </a:graphic>
          </wp:inline>
        </w:drawing>
      </w:r>
    </w:p>
    <w:p w14:paraId="6E0C24BB"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S2.4</w:t>
      </w:r>
      <w:r w:rsidRPr="000452A8">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w:t>
      </w:r>
      <w:r w:rsidRPr="008D1712">
        <w:rPr>
          <w:rFonts w:ascii="Arial" w:hAnsi="Arial" w:cs="Arial"/>
          <w:sz w:val="24"/>
          <w:szCs w:val="24"/>
        </w:rPr>
        <w:t xml:space="preserve">H NMR spectrum of </w:t>
      </w:r>
      <w:r w:rsidRPr="008D1712">
        <w:rPr>
          <w:rFonts w:ascii="Arial" w:hAnsi="Arial" w:cs="Arial"/>
          <w:b/>
          <w:bCs/>
          <w:sz w:val="24"/>
          <w:szCs w:val="24"/>
        </w:rPr>
        <w:t>SQ H</w:t>
      </w:r>
      <w:r w:rsidRPr="008D1712">
        <w:rPr>
          <w:rFonts w:ascii="Arial" w:hAnsi="Arial" w:cs="Arial"/>
          <w:sz w:val="24"/>
          <w:szCs w:val="24"/>
        </w:rPr>
        <w:t>.</w:t>
      </w:r>
    </w:p>
    <w:p w14:paraId="62E9FE56"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15B6D58D" wp14:editId="222B3733">
            <wp:extent cx="4889395" cy="3291840"/>
            <wp:effectExtent l="0" t="0" r="6985" b="3810"/>
            <wp:docPr id="2" name="Picture 2"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52"/>
                    <a:srcRect r="6191"/>
                    <a:stretch/>
                  </pic:blipFill>
                  <pic:spPr bwMode="auto">
                    <a:xfrm>
                      <a:off x="0" y="0"/>
                      <a:ext cx="4889395" cy="3291840"/>
                    </a:xfrm>
                    <a:prstGeom prst="rect">
                      <a:avLst/>
                    </a:prstGeom>
                    <a:ln>
                      <a:noFill/>
                    </a:ln>
                    <a:extLst>
                      <a:ext uri="{53640926-AAD7-44D8-BBD7-CCE9431645EC}">
                        <a14:shadowObscured xmlns:a14="http://schemas.microsoft.com/office/drawing/2010/main"/>
                      </a:ext>
                    </a:extLst>
                  </pic:spPr>
                </pic:pic>
              </a:graphicData>
            </a:graphic>
          </wp:inline>
        </w:drawing>
      </w:r>
    </w:p>
    <w:p w14:paraId="45CF125E"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S2.5</w:t>
      </w:r>
      <w:r w:rsidRPr="000452A8">
        <w:rPr>
          <w:rFonts w:ascii="Arial" w:hAnsi="Arial" w:cs="Arial"/>
          <w:b/>
          <w:bCs/>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SQ H</w:t>
      </w:r>
      <w:r w:rsidRPr="008D1712">
        <w:rPr>
          <w:rFonts w:ascii="Arial" w:hAnsi="Arial" w:cs="Arial"/>
          <w:sz w:val="24"/>
          <w:szCs w:val="24"/>
        </w:rPr>
        <w:t>.</w:t>
      </w:r>
    </w:p>
    <w:p w14:paraId="340073EB" w14:textId="77777777" w:rsidR="002027D2" w:rsidRPr="008D1712" w:rsidRDefault="002027D2" w:rsidP="008D1712">
      <w:pPr>
        <w:spacing w:line="480" w:lineRule="auto"/>
        <w:jc w:val="center"/>
        <w:rPr>
          <w:rFonts w:ascii="Arial" w:hAnsi="Arial" w:cs="Arial"/>
          <w:sz w:val="24"/>
          <w:szCs w:val="24"/>
        </w:rPr>
      </w:pPr>
    </w:p>
    <w:p w14:paraId="106BDB10"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6EF1631C" wp14:editId="3D74233B">
            <wp:extent cx="5212715" cy="3291840"/>
            <wp:effectExtent l="0" t="0" r="6985" b="3810"/>
            <wp:docPr id="18328389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12715" cy="3291840"/>
                    </a:xfrm>
                    <a:prstGeom prst="rect">
                      <a:avLst/>
                    </a:prstGeom>
                    <a:noFill/>
                  </pic:spPr>
                </pic:pic>
              </a:graphicData>
            </a:graphic>
          </wp:inline>
        </w:drawing>
      </w:r>
    </w:p>
    <w:p w14:paraId="14BF9C61"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w:t>
      </w:r>
      <w:r w:rsidRPr="000452A8">
        <w:rPr>
          <w:rFonts w:ascii="Arial" w:hAnsi="Arial" w:cs="Arial"/>
          <w:b/>
          <w:sz w:val="24"/>
          <w:szCs w:val="24"/>
        </w:rPr>
        <w:t>6:</w:t>
      </w:r>
      <w:r w:rsidRPr="008D1712">
        <w:rPr>
          <w:rFonts w:ascii="Arial" w:hAnsi="Arial" w:cs="Arial"/>
          <w:sz w:val="24"/>
          <w:szCs w:val="24"/>
        </w:rPr>
        <w:t xml:space="preserve"> Mass spectrum of </w:t>
      </w:r>
      <w:r w:rsidRPr="008D1712">
        <w:rPr>
          <w:rFonts w:ascii="Arial" w:hAnsi="Arial" w:cs="Arial"/>
          <w:b/>
          <w:bCs/>
          <w:sz w:val="24"/>
          <w:szCs w:val="24"/>
        </w:rPr>
        <w:t>SQ H</w:t>
      </w:r>
      <w:r w:rsidRPr="008D1712">
        <w:rPr>
          <w:rFonts w:ascii="Arial" w:hAnsi="Arial" w:cs="Arial"/>
          <w:sz w:val="24"/>
          <w:szCs w:val="24"/>
        </w:rPr>
        <w:t>.</w:t>
      </w:r>
    </w:p>
    <w:p w14:paraId="15DEE51F" w14:textId="77777777" w:rsidR="002027D2" w:rsidRPr="008D1712" w:rsidRDefault="002027D2" w:rsidP="008D1712">
      <w:pPr>
        <w:spacing w:line="480" w:lineRule="auto"/>
        <w:jc w:val="center"/>
        <w:rPr>
          <w:rFonts w:ascii="Arial" w:hAnsi="Arial" w:cs="Arial"/>
          <w:sz w:val="24"/>
          <w:szCs w:val="24"/>
        </w:rPr>
      </w:pPr>
    </w:p>
    <w:p w14:paraId="23088C5D"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2B78643A" wp14:editId="44A9DE16">
            <wp:extent cx="5212715" cy="2974975"/>
            <wp:effectExtent l="0" t="0" r="6985" b="0"/>
            <wp:docPr id="10769441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12715" cy="2974975"/>
                    </a:xfrm>
                    <a:prstGeom prst="rect">
                      <a:avLst/>
                    </a:prstGeom>
                    <a:noFill/>
                  </pic:spPr>
                </pic:pic>
              </a:graphicData>
            </a:graphic>
          </wp:inline>
        </w:drawing>
      </w:r>
    </w:p>
    <w:p w14:paraId="19FD84CF"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S2.7</w:t>
      </w:r>
      <w:r w:rsidRPr="000452A8">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w:t>
      </w:r>
      <w:r w:rsidRPr="008D1712">
        <w:rPr>
          <w:rFonts w:ascii="Arial" w:hAnsi="Arial" w:cs="Arial"/>
          <w:sz w:val="24"/>
          <w:szCs w:val="24"/>
        </w:rPr>
        <w:t xml:space="preserve">H NMR spectrum of </w:t>
      </w:r>
      <w:r w:rsidRPr="008D1712">
        <w:rPr>
          <w:rFonts w:ascii="Arial" w:hAnsi="Arial" w:cs="Arial"/>
          <w:b/>
          <w:bCs/>
          <w:sz w:val="24"/>
          <w:szCs w:val="24"/>
        </w:rPr>
        <w:t>SQ F</w:t>
      </w:r>
      <w:r w:rsidRPr="008D1712">
        <w:rPr>
          <w:rFonts w:ascii="Arial" w:hAnsi="Arial" w:cs="Arial"/>
          <w:sz w:val="24"/>
          <w:szCs w:val="24"/>
        </w:rPr>
        <w:t>.</w:t>
      </w:r>
    </w:p>
    <w:p w14:paraId="2DDCB571"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43B9C3BD" wp14:editId="48970A05">
            <wp:extent cx="5212715" cy="3182620"/>
            <wp:effectExtent l="0" t="0" r="6985" b="0"/>
            <wp:docPr id="2285023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12715" cy="3182620"/>
                    </a:xfrm>
                    <a:prstGeom prst="rect">
                      <a:avLst/>
                    </a:prstGeom>
                    <a:noFill/>
                  </pic:spPr>
                </pic:pic>
              </a:graphicData>
            </a:graphic>
          </wp:inline>
        </w:drawing>
      </w:r>
    </w:p>
    <w:p w14:paraId="07298B64"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S2.8</w:t>
      </w:r>
      <w:r w:rsidRPr="000452A8">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SQ F</w:t>
      </w:r>
      <w:r w:rsidRPr="008D1712">
        <w:rPr>
          <w:rFonts w:ascii="Arial" w:hAnsi="Arial" w:cs="Arial"/>
          <w:sz w:val="24"/>
          <w:szCs w:val="24"/>
        </w:rPr>
        <w:t>.</w:t>
      </w:r>
    </w:p>
    <w:p w14:paraId="5FD53EE9"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65682BEB" wp14:editId="6869C8DC">
            <wp:extent cx="5212715" cy="3444240"/>
            <wp:effectExtent l="0" t="0" r="6985" b="3810"/>
            <wp:docPr id="8363913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2715" cy="3444240"/>
                    </a:xfrm>
                    <a:prstGeom prst="rect">
                      <a:avLst/>
                    </a:prstGeom>
                    <a:noFill/>
                  </pic:spPr>
                </pic:pic>
              </a:graphicData>
            </a:graphic>
          </wp:inline>
        </w:drawing>
      </w:r>
    </w:p>
    <w:p w14:paraId="12DB6AB5"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S2.9</w:t>
      </w:r>
      <w:r w:rsidRPr="000452A8">
        <w:rPr>
          <w:rFonts w:ascii="Arial" w:hAnsi="Arial" w:cs="Arial"/>
          <w:b/>
          <w:bCs/>
          <w:sz w:val="24"/>
          <w:szCs w:val="24"/>
        </w:rPr>
        <w:t>:</w:t>
      </w:r>
      <w:r w:rsidRPr="008D1712">
        <w:rPr>
          <w:rFonts w:ascii="Arial" w:hAnsi="Arial" w:cs="Arial"/>
          <w:sz w:val="24"/>
          <w:szCs w:val="24"/>
        </w:rPr>
        <w:t xml:space="preserve"> Mass spectrum of </w:t>
      </w:r>
      <w:r w:rsidRPr="008D1712">
        <w:rPr>
          <w:rFonts w:ascii="Arial" w:hAnsi="Arial" w:cs="Arial"/>
          <w:b/>
          <w:bCs/>
          <w:sz w:val="24"/>
          <w:szCs w:val="24"/>
        </w:rPr>
        <w:t>SQ F</w:t>
      </w:r>
      <w:r w:rsidRPr="008D1712">
        <w:rPr>
          <w:rFonts w:ascii="Arial" w:hAnsi="Arial" w:cs="Arial"/>
          <w:sz w:val="24"/>
          <w:szCs w:val="24"/>
        </w:rPr>
        <w:t>.</w:t>
      </w:r>
    </w:p>
    <w:p w14:paraId="0699511D" w14:textId="77777777" w:rsidR="002027D2" w:rsidRPr="008D1712" w:rsidRDefault="002027D2" w:rsidP="008D1712">
      <w:pPr>
        <w:spacing w:line="480" w:lineRule="auto"/>
        <w:jc w:val="center"/>
        <w:rPr>
          <w:rFonts w:ascii="Arial" w:hAnsi="Arial" w:cs="Arial"/>
          <w:sz w:val="24"/>
          <w:szCs w:val="24"/>
        </w:rPr>
      </w:pPr>
    </w:p>
    <w:p w14:paraId="42C97138"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3D4B8EBE" wp14:editId="16AFDB4E">
            <wp:extent cx="5212715" cy="2969260"/>
            <wp:effectExtent l="0" t="0" r="6985" b="2540"/>
            <wp:docPr id="11673865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12715" cy="2969260"/>
                    </a:xfrm>
                    <a:prstGeom prst="rect">
                      <a:avLst/>
                    </a:prstGeom>
                    <a:noFill/>
                  </pic:spPr>
                </pic:pic>
              </a:graphicData>
            </a:graphic>
          </wp:inline>
        </w:drawing>
      </w:r>
    </w:p>
    <w:p w14:paraId="45094736"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S2.10</w:t>
      </w:r>
      <w:r w:rsidRPr="000452A8">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w:t>
      </w:r>
      <w:r w:rsidRPr="008D1712">
        <w:rPr>
          <w:rFonts w:ascii="Arial" w:hAnsi="Arial" w:cs="Arial"/>
          <w:sz w:val="24"/>
          <w:szCs w:val="24"/>
        </w:rPr>
        <w:t xml:space="preserve">H NMR spectrum of </w:t>
      </w:r>
      <w:r w:rsidRPr="008D1712">
        <w:rPr>
          <w:rFonts w:ascii="Arial" w:hAnsi="Arial" w:cs="Arial"/>
          <w:b/>
          <w:bCs/>
          <w:sz w:val="24"/>
          <w:szCs w:val="24"/>
        </w:rPr>
        <w:t>SQ Cl</w:t>
      </w:r>
      <w:r w:rsidRPr="008D1712">
        <w:rPr>
          <w:rFonts w:ascii="Arial" w:hAnsi="Arial" w:cs="Arial"/>
          <w:sz w:val="24"/>
          <w:szCs w:val="24"/>
        </w:rPr>
        <w:t>.</w:t>
      </w:r>
    </w:p>
    <w:p w14:paraId="0FFDC29B"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737CEF5D" wp14:editId="1AF7AD30">
            <wp:extent cx="5212715" cy="3145790"/>
            <wp:effectExtent l="0" t="0" r="6985" b="0"/>
            <wp:docPr id="2338950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12715" cy="3145790"/>
                    </a:xfrm>
                    <a:prstGeom prst="rect">
                      <a:avLst/>
                    </a:prstGeom>
                    <a:noFill/>
                  </pic:spPr>
                </pic:pic>
              </a:graphicData>
            </a:graphic>
          </wp:inline>
        </w:drawing>
      </w:r>
    </w:p>
    <w:p w14:paraId="151F5B93" w14:textId="77777777" w:rsidR="002027D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S2.11</w:t>
      </w:r>
      <w:r w:rsidRPr="000452A8">
        <w:rPr>
          <w:rFonts w:ascii="Arial" w:hAnsi="Arial" w:cs="Arial"/>
          <w:b/>
          <w:bCs/>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SQ Cl</w:t>
      </w:r>
      <w:r w:rsidRPr="008D1712">
        <w:rPr>
          <w:rFonts w:ascii="Arial" w:hAnsi="Arial" w:cs="Arial"/>
          <w:sz w:val="24"/>
          <w:szCs w:val="24"/>
        </w:rPr>
        <w:t>.</w:t>
      </w:r>
    </w:p>
    <w:p w14:paraId="6F08D0C5" w14:textId="77777777" w:rsidR="002027D2" w:rsidRPr="008D1712" w:rsidRDefault="002027D2" w:rsidP="00297884">
      <w:pPr>
        <w:spacing w:line="480" w:lineRule="auto"/>
        <w:jc w:val="both"/>
        <w:rPr>
          <w:rFonts w:ascii="Arial" w:hAnsi="Arial" w:cs="Arial"/>
          <w:sz w:val="24"/>
          <w:szCs w:val="24"/>
        </w:rPr>
      </w:pPr>
    </w:p>
    <w:p w14:paraId="403E0283" w14:textId="77777777" w:rsidR="002027D2" w:rsidRPr="008D1712" w:rsidRDefault="002027D2" w:rsidP="008D1712">
      <w:pPr>
        <w:spacing w:line="480" w:lineRule="auto"/>
        <w:jc w:val="center"/>
        <w:rPr>
          <w:rFonts w:ascii="Arial" w:hAnsi="Arial" w:cs="Arial"/>
          <w:b/>
          <w:sz w:val="24"/>
          <w:szCs w:val="24"/>
        </w:rPr>
      </w:pPr>
      <w:r w:rsidRPr="008D1712">
        <w:rPr>
          <w:rFonts w:ascii="Arial" w:hAnsi="Arial" w:cs="Arial"/>
          <w:b/>
          <w:noProof/>
          <w:sz w:val="24"/>
          <w:szCs w:val="24"/>
        </w:rPr>
        <w:drawing>
          <wp:inline distT="0" distB="0" distL="0" distR="0" wp14:anchorId="2ABBBB38" wp14:editId="7F0A1055">
            <wp:extent cx="5212080" cy="3291840"/>
            <wp:effectExtent l="0" t="0" r="7620" b="3810"/>
            <wp:docPr id="110384033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12080" cy="3291840"/>
                    </a:xfrm>
                    <a:prstGeom prst="rect">
                      <a:avLst/>
                    </a:prstGeom>
                    <a:noFill/>
                  </pic:spPr>
                </pic:pic>
              </a:graphicData>
            </a:graphic>
          </wp:inline>
        </w:drawing>
      </w:r>
    </w:p>
    <w:p w14:paraId="25F339A0"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S2.12</w:t>
      </w:r>
      <w:r w:rsidRPr="000452A8">
        <w:rPr>
          <w:rFonts w:ascii="Arial" w:hAnsi="Arial" w:cs="Arial"/>
          <w:b/>
          <w:bCs/>
          <w:sz w:val="24"/>
          <w:szCs w:val="24"/>
        </w:rPr>
        <w:t>:</w:t>
      </w:r>
      <w:r w:rsidRPr="008D1712">
        <w:rPr>
          <w:rFonts w:ascii="Arial" w:hAnsi="Arial" w:cs="Arial"/>
          <w:sz w:val="24"/>
          <w:szCs w:val="24"/>
        </w:rPr>
        <w:t xml:space="preserve"> Mass spectrum of </w:t>
      </w:r>
      <w:r w:rsidRPr="008D1712">
        <w:rPr>
          <w:rFonts w:ascii="Arial" w:hAnsi="Arial" w:cs="Arial"/>
          <w:b/>
          <w:bCs/>
          <w:sz w:val="24"/>
          <w:szCs w:val="24"/>
        </w:rPr>
        <w:t>SQ Cl</w:t>
      </w:r>
      <w:r w:rsidRPr="008D1712">
        <w:rPr>
          <w:rFonts w:ascii="Arial" w:hAnsi="Arial" w:cs="Arial"/>
          <w:sz w:val="24"/>
          <w:szCs w:val="24"/>
        </w:rPr>
        <w:t>.</w:t>
      </w:r>
    </w:p>
    <w:p w14:paraId="7EF68763"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40218789" wp14:editId="615979F2">
            <wp:extent cx="5212715" cy="2926080"/>
            <wp:effectExtent l="0" t="0" r="6985" b="7620"/>
            <wp:docPr id="15397265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12715" cy="2926080"/>
                    </a:xfrm>
                    <a:prstGeom prst="rect">
                      <a:avLst/>
                    </a:prstGeom>
                    <a:noFill/>
                  </pic:spPr>
                </pic:pic>
              </a:graphicData>
            </a:graphic>
          </wp:inline>
        </w:drawing>
      </w:r>
    </w:p>
    <w:p w14:paraId="52B4E01E"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S2.13</w:t>
      </w:r>
      <w:r w:rsidRPr="000452A8">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w:t>
      </w:r>
      <w:r w:rsidRPr="008D1712">
        <w:rPr>
          <w:rFonts w:ascii="Arial" w:hAnsi="Arial" w:cs="Arial"/>
          <w:sz w:val="24"/>
          <w:szCs w:val="24"/>
        </w:rPr>
        <w:t xml:space="preserve">H NMR spectrum of </w:t>
      </w:r>
      <w:r w:rsidRPr="008D1712">
        <w:rPr>
          <w:rFonts w:ascii="Arial" w:hAnsi="Arial" w:cs="Arial"/>
          <w:b/>
          <w:bCs/>
          <w:sz w:val="24"/>
          <w:szCs w:val="24"/>
        </w:rPr>
        <w:t>SQ Br</w:t>
      </w:r>
      <w:r w:rsidRPr="008D1712">
        <w:rPr>
          <w:rFonts w:ascii="Arial" w:hAnsi="Arial" w:cs="Arial"/>
          <w:sz w:val="24"/>
          <w:szCs w:val="24"/>
        </w:rPr>
        <w:t>.</w:t>
      </w:r>
    </w:p>
    <w:p w14:paraId="0006C22F" w14:textId="77777777" w:rsidR="002027D2" w:rsidRPr="008D1712" w:rsidRDefault="002027D2" w:rsidP="008D1712">
      <w:pPr>
        <w:spacing w:line="480" w:lineRule="auto"/>
        <w:jc w:val="center"/>
        <w:rPr>
          <w:rFonts w:ascii="Arial" w:hAnsi="Arial" w:cs="Arial"/>
          <w:b/>
          <w:bCs/>
          <w:sz w:val="24"/>
          <w:szCs w:val="24"/>
        </w:rPr>
      </w:pPr>
    </w:p>
    <w:p w14:paraId="1E542C0A"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40A81753" wp14:editId="0B939FE6">
            <wp:extent cx="5212715" cy="3157855"/>
            <wp:effectExtent l="0" t="0" r="6985" b="4445"/>
            <wp:docPr id="15653499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12715" cy="3157855"/>
                    </a:xfrm>
                    <a:prstGeom prst="rect">
                      <a:avLst/>
                    </a:prstGeom>
                    <a:noFill/>
                  </pic:spPr>
                </pic:pic>
              </a:graphicData>
            </a:graphic>
          </wp:inline>
        </w:drawing>
      </w:r>
    </w:p>
    <w:p w14:paraId="1E2A407F"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S2.14</w:t>
      </w:r>
      <w:r w:rsidRPr="000452A8">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SQ Br</w:t>
      </w:r>
      <w:r w:rsidRPr="008D1712">
        <w:rPr>
          <w:rFonts w:ascii="Arial" w:hAnsi="Arial" w:cs="Arial"/>
          <w:sz w:val="24"/>
          <w:szCs w:val="24"/>
        </w:rPr>
        <w:t>.</w:t>
      </w:r>
    </w:p>
    <w:p w14:paraId="55F9067A"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3969FEBD" wp14:editId="325E7DBD">
            <wp:extent cx="5212715" cy="3115310"/>
            <wp:effectExtent l="0" t="0" r="6985" b="8890"/>
            <wp:docPr id="3069026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12715" cy="3115310"/>
                    </a:xfrm>
                    <a:prstGeom prst="rect">
                      <a:avLst/>
                    </a:prstGeom>
                    <a:noFill/>
                  </pic:spPr>
                </pic:pic>
              </a:graphicData>
            </a:graphic>
          </wp:inline>
        </w:drawing>
      </w:r>
    </w:p>
    <w:p w14:paraId="4D7A54F4"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S2.15</w:t>
      </w:r>
      <w:r w:rsidRPr="000452A8">
        <w:rPr>
          <w:rFonts w:ascii="Arial" w:hAnsi="Arial" w:cs="Arial"/>
          <w:b/>
          <w:bCs/>
          <w:sz w:val="24"/>
          <w:szCs w:val="24"/>
        </w:rPr>
        <w:t>:</w:t>
      </w:r>
      <w:r w:rsidRPr="008D1712">
        <w:rPr>
          <w:rFonts w:ascii="Arial" w:hAnsi="Arial" w:cs="Arial"/>
          <w:sz w:val="24"/>
          <w:szCs w:val="24"/>
        </w:rPr>
        <w:t xml:space="preserve"> Mass spectrum of </w:t>
      </w:r>
      <w:r w:rsidRPr="008D1712">
        <w:rPr>
          <w:rFonts w:ascii="Arial" w:hAnsi="Arial" w:cs="Arial"/>
          <w:b/>
          <w:bCs/>
          <w:sz w:val="24"/>
          <w:szCs w:val="24"/>
        </w:rPr>
        <w:t>SQ Br</w:t>
      </w:r>
      <w:r w:rsidRPr="008D1712">
        <w:rPr>
          <w:rFonts w:ascii="Arial" w:hAnsi="Arial" w:cs="Arial"/>
          <w:sz w:val="24"/>
          <w:szCs w:val="24"/>
        </w:rPr>
        <w:t>.</w:t>
      </w:r>
    </w:p>
    <w:p w14:paraId="6919FE4A" w14:textId="77777777" w:rsidR="002027D2" w:rsidRPr="008D1712" w:rsidRDefault="002027D2" w:rsidP="008D1712">
      <w:pPr>
        <w:spacing w:line="480" w:lineRule="auto"/>
        <w:jc w:val="center"/>
        <w:rPr>
          <w:rFonts w:ascii="Arial" w:hAnsi="Arial" w:cs="Arial"/>
          <w:sz w:val="24"/>
          <w:szCs w:val="24"/>
        </w:rPr>
      </w:pPr>
    </w:p>
    <w:p w14:paraId="253D3B12"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6E0A96C5" wp14:editId="2746FEFA">
            <wp:extent cx="5212080" cy="3291840"/>
            <wp:effectExtent l="0" t="0" r="7620" b="381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12080" cy="3291840"/>
                    </a:xfrm>
                    <a:prstGeom prst="rect">
                      <a:avLst/>
                    </a:prstGeom>
                    <a:noFill/>
                    <a:ln>
                      <a:noFill/>
                    </a:ln>
                  </pic:spPr>
                </pic:pic>
              </a:graphicData>
            </a:graphic>
          </wp:inline>
        </w:drawing>
      </w:r>
    </w:p>
    <w:p w14:paraId="390FE161"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S2.16</w:t>
      </w:r>
      <w:r w:rsidRPr="000452A8">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w:t>
      </w:r>
      <w:r w:rsidRPr="008D1712">
        <w:rPr>
          <w:rFonts w:ascii="Arial" w:hAnsi="Arial" w:cs="Arial"/>
          <w:sz w:val="24"/>
          <w:szCs w:val="24"/>
        </w:rPr>
        <w:t xml:space="preserve">H NMR spectrum of </w:t>
      </w:r>
      <w:r w:rsidRPr="008D1712">
        <w:rPr>
          <w:rFonts w:ascii="Arial" w:hAnsi="Arial" w:cs="Arial"/>
          <w:b/>
          <w:bCs/>
          <w:sz w:val="24"/>
          <w:szCs w:val="24"/>
        </w:rPr>
        <w:t>SQ Br no TMAB</w:t>
      </w:r>
      <w:r w:rsidRPr="008D1712">
        <w:rPr>
          <w:rFonts w:ascii="Arial" w:hAnsi="Arial" w:cs="Arial"/>
          <w:sz w:val="24"/>
          <w:szCs w:val="24"/>
        </w:rPr>
        <w:t>.</w:t>
      </w:r>
    </w:p>
    <w:p w14:paraId="314616CA"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69B07696" wp14:editId="31C25A6B">
            <wp:extent cx="5212080" cy="3291840"/>
            <wp:effectExtent l="0" t="0" r="7620" b="3810"/>
            <wp:docPr id="23167817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12080" cy="3291840"/>
                    </a:xfrm>
                    <a:prstGeom prst="rect">
                      <a:avLst/>
                    </a:prstGeom>
                    <a:noFill/>
                  </pic:spPr>
                </pic:pic>
              </a:graphicData>
            </a:graphic>
          </wp:inline>
        </w:drawing>
      </w:r>
    </w:p>
    <w:p w14:paraId="68E500F9"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S2.17</w:t>
      </w:r>
      <w:r w:rsidRPr="000452A8">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w:t>
      </w:r>
      <w:r w:rsidRPr="008D1712">
        <w:rPr>
          <w:rFonts w:ascii="Arial" w:hAnsi="Arial" w:cs="Arial"/>
          <w:sz w:val="24"/>
          <w:szCs w:val="24"/>
        </w:rPr>
        <w:t xml:space="preserve">H NMR spectrum of </w:t>
      </w:r>
      <w:r w:rsidRPr="008D1712">
        <w:rPr>
          <w:rFonts w:ascii="Arial" w:hAnsi="Arial" w:cs="Arial"/>
          <w:b/>
          <w:bCs/>
          <w:sz w:val="24"/>
          <w:szCs w:val="24"/>
        </w:rPr>
        <w:t>CY H</w:t>
      </w:r>
      <w:r w:rsidRPr="008D1712">
        <w:rPr>
          <w:rFonts w:ascii="Arial" w:hAnsi="Arial" w:cs="Arial"/>
          <w:sz w:val="24"/>
          <w:szCs w:val="24"/>
        </w:rPr>
        <w:t>.</w:t>
      </w:r>
    </w:p>
    <w:p w14:paraId="34633623" w14:textId="77777777" w:rsidR="002027D2" w:rsidRPr="008D1712" w:rsidRDefault="002027D2" w:rsidP="008D1712">
      <w:pPr>
        <w:spacing w:line="480" w:lineRule="auto"/>
        <w:jc w:val="center"/>
        <w:rPr>
          <w:rFonts w:ascii="Arial" w:hAnsi="Arial" w:cs="Arial"/>
          <w:b/>
          <w:bCs/>
          <w:sz w:val="24"/>
          <w:szCs w:val="24"/>
        </w:rPr>
      </w:pPr>
    </w:p>
    <w:p w14:paraId="5D20A2D9"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0813935D" wp14:editId="72091E1D">
            <wp:extent cx="5212080" cy="3291840"/>
            <wp:effectExtent l="0" t="0" r="7620" b="3810"/>
            <wp:docPr id="14456551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12080" cy="3291840"/>
                    </a:xfrm>
                    <a:prstGeom prst="rect">
                      <a:avLst/>
                    </a:prstGeom>
                    <a:noFill/>
                  </pic:spPr>
                </pic:pic>
              </a:graphicData>
            </a:graphic>
          </wp:inline>
        </w:drawing>
      </w:r>
    </w:p>
    <w:p w14:paraId="48143945"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S2.18</w:t>
      </w:r>
      <w:r w:rsidRPr="000452A8">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CY H</w:t>
      </w:r>
      <w:r w:rsidRPr="008D1712">
        <w:rPr>
          <w:rFonts w:ascii="Arial" w:hAnsi="Arial" w:cs="Arial"/>
          <w:sz w:val="24"/>
          <w:szCs w:val="24"/>
        </w:rPr>
        <w:t>.</w:t>
      </w:r>
    </w:p>
    <w:p w14:paraId="4AE5EF1F"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62D53BBD" wp14:editId="2961AF95">
            <wp:extent cx="5212080" cy="3291840"/>
            <wp:effectExtent l="0" t="0" r="7620" b="3810"/>
            <wp:docPr id="110384633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12080" cy="3291840"/>
                    </a:xfrm>
                    <a:prstGeom prst="rect">
                      <a:avLst/>
                    </a:prstGeom>
                    <a:noFill/>
                  </pic:spPr>
                </pic:pic>
              </a:graphicData>
            </a:graphic>
          </wp:inline>
        </w:drawing>
      </w:r>
    </w:p>
    <w:p w14:paraId="7213570B"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w:t>
      </w:r>
      <w:r w:rsidRPr="000452A8">
        <w:rPr>
          <w:rFonts w:ascii="Arial" w:hAnsi="Arial" w:cs="Arial"/>
          <w:b/>
          <w:sz w:val="24"/>
          <w:szCs w:val="24"/>
        </w:rPr>
        <w:t>19:</w:t>
      </w:r>
      <w:r w:rsidRPr="008D1712">
        <w:rPr>
          <w:rFonts w:ascii="Arial" w:hAnsi="Arial" w:cs="Arial"/>
          <w:sz w:val="24"/>
          <w:szCs w:val="24"/>
        </w:rPr>
        <w:t xml:space="preserve"> </w:t>
      </w:r>
      <w:r w:rsidRPr="008D1712">
        <w:rPr>
          <w:rFonts w:ascii="Arial" w:hAnsi="Arial" w:cs="Arial"/>
          <w:sz w:val="24"/>
          <w:szCs w:val="24"/>
          <w:vertAlign w:val="superscript"/>
        </w:rPr>
        <w:t>1</w:t>
      </w:r>
      <w:r w:rsidRPr="008D1712">
        <w:rPr>
          <w:rFonts w:ascii="Arial" w:hAnsi="Arial" w:cs="Arial"/>
          <w:sz w:val="24"/>
          <w:szCs w:val="24"/>
        </w:rPr>
        <w:t xml:space="preserve">H NMR spectrum of </w:t>
      </w:r>
      <w:r w:rsidRPr="008D1712">
        <w:rPr>
          <w:rFonts w:ascii="Arial" w:hAnsi="Arial" w:cs="Arial"/>
          <w:b/>
          <w:bCs/>
          <w:sz w:val="24"/>
          <w:szCs w:val="24"/>
        </w:rPr>
        <w:t>CY Cl</w:t>
      </w:r>
      <w:r w:rsidRPr="008D1712">
        <w:rPr>
          <w:rFonts w:ascii="Arial" w:hAnsi="Arial" w:cs="Arial"/>
          <w:sz w:val="24"/>
          <w:szCs w:val="24"/>
        </w:rPr>
        <w:t>.</w:t>
      </w:r>
    </w:p>
    <w:p w14:paraId="6AFF3894" w14:textId="77777777" w:rsidR="002027D2" w:rsidRPr="008D1712" w:rsidRDefault="002027D2" w:rsidP="008D1712">
      <w:pPr>
        <w:spacing w:line="480" w:lineRule="auto"/>
        <w:jc w:val="center"/>
        <w:rPr>
          <w:rFonts w:ascii="Arial" w:hAnsi="Arial" w:cs="Arial"/>
          <w:b/>
          <w:bCs/>
          <w:sz w:val="24"/>
          <w:szCs w:val="24"/>
        </w:rPr>
      </w:pPr>
    </w:p>
    <w:p w14:paraId="5C2A8212"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2399AC84" wp14:editId="597BFF12">
            <wp:extent cx="5212080" cy="3291840"/>
            <wp:effectExtent l="0" t="0" r="7620" b="3810"/>
            <wp:docPr id="157856965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12080" cy="3291840"/>
                    </a:xfrm>
                    <a:prstGeom prst="rect">
                      <a:avLst/>
                    </a:prstGeom>
                    <a:noFill/>
                  </pic:spPr>
                </pic:pic>
              </a:graphicData>
            </a:graphic>
          </wp:inline>
        </w:drawing>
      </w:r>
    </w:p>
    <w:p w14:paraId="65CCD390"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S2.20</w:t>
      </w:r>
      <w:r w:rsidRPr="000452A8">
        <w:rPr>
          <w:rFonts w:ascii="Arial" w:hAnsi="Arial" w:cs="Arial"/>
          <w:b/>
          <w:bCs/>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CY Cl</w:t>
      </w:r>
      <w:r w:rsidRPr="008D1712">
        <w:rPr>
          <w:rFonts w:ascii="Arial" w:hAnsi="Arial" w:cs="Arial"/>
          <w:sz w:val="24"/>
          <w:szCs w:val="24"/>
        </w:rPr>
        <w:t>.</w:t>
      </w:r>
    </w:p>
    <w:p w14:paraId="7DDD3225"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04F53B72" wp14:editId="4EF63917">
            <wp:extent cx="5212080" cy="3291840"/>
            <wp:effectExtent l="0" t="0" r="7620" b="3810"/>
            <wp:docPr id="196450650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12080" cy="3291840"/>
                    </a:xfrm>
                    <a:prstGeom prst="rect">
                      <a:avLst/>
                    </a:prstGeom>
                    <a:noFill/>
                  </pic:spPr>
                </pic:pic>
              </a:graphicData>
            </a:graphic>
          </wp:inline>
        </w:drawing>
      </w:r>
    </w:p>
    <w:p w14:paraId="29D9B8CB"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S2.21</w:t>
      </w:r>
      <w:r w:rsidRPr="000452A8">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w:t>
      </w:r>
      <w:r w:rsidRPr="008D1712">
        <w:rPr>
          <w:rFonts w:ascii="Arial" w:hAnsi="Arial" w:cs="Arial"/>
          <w:sz w:val="24"/>
          <w:szCs w:val="24"/>
        </w:rPr>
        <w:t xml:space="preserve">H NMR spectrum of </w:t>
      </w:r>
      <w:r w:rsidRPr="008D1712">
        <w:rPr>
          <w:rFonts w:ascii="Arial" w:hAnsi="Arial" w:cs="Arial"/>
          <w:b/>
          <w:bCs/>
          <w:sz w:val="24"/>
          <w:szCs w:val="24"/>
        </w:rPr>
        <w:t>CY Br</w:t>
      </w:r>
      <w:r w:rsidRPr="008D1712">
        <w:rPr>
          <w:rFonts w:ascii="Arial" w:hAnsi="Arial" w:cs="Arial"/>
          <w:sz w:val="24"/>
          <w:szCs w:val="24"/>
        </w:rPr>
        <w:t>.</w:t>
      </w:r>
    </w:p>
    <w:p w14:paraId="20930742" w14:textId="77777777" w:rsidR="002027D2" w:rsidRPr="008D1712" w:rsidRDefault="002027D2" w:rsidP="008D1712">
      <w:pPr>
        <w:spacing w:line="480" w:lineRule="auto"/>
        <w:jc w:val="center"/>
        <w:rPr>
          <w:rFonts w:ascii="Arial" w:hAnsi="Arial" w:cs="Arial"/>
          <w:b/>
          <w:bCs/>
          <w:sz w:val="24"/>
          <w:szCs w:val="24"/>
        </w:rPr>
      </w:pPr>
    </w:p>
    <w:p w14:paraId="438A3BB4"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56F8F56E" wp14:editId="27EC6124">
            <wp:extent cx="5212080" cy="3291840"/>
            <wp:effectExtent l="0" t="0" r="7620" b="3810"/>
            <wp:docPr id="167692691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12080" cy="3291840"/>
                    </a:xfrm>
                    <a:prstGeom prst="rect">
                      <a:avLst/>
                    </a:prstGeom>
                    <a:noFill/>
                  </pic:spPr>
                </pic:pic>
              </a:graphicData>
            </a:graphic>
          </wp:inline>
        </w:drawing>
      </w:r>
    </w:p>
    <w:p w14:paraId="2921423B"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sz w:val="24"/>
          <w:szCs w:val="24"/>
        </w:rPr>
        <w:t xml:space="preserve"> S2.22</w:t>
      </w:r>
      <w:r w:rsidRPr="000452A8">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CY Br</w:t>
      </w:r>
      <w:r w:rsidRPr="008D1712">
        <w:rPr>
          <w:rFonts w:ascii="Arial" w:hAnsi="Arial" w:cs="Arial"/>
          <w:sz w:val="24"/>
          <w:szCs w:val="24"/>
        </w:rPr>
        <w:t>.</w:t>
      </w:r>
    </w:p>
    <w:p w14:paraId="7BF6A31A" w14:textId="77777777" w:rsidR="002027D2" w:rsidRPr="008D1712" w:rsidRDefault="002027D2" w:rsidP="004C1A8E">
      <w:pPr>
        <w:spacing w:after="0"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3257764C" wp14:editId="606221BE">
            <wp:extent cx="5618603" cy="1244431"/>
            <wp:effectExtent l="0" t="0" r="1270" b="0"/>
            <wp:docPr id="1492954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685048" cy="1259147"/>
                    </a:xfrm>
                    <a:prstGeom prst="rect">
                      <a:avLst/>
                    </a:prstGeom>
                    <a:noFill/>
                  </pic:spPr>
                </pic:pic>
              </a:graphicData>
            </a:graphic>
          </wp:inline>
        </w:drawing>
      </w:r>
    </w:p>
    <w:p w14:paraId="3FDC1C33"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S2.23</w:t>
      </w:r>
      <w:r w:rsidRPr="000452A8">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Properties of squaraines from DFT/TD-DFT calculations with PBE/6-31+G*.</w:t>
      </w:r>
    </w:p>
    <w:p w14:paraId="7A329ED3" w14:textId="77777777" w:rsidR="002027D2" w:rsidRPr="008D1712" w:rsidRDefault="002027D2" w:rsidP="004C1A8E">
      <w:pPr>
        <w:spacing w:after="0"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2FB55196" wp14:editId="5A07BFFB">
            <wp:extent cx="5085567" cy="2595691"/>
            <wp:effectExtent l="0" t="0" r="1270" b="0"/>
            <wp:docPr id="12336570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99637" cy="2602872"/>
                    </a:xfrm>
                    <a:prstGeom prst="rect">
                      <a:avLst/>
                    </a:prstGeom>
                    <a:noFill/>
                  </pic:spPr>
                </pic:pic>
              </a:graphicData>
            </a:graphic>
          </wp:inline>
        </w:drawing>
      </w:r>
    </w:p>
    <w:p w14:paraId="0303FDBE"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S2.24</w:t>
      </w:r>
      <w:r w:rsidRPr="000452A8">
        <w:rPr>
          <w:rFonts w:ascii="Arial" w:hAnsi="Arial" w:cs="Arial"/>
          <w:b/>
          <w:bCs/>
          <w:sz w:val="24"/>
          <w:szCs w:val="24"/>
        </w:rPr>
        <w:t xml:space="preserve">: </w:t>
      </w:r>
      <w:r w:rsidRPr="008D1712">
        <w:rPr>
          <w:rFonts w:ascii="Arial" w:hAnsi="Arial" w:cs="Arial"/>
          <w:sz w:val="24"/>
          <w:szCs w:val="24"/>
        </w:rPr>
        <w:t>First two absorption peaks of squaraines</w:t>
      </w:r>
      <w:r w:rsidRPr="008D1712">
        <w:rPr>
          <w:rFonts w:ascii="Arial" w:hAnsi="Arial" w:cs="Arial"/>
          <w:b/>
          <w:bCs/>
          <w:sz w:val="24"/>
          <w:szCs w:val="24"/>
        </w:rPr>
        <w:t xml:space="preserve"> </w:t>
      </w:r>
      <w:r w:rsidRPr="008D1712">
        <w:rPr>
          <w:rFonts w:ascii="Arial" w:hAnsi="Arial" w:cs="Arial"/>
          <w:sz w:val="24"/>
          <w:szCs w:val="24"/>
        </w:rPr>
        <w:t>from DFT/TD-DFT calculations with PBE/6-31+G*.</w:t>
      </w:r>
    </w:p>
    <w:p w14:paraId="4B2A0384" w14:textId="77777777" w:rsidR="002027D2" w:rsidRPr="008D1712" w:rsidRDefault="002027D2" w:rsidP="004C1A8E">
      <w:pPr>
        <w:spacing w:after="0"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765CEDE0" wp14:editId="661EA794">
            <wp:extent cx="5829300" cy="1332176"/>
            <wp:effectExtent l="0" t="0" r="0" b="1905"/>
            <wp:docPr id="4382874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02963" cy="1349010"/>
                    </a:xfrm>
                    <a:prstGeom prst="rect">
                      <a:avLst/>
                    </a:prstGeom>
                    <a:noFill/>
                  </pic:spPr>
                </pic:pic>
              </a:graphicData>
            </a:graphic>
          </wp:inline>
        </w:drawing>
      </w:r>
    </w:p>
    <w:p w14:paraId="25D5C037"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S2.25</w:t>
      </w:r>
      <w:r w:rsidRPr="000452A8">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 xml:space="preserve">Molecular properties of squaraine analogs calculated using PBE functional and 6-31+G* basis set. f represents the oscillator strength of the lowest-energy absorption, </w:t>
      </w:r>
      <w:r w:rsidRPr="008D1712">
        <w:rPr>
          <w:rFonts w:ascii="Arial" w:hAnsi="Arial" w:cs="Arial"/>
          <w:i/>
          <w:iCs/>
          <w:sz w:val="24"/>
          <w:szCs w:val="24"/>
        </w:rPr>
        <w:t xml:space="preserve">μ </w:t>
      </w:r>
      <w:r w:rsidRPr="008D1712">
        <w:rPr>
          <w:rFonts w:ascii="Arial" w:hAnsi="Arial" w:cs="Arial"/>
          <w:sz w:val="24"/>
          <w:szCs w:val="24"/>
        </w:rPr>
        <w:t>represents the transition dipole moment of the lowest-energy absorption.</w:t>
      </w:r>
    </w:p>
    <w:p w14:paraId="143BBF9F"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410FC6B0" wp14:editId="15461353">
            <wp:extent cx="5822315" cy="6286500"/>
            <wp:effectExtent l="0" t="0" r="0" b="0"/>
            <wp:docPr id="1719727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22315" cy="6286500"/>
                    </a:xfrm>
                    <a:prstGeom prst="rect">
                      <a:avLst/>
                    </a:prstGeom>
                    <a:noFill/>
                  </pic:spPr>
                </pic:pic>
              </a:graphicData>
            </a:graphic>
          </wp:inline>
        </w:drawing>
      </w:r>
    </w:p>
    <w:p w14:paraId="5332EEBB"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S2.26</w:t>
      </w:r>
      <w:r w:rsidRPr="000452A8">
        <w:rPr>
          <w:rFonts w:ascii="Arial" w:hAnsi="Arial" w:cs="Arial"/>
          <w:b/>
          <w:bCs/>
          <w:sz w:val="24"/>
          <w:szCs w:val="24"/>
        </w:rPr>
        <w:t xml:space="preserve">: </w:t>
      </w:r>
      <w:r w:rsidRPr="008D1712">
        <w:rPr>
          <w:rFonts w:ascii="Arial" w:hAnsi="Arial" w:cs="Arial"/>
          <w:sz w:val="24"/>
          <w:szCs w:val="24"/>
        </w:rPr>
        <w:t>Western blot analysis of apoptosis in COLO205 colon cells treated with squaraine compounds using apoptosis marker caspase 3. A) Visualization of NIR fluorescence western blot. B) Pro caspase 3 quantification in all treatments (adjusted with loading control). C) Cleaved caspase 3 – 2 quantifications in all treatments (adjusted with loading control).</w:t>
      </w:r>
    </w:p>
    <w:p w14:paraId="63FD7012"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3C601245" wp14:editId="4CA9C6F8">
            <wp:extent cx="5386192" cy="1904873"/>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18118" cy="1916164"/>
                    </a:xfrm>
                    <a:prstGeom prst="rect">
                      <a:avLst/>
                    </a:prstGeom>
                    <a:noFill/>
                  </pic:spPr>
                </pic:pic>
              </a:graphicData>
            </a:graphic>
          </wp:inline>
        </w:drawing>
      </w:r>
    </w:p>
    <w:p w14:paraId="0CC15136" w14:textId="77777777" w:rsidR="002027D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S2.27</w:t>
      </w:r>
      <w:r w:rsidRPr="000452A8">
        <w:rPr>
          <w:rFonts w:ascii="Arial" w:hAnsi="Arial" w:cs="Arial"/>
          <w:b/>
          <w:bCs/>
          <w:sz w:val="24"/>
          <w:szCs w:val="24"/>
        </w:rPr>
        <w:t>:</w:t>
      </w:r>
      <w:r w:rsidRPr="008D1712">
        <w:rPr>
          <w:rFonts w:ascii="Arial" w:hAnsi="Arial" w:cs="Arial"/>
          <w:i/>
          <w:iCs/>
          <w:sz w:val="24"/>
          <w:szCs w:val="24"/>
        </w:rPr>
        <w:t xml:space="preserve"> Ex vivo</w:t>
      </w:r>
      <w:r w:rsidRPr="008D1712">
        <w:rPr>
          <w:rFonts w:ascii="Arial" w:hAnsi="Arial" w:cs="Arial"/>
          <w:sz w:val="24"/>
          <w:szCs w:val="24"/>
        </w:rPr>
        <w:t xml:space="preserve"> NIR fluorescence squaraine compounds in animal colon A) Colon prior to flushing with saline B) Contents flushed from the colon with saline C) Colon after being flushed with saline.</w:t>
      </w:r>
    </w:p>
    <w:p w14:paraId="5C3037C3" w14:textId="77777777" w:rsidR="005556B5" w:rsidRDefault="005556B5" w:rsidP="005556B5">
      <w:pPr>
        <w:spacing w:line="276" w:lineRule="auto"/>
        <w:jc w:val="both"/>
        <w:rPr>
          <w:rFonts w:ascii="Arial" w:hAnsi="Arial" w:cs="Arial"/>
          <w:sz w:val="24"/>
          <w:szCs w:val="24"/>
        </w:rPr>
      </w:pPr>
    </w:p>
    <w:p w14:paraId="3C85F2E4" w14:textId="77777777" w:rsidR="005556B5" w:rsidRPr="008D1712" w:rsidRDefault="005556B5" w:rsidP="005556B5">
      <w:pPr>
        <w:spacing w:line="276" w:lineRule="auto"/>
        <w:jc w:val="both"/>
        <w:rPr>
          <w:rFonts w:ascii="Arial" w:hAnsi="Arial" w:cs="Arial"/>
          <w:sz w:val="24"/>
          <w:szCs w:val="24"/>
        </w:rPr>
      </w:pPr>
    </w:p>
    <w:p w14:paraId="6F5542F4"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2842F322" wp14:editId="2B762D6E">
            <wp:extent cx="5348613" cy="5024474"/>
            <wp:effectExtent l="0" t="0" r="0" b="5080"/>
            <wp:docPr id="1311155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53123" cy="5028710"/>
                    </a:xfrm>
                    <a:prstGeom prst="rect">
                      <a:avLst/>
                    </a:prstGeom>
                    <a:noFill/>
                  </pic:spPr>
                </pic:pic>
              </a:graphicData>
            </a:graphic>
          </wp:inline>
        </w:drawing>
      </w:r>
    </w:p>
    <w:p w14:paraId="34F68FA4"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S2.28</w:t>
      </w:r>
      <w:r w:rsidRPr="000452A8">
        <w:rPr>
          <w:rFonts w:ascii="Arial" w:hAnsi="Arial" w:cs="Arial"/>
          <w:b/>
          <w:bCs/>
          <w:sz w:val="24"/>
          <w:szCs w:val="24"/>
        </w:rPr>
        <w:t xml:space="preserve">: </w:t>
      </w:r>
      <w:r w:rsidRPr="008D1712">
        <w:rPr>
          <w:rFonts w:ascii="Arial" w:hAnsi="Arial" w:cs="Arial"/>
          <w:sz w:val="24"/>
          <w:szCs w:val="24"/>
        </w:rPr>
        <w:t xml:space="preserve">A) </w:t>
      </w:r>
      <w:r w:rsidRPr="008D1712">
        <w:rPr>
          <w:rFonts w:ascii="Arial" w:hAnsi="Arial" w:cs="Arial"/>
          <w:i/>
          <w:iCs/>
          <w:sz w:val="24"/>
          <w:szCs w:val="24"/>
        </w:rPr>
        <w:t xml:space="preserve">In vivo </w:t>
      </w:r>
      <w:r w:rsidRPr="008D1712">
        <w:rPr>
          <w:rFonts w:ascii="Arial" w:hAnsi="Arial" w:cs="Arial"/>
          <w:sz w:val="24"/>
          <w:szCs w:val="24"/>
        </w:rPr>
        <w:t xml:space="preserve">visualization of optoacoustic signal generated from ICG and MB subsequent to oral administration. Columns represent slightly different tomographic slices within the mouse. B) Quantification of optoacoustic signal observed in A) (n=3). C) </w:t>
      </w:r>
      <w:r w:rsidRPr="008D1712">
        <w:rPr>
          <w:rFonts w:ascii="Arial" w:hAnsi="Arial" w:cs="Arial"/>
          <w:i/>
          <w:iCs/>
          <w:sz w:val="24"/>
          <w:szCs w:val="24"/>
        </w:rPr>
        <w:t xml:space="preserve">In vivo </w:t>
      </w:r>
      <w:r w:rsidRPr="008D1712">
        <w:rPr>
          <w:rFonts w:ascii="Arial" w:hAnsi="Arial" w:cs="Arial"/>
          <w:sz w:val="24"/>
          <w:szCs w:val="24"/>
        </w:rPr>
        <w:t>visualization of NIR fluorescence signal generated from ICG and MB. D) Quantification of NIR fluorescence signal observed in C).</w:t>
      </w:r>
    </w:p>
    <w:p w14:paraId="71F149F0" w14:textId="77777777" w:rsidR="002027D2" w:rsidRPr="008D1712" w:rsidRDefault="002027D2" w:rsidP="008D1712">
      <w:pPr>
        <w:spacing w:line="480" w:lineRule="auto"/>
        <w:jc w:val="center"/>
        <w:rPr>
          <w:rFonts w:ascii="Arial" w:hAnsi="Arial" w:cs="Arial"/>
          <w:b/>
          <w:bCs/>
          <w:sz w:val="24"/>
          <w:szCs w:val="24"/>
        </w:rPr>
      </w:pPr>
    </w:p>
    <w:p w14:paraId="50AE6157"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6FB992C6" wp14:editId="3D40B083">
            <wp:extent cx="4661119" cy="4346531"/>
            <wp:effectExtent l="0" t="0" r="0" b="0"/>
            <wp:docPr id="17951267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70161" cy="4354963"/>
                    </a:xfrm>
                    <a:prstGeom prst="rect">
                      <a:avLst/>
                    </a:prstGeom>
                    <a:noFill/>
                  </pic:spPr>
                </pic:pic>
              </a:graphicData>
            </a:graphic>
          </wp:inline>
        </w:drawing>
      </w:r>
    </w:p>
    <w:p w14:paraId="4CD928D6"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S2.29</w:t>
      </w:r>
      <w:r w:rsidRPr="000452A8">
        <w:rPr>
          <w:rFonts w:ascii="Arial" w:hAnsi="Arial" w:cs="Arial"/>
          <w:b/>
          <w:bCs/>
          <w:sz w:val="24"/>
          <w:szCs w:val="24"/>
        </w:rPr>
        <w:t xml:space="preserve">: </w:t>
      </w:r>
      <w:r w:rsidRPr="008D1712">
        <w:rPr>
          <w:rFonts w:ascii="Arial" w:hAnsi="Arial" w:cs="Arial"/>
          <w:sz w:val="24"/>
          <w:szCs w:val="24"/>
        </w:rPr>
        <w:t xml:space="preserve">A) </w:t>
      </w:r>
      <w:r w:rsidRPr="008D1712">
        <w:rPr>
          <w:rFonts w:ascii="Arial" w:hAnsi="Arial" w:cs="Arial"/>
          <w:i/>
          <w:iCs/>
          <w:sz w:val="24"/>
          <w:szCs w:val="24"/>
        </w:rPr>
        <w:t xml:space="preserve">Ex vivo </w:t>
      </w:r>
      <w:r w:rsidRPr="008D1712">
        <w:rPr>
          <w:rFonts w:ascii="Arial" w:hAnsi="Arial" w:cs="Arial"/>
          <w:sz w:val="24"/>
          <w:szCs w:val="24"/>
        </w:rPr>
        <w:t>visualization of NIR fluorescence signal generated from ICG and MB in animal colons, livers, kidneys, and spleens subsequent to oral administration. B) Quantification of NIR fluorescence signal observed in A).</w:t>
      </w:r>
    </w:p>
    <w:p w14:paraId="4200789A"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75C071B8" wp14:editId="72D7A1C4">
            <wp:extent cx="5214930" cy="4296427"/>
            <wp:effectExtent l="0" t="0" r="0" b="0"/>
            <wp:docPr id="14490671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48046" cy="4323710"/>
                    </a:xfrm>
                    <a:prstGeom prst="rect">
                      <a:avLst/>
                    </a:prstGeom>
                    <a:noFill/>
                  </pic:spPr>
                </pic:pic>
              </a:graphicData>
            </a:graphic>
          </wp:inline>
        </w:drawing>
      </w:r>
    </w:p>
    <w:p w14:paraId="271F8423"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w:t>
      </w:r>
      <w:r w:rsidRPr="000452A8">
        <w:rPr>
          <w:rFonts w:ascii="Arial" w:hAnsi="Arial" w:cs="Arial"/>
          <w:b/>
          <w:bCs/>
          <w:sz w:val="24"/>
          <w:szCs w:val="24"/>
        </w:rPr>
        <w:t>30:</w:t>
      </w:r>
      <w:r w:rsidRPr="008D1712">
        <w:rPr>
          <w:rFonts w:ascii="Arial" w:hAnsi="Arial" w:cs="Arial"/>
          <w:sz w:val="24"/>
          <w:szCs w:val="24"/>
        </w:rPr>
        <w:t xml:space="preserve"> A) NIR fluorescence images of mice 6 h post-oral administration of ICG, MB, or SQ Br. B) Quantification of NIR fluorescence signal in A). C) NIR fluorescence images of excised organs of mice 6 h post-oral administration of ICG, MB, or SQ Br. D) Quantification of NIR fluorescence signal observed in C).</w:t>
      </w:r>
    </w:p>
    <w:p w14:paraId="7F1D0488" w14:textId="77777777" w:rsidR="002027D2" w:rsidRPr="008D1712" w:rsidRDefault="002027D2" w:rsidP="008D1712">
      <w:pPr>
        <w:spacing w:line="480" w:lineRule="auto"/>
        <w:jc w:val="center"/>
        <w:rPr>
          <w:rFonts w:ascii="Arial" w:hAnsi="Arial" w:cs="Arial"/>
          <w:sz w:val="24"/>
          <w:szCs w:val="24"/>
        </w:rPr>
      </w:pPr>
    </w:p>
    <w:p w14:paraId="1743E319" w14:textId="77777777" w:rsidR="002027D2" w:rsidRPr="008D1712" w:rsidRDefault="002027D2" w:rsidP="008D1712">
      <w:pPr>
        <w:spacing w:line="480" w:lineRule="auto"/>
        <w:jc w:val="center"/>
        <w:rPr>
          <w:rFonts w:ascii="Arial" w:hAnsi="Arial" w:cs="Arial"/>
          <w:sz w:val="24"/>
          <w:szCs w:val="24"/>
        </w:rPr>
      </w:pPr>
    </w:p>
    <w:p w14:paraId="226BFC24"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5565DB35" wp14:editId="3F975599">
            <wp:extent cx="4813001" cy="3457184"/>
            <wp:effectExtent l="0" t="0" r="6985" b="0"/>
            <wp:docPr id="3090530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32075" cy="3470885"/>
                    </a:xfrm>
                    <a:prstGeom prst="rect">
                      <a:avLst/>
                    </a:prstGeom>
                    <a:noFill/>
                  </pic:spPr>
                </pic:pic>
              </a:graphicData>
            </a:graphic>
          </wp:inline>
        </w:drawing>
      </w:r>
    </w:p>
    <w:p w14:paraId="23B4C48D" w14:textId="77777777" w:rsidR="002027D2" w:rsidRDefault="002027D2" w:rsidP="005556B5">
      <w:pPr>
        <w:spacing w:line="276" w:lineRule="auto"/>
        <w:jc w:val="both"/>
        <w:rPr>
          <w:rFonts w:ascii="Arial" w:hAnsi="Arial" w:cs="Arial"/>
          <w:b/>
          <w:bCs/>
          <w:sz w:val="24"/>
          <w:szCs w:val="24"/>
        </w:rPr>
      </w:pPr>
      <w:r>
        <w:rPr>
          <w:rFonts w:ascii="Arial" w:hAnsi="Arial" w:cs="Arial"/>
          <w:b/>
          <w:bCs/>
          <w:sz w:val="24"/>
          <w:szCs w:val="24"/>
        </w:rPr>
        <w:t>Figure</w:t>
      </w:r>
      <w:r w:rsidRPr="008D1712">
        <w:rPr>
          <w:rFonts w:ascii="Arial" w:hAnsi="Arial" w:cs="Arial"/>
          <w:b/>
          <w:bCs/>
          <w:sz w:val="24"/>
          <w:szCs w:val="24"/>
        </w:rPr>
        <w:t xml:space="preserve"> S2.31</w:t>
      </w:r>
      <w:r w:rsidRPr="000452A8">
        <w:rPr>
          <w:rFonts w:ascii="Arial" w:hAnsi="Arial" w:cs="Arial"/>
          <w:b/>
          <w:bCs/>
          <w:sz w:val="24"/>
          <w:szCs w:val="24"/>
        </w:rPr>
        <w:t>:</w:t>
      </w:r>
      <w:r w:rsidRPr="008D1712">
        <w:rPr>
          <w:rFonts w:ascii="Arial" w:hAnsi="Arial" w:cs="Arial"/>
          <w:sz w:val="24"/>
          <w:szCs w:val="24"/>
        </w:rPr>
        <w:t xml:space="preserve"> Optoacoustic evaluation of halogenated cyanine compounds. A) Optoacoustic images of compounds in tissue mimicking phantoms. B) Peak optoacoustic intensity of compounds. C) Absorption spectra for </w:t>
      </w:r>
      <w:r w:rsidRPr="008D1712">
        <w:rPr>
          <w:rFonts w:ascii="Arial" w:hAnsi="Arial" w:cs="Arial"/>
          <w:b/>
          <w:bCs/>
          <w:sz w:val="24"/>
          <w:szCs w:val="24"/>
        </w:rPr>
        <w:t xml:space="preserve">CY H, CY Cl, </w:t>
      </w:r>
      <w:r w:rsidRPr="008D1712">
        <w:rPr>
          <w:rFonts w:ascii="Arial" w:hAnsi="Arial" w:cs="Arial"/>
          <w:sz w:val="24"/>
          <w:szCs w:val="24"/>
        </w:rPr>
        <w:t>and</w:t>
      </w:r>
      <w:r w:rsidRPr="008D1712">
        <w:rPr>
          <w:rFonts w:ascii="Arial" w:hAnsi="Arial" w:cs="Arial"/>
          <w:b/>
          <w:bCs/>
          <w:sz w:val="24"/>
          <w:szCs w:val="24"/>
        </w:rPr>
        <w:t xml:space="preserve"> CY Br.</w:t>
      </w:r>
      <w:r w:rsidRPr="008D1712">
        <w:rPr>
          <w:rFonts w:ascii="Arial" w:hAnsi="Arial" w:cs="Arial"/>
          <w:sz w:val="24"/>
          <w:szCs w:val="24"/>
        </w:rPr>
        <w:t xml:space="preserve"> D) Absorption spectra for </w:t>
      </w:r>
      <w:r w:rsidRPr="008D1712">
        <w:rPr>
          <w:rFonts w:ascii="Arial" w:hAnsi="Arial" w:cs="Arial"/>
          <w:b/>
          <w:bCs/>
          <w:sz w:val="24"/>
          <w:szCs w:val="24"/>
        </w:rPr>
        <w:t xml:space="preserve">CY H, CY Cl, </w:t>
      </w:r>
      <w:r w:rsidRPr="008D1712">
        <w:rPr>
          <w:rFonts w:ascii="Arial" w:hAnsi="Arial" w:cs="Arial"/>
          <w:sz w:val="24"/>
          <w:szCs w:val="24"/>
        </w:rPr>
        <w:t>and</w:t>
      </w:r>
      <w:r w:rsidRPr="008D1712">
        <w:rPr>
          <w:rFonts w:ascii="Arial" w:hAnsi="Arial" w:cs="Arial"/>
          <w:b/>
          <w:bCs/>
          <w:sz w:val="24"/>
          <w:szCs w:val="24"/>
        </w:rPr>
        <w:t xml:space="preserve"> CY Br.</w:t>
      </w:r>
    </w:p>
    <w:p w14:paraId="68E51609" w14:textId="77777777" w:rsidR="002027D2" w:rsidRDefault="002027D2" w:rsidP="008D1712">
      <w:pPr>
        <w:spacing w:line="480" w:lineRule="auto"/>
        <w:jc w:val="center"/>
        <w:rPr>
          <w:rFonts w:ascii="Arial" w:hAnsi="Arial" w:cs="Arial"/>
          <w:b/>
          <w:bCs/>
          <w:sz w:val="24"/>
          <w:szCs w:val="24"/>
        </w:rPr>
      </w:pPr>
    </w:p>
    <w:p w14:paraId="378B35AE" w14:textId="77777777" w:rsidR="002027D2" w:rsidRDefault="002027D2" w:rsidP="008D1712">
      <w:pPr>
        <w:spacing w:line="480" w:lineRule="auto"/>
        <w:jc w:val="center"/>
        <w:rPr>
          <w:rFonts w:ascii="Arial" w:hAnsi="Arial" w:cs="Arial"/>
          <w:b/>
          <w:bCs/>
          <w:sz w:val="24"/>
          <w:szCs w:val="24"/>
        </w:rPr>
      </w:pPr>
    </w:p>
    <w:p w14:paraId="729728F4" w14:textId="77777777" w:rsidR="002027D2" w:rsidRDefault="002027D2" w:rsidP="008D1712">
      <w:pPr>
        <w:spacing w:line="480" w:lineRule="auto"/>
        <w:jc w:val="center"/>
        <w:rPr>
          <w:rFonts w:ascii="Arial" w:hAnsi="Arial" w:cs="Arial"/>
          <w:b/>
          <w:bCs/>
          <w:sz w:val="24"/>
          <w:szCs w:val="24"/>
        </w:rPr>
      </w:pPr>
    </w:p>
    <w:p w14:paraId="05A9F070" w14:textId="77777777" w:rsidR="005556B5" w:rsidRDefault="005556B5" w:rsidP="008D1712">
      <w:pPr>
        <w:spacing w:line="480" w:lineRule="auto"/>
        <w:jc w:val="center"/>
        <w:rPr>
          <w:rFonts w:ascii="Arial" w:hAnsi="Arial" w:cs="Arial"/>
          <w:b/>
          <w:bCs/>
          <w:sz w:val="24"/>
          <w:szCs w:val="24"/>
        </w:rPr>
      </w:pPr>
    </w:p>
    <w:p w14:paraId="2C0B0331" w14:textId="77777777" w:rsidR="002027D2" w:rsidRPr="008D1712" w:rsidRDefault="002027D2" w:rsidP="008D1712">
      <w:pPr>
        <w:spacing w:line="480" w:lineRule="auto"/>
        <w:jc w:val="center"/>
        <w:rPr>
          <w:rFonts w:ascii="Arial" w:hAnsi="Arial" w:cs="Arial"/>
          <w:b/>
          <w:bCs/>
          <w:sz w:val="24"/>
          <w:szCs w:val="24"/>
        </w:rPr>
      </w:pPr>
    </w:p>
    <w:p w14:paraId="3D862DAB"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2BBBA427" wp14:editId="58953047">
            <wp:extent cx="4965405" cy="1482315"/>
            <wp:effectExtent l="0" t="0" r="0" b="3810"/>
            <wp:docPr id="9060893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990348" cy="1489761"/>
                    </a:xfrm>
                    <a:prstGeom prst="rect">
                      <a:avLst/>
                    </a:prstGeom>
                    <a:noFill/>
                  </pic:spPr>
                </pic:pic>
              </a:graphicData>
            </a:graphic>
          </wp:inline>
        </w:drawing>
      </w:r>
    </w:p>
    <w:p w14:paraId="5F92BBCE"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S2.32</w:t>
      </w:r>
      <w:r w:rsidRPr="000452A8">
        <w:rPr>
          <w:rFonts w:ascii="Arial" w:hAnsi="Arial" w:cs="Arial"/>
          <w:b/>
          <w:bCs/>
          <w:sz w:val="24"/>
          <w:szCs w:val="24"/>
        </w:rPr>
        <w:t xml:space="preserve">: </w:t>
      </w:r>
      <w:r w:rsidRPr="008D1712">
        <w:rPr>
          <w:rFonts w:ascii="Arial" w:hAnsi="Arial" w:cs="Arial"/>
          <w:sz w:val="24"/>
          <w:szCs w:val="24"/>
        </w:rPr>
        <w:t>Computational modeling of cyanine compounds. A) Vibrational entropy of cyanine compounds from DFT frequency calculations. B) Oscillator strength of the lowest-energy absorptions of cyanine compounds from TD-DFT calculations. C) Transition dipole moment of the lowest-energy absorptions of cyanine compounds from TD-DFT calculations.</w:t>
      </w:r>
    </w:p>
    <w:p w14:paraId="1B3BC101" w14:textId="77777777" w:rsidR="002027D2" w:rsidRPr="008D1712" w:rsidRDefault="002027D2" w:rsidP="008D1712">
      <w:pPr>
        <w:spacing w:line="480" w:lineRule="auto"/>
        <w:jc w:val="center"/>
        <w:rPr>
          <w:rFonts w:ascii="Arial" w:hAnsi="Arial" w:cs="Arial"/>
          <w:sz w:val="24"/>
          <w:szCs w:val="24"/>
        </w:rPr>
      </w:pPr>
    </w:p>
    <w:p w14:paraId="5E67FDCE"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6E69F1E7" wp14:editId="65294169">
            <wp:extent cx="5603358" cy="1370094"/>
            <wp:effectExtent l="0" t="0" r="0" b="1905"/>
            <wp:docPr id="2770943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649447" cy="1381363"/>
                    </a:xfrm>
                    <a:prstGeom prst="rect">
                      <a:avLst/>
                    </a:prstGeom>
                    <a:noFill/>
                  </pic:spPr>
                </pic:pic>
              </a:graphicData>
            </a:graphic>
          </wp:inline>
        </w:drawing>
      </w:r>
    </w:p>
    <w:p w14:paraId="5680BBC0"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S2.33</w:t>
      </w:r>
      <w:r w:rsidRPr="000452A8">
        <w:rPr>
          <w:rFonts w:ascii="Arial" w:hAnsi="Arial" w:cs="Arial"/>
          <w:b/>
          <w:bCs/>
          <w:sz w:val="24"/>
          <w:szCs w:val="24"/>
        </w:rPr>
        <w:t>:</w:t>
      </w:r>
      <w:r w:rsidRPr="008D1712">
        <w:rPr>
          <w:rFonts w:ascii="Arial" w:hAnsi="Arial" w:cs="Arial"/>
          <w:sz w:val="24"/>
          <w:szCs w:val="24"/>
        </w:rPr>
        <w:t xml:space="preserve"> Full TD-DFT derived absorption peaks of cyanine compounds A) </w:t>
      </w:r>
      <w:r w:rsidRPr="008D1712">
        <w:rPr>
          <w:rFonts w:ascii="Arial" w:hAnsi="Arial" w:cs="Arial"/>
          <w:b/>
          <w:bCs/>
          <w:sz w:val="24"/>
          <w:szCs w:val="24"/>
        </w:rPr>
        <w:t>CY H</w:t>
      </w:r>
      <w:r w:rsidRPr="008D1712">
        <w:rPr>
          <w:rFonts w:ascii="Arial" w:hAnsi="Arial" w:cs="Arial"/>
          <w:sz w:val="24"/>
          <w:szCs w:val="24"/>
        </w:rPr>
        <w:t xml:space="preserve">, B) </w:t>
      </w:r>
      <w:r w:rsidRPr="008D1712">
        <w:rPr>
          <w:rFonts w:ascii="Arial" w:hAnsi="Arial" w:cs="Arial"/>
          <w:b/>
          <w:bCs/>
          <w:sz w:val="24"/>
          <w:szCs w:val="24"/>
        </w:rPr>
        <w:t>CY Cl</w:t>
      </w:r>
      <w:r w:rsidRPr="008D1712">
        <w:rPr>
          <w:rFonts w:ascii="Arial" w:hAnsi="Arial" w:cs="Arial"/>
          <w:sz w:val="24"/>
          <w:szCs w:val="24"/>
        </w:rPr>
        <w:t xml:space="preserve">, C) </w:t>
      </w:r>
      <w:r w:rsidRPr="008D1712">
        <w:rPr>
          <w:rFonts w:ascii="Arial" w:hAnsi="Arial" w:cs="Arial"/>
          <w:b/>
          <w:bCs/>
          <w:sz w:val="24"/>
          <w:szCs w:val="24"/>
        </w:rPr>
        <w:t>CY Br</w:t>
      </w:r>
      <w:r w:rsidRPr="008D1712">
        <w:rPr>
          <w:rFonts w:ascii="Arial" w:hAnsi="Arial" w:cs="Arial"/>
          <w:sz w:val="24"/>
          <w:szCs w:val="24"/>
        </w:rPr>
        <w:t>. Arrows in panels A-C indicate the absorption peak that is responsible for optoacoustic signal generation.</w:t>
      </w:r>
    </w:p>
    <w:p w14:paraId="23AF8E84" w14:textId="77777777" w:rsidR="002027D2" w:rsidRPr="008D1712" w:rsidRDefault="002027D2" w:rsidP="008D1712">
      <w:pPr>
        <w:spacing w:line="480" w:lineRule="auto"/>
        <w:jc w:val="center"/>
        <w:rPr>
          <w:rFonts w:ascii="Arial" w:hAnsi="Arial" w:cs="Arial"/>
          <w:sz w:val="24"/>
          <w:szCs w:val="24"/>
        </w:rPr>
      </w:pPr>
    </w:p>
    <w:p w14:paraId="20FB28A9" w14:textId="77777777" w:rsidR="002027D2" w:rsidRPr="008D1712" w:rsidRDefault="002027D2" w:rsidP="008D1712">
      <w:pPr>
        <w:spacing w:line="480" w:lineRule="auto"/>
        <w:jc w:val="center"/>
        <w:rPr>
          <w:rFonts w:ascii="Arial" w:hAnsi="Arial" w:cs="Arial"/>
          <w:sz w:val="24"/>
          <w:szCs w:val="24"/>
        </w:rPr>
      </w:pPr>
    </w:p>
    <w:p w14:paraId="5E53928A"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3EFC4EEA" wp14:editId="706C2B44">
            <wp:extent cx="4890976" cy="2889351"/>
            <wp:effectExtent l="0" t="0" r="5080" b="6350"/>
            <wp:docPr id="2494934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919128" cy="2905982"/>
                    </a:xfrm>
                    <a:prstGeom prst="rect">
                      <a:avLst/>
                    </a:prstGeom>
                    <a:noFill/>
                  </pic:spPr>
                </pic:pic>
              </a:graphicData>
            </a:graphic>
          </wp:inline>
        </w:drawing>
      </w:r>
    </w:p>
    <w:p w14:paraId="4729AC59"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S2.34</w:t>
      </w:r>
      <w:r w:rsidRPr="000452A8">
        <w:rPr>
          <w:rFonts w:ascii="Arial" w:hAnsi="Arial" w:cs="Arial"/>
          <w:b/>
          <w:bCs/>
          <w:sz w:val="24"/>
          <w:szCs w:val="24"/>
        </w:rPr>
        <w:t>:</w:t>
      </w:r>
      <w:r w:rsidRPr="008D1712">
        <w:rPr>
          <w:rFonts w:ascii="Arial" w:hAnsi="Arial" w:cs="Arial"/>
          <w:sz w:val="24"/>
          <w:szCs w:val="24"/>
        </w:rPr>
        <w:t xml:space="preserve"> HOMO-2, HOMO-1, and LUMO of cyanine compounds from DFT calculations using PBE functional and 6-31+G* basis set. Amplitudes for HOMO-2 to LUMO and HOMO-1 to LUMO electronic transitions for the lowest energy absorption are listed below the respective orbitals.</w:t>
      </w:r>
    </w:p>
    <w:p w14:paraId="24C5A19C" w14:textId="77777777" w:rsidR="002027D2" w:rsidRPr="008D1712" w:rsidRDefault="002027D2" w:rsidP="008D1712">
      <w:pPr>
        <w:spacing w:line="480" w:lineRule="auto"/>
        <w:jc w:val="center"/>
        <w:rPr>
          <w:rFonts w:ascii="Arial" w:hAnsi="Arial" w:cs="Arial"/>
          <w:sz w:val="24"/>
          <w:szCs w:val="24"/>
        </w:rPr>
      </w:pPr>
    </w:p>
    <w:p w14:paraId="4CD597E4" w14:textId="77777777" w:rsidR="002027D2" w:rsidRPr="008D1712" w:rsidRDefault="002027D2" w:rsidP="008D1712">
      <w:pPr>
        <w:spacing w:line="480" w:lineRule="auto"/>
        <w:jc w:val="center"/>
        <w:rPr>
          <w:rFonts w:ascii="Arial" w:hAnsi="Arial" w:cs="Arial"/>
          <w:sz w:val="24"/>
          <w:szCs w:val="24"/>
        </w:rPr>
      </w:pPr>
    </w:p>
    <w:p w14:paraId="3930E4D7"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00C4BBC1" wp14:editId="16638BE5">
            <wp:extent cx="5830570" cy="1051728"/>
            <wp:effectExtent l="0" t="0" r="0" b="0"/>
            <wp:docPr id="16378828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47065" cy="1054703"/>
                    </a:xfrm>
                    <a:prstGeom prst="rect">
                      <a:avLst/>
                    </a:prstGeom>
                    <a:noFill/>
                  </pic:spPr>
                </pic:pic>
              </a:graphicData>
            </a:graphic>
          </wp:inline>
        </w:drawing>
      </w:r>
    </w:p>
    <w:p w14:paraId="23C7CBDF"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S2.35</w:t>
      </w:r>
      <w:r w:rsidRPr="000452A8">
        <w:rPr>
          <w:rFonts w:ascii="Arial" w:hAnsi="Arial" w:cs="Arial"/>
          <w:b/>
          <w:bCs/>
          <w:sz w:val="24"/>
          <w:szCs w:val="24"/>
        </w:rPr>
        <w:t>:</w:t>
      </w:r>
      <w:r w:rsidRPr="008D1712">
        <w:rPr>
          <w:rFonts w:ascii="Arial" w:hAnsi="Arial" w:cs="Arial"/>
          <w:sz w:val="24"/>
          <w:szCs w:val="24"/>
        </w:rPr>
        <w:t xml:space="preserve"> Optical properties for cyanine compounds in FBS supplemented with HEPES buffer at pH 7.4 and warmed to physiological temperature (37°C)</w:t>
      </w:r>
    </w:p>
    <w:p w14:paraId="42E4F397" w14:textId="77777777" w:rsidR="002027D2" w:rsidRDefault="002027D2" w:rsidP="008D1712">
      <w:pPr>
        <w:spacing w:line="480" w:lineRule="auto"/>
        <w:jc w:val="center"/>
        <w:rPr>
          <w:rFonts w:ascii="Arial" w:hAnsi="Arial" w:cs="Arial"/>
          <w:sz w:val="24"/>
          <w:szCs w:val="24"/>
        </w:rPr>
      </w:pPr>
    </w:p>
    <w:p w14:paraId="2039E3A4" w14:textId="77777777" w:rsidR="005556B5" w:rsidRDefault="005556B5" w:rsidP="008D1712">
      <w:pPr>
        <w:spacing w:line="480" w:lineRule="auto"/>
        <w:jc w:val="center"/>
        <w:rPr>
          <w:rFonts w:ascii="Arial" w:hAnsi="Arial" w:cs="Arial"/>
          <w:sz w:val="24"/>
          <w:szCs w:val="24"/>
        </w:rPr>
      </w:pPr>
    </w:p>
    <w:p w14:paraId="69EE3112" w14:textId="77777777" w:rsidR="005556B5" w:rsidRPr="008D1712" w:rsidRDefault="005556B5" w:rsidP="008D1712">
      <w:pPr>
        <w:spacing w:line="480" w:lineRule="auto"/>
        <w:jc w:val="center"/>
        <w:rPr>
          <w:rFonts w:ascii="Arial" w:hAnsi="Arial" w:cs="Arial"/>
          <w:sz w:val="24"/>
          <w:szCs w:val="24"/>
        </w:rPr>
      </w:pPr>
    </w:p>
    <w:p w14:paraId="6461CFEE" w14:textId="77777777" w:rsidR="002027D2" w:rsidRPr="008D1712" w:rsidRDefault="002027D2" w:rsidP="004C1A8E">
      <w:pPr>
        <w:spacing w:after="0"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03FA8D30" wp14:editId="3E0723DF">
            <wp:extent cx="5829300" cy="456134"/>
            <wp:effectExtent l="0" t="0" r="0" b="1270"/>
            <wp:docPr id="9652953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241543" cy="488391"/>
                    </a:xfrm>
                    <a:prstGeom prst="rect">
                      <a:avLst/>
                    </a:prstGeom>
                    <a:noFill/>
                  </pic:spPr>
                </pic:pic>
              </a:graphicData>
            </a:graphic>
          </wp:inline>
        </w:drawing>
      </w:r>
    </w:p>
    <w:p w14:paraId="1772C2C4" w14:textId="77777777" w:rsidR="002027D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S2.36</w:t>
      </w:r>
      <w:r w:rsidRPr="000452A8">
        <w:rPr>
          <w:rFonts w:ascii="Arial" w:hAnsi="Arial" w:cs="Arial"/>
          <w:b/>
          <w:bCs/>
          <w:sz w:val="24"/>
          <w:szCs w:val="24"/>
        </w:rPr>
        <w:t xml:space="preserve">: </w:t>
      </w:r>
      <w:r w:rsidRPr="008D1712">
        <w:rPr>
          <w:rFonts w:ascii="Arial" w:hAnsi="Arial" w:cs="Arial"/>
          <w:sz w:val="24"/>
          <w:szCs w:val="24"/>
        </w:rPr>
        <w:t>Properties of cyanine compounds from TD-DFT calculations with PBE/6-31+G*.</w:t>
      </w:r>
    </w:p>
    <w:p w14:paraId="28A6A2DC" w14:textId="77777777" w:rsidR="002027D2" w:rsidRPr="008D1712" w:rsidRDefault="002027D2" w:rsidP="008D1712">
      <w:pPr>
        <w:spacing w:line="480" w:lineRule="auto"/>
        <w:jc w:val="center"/>
        <w:rPr>
          <w:rFonts w:ascii="Arial" w:hAnsi="Arial" w:cs="Arial"/>
          <w:sz w:val="24"/>
          <w:szCs w:val="24"/>
        </w:rPr>
      </w:pPr>
    </w:p>
    <w:p w14:paraId="1BC29A9B" w14:textId="77777777" w:rsidR="002027D2" w:rsidRPr="008D1712" w:rsidRDefault="002027D2" w:rsidP="004C1A8E">
      <w:pPr>
        <w:spacing w:after="0"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32F7F166" wp14:editId="6CF4ADDE">
            <wp:extent cx="3858016" cy="729330"/>
            <wp:effectExtent l="0" t="0" r="0" b="0"/>
            <wp:docPr id="6422990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89945" cy="735366"/>
                    </a:xfrm>
                    <a:prstGeom prst="rect">
                      <a:avLst/>
                    </a:prstGeom>
                    <a:noFill/>
                  </pic:spPr>
                </pic:pic>
              </a:graphicData>
            </a:graphic>
          </wp:inline>
        </w:drawing>
      </w:r>
    </w:p>
    <w:p w14:paraId="13B1E721" w14:textId="77777777" w:rsidR="002027D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S2.37</w:t>
      </w:r>
      <w:r w:rsidRPr="000452A8">
        <w:rPr>
          <w:rFonts w:ascii="Arial" w:hAnsi="Arial" w:cs="Arial"/>
          <w:b/>
          <w:bCs/>
          <w:sz w:val="24"/>
          <w:szCs w:val="24"/>
        </w:rPr>
        <w:t>:</w:t>
      </w:r>
      <w:r w:rsidRPr="008D1712">
        <w:rPr>
          <w:rFonts w:ascii="Arial" w:hAnsi="Arial" w:cs="Arial"/>
          <w:sz w:val="24"/>
          <w:szCs w:val="24"/>
        </w:rPr>
        <w:t xml:space="preserve"> First absorption peaks of cyanine</w:t>
      </w:r>
      <w:r>
        <w:rPr>
          <w:rFonts w:ascii="Arial" w:hAnsi="Arial" w:cs="Arial"/>
          <w:sz w:val="24"/>
          <w:szCs w:val="24"/>
        </w:rPr>
        <w:t>s</w:t>
      </w:r>
      <w:r w:rsidRPr="008D1712">
        <w:rPr>
          <w:rFonts w:ascii="Arial" w:hAnsi="Arial" w:cs="Arial"/>
          <w:sz w:val="24"/>
          <w:szCs w:val="24"/>
        </w:rPr>
        <w:t xml:space="preserve"> from TD-DFT calculations with PBE/6-31+G*.</w:t>
      </w:r>
    </w:p>
    <w:p w14:paraId="2AFCA705" w14:textId="77777777" w:rsidR="002027D2" w:rsidRPr="008D1712" w:rsidRDefault="002027D2" w:rsidP="008D1712">
      <w:pPr>
        <w:spacing w:line="480" w:lineRule="auto"/>
        <w:jc w:val="center"/>
        <w:rPr>
          <w:rFonts w:ascii="Arial" w:hAnsi="Arial" w:cs="Arial"/>
          <w:sz w:val="24"/>
          <w:szCs w:val="24"/>
        </w:rPr>
      </w:pPr>
    </w:p>
    <w:p w14:paraId="39A02FFA" w14:textId="77777777" w:rsidR="002027D2" w:rsidRPr="008D1712" w:rsidRDefault="002027D2" w:rsidP="004C1A8E">
      <w:pPr>
        <w:spacing w:after="0"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01BF195C" wp14:editId="1B3C8DB4">
            <wp:extent cx="3858016" cy="795928"/>
            <wp:effectExtent l="0" t="0" r="0" b="0"/>
            <wp:docPr id="7781171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73862" cy="799197"/>
                    </a:xfrm>
                    <a:prstGeom prst="rect">
                      <a:avLst/>
                    </a:prstGeom>
                    <a:noFill/>
                  </pic:spPr>
                </pic:pic>
              </a:graphicData>
            </a:graphic>
          </wp:inline>
        </w:drawing>
      </w:r>
    </w:p>
    <w:p w14:paraId="515D5665" w14:textId="77777777" w:rsidR="002027D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S2.38</w:t>
      </w:r>
      <w:r w:rsidRPr="000452A8">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Molecular properties of cyanine compounds. Rotatable bonds, surface area, and volume were computed with RDkit. LogD (pH 7.4) computed with ChemAxon.</w:t>
      </w:r>
    </w:p>
    <w:p w14:paraId="04C852F6" w14:textId="77777777" w:rsidR="002027D2" w:rsidRPr="008D1712" w:rsidRDefault="002027D2" w:rsidP="008D1712">
      <w:pPr>
        <w:spacing w:line="480" w:lineRule="auto"/>
        <w:jc w:val="center"/>
        <w:rPr>
          <w:rFonts w:ascii="Arial" w:hAnsi="Arial" w:cs="Arial"/>
          <w:sz w:val="24"/>
          <w:szCs w:val="24"/>
        </w:rPr>
      </w:pPr>
    </w:p>
    <w:p w14:paraId="14235AEC" w14:textId="77777777" w:rsidR="002027D2" w:rsidRPr="008D1712" w:rsidRDefault="002027D2" w:rsidP="004C1A8E">
      <w:pPr>
        <w:spacing w:after="0"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7D14FD78" wp14:editId="294CD596">
            <wp:extent cx="4709787" cy="693314"/>
            <wp:effectExtent l="0" t="0" r="0" b="0"/>
            <wp:docPr id="16612873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26508" cy="710496"/>
                    </a:xfrm>
                    <a:prstGeom prst="rect">
                      <a:avLst/>
                    </a:prstGeom>
                    <a:noFill/>
                  </pic:spPr>
                </pic:pic>
              </a:graphicData>
            </a:graphic>
          </wp:inline>
        </w:drawing>
      </w:r>
    </w:p>
    <w:p w14:paraId="2B63C203"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S2.39</w:t>
      </w:r>
      <w:r w:rsidRPr="000452A8">
        <w:rPr>
          <w:rFonts w:ascii="Arial" w:hAnsi="Arial" w:cs="Arial"/>
          <w:b/>
          <w:bCs/>
          <w:sz w:val="24"/>
          <w:szCs w:val="24"/>
        </w:rPr>
        <w:t xml:space="preserve">: </w:t>
      </w:r>
      <w:r w:rsidRPr="008D1712">
        <w:rPr>
          <w:rFonts w:ascii="Arial" w:hAnsi="Arial" w:cs="Arial"/>
          <w:sz w:val="24"/>
          <w:szCs w:val="24"/>
        </w:rPr>
        <w:t xml:space="preserve">Molecular properties of cyanine dyes calculated using PBE functional and 6-31+G* basis set. f represents the oscillator strength of the lowest-energy absorption, </w:t>
      </w:r>
      <w:r w:rsidRPr="008D1712">
        <w:rPr>
          <w:rFonts w:ascii="Arial" w:hAnsi="Arial" w:cs="Arial"/>
          <w:i/>
          <w:iCs/>
          <w:sz w:val="24"/>
          <w:szCs w:val="24"/>
        </w:rPr>
        <w:t xml:space="preserve">μ </w:t>
      </w:r>
      <w:r w:rsidRPr="008D1712">
        <w:rPr>
          <w:rFonts w:ascii="Arial" w:hAnsi="Arial" w:cs="Arial"/>
          <w:sz w:val="24"/>
          <w:szCs w:val="24"/>
        </w:rPr>
        <w:t>represents the transition dipole moment of the lowest-energy absorption.</w:t>
      </w:r>
    </w:p>
    <w:p w14:paraId="2D16C25C"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03AAB20A" wp14:editId="632A3467">
            <wp:extent cx="4558493" cy="5773479"/>
            <wp:effectExtent l="0" t="0" r="0" b="0"/>
            <wp:docPr id="12013660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570050" cy="5788117"/>
                    </a:xfrm>
                    <a:prstGeom prst="rect">
                      <a:avLst/>
                    </a:prstGeom>
                    <a:noFill/>
                  </pic:spPr>
                </pic:pic>
              </a:graphicData>
            </a:graphic>
          </wp:inline>
        </w:drawing>
      </w:r>
    </w:p>
    <w:p w14:paraId="5D2B1205" w14:textId="77777777" w:rsidR="002027D2" w:rsidRPr="008D1712" w:rsidRDefault="002027D2" w:rsidP="005556B5">
      <w:pPr>
        <w:spacing w:line="276" w:lineRule="auto"/>
        <w:jc w:val="both"/>
        <w:rPr>
          <w:rFonts w:ascii="Arial" w:hAnsi="Arial" w:cs="Arial"/>
          <w:sz w:val="24"/>
          <w:szCs w:val="24"/>
          <w:highlight w:val="yellow"/>
        </w:rPr>
      </w:pPr>
      <w:r>
        <w:rPr>
          <w:rFonts w:ascii="Arial" w:hAnsi="Arial" w:cs="Arial"/>
          <w:b/>
          <w:bCs/>
          <w:sz w:val="24"/>
          <w:szCs w:val="24"/>
        </w:rPr>
        <w:t>Figure</w:t>
      </w:r>
      <w:r w:rsidRPr="008D1712">
        <w:rPr>
          <w:rFonts w:ascii="Arial" w:hAnsi="Arial" w:cs="Arial"/>
          <w:b/>
          <w:bCs/>
          <w:sz w:val="24"/>
          <w:szCs w:val="24"/>
        </w:rPr>
        <w:t xml:space="preserve"> S2.40</w:t>
      </w:r>
      <w:r w:rsidRPr="000452A8">
        <w:rPr>
          <w:rFonts w:ascii="Arial" w:hAnsi="Arial" w:cs="Arial"/>
          <w:b/>
          <w:bCs/>
          <w:sz w:val="24"/>
          <w:szCs w:val="24"/>
        </w:rPr>
        <w:t xml:space="preserve">: </w:t>
      </w:r>
      <w:r w:rsidRPr="008D1712">
        <w:rPr>
          <w:rFonts w:ascii="Arial" w:hAnsi="Arial" w:cs="Arial"/>
          <w:sz w:val="24"/>
          <w:szCs w:val="24"/>
        </w:rPr>
        <w:t xml:space="preserve">Cellular viability of cells following treatment with cyanine compounds. A) 293 kidney cells at </w:t>
      </w:r>
      <w:r w:rsidRPr="008D1712">
        <w:rPr>
          <w:rFonts w:ascii="Arial" w:hAnsi="Arial" w:cs="Arial"/>
          <w:noProof/>
          <w:sz w:val="24"/>
          <w:szCs w:val="24"/>
        </w:rPr>
        <w:t>100</w:t>
      </w:r>
      <w:r w:rsidRPr="008D1712">
        <w:rPr>
          <w:rFonts w:ascii="Arial" w:hAnsi="Arial" w:cs="Arial"/>
          <w:sz w:val="24"/>
          <w:szCs w:val="24"/>
        </w:rPr>
        <w:t xml:space="preserve"> μg/mL, B) 293 kidney cells at </w:t>
      </w:r>
      <w:r w:rsidRPr="008D1712">
        <w:rPr>
          <w:rFonts w:ascii="Arial" w:hAnsi="Arial" w:cs="Arial"/>
          <w:noProof/>
          <w:sz w:val="24"/>
          <w:szCs w:val="24"/>
        </w:rPr>
        <w:t>10</w:t>
      </w:r>
      <w:r w:rsidRPr="008D1712">
        <w:rPr>
          <w:rFonts w:ascii="Arial" w:hAnsi="Arial" w:cs="Arial"/>
          <w:sz w:val="24"/>
          <w:szCs w:val="24"/>
        </w:rPr>
        <w:t xml:space="preserve"> μg/mL, C) HEPG2 liver cells at </w:t>
      </w:r>
      <w:r w:rsidRPr="008D1712">
        <w:rPr>
          <w:rFonts w:ascii="Arial" w:hAnsi="Arial" w:cs="Arial"/>
          <w:noProof/>
          <w:sz w:val="24"/>
          <w:szCs w:val="24"/>
        </w:rPr>
        <w:t>100</w:t>
      </w:r>
      <w:r w:rsidRPr="008D1712">
        <w:rPr>
          <w:rFonts w:ascii="Arial" w:hAnsi="Arial" w:cs="Arial"/>
          <w:sz w:val="24"/>
          <w:szCs w:val="24"/>
        </w:rPr>
        <w:t xml:space="preserve"> μg/mL, D) HEPG2 liver cells at </w:t>
      </w:r>
      <w:r w:rsidRPr="008D1712">
        <w:rPr>
          <w:rFonts w:ascii="Arial" w:hAnsi="Arial" w:cs="Arial"/>
          <w:noProof/>
          <w:sz w:val="24"/>
          <w:szCs w:val="24"/>
        </w:rPr>
        <w:t>10</w:t>
      </w:r>
      <w:r w:rsidRPr="008D1712">
        <w:rPr>
          <w:rFonts w:ascii="Arial" w:hAnsi="Arial" w:cs="Arial"/>
          <w:sz w:val="24"/>
          <w:szCs w:val="24"/>
        </w:rPr>
        <w:t xml:space="preserve"> μg/mL, E) COLO205 colon cells at </w:t>
      </w:r>
      <w:r w:rsidRPr="008D1712">
        <w:rPr>
          <w:rFonts w:ascii="Arial" w:hAnsi="Arial" w:cs="Arial"/>
          <w:noProof/>
          <w:sz w:val="24"/>
          <w:szCs w:val="24"/>
        </w:rPr>
        <w:t>100</w:t>
      </w:r>
      <w:r w:rsidRPr="008D1712">
        <w:rPr>
          <w:rFonts w:ascii="Arial" w:hAnsi="Arial" w:cs="Arial"/>
          <w:sz w:val="24"/>
          <w:szCs w:val="24"/>
        </w:rPr>
        <w:t xml:space="preserve"> μg/mL, F) COLO205 colon cells at </w:t>
      </w:r>
      <w:r w:rsidRPr="008D1712">
        <w:rPr>
          <w:rFonts w:ascii="Arial" w:hAnsi="Arial" w:cs="Arial"/>
          <w:noProof/>
          <w:sz w:val="24"/>
          <w:szCs w:val="24"/>
        </w:rPr>
        <w:t>10</w:t>
      </w:r>
      <w:r w:rsidRPr="008D1712">
        <w:rPr>
          <w:rFonts w:ascii="Arial" w:hAnsi="Arial" w:cs="Arial"/>
          <w:sz w:val="24"/>
          <w:szCs w:val="24"/>
        </w:rPr>
        <w:t xml:space="preserve"> μg/mL. MB is commercially available dye methylene blue.</w:t>
      </w:r>
    </w:p>
    <w:p w14:paraId="585F3869"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3E0D7A6C" wp14:editId="261E6557">
            <wp:extent cx="4935585" cy="3770334"/>
            <wp:effectExtent l="0" t="0" r="0" b="1905"/>
            <wp:docPr id="20908624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84426" cy="3807644"/>
                    </a:xfrm>
                    <a:prstGeom prst="rect">
                      <a:avLst/>
                    </a:prstGeom>
                    <a:noFill/>
                  </pic:spPr>
                </pic:pic>
              </a:graphicData>
            </a:graphic>
          </wp:inline>
        </w:drawing>
      </w:r>
    </w:p>
    <w:p w14:paraId="5803F1E1"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S2.41</w:t>
      </w:r>
      <w:r w:rsidRPr="000452A8">
        <w:rPr>
          <w:rFonts w:ascii="Arial" w:hAnsi="Arial" w:cs="Arial"/>
          <w:b/>
          <w:bCs/>
          <w:sz w:val="24"/>
          <w:szCs w:val="24"/>
        </w:rPr>
        <w:t>:</w:t>
      </w:r>
      <w:r w:rsidRPr="008D1712">
        <w:rPr>
          <w:rFonts w:ascii="Arial" w:hAnsi="Arial" w:cs="Arial"/>
          <w:sz w:val="24"/>
          <w:szCs w:val="24"/>
        </w:rPr>
        <w:t xml:space="preserve"> A) </w:t>
      </w:r>
      <w:r w:rsidRPr="008D1712">
        <w:rPr>
          <w:rFonts w:ascii="Arial" w:hAnsi="Arial" w:cs="Arial"/>
          <w:i/>
          <w:iCs/>
          <w:sz w:val="24"/>
          <w:szCs w:val="24"/>
        </w:rPr>
        <w:t xml:space="preserve">In vivo </w:t>
      </w:r>
      <w:r w:rsidRPr="008D1712">
        <w:rPr>
          <w:rFonts w:ascii="Arial" w:hAnsi="Arial" w:cs="Arial"/>
          <w:sz w:val="24"/>
          <w:szCs w:val="24"/>
        </w:rPr>
        <w:t xml:space="preserve">visualization of optoacoustic signal generated from cyanine compounds subsequent to oral administration. Columns represent slightly different tomographic slices within the mouse. Red arrows show optoacoustic signal as a result of cyanine compounds in the body. B) Quantification of optoacoustic signal observed in A). C) </w:t>
      </w:r>
      <w:r w:rsidRPr="008D1712">
        <w:rPr>
          <w:rFonts w:ascii="Arial" w:hAnsi="Arial" w:cs="Arial"/>
          <w:i/>
          <w:iCs/>
          <w:sz w:val="24"/>
          <w:szCs w:val="24"/>
        </w:rPr>
        <w:t xml:space="preserve">In vivo </w:t>
      </w:r>
      <w:r w:rsidRPr="008D1712">
        <w:rPr>
          <w:rFonts w:ascii="Arial" w:hAnsi="Arial" w:cs="Arial"/>
          <w:sz w:val="24"/>
          <w:szCs w:val="24"/>
        </w:rPr>
        <w:t xml:space="preserve">visualization of NIR fluorescence signal generated from cyanine compounds. D) Quantification of NIR fluorescence signal observed in C). E) </w:t>
      </w:r>
      <w:r w:rsidRPr="008D1712">
        <w:rPr>
          <w:rFonts w:ascii="Arial" w:hAnsi="Arial" w:cs="Arial"/>
          <w:i/>
          <w:iCs/>
          <w:sz w:val="24"/>
          <w:szCs w:val="24"/>
        </w:rPr>
        <w:t xml:space="preserve">Ex vivo </w:t>
      </w:r>
      <w:r w:rsidRPr="008D1712">
        <w:rPr>
          <w:rFonts w:ascii="Arial" w:hAnsi="Arial" w:cs="Arial"/>
          <w:sz w:val="24"/>
          <w:szCs w:val="24"/>
        </w:rPr>
        <w:t xml:space="preserve">visualization of NIR fluorescence signal in the colon of a mouse treated with </w:t>
      </w:r>
      <w:r w:rsidRPr="008D1712">
        <w:rPr>
          <w:rFonts w:ascii="Arial" w:hAnsi="Arial" w:cs="Arial"/>
          <w:b/>
          <w:bCs/>
          <w:sz w:val="24"/>
          <w:szCs w:val="24"/>
        </w:rPr>
        <w:t>CY H</w:t>
      </w:r>
      <w:r w:rsidRPr="008D1712">
        <w:rPr>
          <w:rFonts w:ascii="Arial" w:hAnsi="Arial" w:cs="Arial"/>
          <w:sz w:val="24"/>
          <w:szCs w:val="24"/>
        </w:rPr>
        <w:t xml:space="preserve">. F) </w:t>
      </w:r>
      <w:r w:rsidRPr="008D1712">
        <w:rPr>
          <w:rFonts w:ascii="Arial" w:hAnsi="Arial" w:cs="Arial"/>
          <w:i/>
          <w:iCs/>
          <w:sz w:val="24"/>
          <w:szCs w:val="24"/>
        </w:rPr>
        <w:t xml:space="preserve">Ex vivo </w:t>
      </w:r>
      <w:r w:rsidRPr="008D1712">
        <w:rPr>
          <w:rFonts w:ascii="Arial" w:hAnsi="Arial" w:cs="Arial"/>
          <w:sz w:val="24"/>
          <w:szCs w:val="24"/>
        </w:rPr>
        <w:t xml:space="preserve">visualization of NIR fluorescence signal in the colon of a mouse treated with </w:t>
      </w:r>
      <w:r w:rsidRPr="008D1712">
        <w:rPr>
          <w:rFonts w:ascii="Arial" w:hAnsi="Arial" w:cs="Arial"/>
          <w:b/>
          <w:bCs/>
          <w:sz w:val="24"/>
          <w:szCs w:val="24"/>
        </w:rPr>
        <w:t>CY Cl</w:t>
      </w:r>
      <w:r w:rsidRPr="008D1712">
        <w:rPr>
          <w:rFonts w:ascii="Arial" w:hAnsi="Arial" w:cs="Arial"/>
          <w:sz w:val="24"/>
          <w:szCs w:val="24"/>
        </w:rPr>
        <w:t xml:space="preserve">. G) </w:t>
      </w:r>
      <w:r w:rsidRPr="008D1712">
        <w:rPr>
          <w:rFonts w:ascii="Arial" w:hAnsi="Arial" w:cs="Arial"/>
          <w:i/>
          <w:iCs/>
          <w:sz w:val="24"/>
          <w:szCs w:val="24"/>
        </w:rPr>
        <w:t xml:space="preserve">Ex vivo </w:t>
      </w:r>
      <w:r w:rsidRPr="008D1712">
        <w:rPr>
          <w:rFonts w:ascii="Arial" w:hAnsi="Arial" w:cs="Arial"/>
          <w:sz w:val="24"/>
          <w:szCs w:val="24"/>
        </w:rPr>
        <w:t xml:space="preserve">visualization of NIR fluorescence signal in the colon of a mouse treated with </w:t>
      </w:r>
      <w:r w:rsidRPr="008D1712">
        <w:rPr>
          <w:rFonts w:ascii="Arial" w:hAnsi="Arial" w:cs="Arial"/>
          <w:b/>
          <w:bCs/>
          <w:sz w:val="24"/>
          <w:szCs w:val="24"/>
        </w:rPr>
        <w:t>CY Br</w:t>
      </w:r>
      <w:r w:rsidRPr="008D1712">
        <w:rPr>
          <w:rFonts w:ascii="Arial" w:hAnsi="Arial" w:cs="Arial"/>
          <w:sz w:val="24"/>
          <w:szCs w:val="24"/>
        </w:rPr>
        <w:t>.</w:t>
      </w:r>
    </w:p>
    <w:p w14:paraId="2A63277F" w14:textId="77777777" w:rsidR="002027D2" w:rsidRPr="008D1712" w:rsidRDefault="002027D2" w:rsidP="008D1712">
      <w:pPr>
        <w:spacing w:line="480" w:lineRule="auto"/>
        <w:jc w:val="center"/>
        <w:rPr>
          <w:rFonts w:ascii="Arial" w:hAnsi="Arial" w:cs="Arial"/>
          <w:sz w:val="24"/>
          <w:szCs w:val="24"/>
        </w:rPr>
      </w:pPr>
    </w:p>
    <w:p w14:paraId="38EEF60C"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772287DA" wp14:editId="02C2C0D1">
            <wp:extent cx="2893512" cy="2264383"/>
            <wp:effectExtent l="0" t="0" r="2540" b="3175"/>
            <wp:docPr id="1333183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912991" cy="2279627"/>
                    </a:xfrm>
                    <a:prstGeom prst="rect">
                      <a:avLst/>
                    </a:prstGeom>
                    <a:noFill/>
                  </pic:spPr>
                </pic:pic>
              </a:graphicData>
            </a:graphic>
          </wp:inline>
        </w:drawing>
      </w:r>
    </w:p>
    <w:p w14:paraId="42620C11"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S2.42</w:t>
      </w:r>
      <w:r w:rsidRPr="000452A8">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Thermal stability study of cyanine compounds. Compounds were placed under continuous irradiation with UV lamp for 48 h. The rate of photobleaching of compounds were determined based on the reduced absorbance as a result of continuous irradiation.</w:t>
      </w:r>
    </w:p>
    <w:p w14:paraId="2DD1EE70" w14:textId="77777777" w:rsidR="002027D2" w:rsidRPr="008D1712" w:rsidRDefault="002027D2" w:rsidP="005556B5">
      <w:pPr>
        <w:rPr>
          <w:rFonts w:ascii="Arial" w:hAnsi="Arial" w:cs="Arial"/>
          <w:sz w:val="24"/>
          <w:szCs w:val="24"/>
        </w:rPr>
      </w:pPr>
    </w:p>
    <w:tbl>
      <w:tblPr>
        <w:tblW w:w="3840" w:type="dxa"/>
        <w:jc w:val="center"/>
        <w:tblLook w:val="04A0" w:firstRow="1" w:lastRow="0" w:firstColumn="1" w:lastColumn="0" w:noHBand="0" w:noVBand="1"/>
      </w:tblPr>
      <w:tblGrid>
        <w:gridCol w:w="403"/>
        <w:gridCol w:w="1218"/>
        <w:gridCol w:w="1218"/>
        <w:gridCol w:w="1218"/>
      </w:tblGrid>
      <w:tr w:rsidR="002027D2" w:rsidRPr="008D1712" w14:paraId="61E29714" w14:textId="77777777" w:rsidTr="00323CC4">
        <w:trPr>
          <w:trHeight w:val="300"/>
          <w:jc w:val="center"/>
        </w:trPr>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50DE2" w14:textId="77777777" w:rsidR="002027D2" w:rsidRPr="008D1712" w:rsidRDefault="002027D2" w:rsidP="008D1712">
            <w:pPr>
              <w:jc w:val="center"/>
              <w:rPr>
                <w:rFonts w:ascii="Arial" w:eastAsia="Times New Roman" w:hAnsi="Arial" w:cs="Arial"/>
                <w:b/>
                <w:bCs/>
                <w:color w:val="000000"/>
                <w:sz w:val="24"/>
                <w:szCs w:val="24"/>
              </w:rPr>
            </w:pPr>
            <w:r w:rsidRPr="008D1712">
              <w:rPr>
                <w:rFonts w:ascii="Arial" w:eastAsia="Times New Roman" w:hAnsi="Arial" w:cs="Arial"/>
                <w:b/>
                <w:bCs/>
                <w:color w:val="000000"/>
                <w:sz w:val="24"/>
                <w:szCs w:val="24"/>
              </w:rPr>
              <w:t>SQ H no TMAB</w:t>
            </w:r>
          </w:p>
        </w:tc>
      </w:tr>
      <w:tr w:rsidR="002027D2" w:rsidRPr="008D1712" w14:paraId="18D0B172" w14:textId="77777777" w:rsidTr="00323CC4">
        <w:trPr>
          <w:trHeight w:val="300"/>
          <w:jc w:val="center"/>
        </w:trPr>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ABD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-1342.13958938745 a.u.</w:t>
            </w:r>
          </w:p>
        </w:tc>
      </w:tr>
      <w:tr w:rsidR="002027D2" w:rsidRPr="008D1712" w14:paraId="1208B90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9342F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20FB1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1.204656</w:t>
            </w:r>
          </w:p>
        </w:tc>
        <w:tc>
          <w:tcPr>
            <w:tcW w:w="1199" w:type="dxa"/>
            <w:tcBorders>
              <w:top w:val="nil"/>
              <w:left w:val="nil"/>
              <w:bottom w:val="single" w:sz="4" w:space="0" w:color="auto"/>
              <w:right w:val="single" w:sz="4" w:space="0" w:color="auto"/>
            </w:tcBorders>
            <w:shd w:val="clear" w:color="auto" w:fill="auto"/>
            <w:noWrap/>
            <w:vAlign w:val="bottom"/>
            <w:hideMark/>
          </w:tcPr>
          <w:p w14:paraId="2F10877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0.149036</w:t>
            </w:r>
          </w:p>
        </w:tc>
        <w:tc>
          <w:tcPr>
            <w:tcW w:w="1199" w:type="dxa"/>
            <w:tcBorders>
              <w:top w:val="nil"/>
              <w:left w:val="nil"/>
              <w:bottom w:val="single" w:sz="4" w:space="0" w:color="auto"/>
              <w:right w:val="single" w:sz="4" w:space="0" w:color="auto"/>
            </w:tcBorders>
            <w:shd w:val="clear" w:color="auto" w:fill="auto"/>
            <w:noWrap/>
            <w:vAlign w:val="bottom"/>
            <w:hideMark/>
          </w:tcPr>
          <w:p w14:paraId="282AEE6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0.027879</w:t>
            </w:r>
          </w:p>
        </w:tc>
      </w:tr>
      <w:tr w:rsidR="002027D2" w:rsidRPr="008D1712" w14:paraId="202A9FA8"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3AF83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2F501C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0.481828</w:t>
            </w:r>
          </w:p>
        </w:tc>
        <w:tc>
          <w:tcPr>
            <w:tcW w:w="1199" w:type="dxa"/>
            <w:tcBorders>
              <w:top w:val="nil"/>
              <w:left w:val="nil"/>
              <w:bottom w:val="single" w:sz="4" w:space="0" w:color="auto"/>
              <w:right w:val="single" w:sz="4" w:space="0" w:color="auto"/>
            </w:tcBorders>
            <w:shd w:val="clear" w:color="auto" w:fill="auto"/>
            <w:noWrap/>
            <w:vAlign w:val="bottom"/>
            <w:hideMark/>
          </w:tcPr>
          <w:p w14:paraId="2F6C87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-0.86877</w:t>
            </w:r>
          </w:p>
        </w:tc>
        <w:tc>
          <w:tcPr>
            <w:tcW w:w="1199" w:type="dxa"/>
            <w:tcBorders>
              <w:top w:val="nil"/>
              <w:left w:val="nil"/>
              <w:bottom w:val="single" w:sz="4" w:space="0" w:color="auto"/>
              <w:right w:val="single" w:sz="4" w:space="0" w:color="auto"/>
            </w:tcBorders>
            <w:shd w:val="clear" w:color="auto" w:fill="auto"/>
            <w:noWrap/>
            <w:vAlign w:val="bottom"/>
            <w:hideMark/>
          </w:tcPr>
          <w:p w14:paraId="718BEDB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0.83144</w:t>
            </w:r>
          </w:p>
        </w:tc>
      </w:tr>
      <w:tr w:rsidR="002027D2" w:rsidRPr="008D1712" w14:paraId="3412987C"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E3BA95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71DCB9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-0.55717</w:t>
            </w:r>
          </w:p>
        </w:tc>
        <w:tc>
          <w:tcPr>
            <w:tcW w:w="1199" w:type="dxa"/>
            <w:tcBorders>
              <w:top w:val="nil"/>
              <w:left w:val="nil"/>
              <w:bottom w:val="single" w:sz="4" w:space="0" w:color="auto"/>
              <w:right w:val="single" w:sz="4" w:space="0" w:color="auto"/>
            </w:tcBorders>
            <w:shd w:val="clear" w:color="auto" w:fill="auto"/>
            <w:noWrap/>
            <w:vAlign w:val="bottom"/>
            <w:hideMark/>
          </w:tcPr>
          <w:p w14:paraId="3BD12B6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-0.98</w:t>
            </w:r>
          </w:p>
        </w:tc>
        <w:tc>
          <w:tcPr>
            <w:tcW w:w="1199" w:type="dxa"/>
            <w:tcBorders>
              <w:top w:val="nil"/>
              <w:left w:val="nil"/>
              <w:bottom w:val="single" w:sz="4" w:space="0" w:color="auto"/>
              <w:right w:val="single" w:sz="4" w:space="0" w:color="auto"/>
            </w:tcBorders>
            <w:shd w:val="clear" w:color="auto" w:fill="auto"/>
            <w:noWrap/>
            <w:vAlign w:val="bottom"/>
            <w:hideMark/>
          </w:tcPr>
          <w:p w14:paraId="627B6D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-0.2213</w:t>
            </w:r>
          </w:p>
        </w:tc>
      </w:tr>
      <w:tr w:rsidR="002027D2" w:rsidRPr="008D1712" w14:paraId="5C75686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87098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22A87C3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0.161921</w:t>
            </w:r>
          </w:p>
        </w:tc>
        <w:tc>
          <w:tcPr>
            <w:tcW w:w="1199" w:type="dxa"/>
            <w:tcBorders>
              <w:top w:val="nil"/>
              <w:left w:val="nil"/>
              <w:bottom w:val="single" w:sz="4" w:space="0" w:color="auto"/>
              <w:right w:val="single" w:sz="4" w:space="0" w:color="auto"/>
            </w:tcBorders>
            <w:shd w:val="clear" w:color="auto" w:fill="auto"/>
            <w:noWrap/>
            <w:vAlign w:val="bottom"/>
            <w:hideMark/>
          </w:tcPr>
          <w:p w14:paraId="34B13C7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0.053982</w:t>
            </w:r>
          </w:p>
        </w:tc>
        <w:tc>
          <w:tcPr>
            <w:tcW w:w="1199" w:type="dxa"/>
            <w:tcBorders>
              <w:top w:val="nil"/>
              <w:left w:val="nil"/>
              <w:bottom w:val="single" w:sz="4" w:space="0" w:color="auto"/>
              <w:right w:val="single" w:sz="4" w:space="0" w:color="auto"/>
            </w:tcBorders>
            <w:shd w:val="clear" w:color="auto" w:fill="auto"/>
            <w:noWrap/>
            <w:vAlign w:val="bottom"/>
            <w:hideMark/>
          </w:tcPr>
          <w:p w14:paraId="0E6890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-1.02061</w:t>
            </w:r>
          </w:p>
        </w:tc>
      </w:tr>
      <w:tr w:rsidR="002027D2" w:rsidRPr="008D1712" w14:paraId="438AC8D5"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F328C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714727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-1.72654</w:t>
            </w:r>
          </w:p>
        </w:tc>
        <w:tc>
          <w:tcPr>
            <w:tcW w:w="1199" w:type="dxa"/>
            <w:tcBorders>
              <w:top w:val="nil"/>
              <w:left w:val="nil"/>
              <w:bottom w:val="single" w:sz="4" w:space="0" w:color="auto"/>
              <w:right w:val="single" w:sz="4" w:space="0" w:color="auto"/>
            </w:tcBorders>
            <w:shd w:val="clear" w:color="auto" w:fill="auto"/>
            <w:noWrap/>
            <w:vAlign w:val="bottom"/>
            <w:hideMark/>
          </w:tcPr>
          <w:p w14:paraId="51CA475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-1.74883</w:t>
            </w:r>
          </w:p>
        </w:tc>
        <w:tc>
          <w:tcPr>
            <w:tcW w:w="1199" w:type="dxa"/>
            <w:tcBorders>
              <w:top w:val="nil"/>
              <w:left w:val="nil"/>
              <w:bottom w:val="single" w:sz="4" w:space="0" w:color="auto"/>
              <w:right w:val="single" w:sz="4" w:space="0" w:color="auto"/>
            </w:tcBorders>
            <w:shd w:val="clear" w:color="auto" w:fill="auto"/>
            <w:noWrap/>
            <w:vAlign w:val="bottom"/>
            <w:hideMark/>
          </w:tcPr>
          <w:p w14:paraId="581F4A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-0.09708</w:t>
            </w:r>
          </w:p>
        </w:tc>
      </w:tr>
      <w:tr w:rsidR="002027D2" w:rsidRPr="008D1712" w14:paraId="023CE44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E475F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532AA6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-2.8211</w:t>
            </w:r>
          </w:p>
        </w:tc>
        <w:tc>
          <w:tcPr>
            <w:tcW w:w="1199" w:type="dxa"/>
            <w:tcBorders>
              <w:top w:val="nil"/>
              <w:left w:val="nil"/>
              <w:bottom w:val="single" w:sz="4" w:space="0" w:color="auto"/>
              <w:right w:val="single" w:sz="4" w:space="0" w:color="auto"/>
            </w:tcBorders>
            <w:shd w:val="clear" w:color="auto" w:fill="auto"/>
            <w:noWrap/>
            <w:vAlign w:val="bottom"/>
            <w:hideMark/>
          </w:tcPr>
          <w:p w14:paraId="26445D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-2.04468</w:t>
            </w:r>
          </w:p>
        </w:tc>
        <w:tc>
          <w:tcPr>
            <w:tcW w:w="1199" w:type="dxa"/>
            <w:tcBorders>
              <w:top w:val="nil"/>
              <w:left w:val="nil"/>
              <w:bottom w:val="single" w:sz="4" w:space="0" w:color="auto"/>
              <w:right w:val="single" w:sz="4" w:space="0" w:color="auto"/>
            </w:tcBorders>
            <w:shd w:val="clear" w:color="auto" w:fill="auto"/>
            <w:noWrap/>
            <w:vAlign w:val="bottom"/>
            <w:hideMark/>
          </w:tcPr>
          <w:p w14:paraId="27CD18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-0.90983</w:t>
            </w:r>
          </w:p>
        </w:tc>
      </w:tr>
      <w:tr w:rsidR="002027D2" w:rsidRPr="008D1712" w14:paraId="536D86ED"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50DA0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26E196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-4.09468</w:t>
            </w:r>
          </w:p>
        </w:tc>
        <w:tc>
          <w:tcPr>
            <w:tcW w:w="1199" w:type="dxa"/>
            <w:tcBorders>
              <w:top w:val="nil"/>
              <w:left w:val="nil"/>
              <w:bottom w:val="single" w:sz="4" w:space="0" w:color="auto"/>
              <w:right w:val="single" w:sz="4" w:space="0" w:color="auto"/>
            </w:tcBorders>
            <w:shd w:val="clear" w:color="auto" w:fill="auto"/>
            <w:noWrap/>
            <w:vAlign w:val="bottom"/>
            <w:hideMark/>
          </w:tcPr>
          <w:p w14:paraId="375B92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-2.70508</w:t>
            </w:r>
          </w:p>
        </w:tc>
        <w:tc>
          <w:tcPr>
            <w:tcW w:w="1199" w:type="dxa"/>
            <w:tcBorders>
              <w:top w:val="nil"/>
              <w:left w:val="nil"/>
              <w:bottom w:val="single" w:sz="4" w:space="0" w:color="auto"/>
              <w:right w:val="single" w:sz="4" w:space="0" w:color="auto"/>
            </w:tcBorders>
            <w:shd w:val="clear" w:color="auto" w:fill="auto"/>
            <w:noWrap/>
            <w:vAlign w:val="bottom"/>
            <w:hideMark/>
          </w:tcPr>
          <w:p w14:paraId="4EFCCD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-0.35119</w:t>
            </w:r>
          </w:p>
        </w:tc>
      </w:tr>
      <w:tr w:rsidR="002027D2" w:rsidRPr="008D1712" w14:paraId="396D8AAD"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BDE25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4623AF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-4.95431</w:t>
            </w:r>
          </w:p>
        </w:tc>
        <w:tc>
          <w:tcPr>
            <w:tcW w:w="1199" w:type="dxa"/>
            <w:tcBorders>
              <w:top w:val="nil"/>
              <w:left w:val="nil"/>
              <w:bottom w:val="single" w:sz="4" w:space="0" w:color="auto"/>
              <w:right w:val="single" w:sz="4" w:space="0" w:color="auto"/>
            </w:tcBorders>
            <w:shd w:val="clear" w:color="auto" w:fill="auto"/>
            <w:noWrap/>
            <w:vAlign w:val="bottom"/>
            <w:hideMark/>
          </w:tcPr>
          <w:p w14:paraId="477DA4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-2.81959</w:t>
            </w:r>
          </w:p>
        </w:tc>
        <w:tc>
          <w:tcPr>
            <w:tcW w:w="1199" w:type="dxa"/>
            <w:tcBorders>
              <w:top w:val="nil"/>
              <w:left w:val="nil"/>
              <w:bottom w:val="single" w:sz="4" w:space="0" w:color="auto"/>
              <w:right w:val="single" w:sz="4" w:space="0" w:color="auto"/>
            </w:tcBorders>
            <w:shd w:val="clear" w:color="auto" w:fill="auto"/>
            <w:noWrap/>
            <w:vAlign w:val="bottom"/>
            <w:hideMark/>
          </w:tcPr>
          <w:p w14:paraId="3A17AD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-1.59616</w:t>
            </w:r>
          </w:p>
        </w:tc>
      </w:tr>
      <w:tr w:rsidR="002027D2" w:rsidRPr="008D1712" w14:paraId="72DED1D4"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A6DF2B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2705A8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-4.23969</w:t>
            </w:r>
          </w:p>
        </w:tc>
        <w:tc>
          <w:tcPr>
            <w:tcW w:w="1199" w:type="dxa"/>
            <w:tcBorders>
              <w:top w:val="nil"/>
              <w:left w:val="nil"/>
              <w:bottom w:val="single" w:sz="4" w:space="0" w:color="auto"/>
              <w:right w:val="single" w:sz="4" w:space="0" w:color="auto"/>
            </w:tcBorders>
            <w:shd w:val="clear" w:color="auto" w:fill="auto"/>
            <w:noWrap/>
            <w:vAlign w:val="bottom"/>
            <w:hideMark/>
          </w:tcPr>
          <w:p w14:paraId="1F159C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-2.30403</w:t>
            </w:r>
          </w:p>
        </w:tc>
        <w:tc>
          <w:tcPr>
            <w:tcW w:w="1199" w:type="dxa"/>
            <w:tcBorders>
              <w:top w:val="nil"/>
              <w:left w:val="nil"/>
              <w:bottom w:val="single" w:sz="4" w:space="0" w:color="auto"/>
              <w:right w:val="single" w:sz="4" w:space="0" w:color="auto"/>
            </w:tcBorders>
            <w:shd w:val="clear" w:color="auto" w:fill="auto"/>
            <w:noWrap/>
            <w:vAlign w:val="bottom"/>
            <w:hideMark/>
          </w:tcPr>
          <w:p w14:paraId="1B1E42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-2.69505</w:t>
            </w:r>
          </w:p>
        </w:tc>
      </w:tr>
      <w:tr w:rsidR="002027D2" w:rsidRPr="008D1712" w14:paraId="708E7A5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924A56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99" w:type="dxa"/>
            <w:tcBorders>
              <w:top w:val="nil"/>
              <w:left w:val="nil"/>
              <w:bottom w:val="single" w:sz="4" w:space="0" w:color="auto"/>
              <w:right w:val="single" w:sz="4" w:space="0" w:color="auto"/>
            </w:tcBorders>
            <w:shd w:val="clear" w:color="auto" w:fill="auto"/>
            <w:noWrap/>
            <w:vAlign w:val="bottom"/>
            <w:hideMark/>
          </w:tcPr>
          <w:p w14:paraId="3DEA56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-2.97386</w:t>
            </w:r>
          </w:p>
        </w:tc>
        <w:tc>
          <w:tcPr>
            <w:tcW w:w="1199" w:type="dxa"/>
            <w:tcBorders>
              <w:top w:val="nil"/>
              <w:left w:val="nil"/>
              <w:bottom w:val="single" w:sz="4" w:space="0" w:color="auto"/>
              <w:right w:val="single" w:sz="4" w:space="0" w:color="auto"/>
            </w:tcBorders>
            <w:shd w:val="clear" w:color="auto" w:fill="auto"/>
            <w:noWrap/>
            <w:vAlign w:val="bottom"/>
            <w:hideMark/>
          </w:tcPr>
          <w:p w14:paraId="61F7178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-1.85635</w:t>
            </w:r>
          </w:p>
        </w:tc>
        <w:tc>
          <w:tcPr>
            <w:tcW w:w="1199" w:type="dxa"/>
            <w:tcBorders>
              <w:top w:val="nil"/>
              <w:left w:val="nil"/>
              <w:bottom w:val="single" w:sz="4" w:space="0" w:color="auto"/>
              <w:right w:val="single" w:sz="4" w:space="0" w:color="auto"/>
            </w:tcBorders>
            <w:shd w:val="clear" w:color="auto" w:fill="auto"/>
            <w:noWrap/>
            <w:vAlign w:val="bottom"/>
            <w:hideMark/>
          </w:tcPr>
          <w:p w14:paraId="5F4EE40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-2.25883</w:t>
            </w:r>
          </w:p>
        </w:tc>
      </w:tr>
      <w:tr w:rsidR="002027D2" w:rsidRPr="008D1712" w14:paraId="28BD54EE"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4F761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199" w:type="dxa"/>
            <w:tcBorders>
              <w:top w:val="nil"/>
              <w:left w:val="nil"/>
              <w:bottom w:val="single" w:sz="4" w:space="0" w:color="auto"/>
              <w:right w:val="single" w:sz="4" w:space="0" w:color="auto"/>
            </w:tcBorders>
            <w:shd w:val="clear" w:color="auto" w:fill="auto"/>
            <w:noWrap/>
            <w:vAlign w:val="bottom"/>
            <w:hideMark/>
          </w:tcPr>
          <w:p w14:paraId="417195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0.008103</w:t>
            </w:r>
          </w:p>
        </w:tc>
        <w:tc>
          <w:tcPr>
            <w:tcW w:w="1199" w:type="dxa"/>
            <w:tcBorders>
              <w:top w:val="nil"/>
              <w:left w:val="nil"/>
              <w:bottom w:val="single" w:sz="4" w:space="0" w:color="auto"/>
              <w:right w:val="single" w:sz="4" w:space="0" w:color="auto"/>
            </w:tcBorders>
            <w:shd w:val="clear" w:color="auto" w:fill="auto"/>
            <w:noWrap/>
            <w:vAlign w:val="bottom"/>
            <w:hideMark/>
          </w:tcPr>
          <w:p w14:paraId="3D7C720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0.649168</w:t>
            </w:r>
          </w:p>
        </w:tc>
        <w:tc>
          <w:tcPr>
            <w:tcW w:w="1199" w:type="dxa"/>
            <w:tcBorders>
              <w:top w:val="nil"/>
              <w:left w:val="nil"/>
              <w:bottom w:val="single" w:sz="4" w:space="0" w:color="auto"/>
              <w:right w:val="single" w:sz="4" w:space="0" w:color="auto"/>
            </w:tcBorders>
            <w:shd w:val="clear" w:color="auto" w:fill="auto"/>
            <w:noWrap/>
            <w:vAlign w:val="bottom"/>
            <w:hideMark/>
          </w:tcPr>
          <w:p w14:paraId="6A2F04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-2.10186</w:t>
            </w:r>
          </w:p>
        </w:tc>
      </w:tr>
      <w:tr w:rsidR="002027D2" w:rsidRPr="008D1712" w14:paraId="6999DCF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26FEF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199" w:type="dxa"/>
            <w:tcBorders>
              <w:top w:val="nil"/>
              <w:left w:val="nil"/>
              <w:bottom w:val="single" w:sz="4" w:space="0" w:color="auto"/>
              <w:right w:val="single" w:sz="4" w:space="0" w:color="auto"/>
            </w:tcBorders>
            <w:shd w:val="clear" w:color="auto" w:fill="auto"/>
            <w:noWrap/>
            <w:vAlign w:val="bottom"/>
            <w:hideMark/>
          </w:tcPr>
          <w:p w14:paraId="1B356F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0.617757</w:t>
            </w:r>
          </w:p>
        </w:tc>
        <w:tc>
          <w:tcPr>
            <w:tcW w:w="1199" w:type="dxa"/>
            <w:tcBorders>
              <w:top w:val="nil"/>
              <w:left w:val="nil"/>
              <w:bottom w:val="single" w:sz="4" w:space="0" w:color="auto"/>
              <w:right w:val="single" w:sz="4" w:space="0" w:color="auto"/>
            </w:tcBorders>
            <w:shd w:val="clear" w:color="auto" w:fill="auto"/>
            <w:noWrap/>
            <w:vAlign w:val="bottom"/>
            <w:hideMark/>
          </w:tcPr>
          <w:p w14:paraId="6BF3EF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-1.4261</w:t>
            </w:r>
          </w:p>
        </w:tc>
        <w:tc>
          <w:tcPr>
            <w:tcW w:w="1199" w:type="dxa"/>
            <w:tcBorders>
              <w:top w:val="nil"/>
              <w:left w:val="nil"/>
              <w:bottom w:val="single" w:sz="4" w:space="0" w:color="auto"/>
              <w:right w:val="single" w:sz="4" w:space="0" w:color="auto"/>
            </w:tcBorders>
            <w:shd w:val="clear" w:color="auto" w:fill="auto"/>
            <w:noWrap/>
            <w:vAlign w:val="bottom"/>
            <w:hideMark/>
          </w:tcPr>
          <w:p w14:paraId="08275FF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1.934447</w:t>
            </w:r>
          </w:p>
        </w:tc>
      </w:tr>
      <w:tr w:rsidR="002027D2" w:rsidRPr="008D1712" w14:paraId="6F9B6CDC"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EBE3C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7311CC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-4.75794</w:t>
            </w:r>
          </w:p>
        </w:tc>
        <w:tc>
          <w:tcPr>
            <w:tcW w:w="1199" w:type="dxa"/>
            <w:tcBorders>
              <w:top w:val="nil"/>
              <w:left w:val="nil"/>
              <w:bottom w:val="single" w:sz="4" w:space="0" w:color="auto"/>
              <w:right w:val="single" w:sz="4" w:space="0" w:color="auto"/>
            </w:tcBorders>
            <w:shd w:val="clear" w:color="auto" w:fill="auto"/>
            <w:noWrap/>
            <w:vAlign w:val="bottom"/>
            <w:hideMark/>
          </w:tcPr>
          <w:p w14:paraId="0CCC3F0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-1.79886</w:t>
            </w:r>
          </w:p>
        </w:tc>
        <w:tc>
          <w:tcPr>
            <w:tcW w:w="1199" w:type="dxa"/>
            <w:tcBorders>
              <w:top w:val="nil"/>
              <w:left w:val="nil"/>
              <w:bottom w:val="single" w:sz="4" w:space="0" w:color="auto"/>
              <w:right w:val="single" w:sz="4" w:space="0" w:color="auto"/>
            </w:tcBorders>
            <w:shd w:val="clear" w:color="auto" w:fill="auto"/>
            <w:noWrap/>
            <w:vAlign w:val="bottom"/>
            <w:hideMark/>
          </w:tcPr>
          <w:p w14:paraId="129B6C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0.714698</w:t>
            </w:r>
          </w:p>
        </w:tc>
      </w:tr>
      <w:tr w:rsidR="002027D2" w:rsidRPr="008D1712" w14:paraId="2C27F332"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8AC16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C</w:t>
            </w:r>
          </w:p>
        </w:tc>
        <w:tc>
          <w:tcPr>
            <w:tcW w:w="1199" w:type="dxa"/>
            <w:tcBorders>
              <w:top w:val="nil"/>
              <w:left w:val="nil"/>
              <w:bottom w:val="single" w:sz="4" w:space="0" w:color="auto"/>
              <w:right w:val="single" w:sz="4" w:space="0" w:color="auto"/>
            </w:tcBorders>
            <w:shd w:val="clear" w:color="auto" w:fill="auto"/>
            <w:noWrap/>
            <w:vAlign w:val="bottom"/>
            <w:hideMark/>
          </w:tcPr>
          <w:p w14:paraId="3CF773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-3.78837</w:t>
            </w:r>
          </w:p>
        </w:tc>
        <w:tc>
          <w:tcPr>
            <w:tcW w:w="1199" w:type="dxa"/>
            <w:tcBorders>
              <w:top w:val="nil"/>
              <w:left w:val="nil"/>
              <w:bottom w:val="single" w:sz="4" w:space="0" w:color="auto"/>
              <w:right w:val="single" w:sz="4" w:space="0" w:color="auto"/>
            </w:tcBorders>
            <w:shd w:val="clear" w:color="auto" w:fill="auto"/>
            <w:noWrap/>
            <w:vAlign w:val="bottom"/>
            <w:hideMark/>
          </w:tcPr>
          <w:p w14:paraId="7C22A8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-4.09812</w:t>
            </w:r>
          </w:p>
        </w:tc>
        <w:tc>
          <w:tcPr>
            <w:tcW w:w="1199" w:type="dxa"/>
            <w:tcBorders>
              <w:top w:val="nil"/>
              <w:left w:val="nil"/>
              <w:bottom w:val="single" w:sz="4" w:space="0" w:color="auto"/>
              <w:right w:val="single" w:sz="4" w:space="0" w:color="auto"/>
            </w:tcBorders>
            <w:shd w:val="clear" w:color="auto" w:fill="auto"/>
            <w:noWrap/>
            <w:vAlign w:val="bottom"/>
            <w:hideMark/>
          </w:tcPr>
          <w:p w14:paraId="58A77B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0.251188</w:t>
            </w:r>
          </w:p>
        </w:tc>
      </w:tr>
      <w:tr w:rsidR="002027D2" w:rsidRPr="008D1712" w14:paraId="4E706FA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3A9805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68AE0F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-6.23893</w:t>
            </w:r>
          </w:p>
        </w:tc>
        <w:tc>
          <w:tcPr>
            <w:tcW w:w="1199" w:type="dxa"/>
            <w:tcBorders>
              <w:top w:val="nil"/>
              <w:left w:val="nil"/>
              <w:bottom w:val="single" w:sz="4" w:space="0" w:color="auto"/>
              <w:right w:val="single" w:sz="4" w:space="0" w:color="auto"/>
            </w:tcBorders>
            <w:shd w:val="clear" w:color="auto" w:fill="auto"/>
            <w:noWrap/>
            <w:vAlign w:val="bottom"/>
            <w:hideMark/>
          </w:tcPr>
          <w:p w14:paraId="78A5F4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-3.32994</w:t>
            </w:r>
          </w:p>
        </w:tc>
        <w:tc>
          <w:tcPr>
            <w:tcW w:w="1199" w:type="dxa"/>
            <w:tcBorders>
              <w:top w:val="nil"/>
              <w:left w:val="nil"/>
              <w:bottom w:val="single" w:sz="4" w:space="0" w:color="auto"/>
              <w:right w:val="single" w:sz="4" w:space="0" w:color="auto"/>
            </w:tcBorders>
            <w:shd w:val="clear" w:color="auto" w:fill="auto"/>
            <w:noWrap/>
            <w:vAlign w:val="bottom"/>
            <w:hideMark/>
          </w:tcPr>
          <w:p w14:paraId="119CFBB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-1.77414</w:t>
            </w:r>
          </w:p>
        </w:tc>
      </w:tr>
      <w:tr w:rsidR="002027D2" w:rsidRPr="008D1712" w14:paraId="4B6124A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A78E0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1A38CA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-4.78687</w:t>
            </w:r>
          </w:p>
        </w:tc>
        <w:tc>
          <w:tcPr>
            <w:tcW w:w="1199" w:type="dxa"/>
            <w:tcBorders>
              <w:top w:val="nil"/>
              <w:left w:val="nil"/>
              <w:bottom w:val="single" w:sz="4" w:space="0" w:color="auto"/>
              <w:right w:val="single" w:sz="4" w:space="0" w:color="auto"/>
            </w:tcBorders>
            <w:shd w:val="clear" w:color="auto" w:fill="auto"/>
            <w:noWrap/>
            <w:vAlign w:val="bottom"/>
            <w:hideMark/>
          </w:tcPr>
          <w:p w14:paraId="0FAC92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-2.28285</w:t>
            </w:r>
          </w:p>
        </w:tc>
        <w:tc>
          <w:tcPr>
            <w:tcW w:w="1199" w:type="dxa"/>
            <w:tcBorders>
              <w:top w:val="nil"/>
              <w:left w:val="nil"/>
              <w:bottom w:val="single" w:sz="4" w:space="0" w:color="auto"/>
              <w:right w:val="single" w:sz="4" w:space="0" w:color="auto"/>
            </w:tcBorders>
            <w:shd w:val="clear" w:color="auto" w:fill="auto"/>
            <w:noWrap/>
            <w:vAlign w:val="bottom"/>
            <w:hideMark/>
          </w:tcPr>
          <w:p w14:paraId="6A6F501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-3.98592</w:t>
            </w:r>
          </w:p>
        </w:tc>
      </w:tr>
      <w:tr w:rsidR="002027D2" w:rsidRPr="008D1712" w14:paraId="49CF2606"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8C701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35A053A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-6.08413</w:t>
            </w:r>
          </w:p>
        </w:tc>
        <w:tc>
          <w:tcPr>
            <w:tcW w:w="1199" w:type="dxa"/>
            <w:tcBorders>
              <w:top w:val="nil"/>
              <w:left w:val="nil"/>
              <w:bottom w:val="single" w:sz="4" w:space="0" w:color="auto"/>
              <w:right w:val="single" w:sz="4" w:space="0" w:color="auto"/>
            </w:tcBorders>
            <w:shd w:val="clear" w:color="auto" w:fill="auto"/>
            <w:noWrap/>
            <w:vAlign w:val="bottom"/>
            <w:hideMark/>
          </w:tcPr>
          <w:p w14:paraId="62B626F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-2.80084</w:t>
            </w:r>
          </w:p>
        </w:tc>
        <w:tc>
          <w:tcPr>
            <w:tcW w:w="1199" w:type="dxa"/>
            <w:tcBorders>
              <w:top w:val="nil"/>
              <w:left w:val="nil"/>
              <w:bottom w:val="single" w:sz="4" w:space="0" w:color="auto"/>
              <w:right w:val="single" w:sz="4" w:space="0" w:color="auto"/>
            </w:tcBorders>
            <w:shd w:val="clear" w:color="auto" w:fill="auto"/>
            <w:noWrap/>
            <w:vAlign w:val="bottom"/>
            <w:hideMark/>
          </w:tcPr>
          <w:p w14:paraId="010221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-4.15091</w:t>
            </w:r>
          </w:p>
        </w:tc>
      </w:tr>
      <w:tr w:rsidR="002027D2" w:rsidRPr="008D1712" w14:paraId="50838BCC"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AF286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351720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-6.80737</w:t>
            </w:r>
          </w:p>
        </w:tc>
        <w:tc>
          <w:tcPr>
            <w:tcW w:w="1199" w:type="dxa"/>
            <w:tcBorders>
              <w:top w:val="nil"/>
              <w:left w:val="nil"/>
              <w:bottom w:val="single" w:sz="4" w:space="0" w:color="auto"/>
              <w:right w:val="single" w:sz="4" w:space="0" w:color="auto"/>
            </w:tcBorders>
            <w:shd w:val="clear" w:color="auto" w:fill="auto"/>
            <w:noWrap/>
            <w:vAlign w:val="bottom"/>
            <w:hideMark/>
          </w:tcPr>
          <w:p w14:paraId="533DF1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-3.31894</w:t>
            </w:r>
          </w:p>
        </w:tc>
        <w:tc>
          <w:tcPr>
            <w:tcW w:w="1199" w:type="dxa"/>
            <w:tcBorders>
              <w:top w:val="nil"/>
              <w:left w:val="nil"/>
              <w:bottom w:val="single" w:sz="4" w:space="0" w:color="auto"/>
              <w:right w:val="single" w:sz="4" w:space="0" w:color="auto"/>
            </w:tcBorders>
            <w:shd w:val="clear" w:color="auto" w:fill="auto"/>
            <w:noWrap/>
            <w:vAlign w:val="bottom"/>
            <w:hideMark/>
          </w:tcPr>
          <w:p w14:paraId="0A5DEE1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-3.06396</w:t>
            </w:r>
          </w:p>
        </w:tc>
      </w:tr>
      <w:tr w:rsidR="002027D2" w:rsidRPr="008D1712" w14:paraId="07F376F6"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196E7B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7544A3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2.323886</w:t>
            </w:r>
          </w:p>
        </w:tc>
        <w:tc>
          <w:tcPr>
            <w:tcW w:w="1199" w:type="dxa"/>
            <w:tcBorders>
              <w:top w:val="nil"/>
              <w:left w:val="nil"/>
              <w:bottom w:val="single" w:sz="4" w:space="0" w:color="auto"/>
              <w:right w:val="single" w:sz="4" w:space="0" w:color="auto"/>
            </w:tcBorders>
            <w:shd w:val="clear" w:color="auto" w:fill="auto"/>
            <w:noWrap/>
            <w:vAlign w:val="bottom"/>
            <w:hideMark/>
          </w:tcPr>
          <w:p w14:paraId="6541A3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0.997381</w:t>
            </w:r>
          </w:p>
        </w:tc>
        <w:tc>
          <w:tcPr>
            <w:tcW w:w="1199" w:type="dxa"/>
            <w:tcBorders>
              <w:top w:val="nil"/>
              <w:left w:val="nil"/>
              <w:bottom w:val="single" w:sz="4" w:space="0" w:color="auto"/>
              <w:right w:val="single" w:sz="4" w:space="0" w:color="auto"/>
            </w:tcBorders>
            <w:shd w:val="clear" w:color="auto" w:fill="auto"/>
            <w:noWrap/>
            <w:vAlign w:val="bottom"/>
            <w:hideMark/>
          </w:tcPr>
          <w:p w14:paraId="222531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-0.00696</w:t>
            </w:r>
          </w:p>
        </w:tc>
      </w:tr>
      <w:tr w:rsidR="002027D2" w:rsidRPr="008D1712" w14:paraId="4A3E7D32"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22782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60D0C3B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3.376789</w:t>
            </w:r>
          </w:p>
        </w:tc>
        <w:tc>
          <w:tcPr>
            <w:tcW w:w="1199" w:type="dxa"/>
            <w:tcBorders>
              <w:top w:val="nil"/>
              <w:left w:val="nil"/>
              <w:bottom w:val="single" w:sz="4" w:space="0" w:color="auto"/>
              <w:right w:val="single" w:sz="4" w:space="0" w:color="auto"/>
            </w:tcBorders>
            <w:shd w:val="clear" w:color="auto" w:fill="auto"/>
            <w:noWrap/>
            <w:vAlign w:val="bottom"/>
            <w:hideMark/>
          </w:tcPr>
          <w:p w14:paraId="43F213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1.182173</w:t>
            </w:r>
          </w:p>
        </w:tc>
        <w:tc>
          <w:tcPr>
            <w:tcW w:w="1199" w:type="dxa"/>
            <w:tcBorders>
              <w:top w:val="nil"/>
              <w:left w:val="nil"/>
              <w:bottom w:val="single" w:sz="4" w:space="0" w:color="auto"/>
              <w:right w:val="single" w:sz="4" w:space="0" w:color="auto"/>
            </w:tcBorders>
            <w:shd w:val="clear" w:color="auto" w:fill="auto"/>
            <w:noWrap/>
            <w:vAlign w:val="bottom"/>
            <w:hideMark/>
          </w:tcPr>
          <w:p w14:paraId="38DE7B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0.887699</w:t>
            </w:r>
          </w:p>
        </w:tc>
      </w:tr>
      <w:tr w:rsidR="002027D2" w:rsidRPr="008D1712" w14:paraId="04DA2A9C"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A55B8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258404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3.6764</w:t>
            </w:r>
          </w:p>
        </w:tc>
        <w:tc>
          <w:tcPr>
            <w:tcW w:w="1199" w:type="dxa"/>
            <w:tcBorders>
              <w:top w:val="nil"/>
              <w:left w:val="nil"/>
              <w:bottom w:val="single" w:sz="4" w:space="0" w:color="auto"/>
              <w:right w:val="single" w:sz="4" w:space="0" w:color="auto"/>
            </w:tcBorders>
            <w:shd w:val="clear" w:color="auto" w:fill="auto"/>
            <w:noWrap/>
            <w:vAlign w:val="bottom"/>
            <w:hideMark/>
          </w:tcPr>
          <w:p w14:paraId="54AA9A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0.5029</w:t>
            </w:r>
          </w:p>
        </w:tc>
        <w:tc>
          <w:tcPr>
            <w:tcW w:w="1199" w:type="dxa"/>
            <w:tcBorders>
              <w:top w:val="nil"/>
              <w:left w:val="nil"/>
              <w:bottom w:val="single" w:sz="4" w:space="0" w:color="auto"/>
              <w:right w:val="single" w:sz="4" w:space="0" w:color="auto"/>
            </w:tcBorders>
            <w:shd w:val="clear" w:color="auto" w:fill="auto"/>
            <w:noWrap/>
            <w:vAlign w:val="bottom"/>
            <w:hideMark/>
          </w:tcPr>
          <w:p w14:paraId="2FFC80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2.231995</w:t>
            </w:r>
          </w:p>
        </w:tc>
      </w:tr>
      <w:tr w:rsidR="002027D2" w:rsidRPr="008D1712" w14:paraId="4E351D9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0A145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99" w:type="dxa"/>
            <w:tcBorders>
              <w:top w:val="nil"/>
              <w:left w:val="nil"/>
              <w:bottom w:val="single" w:sz="4" w:space="0" w:color="auto"/>
              <w:right w:val="single" w:sz="4" w:space="0" w:color="auto"/>
            </w:tcBorders>
            <w:shd w:val="clear" w:color="auto" w:fill="auto"/>
            <w:noWrap/>
            <w:vAlign w:val="bottom"/>
            <w:hideMark/>
          </w:tcPr>
          <w:p w14:paraId="05E35E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4.382902</w:t>
            </w:r>
          </w:p>
        </w:tc>
        <w:tc>
          <w:tcPr>
            <w:tcW w:w="1199" w:type="dxa"/>
            <w:tcBorders>
              <w:top w:val="nil"/>
              <w:left w:val="nil"/>
              <w:bottom w:val="single" w:sz="4" w:space="0" w:color="auto"/>
              <w:right w:val="single" w:sz="4" w:space="0" w:color="auto"/>
            </w:tcBorders>
            <w:shd w:val="clear" w:color="auto" w:fill="auto"/>
            <w:noWrap/>
            <w:vAlign w:val="bottom"/>
            <w:hideMark/>
          </w:tcPr>
          <w:p w14:paraId="7EBEEF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2.092253</w:t>
            </w:r>
          </w:p>
        </w:tc>
        <w:tc>
          <w:tcPr>
            <w:tcW w:w="1199" w:type="dxa"/>
            <w:tcBorders>
              <w:top w:val="nil"/>
              <w:left w:val="nil"/>
              <w:bottom w:val="single" w:sz="4" w:space="0" w:color="auto"/>
              <w:right w:val="single" w:sz="4" w:space="0" w:color="auto"/>
            </w:tcBorders>
            <w:shd w:val="clear" w:color="auto" w:fill="auto"/>
            <w:noWrap/>
            <w:vAlign w:val="bottom"/>
            <w:hideMark/>
          </w:tcPr>
          <w:p w14:paraId="7DFC2C1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0.621834</w:t>
            </w:r>
          </w:p>
        </w:tc>
      </w:tr>
      <w:tr w:rsidR="002027D2" w:rsidRPr="008D1712" w14:paraId="650F901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6BD079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7CD90E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5.347692</w:t>
            </w:r>
          </w:p>
        </w:tc>
        <w:tc>
          <w:tcPr>
            <w:tcW w:w="1199" w:type="dxa"/>
            <w:tcBorders>
              <w:top w:val="nil"/>
              <w:left w:val="nil"/>
              <w:bottom w:val="single" w:sz="4" w:space="0" w:color="auto"/>
              <w:right w:val="single" w:sz="4" w:space="0" w:color="auto"/>
            </w:tcBorders>
            <w:shd w:val="clear" w:color="auto" w:fill="auto"/>
            <w:noWrap/>
            <w:vAlign w:val="bottom"/>
            <w:hideMark/>
          </w:tcPr>
          <w:p w14:paraId="2E125F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2.114792</w:t>
            </w:r>
          </w:p>
        </w:tc>
        <w:tc>
          <w:tcPr>
            <w:tcW w:w="1199" w:type="dxa"/>
            <w:tcBorders>
              <w:top w:val="nil"/>
              <w:left w:val="nil"/>
              <w:bottom w:val="single" w:sz="4" w:space="0" w:color="auto"/>
              <w:right w:val="single" w:sz="4" w:space="0" w:color="auto"/>
            </w:tcBorders>
            <w:shd w:val="clear" w:color="auto" w:fill="auto"/>
            <w:noWrap/>
            <w:vAlign w:val="bottom"/>
            <w:hideMark/>
          </w:tcPr>
          <w:p w14:paraId="11F7A8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1.647533</w:t>
            </w:r>
          </w:p>
        </w:tc>
      </w:tr>
      <w:tr w:rsidR="002027D2" w:rsidRPr="008D1712" w14:paraId="667B1B7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11719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E465C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4.976628</w:t>
            </w:r>
          </w:p>
        </w:tc>
        <w:tc>
          <w:tcPr>
            <w:tcW w:w="1199" w:type="dxa"/>
            <w:tcBorders>
              <w:top w:val="nil"/>
              <w:left w:val="nil"/>
              <w:bottom w:val="single" w:sz="4" w:space="0" w:color="auto"/>
              <w:right w:val="single" w:sz="4" w:space="0" w:color="auto"/>
            </w:tcBorders>
            <w:shd w:val="clear" w:color="auto" w:fill="auto"/>
            <w:noWrap/>
            <w:vAlign w:val="bottom"/>
            <w:hideMark/>
          </w:tcPr>
          <w:p w14:paraId="3C6560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1.180638</w:t>
            </w:r>
          </w:p>
        </w:tc>
        <w:tc>
          <w:tcPr>
            <w:tcW w:w="1199" w:type="dxa"/>
            <w:tcBorders>
              <w:top w:val="nil"/>
              <w:left w:val="nil"/>
              <w:bottom w:val="single" w:sz="4" w:space="0" w:color="auto"/>
              <w:right w:val="single" w:sz="4" w:space="0" w:color="auto"/>
            </w:tcBorders>
            <w:shd w:val="clear" w:color="auto" w:fill="auto"/>
            <w:noWrap/>
            <w:vAlign w:val="bottom"/>
            <w:hideMark/>
          </w:tcPr>
          <w:p w14:paraId="182F37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2.632794</w:t>
            </w:r>
          </w:p>
        </w:tc>
      </w:tr>
      <w:tr w:rsidR="002027D2" w:rsidRPr="008D1712" w14:paraId="1F1794E2"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BD9861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2F9DC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2.565574</w:t>
            </w:r>
          </w:p>
        </w:tc>
        <w:tc>
          <w:tcPr>
            <w:tcW w:w="1199" w:type="dxa"/>
            <w:tcBorders>
              <w:top w:val="nil"/>
              <w:left w:val="nil"/>
              <w:bottom w:val="single" w:sz="4" w:space="0" w:color="auto"/>
              <w:right w:val="single" w:sz="4" w:space="0" w:color="auto"/>
            </w:tcBorders>
            <w:shd w:val="clear" w:color="auto" w:fill="auto"/>
            <w:noWrap/>
            <w:vAlign w:val="bottom"/>
            <w:hideMark/>
          </w:tcPr>
          <w:p w14:paraId="468815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0.787198</w:t>
            </w:r>
          </w:p>
        </w:tc>
        <w:tc>
          <w:tcPr>
            <w:tcW w:w="1199" w:type="dxa"/>
            <w:tcBorders>
              <w:top w:val="nil"/>
              <w:left w:val="nil"/>
              <w:bottom w:val="single" w:sz="4" w:space="0" w:color="auto"/>
              <w:right w:val="single" w:sz="4" w:space="0" w:color="auto"/>
            </w:tcBorders>
            <w:shd w:val="clear" w:color="auto" w:fill="auto"/>
            <w:noWrap/>
            <w:vAlign w:val="bottom"/>
            <w:hideMark/>
          </w:tcPr>
          <w:p w14:paraId="6DA647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3.276072</w:t>
            </w:r>
          </w:p>
        </w:tc>
      </w:tr>
      <w:tr w:rsidR="002027D2" w:rsidRPr="008D1712" w14:paraId="3A931E2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6B753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21F924D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3.881614</w:t>
            </w:r>
          </w:p>
        </w:tc>
        <w:tc>
          <w:tcPr>
            <w:tcW w:w="1199" w:type="dxa"/>
            <w:tcBorders>
              <w:top w:val="nil"/>
              <w:left w:val="nil"/>
              <w:bottom w:val="single" w:sz="4" w:space="0" w:color="auto"/>
              <w:right w:val="single" w:sz="4" w:space="0" w:color="auto"/>
            </w:tcBorders>
            <w:shd w:val="clear" w:color="auto" w:fill="auto"/>
            <w:noWrap/>
            <w:vAlign w:val="bottom"/>
            <w:hideMark/>
          </w:tcPr>
          <w:p w14:paraId="6E06F1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-1.02389</w:t>
            </w:r>
          </w:p>
        </w:tc>
        <w:tc>
          <w:tcPr>
            <w:tcW w:w="1199" w:type="dxa"/>
            <w:tcBorders>
              <w:top w:val="nil"/>
              <w:left w:val="nil"/>
              <w:bottom w:val="single" w:sz="4" w:space="0" w:color="auto"/>
              <w:right w:val="single" w:sz="4" w:space="0" w:color="auto"/>
            </w:tcBorders>
            <w:shd w:val="clear" w:color="auto" w:fill="auto"/>
            <w:noWrap/>
            <w:vAlign w:val="bottom"/>
            <w:hideMark/>
          </w:tcPr>
          <w:p w14:paraId="1B76E0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2.060111</w:t>
            </w:r>
          </w:p>
        </w:tc>
      </w:tr>
      <w:tr w:rsidR="002027D2" w:rsidRPr="008D1712" w14:paraId="4E6A5B9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8F7BB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12F1F23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4.442317</w:t>
            </w:r>
          </w:p>
        </w:tc>
        <w:tc>
          <w:tcPr>
            <w:tcW w:w="1199" w:type="dxa"/>
            <w:tcBorders>
              <w:top w:val="nil"/>
              <w:left w:val="nil"/>
              <w:bottom w:val="single" w:sz="4" w:space="0" w:color="auto"/>
              <w:right w:val="single" w:sz="4" w:space="0" w:color="auto"/>
            </w:tcBorders>
            <w:shd w:val="clear" w:color="auto" w:fill="auto"/>
            <w:noWrap/>
            <w:vAlign w:val="bottom"/>
            <w:hideMark/>
          </w:tcPr>
          <w:p w14:paraId="66E687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2.916281</w:t>
            </w:r>
          </w:p>
        </w:tc>
        <w:tc>
          <w:tcPr>
            <w:tcW w:w="1199" w:type="dxa"/>
            <w:tcBorders>
              <w:top w:val="nil"/>
              <w:left w:val="nil"/>
              <w:bottom w:val="single" w:sz="4" w:space="0" w:color="auto"/>
              <w:right w:val="single" w:sz="4" w:space="0" w:color="auto"/>
            </w:tcBorders>
            <w:shd w:val="clear" w:color="auto" w:fill="auto"/>
            <w:noWrap/>
            <w:vAlign w:val="bottom"/>
            <w:hideMark/>
          </w:tcPr>
          <w:p w14:paraId="34EBA0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-0.57424</w:t>
            </w:r>
          </w:p>
        </w:tc>
      </w:tr>
      <w:tr w:rsidR="002027D2" w:rsidRPr="008D1712" w14:paraId="30AADD60"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1488E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3794FAC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5.77603</w:t>
            </w:r>
          </w:p>
        </w:tc>
        <w:tc>
          <w:tcPr>
            <w:tcW w:w="1199" w:type="dxa"/>
            <w:tcBorders>
              <w:top w:val="nil"/>
              <w:left w:val="nil"/>
              <w:bottom w:val="single" w:sz="4" w:space="0" w:color="auto"/>
              <w:right w:val="single" w:sz="4" w:space="0" w:color="auto"/>
            </w:tcBorders>
            <w:shd w:val="clear" w:color="auto" w:fill="auto"/>
            <w:noWrap/>
            <w:vAlign w:val="bottom"/>
            <w:hideMark/>
          </w:tcPr>
          <w:p w14:paraId="696660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1.004697</w:t>
            </w:r>
          </w:p>
        </w:tc>
        <w:tc>
          <w:tcPr>
            <w:tcW w:w="1199" w:type="dxa"/>
            <w:tcBorders>
              <w:top w:val="nil"/>
              <w:left w:val="nil"/>
              <w:bottom w:val="single" w:sz="4" w:space="0" w:color="auto"/>
              <w:right w:val="single" w:sz="4" w:space="0" w:color="auto"/>
            </w:tcBorders>
            <w:shd w:val="clear" w:color="auto" w:fill="auto"/>
            <w:noWrap/>
            <w:vAlign w:val="bottom"/>
            <w:hideMark/>
          </w:tcPr>
          <w:p w14:paraId="178DA97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3.760831</w:t>
            </w:r>
          </w:p>
        </w:tc>
      </w:tr>
      <w:tr w:rsidR="002027D2" w:rsidRPr="008D1712" w14:paraId="511BF80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5FB66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389CA4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6.510296</w:t>
            </w:r>
          </w:p>
        </w:tc>
        <w:tc>
          <w:tcPr>
            <w:tcW w:w="1199" w:type="dxa"/>
            <w:tcBorders>
              <w:top w:val="nil"/>
              <w:left w:val="nil"/>
              <w:bottom w:val="single" w:sz="4" w:space="0" w:color="auto"/>
              <w:right w:val="single" w:sz="4" w:space="0" w:color="auto"/>
            </w:tcBorders>
            <w:shd w:val="clear" w:color="auto" w:fill="auto"/>
            <w:noWrap/>
            <w:vAlign w:val="bottom"/>
            <w:hideMark/>
          </w:tcPr>
          <w:p w14:paraId="6C6BFBE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2.891158</w:t>
            </w:r>
          </w:p>
        </w:tc>
        <w:tc>
          <w:tcPr>
            <w:tcW w:w="1199" w:type="dxa"/>
            <w:tcBorders>
              <w:top w:val="nil"/>
              <w:left w:val="nil"/>
              <w:bottom w:val="single" w:sz="4" w:space="0" w:color="auto"/>
              <w:right w:val="single" w:sz="4" w:space="0" w:color="auto"/>
            </w:tcBorders>
            <w:shd w:val="clear" w:color="auto" w:fill="auto"/>
            <w:noWrap/>
            <w:vAlign w:val="bottom"/>
            <w:hideMark/>
          </w:tcPr>
          <w:p w14:paraId="05ACCC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1.761451</w:t>
            </w:r>
          </w:p>
        </w:tc>
      </w:tr>
      <w:tr w:rsidR="002027D2" w:rsidRPr="008D1712" w14:paraId="7F8BD06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9078D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71BDB0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7.306526</w:t>
            </w:r>
          </w:p>
        </w:tc>
        <w:tc>
          <w:tcPr>
            <w:tcW w:w="1199" w:type="dxa"/>
            <w:tcBorders>
              <w:top w:val="nil"/>
              <w:left w:val="nil"/>
              <w:bottom w:val="single" w:sz="4" w:space="0" w:color="auto"/>
              <w:right w:val="single" w:sz="4" w:space="0" w:color="auto"/>
            </w:tcBorders>
            <w:shd w:val="clear" w:color="auto" w:fill="auto"/>
            <w:noWrap/>
            <w:vAlign w:val="bottom"/>
            <w:hideMark/>
          </w:tcPr>
          <w:p w14:paraId="15389B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2.702562</w:t>
            </w:r>
          </w:p>
        </w:tc>
        <w:tc>
          <w:tcPr>
            <w:tcW w:w="1199" w:type="dxa"/>
            <w:tcBorders>
              <w:top w:val="nil"/>
              <w:left w:val="nil"/>
              <w:bottom w:val="single" w:sz="4" w:space="0" w:color="auto"/>
              <w:right w:val="single" w:sz="4" w:space="0" w:color="auto"/>
            </w:tcBorders>
            <w:shd w:val="clear" w:color="auto" w:fill="auto"/>
            <w:noWrap/>
            <w:vAlign w:val="bottom"/>
            <w:hideMark/>
          </w:tcPr>
          <w:p w14:paraId="37B395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2.905674</w:t>
            </w:r>
          </w:p>
        </w:tc>
      </w:tr>
      <w:tr w:rsidR="002027D2" w:rsidRPr="008D1712" w14:paraId="075B20B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1C622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191E068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6.950328</w:t>
            </w:r>
          </w:p>
        </w:tc>
        <w:tc>
          <w:tcPr>
            <w:tcW w:w="1199" w:type="dxa"/>
            <w:tcBorders>
              <w:top w:val="nil"/>
              <w:left w:val="nil"/>
              <w:bottom w:val="single" w:sz="4" w:space="0" w:color="auto"/>
              <w:right w:val="single" w:sz="4" w:space="0" w:color="auto"/>
            </w:tcBorders>
            <w:shd w:val="clear" w:color="auto" w:fill="auto"/>
            <w:noWrap/>
            <w:vAlign w:val="bottom"/>
            <w:hideMark/>
          </w:tcPr>
          <w:p w14:paraId="2FEDA2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1.772262</w:t>
            </w:r>
          </w:p>
        </w:tc>
        <w:tc>
          <w:tcPr>
            <w:tcW w:w="1199" w:type="dxa"/>
            <w:tcBorders>
              <w:top w:val="nil"/>
              <w:left w:val="nil"/>
              <w:bottom w:val="single" w:sz="4" w:space="0" w:color="auto"/>
              <w:right w:val="single" w:sz="4" w:space="0" w:color="auto"/>
            </w:tcBorders>
            <w:shd w:val="clear" w:color="auto" w:fill="auto"/>
            <w:noWrap/>
            <w:vAlign w:val="bottom"/>
            <w:hideMark/>
          </w:tcPr>
          <w:p w14:paraId="4A8264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3.896312</w:t>
            </w:r>
          </w:p>
        </w:tc>
      </w:tr>
      <w:tr w:rsidR="002027D2" w:rsidRPr="008D1712" w14:paraId="103BFEE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E022C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448329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7.587118</w:t>
            </w:r>
          </w:p>
        </w:tc>
        <w:tc>
          <w:tcPr>
            <w:tcW w:w="1199" w:type="dxa"/>
            <w:tcBorders>
              <w:top w:val="nil"/>
              <w:left w:val="nil"/>
              <w:bottom w:val="single" w:sz="4" w:space="0" w:color="auto"/>
              <w:right w:val="single" w:sz="4" w:space="0" w:color="auto"/>
            </w:tcBorders>
            <w:shd w:val="clear" w:color="auto" w:fill="auto"/>
            <w:noWrap/>
            <w:vAlign w:val="bottom"/>
            <w:hideMark/>
          </w:tcPr>
          <w:p w14:paraId="76D897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1.644614</w:t>
            </w:r>
          </w:p>
        </w:tc>
        <w:tc>
          <w:tcPr>
            <w:tcW w:w="1199" w:type="dxa"/>
            <w:tcBorders>
              <w:top w:val="nil"/>
              <w:left w:val="nil"/>
              <w:bottom w:val="single" w:sz="4" w:space="0" w:color="auto"/>
              <w:right w:val="single" w:sz="4" w:space="0" w:color="auto"/>
            </w:tcBorders>
            <w:shd w:val="clear" w:color="auto" w:fill="auto"/>
            <w:noWrap/>
            <w:vAlign w:val="bottom"/>
            <w:hideMark/>
          </w:tcPr>
          <w:p w14:paraId="6E42B58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4.777647</w:t>
            </w:r>
          </w:p>
        </w:tc>
      </w:tr>
      <w:tr w:rsidR="002027D2" w:rsidRPr="008D1712" w14:paraId="7096C7B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8AE90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0BDEDB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-7.8168</w:t>
            </w:r>
          </w:p>
        </w:tc>
        <w:tc>
          <w:tcPr>
            <w:tcW w:w="1199" w:type="dxa"/>
            <w:tcBorders>
              <w:top w:val="nil"/>
              <w:left w:val="nil"/>
              <w:bottom w:val="single" w:sz="4" w:space="0" w:color="auto"/>
              <w:right w:val="single" w:sz="4" w:space="0" w:color="auto"/>
            </w:tcBorders>
            <w:shd w:val="clear" w:color="auto" w:fill="auto"/>
            <w:noWrap/>
            <w:vAlign w:val="bottom"/>
            <w:hideMark/>
          </w:tcPr>
          <w:p w14:paraId="7FA246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-3.71346</w:t>
            </w:r>
          </w:p>
        </w:tc>
        <w:tc>
          <w:tcPr>
            <w:tcW w:w="1199" w:type="dxa"/>
            <w:tcBorders>
              <w:top w:val="nil"/>
              <w:left w:val="nil"/>
              <w:bottom w:val="single" w:sz="4" w:space="0" w:color="auto"/>
              <w:right w:val="single" w:sz="4" w:space="0" w:color="auto"/>
            </w:tcBorders>
            <w:shd w:val="clear" w:color="auto" w:fill="auto"/>
            <w:noWrap/>
            <w:vAlign w:val="bottom"/>
            <w:hideMark/>
          </w:tcPr>
          <w:p w14:paraId="0F7E051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-3.21877</w:t>
            </w:r>
          </w:p>
        </w:tc>
      </w:tr>
      <w:tr w:rsidR="002027D2" w:rsidRPr="008D1712" w14:paraId="13852BC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379327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3B92D2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-1.80834</w:t>
            </w:r>
          </w:p>
        </w:tc>
        <w:tc>
          <w:tcPr>
            <w:tcW w:w="1199" w:type="dxa"/>
            <w:tcBorders>
              <w:top w:val="nil"/>
              <w:left w:val="nil"/>
              <w:bottom w:val="single" w:sz="4" w:space="0" w:color="auto"/>
              <w:right w:val="single" w:sz="4" w:space="0" w:color="auto"/>
            </w:tcBorders>
            <w:shd w:val="clear" w:color="auto" w:fill="auto"/>
            <w:noWrap/>
            <w:vAlign w:val="bottom"/>
            <w:hideMark/>
          </w:tcPr>
          <w:p w14:paraId="0A9FAA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-2.1803</w:t>
            </w:r>
          </w:p>
        </w:tc>
        <w:tc>
          <w:tcPr>
            <w:tcW w:w="1199" w:type="dxa"/>
            <w:tcBorders>
              <w:top w:val="nil"/>
              <w:left w:val="nil"/>
              <w:bottom w:val="single" w:sz="4" w:space="0" w:color="auto"/>
              <w:right w:val="single" w:sz="4" w:space="0" w:color="auto"/>
            </w:tcBorders>
            <w:shd w:val="clear" w:color="auto" w:fill="auto"/>
            <w:noWrap/>
            <w:vAlign w:val="bottom"/>
            <w:hideMark/>
          </w:tcPr>
          <w:p w14:paraId="2A68DA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0.912735</w:t>
            </w:r>
          </w:p>
        </w:tc>
      </w:tr>
      <w:tr w:rsidR="002027D2" w:rsidRPr="008D1712" w14:paraId="2D688B92"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6EC906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6C6CEB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-4.97842</w:t>
            </w:r>
          </w:p>
        </w:tc>
        <w:tc>
          <w:tcPr>
            <w:tcW w:w="1199" w:type="dxa"/>
            <w:tcBorders>
              <w:top w:val="nil"/>
              <w:left w:val="nil"/>
              <w:bottom w:val="single" w:sz="4" w:space="0" w:color="auto"/>
              <w:right w:val="single" w:sz="4" w:space="0" w:color="auto"/>
            </w:tcBorders>
            <w:shd w:val="clear" w:color="auto" w:fill="auto"/>
            <w:noWrap/>
            <w:vAlign w:val="bottom"/>
            <w:hideMark/>
          </w:tcPr>
          <w:p w14:paraId="298BDD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-0.79896</w:t>
            </w:r>
          </w:p>
        </w:tc>
        <w:tc>
          <w:tcPr>
            <w:tcW w:w="1199" w:type="dxa"/>
            <w:tcBorders>
              <w:top w:val="nil"/>
              <w:left w:val="nil"/>
              <w:bottom w:val="single" w:sz="4" w:space="0" w:color="auto"/>
              <w:right w:val="single" w:sz="4" w:space="0" w:color="auto"/>
            </w:tcBorders>
            <w:shd w:val="clear" w:color="auto" w:fill="auto"/>
            <w:noWrap/>
            <w:vAlign w:val="bottom"/>
            <w:hideMark/>
          </w:tcPr>
          <w:p w14:paraId="75B149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0.305174</w:t>
            </w:r>
          </w:p>
        </w:tc>
      </w:tr>
      <w:tr w:rsidR="002027D2" w:rsidRPr="008D1712" w14:paraId="59698C4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EBF3B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294A3C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-4.09589</w:t>
            </w:r>
          </w:p>
        </w:tc>
        <w:tc>
          <w:tcPr>
            <w:tcW w:w="1199" w:type="dxa"/>
            <w:tcBorders>
              <w:top w:val="nil"/>
              <w:left w:val="nil"/>
              <w:bottom w:val="single" w:sz="4" w:space="0" w:color="auto"/>
              <w:right w:val="single" w:sz="4" w:space="0" w:color="auto"/>
            </w:tcBorders>
            <w:shd w:val="clear" w:color="auto" w:fill="auto"/>
            <w:noWrap/>
            <w:vAlign w:val="bottom"/>
            <w:hideMark/>
          </w:tcPr>
          <w:p w14:paraId="1FF9B9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-1.67705</w:t>
            </w:r>
          </w:p>
        </w:tc>
        <w:tc>
          <w:tcPr>
            <w:tcW w:w="1199" w:type="dxa"/>
            <w:tcBorders>
              <w:top w:val="nil"/>
              <w:left w:val="nil"/>
              <w:bottom w:val="single" w:sz="4" w:space="0" w:color="auto"/>
              <w:right w:val="single" w:sz="4" w:space="0" w:color="auto"/>
            </w:tcBorders>
            <w:shd w:val="clear" w:color="auto" w:fill="auto"/>
            <w:noWrap/>
            <w:vAlign w:val="bottom"/>
            <w:hideMark/>
          </w:tcPr>
          <w:p w14:paraId="4A59283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1.589031</w:t>
            </w:r>
          </w:p>
        </w:tc>
      </w:tr>
      <w:tr w:rsidR="002027D2" w:rsidRPr="008D1712" w14:paraId="7802F724"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137F4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AB781B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-5.70588</w:t>
            </w:r>
          </w:p>
        </w:tc>
        <w:tc>
          <w:tcPr>
            <w:tcW w:w="1199" w:type="dxa"/>
            <w:tcBorders>
              <w:top w:val="nil"/>
              <w:left w:val="nil"/>
              <w:bottom w:val="single" w:sz="4" w:space="0" w:color="auto"/>
              <w:right w:val="single" w:sz="4" w:space="0" w:color="auto"/>
            </w:tcBorders>
            <w:shd w:val="clear" w:color="auto" w:fill="auto"/>
            <w:noWrap/>
            <w:vAlign w:val="bottom"/>
            <w:hideMark/>
          </w:tcPr>
          <w:p w14:paraId="0CF72A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-2.2507</w:t>
            </w:r>
          </w:p>
        </w:tc>
        <w:tc>
          <w:tcPr>
            <w:tcW w:w="1199" w:type="dxa"/>
            <w:tcBorders>
              <w:top w:val="nil"/>
              <w:left w:val="nil"/>
              <w:bottom w:val="single" w:sz="4" w:space="0" w:color="auto"/>
              <w:right w:val="single" w:sz="4" w:space="0" w:color="auto"/>
            </w:tcBorders>
            <w:shd w:val="clear" w:color="auto" w:fill="auto"/>
            <w:noWrap/>
            <w:vAlign w:val="bottom"/>
            <w:hideMark/>
          </w:tcPr>
          <w:p w14:paraId="012B5F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1.056802</w:t>
            </w:r>
          </w:p>
        </w:tc>
      </w:tr>
      <w:tr w:rsidR="002027D2" w:rsidRPr="008D1712" w14:paraId="1F2B04C9"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4D02B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6116F4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-3.30635</w:t>
            </w:r>
          </w:p>
        </w:tc>
        <w:tc>
          <w:tcPr>
            <w:tcW w:w="1199" w:type="dxa"/>
            <w:tcBorders>
              <w:top w:val="nil"/>
              <w:left w:val="nil"/>
              <w:bottom w:val="single" w:sz="4" w:space="0" w:color="auto"/>
              <w:right w:val="single" w:sz="4" w:space="0" w:color="auto"/>
            </w:tcBorders>
            <w:shd w:val="clear" w:color="auto" w:fill="auto"/>
            <w:noWrap/>
            <w:vAlign w:val="bottom"/>
            <w:hideMark/>
          </w:tcPr>
          <w:p w14:paraId="48B0FD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-4.75774</w:t>
            </w:r>
          </w:p>
        </w:tc>
        <w:tc>
          <w:tcPr>
            <w:tcW w:w="1199" w:type="dxa"/>
            <w:tcBorders>
              <w:top w:val="nil"/>
              <w:left w:val="nil"/>
              <w:bottom w:val="single" w:sz="4" w:space="0" w:color="auto"/>
              <w:right w:val="single" w:sz="4" w:space="0" w:color="auto"/>
            </w:tcBorders>
            <w:shd w:val="clear" w:color="auto" w:fill="auto"/>
            <w:noWrap/>
            <w:vAlign w:val="bottom"/>
            <w:hideMark/>
          </w:tcPr>
          <w:p w14:paraId="48F5F7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-0.48959</w:t>
            </w:r>
          </w:p>
        </w:tc>
      </w:tr>
      <w:tr w:rsidR="002027D2" w:rsidRPr="008D1712" w14:paraId="0F9A97E9"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063463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0B88C85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-4.72607</w:t>
            </w:r>
          </w:p>
        </w:tc>
        <w:tc>
          <w:tcPr>
            <w:tcW w:w="1199" w:type="dxa"/>
            <w:tcBorders>
              <w:top w:val="nil"/>
              <w:left w:val="nil"/>
              <w:bottom w:val="single" w:sz="4" w:space="0" w:color="auto"/>
              <w:right w:val="single" w:sz="4" w:space="0" w:color="auto"/>
            </w:tcBorders>
            <w:shd w:val="clear" w:color="auto" w:fill="auto"/>
            <w:noWrap/>
            <w:vAlign w:val="bottom"/>
            <w:hideMark/>
          </w:tcPr>
          <w:p w14:paraId="197A02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-4.57779</w:t>
            </w:r>
          </w:p>
        </w:tc>
        <w:tc>
          <w:tcPr>
            <w:tcW w:w="1199" w:type="dxa"/>
            <w:tcBorders>
              <w:top w:val="nil"/>
              <w:left w:val="nil"/>
              <w:bottom w:val="single" w:sz="4" w:space="0" w:color="auto"/>
              <w:right w:val="single" w:sz="4" w:space="0" w:color="auto"/>
            </w:tcBorders>
            <w:shd w:val="clear" w:color="auto" w:fill="auto"/>
            <w:noWrap/>
            <w:vAlign w:val="bottom"/>
            <w:hideMark/>
          </w:tcPr>
          <w:p w14:paraId="78AC93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0.583728</w:t>
            </w:r>
          </w:p>
        </w:tc>
      </w:tr>
      <w:tr w:rsidR="002027D2" w:rsidRPr="008D1712" w14:paraId="0559CE29"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8C271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676F9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-3.12177</w:t>
            </w:r>
          </w:p>
        </w:tc>
        <w:tc>
          <w:tcPr>
            <w:tcW w:w="1199" w:type="dxa"/>
            <w:tcBorders>
              <w:top w:val="nil"/>
              <w:left w:val="nil"/>
              <w:bottom w:val="single" w:sz="4" w:space="0" w:color="auto"/>
              <w:right w:val="single" w:sz="4" w:space="0" w:color="auto"/>
            </w:tcBorders>
            <w:shd w:val="clear" w:color="auto" w:fill="auto"/>
            <w:noWrap/>
            <w:vAlign w:val="bottom"/>
            <w:hideMark/>
          </w:tcPr>
          <w:p w14:paraId="6D5DDD0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-4.01063</w:t>
            </w:r>
          </w:p>
        </w:tc>
        <w:tc>
          <w:tcPr>
            <w:tcW w:w="1199" w:type="dxa"/>
            <w:tcBorders>
              <w:top w:val="nil"/>
              <w:left w:val="nil"/>
              <w:bottom w:val="single" w:sz="4" w:space="0" w:color="auto"/>
              <w:right w:val="single" w:sz="4" w:space="0" w:color="auto"/>
            </w:tcBorders>
            <w:shd w:val="clear" w:color="auto" w:fill="auto"/>
            <w:noWrap/>
            <w:vAlign w:val="bottom"/>
            <w:hideMark/>
          </w:tcPr>
          <w:p w14:paraId="44F4FB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1.126294</w:t>
            </w:r>
          </w:p>
        </w:tc>
      </w:tr>
      <w:tr w:rsidR="002027D2" w:rsidRPr="008D1712" w14:paraId="2ED89D78"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146A0C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199" w:type="dxa"/>
            <w:tcBorders>
              <w:top w:val="nil"/>
              <w:left w:val="nil"/>
              <w:bottom w:val="single" w:sz="4" w:space="0" w:color="auto"/>
              <w:right w:val="single" w:sz="4" w:space="0" w:color="auto"/>
            </w:tcBorders>
            <w:shd w:val="clear" w:color="auto" w:fill="auto"/>
            <w:noWrap/>
            <w:vAlign w:val="bottom"/>
            <w:hideMark/>
          </w:tcPr>
          <w:p w14:paraId="6D93FB9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-6.80278</w:t>
            </w:r>
          </w:p>
        </w:tc>
        <w:tc>
          <w:tcPr>
            <w:tcW w:w="1199" w:type="dxa"/>
            <w:tcBorders>
              <w:top w:val="nil"/>
              <w:left w:val="nil"/>
              <w:bottom w:val="single" w:sz="4" w:space="0" w:color="auto"/>
              <w:right w:val="single" w:sz="4" w:space="0" w:color="auto"/>
            </w:tcBorders>
            <w:shd w:val="clear" w:color="auto" w:fill="auto"/>
            <w:noWrap/>
            <w:vAlign w:val="bottom"/>
            <w:hideMark/>
          </w:tcPr>
          <w:p w14:paraId="6127BA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-3.73575</w:t>
            </w:r>
          </w:p>
        </w:tc>
        <w:tc>
          <w:tcPr>
            <w:tcW w:w="1199" w:type="dxa"/>
            <w:tcBorders>
              <w:top w:val="nil"/>
              <w:left w:val="nil"/>
              <w:bottom w:val="single" w:sz="4" w:space="0" w:color="auto"/>
              <w:right w:val="single" w:sz="4" w:space="0" w:color="auto"/>
            </w:tcBorders>
            <w:shd w:val="clear" w:color="auto" w:fill="auto"/>
            <w:noWrap/>
            <w:vAlign w:val="bottom"/>
            <w:hideMark/>
          </w:tcPr>
          <w:p w14:paraId="4C2126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-0.92606</w:t>
            </w:r>
          </w:p>
        </w:tc>
      </w:tr>
      <w:tr w:rsidR="002027D2" w:rsidRPr="008D1712" w14:paraId="37174F2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71DD8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F1663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-4.24334</w:t>
            </w:r>
          </w:p>
        </w:tc>
        <w:tc>
          <w:tcPr>
            <w:tcW w:w="1199" w:type="dxa"/>
            <w:tcBorders>
              <w:top w:val="nil"/>
              <w:left w:val="nil"/>
              <w:bottom w:val="single" w:sz="4" w:space="0" w:color="auto"/>
              <w:right w:val="single" w:sz="4" w:space="0" w:color="auto"/>
            </w:tcBorders>
            <w:shd w:val="clear" w:color="auto" w:fill="auto"/>
            <w:noWrap/>
            <w:vAlign w:val="bottom"/>
            <w:hideMark/>
          </w:tcPr>
          <w:p w14:paraId="78F689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-1.87604</w:t>
            </w:r>
          </w:p>
        </w:tc>
        <w:tc>
          <w:tcPr>
            <w:tcW w:w="1199" w:type="dxa"/>
            <w:tcBorders>
              <w:top w:val="nil"/>
              <w:left w:val="nil"/>
              <w:bottom w:val="single" w:sz="4" w:space="0" w:color="auto"/>
              <w:right w:val="single" w:sz="4" w:space="0" w:color="auto"/>
            </w:tcBorders>
            <w:shd w:val="clear" w:color="auto" w:fill="auto"/>
            <w:noWrap/>
            <w:vAlign w:val="bottom"/>
            <w:hideMark/>
          </w:tcPr>
          <w:p w14:paraId="24F71C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-4.84358</w:t>
            </w:r>
          </w:p>
        </w:tc>
      </w:tr>
      <w:tr w:rsidR="002027D2" w:rsidRPr="008D1712" w14:paraId="700E438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444CE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2EB0397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-6.53521</w:t>
            </w:r>
          </w:p>
        </w:tc>
        <w:tc>
          <w:tcPr>
            <w:tcW w:w="1199" w:type="dxa"/>
            <w:tcBorders>
              <w:top w:val="nil"/>
              <w:left w:val="nil"/>
              <w:bottom w:val="single" w:sz="4" w:space="0" w:color="auto"/>
              <w:right w:val="single" w:sz="4" w:space="0" w:color="auto"/>
            </w:tcBorders>
            <w:shd w:val="clear" w:color="auto" w:fill="auto"/>
            <w:noWrap/>
            <w:vAlign w:val="bottom"/>
            <w:hideMark/>
          </w:tcPr>
          <w:p w14:paraId="399851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-2.79416</w:t>
            </w:r>
          </w:p>
        </w:tc>
        <w:tc>
          <w:tcPr>
            <w:tcW w:w="1199" w:type="dxa"/>
            <w:tcBorders>
              <w:top w:val="nil"/>
              <w:left w:val="nil"/>
              <w:bottom w:val="single" w:sz="4" w:space="0" w:color="auto"/>
              <w:right w:val="single" w:sz="4" w:space="0" w:color="auto"/>
            </w:tcBorders>
            <w:shd w:val="clear" w:color="auto" w:fill="auto"/>
            <w:noWrap/>
            <w:vAlign w:val="bottom"/>
            <w:hideMark/>
          </w:tcPr>
          <w:p w14:paraId="237F91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-5.14887</w:t>
            </w:r>
          </w:p>
        </w:tc>
      </w:tr>
      <w:tr w:rsidR="002027D2" w:rsidRPr="008D1712" w14:paraId="40AE61A6"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E40A9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41A89ED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2.344145</w:t>
            </w:r>
          </w:p>
        </w:tc>
        <w:tc>
          <w:tcPr>
            <w:tcW w:w="1199" w:type="dxa"/>
            <w:tcBorders>
              <w:top w:val="nil"/>
              <w:left w:val="nil"/>
              <w:bottom w:val="single" w:sz="4" w:space="0" w:color="auto"/>
              <w:right w:val="single" w:sz="4" w:space="0" w:color="auto"/>
            </w:tcBorders>
            <w:shd w:val="clear" w:color="auto" w:fill="auto"/>
            <w:noWrap/>
            <w:vAlign w:val="bottom"/>
            <w:hideMark/>
          </w:tcPr>
          <w:p w14:paraId="7CE25B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1.609524</w:t>
            </w:r>
          </w:p>
        </w:tc>
        <w:tc>
          <w:tcPr>
            <w:tcW w:w="1199" w:type="dxa"/>
            <w:tcBorders>
              <w:top w:val="nil"/>
              <w:left w:val="nil"/>
              <w:bottom w:val="single" w:sz="4" w:space="0" w:color="auto"/>
              <w:right w:val="single" w:sz="4" w:space="0" w:color="auto"/>
            </w:tcBorders>
            <w:shd w:val="clear" w:color="auto" w:fill="auto"/>
            <w:noWrap/>
            <w:vAlign w:val="bottom"/>
            <w:hideMark/>
          </w:tcPr>
          <w:p w14:paraId="12D641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-0.91952</w:t>
            </w:r>
          </w:p>
        </w:tc>
      </w:tr>
      <w:tr w:rsidR="002027D2" w:rsidRPr="008D1712" w14:paraId="236CF365"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CE4F5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76B93A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2.385305</w:t>
            </w:r>
          </w:p>
        </w:tc>
        <w:tc>
          <w:tcPr>
            <w:tcW w:w="1199" w:type="dxa"/>
            <w:tcBorders>
              <w:top w:val="nil"/>
              <w:left w:val="nil"/>
              <w:bottom w:val="single" w:sz="4" w:space="0" w:color="auto"/>
              <w:right w:val="single" w:sz="4" w:space="0" w:color="auto"/>
            </w:tcBorders>
            <w:shd w:val="clear" w:color="auto" w:fill="auto"/>
            <w:noWrap/>
            <w:vAlign w:val="bottom"/>
            <w:hideMark/>
          </w:tcPr>
          <w:p w14:paraId="3AFEE1D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1.871045</w:t>
            </w:r>
          </w:p>
        </w:tc>
        <w:tc>
          <w:tcPr>
            <w:tcW w:w="1199" w:type="dxa"/>
            <w:tcBorders>
              <w:top w:val="nil"/>
              <w:left w:val="nil"/>
              <w:bottom w:val="single" w:sz="4" w:space="0" w:color="auto"/>
              <w:right w:val="single" w:sz="4" w:space="0" w:color="auto"/>
            </w:tcBorders>
            <w:shd w:val="clear" w:color="auto" w:fill="auto"/>
            <w:noWrap/>
            <w:vAlign w:val="bottom"/>
            <w:hideMark/>
          </w:tcPr>
          <w:p w14:paraId="5F2B83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3.37879</w:t>
            </w:r>
          </w:p>
        </w:tc>
      </w:tr>
      <w:tr w:rsidR="002027D2" w:rsidRPr="008D1712" w14:paraId="388BD2BD"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5C236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26C29F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2.883722</w:t>
            </w:r>
          </w:p>
        </w:tc>
        <w:tc>
          <w:tcPr>
            <w:tcW w:w="1199" w:type="dxa"/>
            <w:tcBorders>
              <w:top w:val="nil"/>
              <w:left w:val="nil"/>
              <w:bottom w:val="single" w:sz="4" w:space="0" w:color="auto"/>
              <w:right w:val="single" w:sz="4" w:space="0" w:color="auto"/>
            </w:tcBorders>
            <w:shd w:val="clear" w:color="auto" w:fill="auto"/>
            <w:noWrap/>
            <w:vAlign w:val="bottom"/>
            <w:hideMark/>
          </w:tcPr>
          <w:p w14:paraId="13797D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0.396293</w:t>
            </w:r>
          </w:p>
        </w:tc>
        <w:tc>
          <w:tcPr>
            <w:tcW w:w="1199" w:type="dxa"/>
            <w:tcBorders>
              <w:top w:val="nil"/>
              <w:left w:val="nil"/>
              <w:bottom w:val="single" w:sz="4" w:space="0" w:color="auto"/>
              <w:right w:val="single" w:sz="4" w:space="0" w:color="auto"/>
            </w:tcBorders>
            <w:shd w:val="clear" w:color="auto" w:fill="auto"/>
            <w:noWrap/>
            <w:vAlign w:val="bottom"/>
            <w:hideMark/>
          </w:tcPr>
          <w:p w14:paraId="36BE2B3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4.2588</w:t>
            </w:r>
          </w:p>
        </w:tc>
      </w:tr>
      <w:tr w:rsidR="002027D2" w:rsidRPr="008D1712" w14:paraId="42ABDE3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72071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62B4069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1.634016</w:t>
            </w:r>
          </w:p>
        </w:tc>
        <w:tc>
          <w:tcPr>
            <w:tcW w:w="1199" w:type="dxa"/>
            <w:tcBorders>
              <w:top w:val="nil"/>
              <w:left w:val="nil"/>
              <w:bottom w:val="single" w:sz="4" w:space="0" w:color="auto"/>
              <w:right w:val="single" w:sz="4" w:space="0" w:color="auto"/>
            </w:tcBorders>
            <w:shd w:val="clear" w:color="auto" w:fill="auto"/>
            <w:noWrap/>
            <w:vAlign w:val="bottom"/>
            <w:hideMark/>
          </w:tcPr>
          <w:p w14:paraId="2F6D34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0.272555</w:t>
            </w:r>
          </w:p>
        </w:tc>
        <w:tc>
          <w:tcPr>
            <w:tcW w:w="1199" w:type="dxa"/>
            <w:tcBorders>
              <w:top w:val="nil"/>
              <w:left w:val="nil"/>
              <w:bottom w:val="single" w:sz="4" w:space="0" w:color="auto"/>
              <w:right w:val="single" w:sz="4" w:space="0" w:color="auto"/>
            </w:tcBorders>
            <w:shd w:val="clear" w:color="auto" w:fill="auto"/>
            <w:noWrap/>
            <w:vAlign w:val="bottom"/>
            <w:hideMark/>
          </w:tcPr>
          <w:p w14:paraId="0B832E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2.991104</w:t>
            </w:r>
          </w:p>
        </w:tc>
      </w:tr>
      <w:tr w:rsidR="002027D2" w:rsidRPr="008D1712" w14:paraId="2C082625"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678AC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6E81D0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4.652649</w:t>
            </w:r>
          </w:p>
        </w:tc>
        <w:tc>
          <w:tcPr>
            <w:tcW w:w="1199" w:type="dxa"/>
            <w:tcBorders>
              <w:top w:val="nil"/>
              <w:left w:val="nil"/>
              <w:bottom w:val="single" w:sz="4" w:space="0" w:color="auto"/>
              <w:right w:val="single" w:sz="4" w:space="0" w:color="auto"/>
            </w:tcBorders>
            <w:shd w:val="clear" w:color="auto" w:fill="auto"/>
            <w:noWrap/>
            <w:vAlign w:val="bottom"/>
            <w:hideMark/>
          </w:tcPr>
          <w:p w14:paraId="05307D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-1.23606</w:t>
            </w:r>
          </w:p>
        </w:tc>
        <w:tc>
          <w:tcPr>
            <w:tcW w:w="1199" w:type="dxa"/>
            <w:tcBorders>
              <w:top w:val="nil"/>
              <w:left w:val="nil"/>
              <w:bottom w:val="single" w:sz="4" w:space="0" w:color="auto"/>
              <w:right w:val="single" w:sz="4" w:space="0" w:color="auto"/>
            </w:tcBorders>
            <w:shd w:val="clear" w:color="auto" w:fill="auto"/>
            <w:noWrap/>
            <w:vAlign w:val="bottom"/>
            <w:hideMark/>
          </w:tcPr>
          <w:p w14:paraId="305AF2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1.299984</w:t>
            </w:r>
          </w:p>
        </w:tc>
      </w:tr>
      <w:tr w:rsidR="002027D2" w:rsidRPr="008D1712" w14:paraId="22E8BF0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FAC35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C99DE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2.933065</w:t>
            </w:r>
          </w:p>
        </w:tc>
        <w:tc>
          <w:tcPr>
            <w:tcW w:w="1199" w:type="dxa"/>
            <w:tcBorders>
              <w:top w:val="nil"/>
              <w:left w:val="nil"/>
              <w:bottom w:val="single" w:sz="4" w:space="0" w:color="auto"/>
              <w:right w:val="single" w:sz="4" w:space="0" w:color="auto"/>
            </w:tcBorders>
            <w:shd w:val="clear" w:color="auto" w:fill="auto"/>
            <w:noWrap/>
            <w:vAlign w:val="bottom"/>
            <w:hideMark/>
          </w:tcPr>
          <w:p w14:paraId="55F708B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-1.50877</w:t>
            </w:r>
          </w:p>
        </w:tc>
        <w:tc>
          <w:tcPr>
            <w:tcW w:w="1199" w:type="dxa"/>
            <w:tcBorders>
              <w:top w:val="nil"/>
              <w:left w:val="nil"/>
              <w:bottom w:val="single" w:sz="4" w:space="0" w:color="auto"/>
              <w:right w:val="single" w:sz="4" w:space="0" w:color="auto"/>
            </w:tcBorders>
            <w:shd w:val="clear" w:color="auto" w:fill="auto"/>
            <w:noWrap/>
            <w:vAlign w:val="bottom"/>
            <w:hideMark/>
          </w:tcPr>
          <w:p w14:paraId="011522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1.781558</w:t>
            </w:r>
          </w:p>
        </w:tc>
      </w:tr>
      <w:tr w:rsidR="002027D2" w:rsidRPr="008D1712" w14:paraId="3A54931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5F531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3A781B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4.21393</w:t>
            </w:r>
          </w:p>
        </w:tc>
        <w:tc>
          <w:tcPr>
            <w:tcW w:w="1199" w:type="dxa"/>
            <w:tcBorders>
              <w:top w:val="nil"/>
              <w:left w:val="nil"/>
              <w:bottom w:val="single" w:sz="4" w:space="0" w:color="auto"/>
              <w:right w:val="single" w:sz="4" w:space="0" w:color="auto"/>
            </w:tcBorders>
            <w:shd w:val="clear" w:color="auto" w:fill="auto"/>
            <w:noWrap/>
            <w:vAlign w:val="bottom"/>
            <w:hideMark/>
          </w:tcPr>
          <w:p w14:paraId="2CB1CD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-1.4558</w:t>
            </w:r>
          </w:p>
        </w:tc>
        <w:tc>
          <w:tcPr>
            <w:tcW w:w="1199" w:type="dxa"/>
            <w:tcBorders>
              <w:top w:val="nil"/>
              <w:left w:val="nil"/>
              <w:bottom w:val="single" w:sz="4" w:space="0" w:color="auto"/>
              <w:right w:val="single" w:sz="4" w:space="0" w:color="auto"/>
            </w:tcBorders>
            <w:shd w:val="clear" w:color="auto" w:fill="auto"/>
            <w:noWrap/>
            <w:vAlign w:val="bottom"/>
            <w:hideMark/>
          </w:tcPr>
          <w:p w14:paraId="3C3437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3.020466</w:t>
            </w:r>
          </w:p>
        </w:tc>
      </w:tr>
      <w:tr w:rsidR="002027D2" w:rsidRPr="008D1712" w14:paraId="1F832E4D"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99AC8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2216EB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5.373394</w:t>
            </w:r>
          </w:p>
        </w:tc>
        <w:tc>
          <w:tcPr>
            <w:tcW w:w="1199" w:type="dxa"/>
            <w:tcBorders>
              <w:top w:val="nil"/>
              <w:left w:val="nil"/>
              <w:bottom w:val="single" w:sz="4" w:space="0" w:color="auto"/>
              <w:right w:val="single" w:sz="4" w:space="0" w:color="auto"/>
            </w:tcBorders>
            <w:shd w:val="clear" w:color="auto" w:fill="auto"/>
            <w:noWrap/>
            <w:vAlign w:val="bottom"/>
            <w:hideMark/>
          </w:tcPr>
          <w:p w14:paraId="64504F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3.49851</w:t>
            </w:r>
          </w:p>
        </w:tc>
        <w:tc>
          <w:tcPr>
            <w:tcW w:w="1199" w:type="dxa"/>
            <w:tcBorders>
              <w:top w:val="nil"/>
              <w:left w:val="nil"/>
              <w:bottom w:val="single" w:sz="4" w:space="0" w:color="auto"/>
              <w:right w:val="single" w:sz="4" w:space="0" w:color="auto"/>
            </w:tcBorders>
            <w:shd w:val="clear" w:color="auto" w:fill="auto"/>
            <w:noWrap/>
            <w:vAlign w:val="bottom"/>
            <w:hideMark/>
          </w:tcPr>
          <w:p w14:paraId="77F8D1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-0.56902</w:t>
            </w:r>
          </w:p>
        </w:tc>
      </w:tr>
      <w:tr w:rsidR="002027D2" w:rsidRPr="008D1712" w14:paraId="7D29CC3E"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6940F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791124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3.58626</w:t>
            </w:r>
          </w:p>
        </w:tc>
        <w:tc>
          <w:tcPr>
            <w:tcW w:w="1199" w:type="dxa"/>
            <w:tcBorders>
              <w:top w:val="nil"/>
              <w:left w:val="nil"/>
              <w:bottom w:val="single" w:sz="4" w:space="0" w:color="auto"/>
              <w:right w:val="single" w:sz="4" w:space="0" w:color="auto"/>
            </w:tcBorders>
            <w:shd w:val="clear" w:color="auto" w:fill="auto"/>
            <w:noWrap/>
            <w:vAlign w:val="bottom"/>
            <w:hideMark/>
          </w:tcPr>
          <w:p w14:paraId="21BFD0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3.613497</w:t>
            </w:r>
          </w:p>
        </w:tc>
        <w:tc>
          <w:tcPr>
            <w:tcW w:w="1199" w:type="dxa"/>
            <w:tcBorders>
              <w:top w:val="nil"/>
              <w:left w:val="nil"/>
              <w:bottom w:val="single" w:sz="4" w:space="0" w:color="auto"/>
              <w:right w:val="single" w:sz="4" w:space="0" w:color="auto"/>
            </w:tcBorders>
            <w:shd w:val="clear" w:color="auto" w:fill="auto"/>
            <w:noWrap/>
            <w:vAlign w:val="bottom"/>
            <w:hideMark/>
          </w:tcPr>
          <w:p w14:paraId="56BF1F8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-0.614</w:t>
            </w:r>
          </w:p>
        </w:tc>
      </w:tr>
      <w:tr w:rsidR="002027D2" w:rsidRPr="008D1712" w14:paraId="6E707B22"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78D61E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5F2C7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5.498177</w:t>
            </w:r>
          </w:p>
        </w:tc>
        <w:tc>
          <w:tcPr>
            <w:tcW w:w="1199" w:type="dxa"/>
            <w:tcBorders>
              <w:top w:val="nil"/>
              <w:left w:val="nil"/>
              <w:bottom w:val="single" w:sz="4" w:space="0" w:color="auto"/>
              <w:right w:val="single" w:sz="4" w:space="0" w:color="auto"/>
            </w:tcBorders>
            <w:shd w:val="clear" w:color="auto" w:fill="auto"/>
            <w:noWrap/>
            <w:vAlign w:val="bottom"/>
            <w:hideMark/>
          </w:tcPr>
          <w:p w14:paraId="1DDFED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0.278989</w:t>
            </w:r>
          </w:p>
        </w:tc>
        <w:tc>
          <w:tcPr>
            <w:tcW w:w="1199" w:type="dxa"/>
            <w:tcBorders>
              <w:top w:val="nil"/>
              <w:left w:val="nil"/>
              <w:bottom w:val="single" w:sz="4" w:space="0" w:color="auto"/>
              <w:right w:val="single" w:sz="4" w:space="0" w:color="auto"/>
            </w:tcBorders>
            <w:shd w:val="clear" w:color="auto" w:fill="auto"/>
            <w:noWrap/>
            <w:vAlign w:val="bottom"/>
            <w:hideMark/>
          </w:tcPr>
          <w:p w14:paraId="32B1EA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4.533911</w:t>
            </w:r>
          </w:p>
        </w:tc>
      </w:tr>
      <w:tr w:rsidR="002027D2" w:rsidRPr="008D1712" w14:paraId="05A26EF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C30C48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25F169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6.803396</w:t>
            </w:r>
          </w:p>
        </w:tc>
        <w:tc>
          <w:tcPr>
            <w:tcW w:w="1199" w:type="dxa"/>
            <w:tcBorders>
              <w:top w:val="nil"/>
              <w:left w:val="nil"/>
              <w:bottom w:val="single" w:sz="4" w:space="0" w:color="auto"/>
              <w:right w:val="single" w:sz="4" w:space="0" w:color="auto"/>
            </w:tcBorders>
            <w:shd w:val="clear" w:color="auto" w:fill="auto"/>
            <w:noWrap/>
            <w:vAlign w:val="bottom"/>
            <w:hideMark/>
          </w:tcPr>
          <w:p w14:paraId="396965B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3.622448</w:t>
            </w:r>
          </w:p>
        </w:tc>
        <w:tc>
          <w:tcPr>
            <w:tcW w:w="1199" w:type="dxa"/>
            <w:tcBorders>
              <w:top w:val="nil"/>
              <w:left w:val="nil"/>
              <w:bottom w:val="single" w:sz="4" w:space="0" w:color="auto"/>
              <w:right w:val="single" w:sz="4" w:space="0" w:color="auto"/>
            </w:tcBorders>
            <w:shd w:val="clear" w:color="auto" w:fill="auto"/>
            <w:noWrap/>
            <w:vAlign w:val="bottom"/>
            <w:hideMark/>
          </w:tcPr>
          <w:p w14:paraId="1B6ED3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1.001611</w:t>
            </w:r>
          </w:p>
        </w:tc>
      </w:tr>
      <w:tr w:rsidR="002027D2" w:rsidRPr="008D1712" w14:paraId="1D1AB4B8"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387AE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4748F9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8.219917</w:t>
            </w:r>
          </w:p>
        </w:tc>
        <w:tc>
          <w:tcPr>
            <w:tcW w:w="1199" w:type="dxa"/>
            <w:tcBorders>
              <w:top w:val="nil"/>
              <w:left w:val="nil"/>
              <w:bottom w:val="single" w:sz="4" w:space="0" w:color="auto"/>
              <w:right w:val="single" w:sz="4" w:space="0" w:color="auto"/>
            </w:tcBorders>
            <w:shd w:val="clear" w:color="auto" w:fill="auto"/>
            <w:noWrap/>
            <w:vAlign w:val="bottom"/>
            <w:hideMark/>
          </w:tcPr>
          <w:p w14:paraId="558D5C3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3.295869</w:t>
            </w:r>
          </w:p>
        </w:tc>
        <w:tc>
          <w:tcPr>
            <w:tcW w:w="1199" w:type="dxa"/>
            <w:tcBorders>
              <w:top w:val="nil"/>
              <w:left w:val="nil"/>
              <w:bottom w:val="single" w:sz="4" w:space="0" w:color="auto"/>
              <w:right w:val="single" w:sz="4" w:space="0" w:color="auto"/>
            </w:tcBorders>
            <w:shd w:val="clear" w:color="auto" w:fill="auto"/>
            <w:noWrap/>
            <w:vAlign w:val="bottom"/>
            <w:hideMark/>
          </w:tcPr>
          <w:p w14:paraId="2B1699E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3.02043</w:t>
            </w:r>
          </w:p>
        </w:tc>
      </w:tr>
      <w:tr w:rsidR="002027D2" w:rsidRPr="008D1712" w14:paraId="4D44258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493B81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20AC5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4.426423</w:t>
            </w:r>
          </w:p>
        </w:tc>
        <w:tc>
          <w:tcPr>
            <w:tcW w:w="1199" w:type="dxa"/>
            <w:tcBorders>
              <w:top w:val="nil"/>
              <w:left w:val="nil"/>
              <w:bottom w:val="single" w:sz="4" w:space="0" w:color="auto"/>
              <w:right w:val="single" w:sz="4" w:space="0" w:color="auto"/>
            </w:tcBorders>
            <w:shd w:val="clear" w:color="auto" w:fill="auto"/>
            <w:noWrap/>
            <w:vAlign w:val="bottom"/>
            <w:hideMark/>
          </w:tcPr>
          <w:p w14:paraId="024DED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2.2842</w:t>
            </w:r>
          </w:p>
        </w:tc>
        <w:tc>
          <w:tcPr>
            <w:tcW w:w="1199" w:type="dxa"/>
            <w:tcBorders>
              <w:top w:val="nil"/>
              <w:left w:val="nil"/>
              <w:bottom w:val="single" w:sz="4" w:space="0" w:color="auto"/>
              <w:right w:val="single" w:sz="4" w:space="0" w:color="auto"/>
            </w:tcBorders>
            <w:shd w:val="clear" w:color="auto" w:fill="auto"/>
            <w:noWrap/>
            <w:vAlign w:val="bottom"/>
            <w:hideMark/>
          </w:tcPr>
          <w:p w14:paraId="028F44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-1.47934</w:t>
            </w:r>
          </w:p>
        </w:tc>
      </w:tr>
      <w:tr w:rsidR="002027D2" w:rsidRPr="008D1712" w14:paraId="58340FF9"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A6108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797B0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-1.91715</w:t>
            </w:r>
          </w:p>
        </w:tc>
        <w:tc>
          <w:tcPr>
            <w:tcW w:w="1199" w:type="dxa"/>
            <w:tcBorders>
              <w:top w:val="nil"/>
              <w:left w:val="nil"/>
              <w:bottom w:val="single" w:sz="4" w:space="0" w:color="auto"/>
              <w:right w:val="single" w:sz="4" w:space="0" w:color="auto"/>
            </w:tcBorders>
            <w:shd w:val="clear" w:color="auto" w:fill="auto"/>
            <w:noWrap/>
            <w:vAlign w:val="bottom"/>
            <w:hideMark/>
          </w:tcPr>
          <w:p w14:paraId="616CC9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-1.40295</w:t>
            </w:r>
          </w:p>
        </w:tc>
        <w:tc>
          <w:tcPr>
            <w:tcW w:w="1199" w:type="dxa"/>
            <w:tcBorders>
              <w:top w:val="nil"/>
              <w:left w:val="nil"/>
              <w:bottom w:val="single" w:sz="4" w:space="0" w:color="auto"/>
              <w:right w:val="single" w:sz="4" w:space="0" w:color="auto"/>
            </w:tcBorders>
            <w:shd w:val="clear" w:color="auto" w:fill="auto"/>
            <w:noWrap/>
            <w:vAlign w:val="bottom"/>
            <w:hideMark/>
          </w:tcPr>
          <w:p w14:paraId="258772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-3.15386</w:t>
            </w:r>
          </w:p>
        </w:tc>
      </w:tr>
      <w:tr w:rsidR="002027D2" w:rsidRPr="008D1712" w14:paraId="6D3D523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055A55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0B3D07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-2.28037</w:t>
            </w:r>
          </w:p>
        </w:tc>
        <w:tc>
          <w:tcPr>
            <w:tcW w:w="1199" w:type="dxa"/>
            <w:tcBorders>
              <w:top w:val="nil"/>
              <w:left w:val="nil"/>
              <w:bottom w:val="single" w:sz="4" w:space="0" w:color="auto"/>
              <w:right w:val="single" w:sz="4" w:space="0" w:color="auto"/>
            </w:tcBorders>
            <w:shd w:val="clear" w:color="auto" w:fill="auto"/>
            <w:noWrap/>
            <w:vAlign w:val="bottom"/>
            <w:hideMark/>
          </w:tcPr>
          <w:p w14:paraId="1D506B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-1.43822</w:t>
            </w:r>
          </w:p>
        </w:tc>
        <w:tc>
          <w:tcPr>
            <w:tcW w:w="1199" w:type="dxa"/>
            <w:tcBorders>
              <w:top w:val="nil"/>
              <w:left w:val="nil"/>
              <w:bottom w:val="single" w:sz="4" w:space="0" w:color="auto"/>
              <w:right w:val="single" w:sz="4" w:space="0" w:color="auto"/>
            </w:tcBorders>
            <w:shd w:val="clear" w:color="auto" w:fill="auto"/>
            <w:noWrap/>
            <w:vAlign w:val="bottom"/>
            <w:hideMark/>
          </w:tcPr>
          <w:p w14:paraId="314633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-4.18938</w:t>
            </w:r>
          </w:p>
        </w:tc>
      </w:tr>
      <w:tr w:rsidR="002027D2" w:rsidRPr="008D1712" w14:paraId="34C009DC"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4885B5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E25754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-1.04392</w:t>
            </w:r>
          </w:p>
        </w:tc>
        <w:tc>
          <w:tcPr>
            <w:tcW w:w="1199" w:type="dxa"/>
            <w:tcBorders>
              <w:top w:val="nil"/>
              <w:left w:val="nil"/>
              <w:bottom w:val="single" w:sz="4" w:space="0" w:color="auto"/>
              <w:right w:val="single" w:sz="4" w:space="0" w:color="auto"/>
            </w:tcBorders>
            <w:shd w:val="clear" w:color="auto" w:fill="auto"/>
            <w:noWrap/>
            <w:vAlign w:val="bottom"/>
            <w:hideMark/>
          </w:tcPr>
          <w:p w14:paraId="5E10AF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-2.07357</w:t>
            </w:r>
          </w:p>
        </w:tc>
        <w:tc>
          <w:tcPr>
            <w:tcW w:w="1199" w:type="dxa"/>
            <w:tcBorders>
              <w:top w:val="nil"/>
              <w:left w:val="nil"/>
              <w:bottom w:val="single" w:sz="4" w:space="0" w:color="auto"/>
              <w:right w:val="single" w:sz="4" w:space="0" w:color="auto"/>
            </w:tcBorders>
            <w:shd w:val="clear" w:color="auto" w:fill="auto"/>
            <w:noWrap/>
            <w:vAlign w:val="bottom"/>
            <w:hideMark/>
          </w:tcPr>
          <w:p w14:paraId="412147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-3.05736</w:t>
            </w:r>
          </w:p>
        </w:tc>
      </w:tr>
      <w:tr w:rsidR="002027D2" w:rsidRPr="008D1712" w14:paraId="1110B922"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646FE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2C8C733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-1.57919</w:t>
            </w:r>
          </w:p>
        </w:tc>
        <w:tc>
          <w:tcPr>
            <w:tcW w:w="1199" w:type="dxa"/>
            <w:tcBorders>
              <w:top w:val="nil"/>
              <w:left w:val="nil"/>
              <w:bottom w:val="single" w:sz="4" w:space="0" w:color="auto"/>
              <w:right w:val="single" w:sz="4" w:space="0" w:color="auto"/>
            </w:tcBorders>
            <w:shd w:val="clear" w:color="auto" w:fill="auto"/>
            <w:noWrap/>
            <w:vAlign w:val="bottom"/>
            <w:hideMark/>
          </w:tcPr>
          <w:p w14:paraId="232BE3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-0.38153</w:t>
            </w:r>
          </w:p>
        </w:tc>
        <w:tc>
          <w:tcPr>
            <w:tcW w:w="1199" w:type="dxa"/>
            <w:tcBorders>
              <w:top w:val="nil"/>
              <w:left w:val="nil"/>
              <w:bottom w:val="single" w:sz="4" w:space="0" w:color="auto"/>
              <w:right w:val="single" w:sz="4" w:space="0" w:color="auto"/>
            </w:tcBorders>
            <w:shd w:val="clear" w:color="auto" w:fill="auto"/>
            <w:noWrap/>
            <w:vAlign w:val="bottom"/>
            <w:hideMark/>
          </w:tcPr>
          <w:p w14:paraId="65B2A2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-2.90628</w:t>
            </w:r>
          </w:p>
        </w:tc>
      </w:tr>
    </w:tbl>
    <w:p w14:paraId="499AFC68" w14:textId="77777777" w:rsidR="002027D2" w:rsidRPr="008D1712" w:rsidRDefault="002027D2" w:rsidP="008D1712">
      <w:pPr>
        <w:jc w:val="center"/>
        <w:rPr>
          <w:rFonts w:ascii="Arial" w:hAnsi="Arial" w:cs="Arial"/>
          <w:sz w:val="24"/>
          <w:szCs w:val="24"/>
        </w:rPr>
      </w:pPr>
    </w:p>
    <w:p w14:paraId="68164FC7" w14:textId="6F393B3D" w:rsidR="002027D2" w:rsidRPr="005556B5"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S2.43</w:t>
      </w:r>
      <w:r w:rsidRPr="000452A8">
        <w:rPr>
          <w:rFonts w:ascii="Arial" w:hAnsi="Arial" w:cs="Arial"/>
          <w:b/>
          <w:bCs/>
          <w:sz w:val="24"/>
          <w:szCs w:val="24"/>
        </w:rPr>
        <w:t xml:space="preserve">: </w:t>
      </w:r>
      <w:r w:rsidRPr="008D1712">
        <w:rPr>
          <w:rFonts w:ascii="Arial" w:hAnsi="Arial" w:cs="Arial"/>
          <w:sz w:val="24"/>
          <w:szCs w:val="24"/>
        </w:rPr>
        <w:t xml:space="preserve">Coordinates (Angstroms) and energy (a.u.) of </w:t>
      </w:r>
      <w:r w:rsidRPr="008D1712">
        <w:rPr>
          <w:rFonts w:ascii="Arial" w:eastAsia="Times New Roman" w:hAnsi="Arial" w:cs="Arial"/>
          <w:b/>
          <w:bCs/>
          <w:color w:val="000000"/>
          <w:sz w:val="24"/>
          <w:szCs w:val="24"/>
        </w:rPr>
        <w:t>SQ H no TMAB</w:t>
      </w:r>
      <w:r w:rsidRPr="008D1712">
        <w:rPr>
          <w:rFonts w:ascii="Arial" w:hAnsi="Arial" w:cs="Arial"/>
          <w:b/>
          <w:bCs/>
          <w:sz w:val="24"/>
          <w:szCs w:val="24"/>
        </w:rPr>
        <w:t>.</w:t>
      </w:r>
      <w:r w:rsidRPr="008D1712">
        <w:rPr>
          <w:rFonts w:ascii="Arial" w:hAnsi="Arial" w:cs="Arial"/>
          <w:sz w:val="24"/>
          <w:szCs w:val="24"/>
        </w:rPr>
        <w:t xml:space="preserve"> Geometries were optimized using PBE functional and 6-31+G* basis set.</w:t>
      </w:r>
    </w:p>
    <w:p w14:paraId="3AFF63C7" w14:textId="77777777" w:rsidR="002027D2" w:rsidRPr="008D1712" w:rsidRDefault="002027D2" w:rsidP="008D1712">
      <w:pPr>
        <w:jc w:val="center"/>
        <w:rPr>
          <w:rFonts w:ascii="Arial" w:hAnsi="Arial" w:cs="Arial"/>
          <w:b/>
          <w:bCs/>
          <w:sz w:val="24"/>
          <w:szCs w:val="24"/>
          <w:u w:val="single"/>
        </w:rPr>
      </w:pPr>
    </w:p>
    <w:tbl>
      <w:tblPr>
        <w:tblW w:w="4057" w:type="dxa"/>
        <w:jc w:val="center"/>
        <w:tblLook w:val="04A0" w:firstRow="1" w:lastRow="0" w:firstColumn="1" w:lastColumn="0" w:noHBand="0" w:noVBand="1"/>
      </w:tblPr>
      <w:tblGrid>
        <w:gridCol w:w="403"/>
        <w:gridCol w:w="1218"/>
        <w:gridCol w:w="1218"/>
        <w:gridCol w:w="1218"/>
      </w:tblGrid>
      <w:tr w:rsidR="002027D2" w:rsidRPr="008D1712" w14:paraId="0AFDFDCB" w14:textId="77777777" w:rsidTr="008D1712">
        <w:trPr>
          <w:trHeight w:val="300"/>
          <w:jc w:val="center"/>
        </w:trPr>
        <w:tc>
          <w:tcPr>
            <w:tcW w:w="405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3A5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b/>
                <w:bCs/>
                <w:color w:val="000000"/>
                <w:sz w:val="24"/>
                <w:szCs w:val="24"/>
              </w:rPr>
              <w:t>SQ H</w:t>
            </w:r>
          </w:p>
        </w:tc>
      </w:tr>
      <w:tr w:rsidR="002027D2" w:rsidRPr="008D1712" w14:paraId="4A4EB034" w14:textId="77777777" w:rsidTr="008D1712">
        <w:trPr>
          <w:trHeight w:val="300"/>
          <w:jc w:val="center"/>
        </w:trPr>
        <w:tc>
          <w:tcPr>
            <w:tcW w:w="405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E13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-1845.96271711902 a.u.</w:t>
            </w:r>
          </w:p>
        </w:tc>
      </w:tr>
      <w:tr w:rsidR="002027D2" w:rsidRPr="008D1712" w14:paraId="49923DE8"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7CA9D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430BCC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0.611534</w:t>
            </w:r>
          </w:p>
        </w:tc>
        <w:tc>
          <w:tcPr>
            <w:tcW w:w="1218" w:type="dxa"/>
            <w:tcBorders>
              <w:top w:val="nil"/>
              <w:left w:val="nil"/>
              <w:bottom w:val="single" w:sz="4" w:space="0" w:color="auto"/>
              <w:right w:val="single" w:sz="4" w:space="0" w:color="auto"/>
            </w:tcBorders>
            <w:shd w:val="clear" w:color="auto" w:fill="auto"/>
            <w:noWrap/>
            <w:vAlign w:val="bottom"/>
            <w:hideMark/>
          </w:tcPr>
          <w:p w14:paraId="36AB31C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0.152722</w:t>
            </w:r>
          </w:p>
        </w:tc>
        <w:tc>
          <w:tcPr>
            <w:tcW w:w="1218" w:type="dxa"/>
            <w:tcBorders>
              <w:top w:val="nil"/>
              <w:left w:val="nil"/>
              <w:bottom w:val="single" w:sz="4" w:space="0" w:color="auto"/>
              <w:right w:val="single" w:sz="4" w:space="0" w:color="auto"/>
            </w:tcBorders>
            <w:shd w:val="clear" w:color="auto" w:fill="auto"/>
            <w:noWrap/>
            <w:vAlign w:val="bottom"/>
            <w:hideMark/>
          </w:tcPr>
          <w:p w14:paraId="60A2332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-0.22712</w:t>
            </w:r>
          </w:p>
        </w:tc>
      </w:tr>
      <w:tr w:rsidR="002027D2" w:rsidRPr="008D1712" w14:paraId="1EF13C16"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0A5DD11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4C2B10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0.074687</w:t>
            </w:r>
          </w:p>
        </w:tc>
        <w:tc>
          <w:tcPr>
            <w:tcW w:w="1218" w:type="dxa"/>
            <w:tcBorders>
              <w:top w:val="nil"/>
              <w:left w:val="nil"/>
              <w:bottom w:val="single" w:sz="4" w:space="0" w:color="auto"/>
              <w:right w:val="single" w:sz="4" w:space="0" w:color="auto"/>
            </w:tcBorders>
            <w:shd w:val="clear" w:color="auto" w:fill="auto"/>
            <w:noWrap/>
            <w:vAlign w:val="bottom"/>
            <w:hideMark/>
          </w:tcPr>
          <w:p w14:paraId="2B2DCAA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1.262868</w:t>
            </w:r>
          </w:p>
        </w:tc>
        <w:tc>
          <w:tcPr>
            <w:tcW w:w="1218" w:type="dxa"/>
            <w:tcBorders>
              <w:top w:val="nil"/>
              <w:left w:val="nil"/>
              <w:bottom w:val="single" w:sz="4" w:space="0" w:color="auto"/>
              <w:right w:val="single" w:sz="4" w:space="0" w:color="auto"/>
            </w:tcBorders>
            <w:shd w:val="clear" w:color="auto" w:fill="auto"/>
            <w:noWrap/>
            <w:vAlign w:val="bottom"/>
            <w:hideMark/>
          </w:tcPr>
          <w:p w14:paraId="16C5022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0.604871</w:t>
            </w:r>
          </w:p>
        </w:tc>
      </w:tr>
      <w:tr w:rsidR="002027D2" w:rsidRPr="008D1712" w14:paraId="59EC11E9"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79AD3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C</w:t>
            </w:r>
          </w:p>
        </w:tc>
        <w:tc>
          <w:tcPr>
            <w:tcW w:w="1218" w:type="dxa"/>
            <w:tcBorders>
              <w:top w:val="nil"/>
              <w:left w:val="nil"/>
              <w:bottom w:val="single" w:sz="4" w:space="0" w:color="auto"/>
              <w:right w:val="single" w:sz="4" w:space="0" w:color="auto"/>
            </w:tcBorders>
            <w:shd w:val="clear" w:color="auto" w:fill="auto"/>
            <w:noWrap/>
            <w:vAlign w:val="bottom"/>
            <w:hideMark/>
          </w:tcPr>
          <w:p w14:paraId="79A77ED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-1.31453</w:t>
            </w:r>
          </w:p>
        </w:tc>
        <w:tc>
          <w:tcPr>
            <w:tcW w:w="1218" w:type="dxa"/>
            <w:tcBorders>
              <w:top w:val="nil"/>
              <w:left w:val="nil"/>
              <w:bottom w:val="single" w:sz="4" w:space="0" w:color="auto"/>
              <w:right w:val="single" w:sz="4" w:space="0" w:color="auto"/>
            </w:tcBorders>
            <w:shd w:val="clear" w:color="auto" w:fill="auto"/>
            <w:noWrap/>
            <w:vAlign w:val="bottom"/>
            <w:hideMark/>
          </w:tcPr>
          <w:p w14:paraId="29B8EA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0.788773</w:t>
            </w:r>
          </w:p>
        </w:tc>
        <w:tc>
          <w:tcPr>
            <w:tcW w:w="1218" w:type="dxa"/>
            <w:tcBorders>
              <w:top w:val="nil"/>
              <w:left w:val="nil"/>
              <w:bottom w:val="single" w:sz="4" w:space="0" w:color="auto"/>
              <w:right w:val="single" w:sz="4" w:space="0" w:color="auto"/>
            </w:tcBorders>
            <w:shd w:val="clear" w:color="auto" w:fill="auto"/>
            <w:noWrap/>
            <w:vAlign w:val="bottom"/>
            <w:hideMark/>
          </w:tcPr>
          <w:p w14:paraId="36118A1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0.351167</w:t>
            </w:r>
          </w:p>
        </w:tc>
      </w:tr>
      <w:tr w:rsidR="002027D2" w:rsidRPr="008D1712" w14:paraId="0A0ABFDF"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0780B4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2854C73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-0.75464</w:t>
            </w:r>
          </w:p>
        </w:tc>
        <w:tc>
          <w:tcPr>
            <w:tcW w:w="1218" w:type="dxa"/>
            <w:tcBorders>
              <w:top w:val="nil"/>
              <w:left w:val="nil"/>
              <w:bottom w:val="single" w:sz="4" w:space="0" w:color="auto"/>
              <w:right w:val="single" w:sz="4" w:space="0" w:color="auto"/>
            </w:tcBorders>
            <w:shd w:val="clear" w:color="auto" w:fill="auto"/>
            <w:noWrap/>
            <w:vAlign w:val="bottom"/>
            <w:hideMark/>
          </w:tcPr>
          <w:p w14:paraId="576BFD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-0.38817</w:t>
            </w:r>
          </w:p>
        </w:tc>
        <w:tc>
          <w:tcPr>
            <w:tcW w:w="1218" w:type="dxa"/>
            <w:tcBorders>
              <w:top w:val="nil"/>
              <w:left w:val="nil"/>
              <w:bottom w:val="single" w:sz="4" w:space="0" w:color="auto"/>
              <w:right w:val="single" w:sz="4" w:space="0" w:color="auto"/>
            </w:tcBorders>
            <w:shd w:val="clear" w:color="auto" w:fill="auto"/>
            <w:noWrap/>
            <w:vAlign w:val="bottom"/>
            <w:hideMark/>
          </w:tcPr>
          <w:p w14:paraId="64ED98C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-0.35653</w:t>
            </w:r>
          </w:p>
        </w:tc>
      </w:tr>
      <w:tr w:rsidR="002027D2" w:rsidRPr="008D1712" w14:paraId="78BFA1D6"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96F7C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250C927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-2.46802</w:t>
            </w:r>
          </w:p>
        </w:tc>
        <w:tc>
          <w:tcPr>
            <w:tcW w:w="1218" w:type="dxa"/>
            <w:tcBorders>
              <w:top w:val="nil"/>
              <w:left w:val="nil"/>
              <w:bottom w:val="single" w:sz="4" w:space="0" w:color="auto"/>
              <w:right w:val="single" w:sz="4" w:space="0" w:color="auto"/>
            </w:tcBorders>
            <w:shd w:val="clear" w:color="auto" w:fill="auto"/>
            <w:noWrap/>
            <w:vAlign w:val="bottom"/>
            <w:hideMark/>
          </w:tcPr>
          <w:p w14:paraId="6E5C9E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1.424972</w:t>
            </w:r>
          </w:p>
        </w:tc>
        <w:tc>
          <w:tcPr>
            <w:tcW w:w="1218" w:type="dxa"/>
            <w:tcBorders>
              <w:top w:val="nil"/>
              <w:left w:val="nil"/>
              <w:bottom w:val="single" w:sz="4" w:space="0" w:color="auto"/>
              <w:right w:val="single" w:sz="4" w:space="0" w:color="auto"/>
            </w:tcBorders>
            <w:shd w:val="clear" w:color="auto" w:fill="auto"/>
            <w:noWrap/>
            <w:vAlign w:val="bottom"/>
            <w:hideMark/>
          </w:tcPr>
          <w:p w14:paraId="722B0DD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0.830231</w:t>
            </w:r>
          </w:p>
        </w:tc>
      </w:tr>
      <w:tr w:rsidR="002027D2" w:rsidRPr="008D1712" w14:paraId="4916464A"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6AB084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10E1BD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-3.84758</w:t>
            </w:r>
          </w:p>
        </w:tc>
        <w:tc>
          <w:tcPr>
            <w:tcW w:w="1218" w:type="dxa"/>
            <w:tcBorders>
              <w:top w:val="nil"/>
              <w:left w:val="nil"/>
              <w:bottom w:val="single" w:sz="4" w:space="0" w:color="auto"/>
              <w:right w:val="single" w:sz="4" w:space="0" w:color="auto"/>
            </w:tcBorders>
            <w:shd w:val="clear" w:color="auto" w:fill="auto"/>
            <w:noWrap/>
            <w:vAlign w:val="bottom"/>
            <w:hideMark/>
          </w:tcPr>
          <w:p w14:paraId="3F2611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1.392675</w:t>
            </w:r>
          </w:p>
        </w:tc>
        <w:tc>
          <w:tcPr>
            <w:tcW w:w="1218" w:type="dxa"/>
            <w:tcBorders>
              <w:top w:val="nil"/>
              <w:left w:val="nil"/>
              <w:bottom w:val="single" w:sz="4" w:space="0" w:color="auto"/>
              <w:right w:val="single" w:sz="4" w:space="0" w:color="auto"/>
            </w:tcBorders>
            <w:shd w:val="clear" w:color="auto" w:fill="auto"/>
            <w:noWrap/>
            <w:vAlign w:val="bottom"/>
            <w:hideMark/>
          </w:tcPr>
          <w:p w14:paraId="327EE4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0.58962</w:t>
            </w:r>
          </w:p>
        </w:tc>
      </w:tr>
      <w:tr w:rsidR="002027D2" w:rsidRPr="008D1712" w14:paraId="3F3EE9EA"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76934F2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0C4FCB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-4.82358</w:t>
            </w:r>
          </w:p>
        </w:tc>
        <w:tc>
          <w:tcPr>
            <w:tcW w:w="1218" w:type="dxa"/>
            <w:tcBorders>
              <w:top w:val="nil"/>
              <w:left w:val="nil"/>
              <w:bottom w:val="single" w:sz="4" w:space="0" w:color="auto"/>
              <w:right w:val="single" w:sz="4" w:space="0" w:color="auto"/>
            </w:tcBorders>
            <w:shd w:val="clear" w:color="auto" w:fill="auto"/>
            <w:noWrap/>
            <w:vAlign w:val="bottom"/>
            <w:hideMark/>
          </w:tcPr>
          <w:p w14:paraId="6C4978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2.166005</w:t>
            </w:r>
          </w:p>
        </w:tc>
        <w:tc>
          <w:tcPr>
            <w:tcW w:w="1218" w:type="dxa"/>
            <w:tcBorders>
              <w:top w:val="nil"/>
              <w:left w:val="nil"/>
              <w:bottom w:val="single" w:sz="4" w:space="0" w:color="auto"/>
              <w:right w:val="single" w:sz="4" w:space="0" w:color="auto"/>
            </w:tcBorders>
            <w:shd w:val="clear" w:color="auto" w:fill="auto"/>
            <w:noWrap/>
            <w:vAlign w:val="bottom"/>
            <w:hideMark/>
          </w:tcPr>
          <w:p w14:paraId="598E32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1.496945</w:t>
            </w:r>
          </w:p>
        </w:tc>
      </w:tr>
      <w:tr w:rsidR="002027D2" w:rsidRPr="008D1712" w14:paraId="54A093AC"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6BA085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083CFAB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-6.15606</w:t>
            </w:r>
          </w:p>
        </w:tc>
        <w:tc>
          <w:tcPr>
            <w:tcW w:w="1218" w:type="dxa"/>
            <w:tcBorders>
              <w:top w:val="nil"/>
              <w:left w:val="nil"/>
              <w:bottom w:val="single" w:sz="4" w:space="0" w:color="auto"/>
              <w:right w:val="single" w:sz="4" w:space="0" w:color="auto"/>
            </w:tcBorders>
            <w:shd w:val="clear" w:color="auto" w:fill="auto"/>
            <w:noWrap/>
            <w:vAlign w:val="bottom"/>
            <w:hideMark/>
          </w:tcPr>
          <w:p w14:paraId="266AAF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1.905238</w:t>
            </w:r>
          </w:p>
        </w:tc>
        <w:tc>
          <w:tcPr>
            <w:tcW w:w="1218" w:type="dxa"/>
            <w:tcBorders>
              <w:top w:val="nil"/>
              <w:left w:val="nil"/>
              <w:bottom w:val="single" w:sz="4" w:space="0" w:color="auto"/>
              <w:right w:val="single" w:sz="4" w:space="0" w:color="auto"/>
            </w:tcBorders>
            <w:shd w:val="clear" w:color="auto" w:fill="auto"/>
            <w:noWrap/>
            <w:vAlign w:val="bottom"/>
            <w:hideMark/>
          </w:tcPr>
          <w:p w14:paraId="65E9C7B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0.821446</w:t>
            </w:r>
          </w:p>
        </w:tc>
      </w:tr>
      <w:tr w:rsidR="002027D2" w:rsidRPr="008D1712" w14:paraId="1CDEDB54"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F4E0A8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5FF767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-5.94461</w:t>
            </w:r>
          </w:p>
        </w:tc>
        <w:tc>
          <w:tcPr>
            <w:tcW w:w="1218" w:type="dxa"/>
            <w:tcBorders>
              <w:top w:val="nil"/>
              <w:left w:val="nil"/>
              <w:bottom w:val="single" w:sz="4" w:space="0" w:color="auto"/>
              <w:right w:val="single" w:sz="4" w:space="0" w:color="auto"/>
            </w:tcBorders>
            <w:shd w:val="clear" w:color="auto" w:fill="auto"/>
            <w:noWrap/>
            <w:vAlign w:val="bottom"/>
            <w:hideMark/>
          </w:tcPr>
          <w:p w14:paraId="31415D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1.12629</w:t>
            </w:r>
          </w:p>
        </w:tc>
        <w:tc>
          <w:tcPr>
            <w:tcW w:w="1218" w:type="dxa"/>
            <w:tcBorders>
              <w:top w:val="nil"/>
              <w:left w:val="nil"/>
              <w:bottom w:val="single" w:sz="4" w:space="0" w:color="auto"/>
              <w:right w:val="single" w:sz="4" w:space="0" w:color="auto"/>
            </w:tcBorders>
            <w:shd w:val="clear" w:color="auto" w:fill="auto"/>
            <w:noWrap/>
            <w:vAlign w:val="bottom"/>
            <w:hideMark/>
          </w:tcPr>
          <w:p w14:paraId="33A6B0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-0.32899</w:t>
            </w:r>
          </w:p>
        </w:tc>
      </w:tr>
      <w:tr w:rsidR="002027D2" w:rsidRPr="008D1712" w14:paraId="6B4D88A5"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C90ED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218" w:type="dxa"/>
            <w:tcBorders>
              <w:top w:val="nil"/>
              <w:left w:val="nil"/>
              <w:bottom w:val="single" w:sz="4" w:space="0" w:color="auto"/>
              <w:right w:val="single" w:sz="4" w:space="0" w:color="auto"/>
            </w:tcBorders>
            <w:shd w:val="clear" w:color="auto" w:fill="auto"/>
            <w:noWrap/>
            <w:vAlign w:val="bottom"/>
            <w:hideMark/>
          </w:tcPr>
          <w:p w14:paraId="4F0075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-4.56196</w:t>
            </w:r>
          </w:p>
        </w:tc>
        <w:tc>
          <w:tcPr>
            <w:tcW w:w="1218" w:type="dxa"/>
            <w:tcBorders>
              <w:top w:val="nil"/>
              <w:left w:val="nil"/>
              <w:bottom w:val="single" w:sz="4" w:space="0" w:color="auto"/>
              <w:right w:val="single" w:sz="4" w:space="0" w:color="auto"/>
            </w:tcBorders>
            <w:shd w:val="clear" w:color="auto" w:fill="auto"/>
            <w:noWrap/>
            <w:vAlign w:val="bottom"/>
            <w:hideMark/>
          </w:tcPr>
          <w:p w14:paraId="5FBB6F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0.806175</w:t>
            </w:r>
          </w:p>
        </w:tc>
        <w:tc>
          <w:tcPr>
            <w:tcW w:w="1218" w:type="dxa"/>
            <w:tcBorders>
              <w:top w:val="nil"/>
              <w:left w:val="nil"/>
              <w:bottom w:val="single" w:sz="4" w:space="0" w:color="auto"/>
              <w:right w:val="single" w:sz="4" w:space="0" w:color="auto"/>
            </w:tcBorders>
            <w:shd w:val="clear" w:color="auto" w:fill="auto"/>
            <w:noWrap/>
            <w:vAlign w:val="bottom"/>
            <w:hideMark/>
          </w:tcPr>
          <w:p w14:paraId="34C100E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-0.42572</w:t>
            </w:r>
          </w:p>
        </w:tc>
      </w:tr>
      <w:tr w:rsidR="002027D2" w:rsidRPr="008D1712" w14:paraId="01C93BDF"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88008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218" w:type="dxa"/>
            <w:tcBorders>
              <w:top w:val="nil"/>
              <w:left w:val="nil"/>
              <w:bottom w:val="single" w:sz="4" w:space="0" w:color="auto"/>
              <w:right w:val="single" w:sz="4" w:space="0" w:color="auto"/>
            </w:tcBorders>
            <w:shd w:val="clear" w:color="auto" w:fill="auto"/>
            <w:noWrap/>
            <w:vAlign w:val="bottom"/>
            <w:hideMark/>
          </w:tcPr>
          <w:p w14:paraId="02C543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-1.21837</w:t>
            </w:r>
          </w:p>
        </w:tc>
        <w:tc>
          <w:tcPr>
            <w:tcW w:w="1218" w:type="dxa"/>
            <w:tcBorders>
              <w:top w:val="nil"/>
              <w:left w:val="nil"/>
              <w:bottom w:val="single" w:sz="4" w:space="0" w:color="auto"/>
              <w:right w:val="single" w:sz="4" w:space="0" w:color="auto"/>
            </w:tcBorders>
            <w:shd w:val="clear" w:color="auto" w:fill="auto"/>
            <w:noWrap/>
            <w:vAlign w:val="bottom"/>
            <w:hideMark/>
          </w:tcPr>
          <w:p w14:paraId="64CE24D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-1.44711</w:t>
            </w:r>
          </w:p>
        </w:tc>
        <w:tc>
          <w:tcPr>
            <w:tcW w:w="1218" w:type="dxa"/>
            <w:tcBorders>
              <w:top w:val="nil"/>
              <w:left w:val="nil"/>
              <w:bottom w:val="single" w:sz="4" w:space="0" w:color="auto"/>
              <w:right w:val="single" w:sz="4" w:space="0" w:color="auto"/>
            </w:tcBorders>
            <w:shd w:val="clear" w:color="auto" w:fill="auto"/>
            <w:noWrap/>
            <w:vAlign w:val="bottom"/>
            <w:hideMark/>
          </w:tcPr>
          <w:p w14:paraId="536917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-0.8494</w:t>
            </w:r>
          </w:p>
        </w:tc>
      </w:tr>
      <w:tr w:rsidR="002027D2" w:rsidRPr="008D1712" w14:paraId="7F71087B"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00A85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218" w:type="dxa"/>
            <w:tcBorders>
              <w:top w:val="nil"/>
              <w:left w:val="nil"/>
              <w:bottom w:val="single" w:sz="4" w:space="0" w:color="auto"/>
              <w:right w:val="single" w:sz="4" w:space="0" w:color="auto"/>
            </w:tcBorders>
            <w:shd w:val="clear" w:color="auto" w:fill="auto"/>
            <w:noWrap/>
            <w:vAlign w:val="bottom"/>
            <w:hideMark/>
          </w:tcPr>
          <w:p w14:paraId="4E9DF4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0.524718</w:t>
            </w:r>
          </w:p>
        </w:tc>
        <w:tc>
          <w:tcPr>
            <w:tcW w:w="1218" w:type="dxa"/>
            <w:tcBorders>
              <w:top w:val="nil"/>
              <w:left w:val="nil"/>
              <w:bottom w:val="single" w:sz="4" w:space="0" w:color="auto"/>
              <w:right w:val="single" w:sz="4" w:space="0" w:color="auto"/>
            </w:tcBorders>
            <w:shd w:val="clear" w:color="auto" w:fill="auto"/>
            <w:noWrap/>
            <w:vAlign w:val="bottom"/>
            <w:hideMark/>
          </w:tcPr>
          <w:p w14:paraId="1CC146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2.204687</w:t>
            </w:r>
          </w:p>
        </w:tc>
        <w:tc>
          <w:tcPr>
            <w:tcW w:w="1218" w:type="dxa"/>
            <w:tcBorders>
              <w:top w:val="nil"/>
              <w:left w:val="nil"/>
              <w:bottom w:val="single" w:sz="4" w:space="0" w:color="auto"/>
              <w:right w:val="single" w:sz="4" w:space="0" w:color="auto"/>
            </w:tcBorders>
            <w:shd w:val="clear" w:color="auto" w:fill="auto"/>
            <w:noWrap/>
            <w:vAlign w:val="bottom"/>
            <w:hideMark/>
          </w:tcPr>
          <w:p w14:paraId="3DB5B8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1.267244</w:t>
            </w:r>
          </w:p>
        </w:tc>
      </w:tr>
      <w:tr w:rsidR="002027D2" w:rsidRPr="008D1712" w14:paraId="4E2DC062"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E5F63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1C7ADE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-4.50243</w:t>
            </w:r>
          </w:p>
        </w:tc>
        <w:tc>
          <w:tcPr>
            <w:tcW w:w="1218" w:type="dxa"/>
            <w:tcBorders>
              <w:top w:val="nil"/>
              <w:left w:val="nil"/>
              <w:bottom w:val="single" w:sz="4" w:space="0" w:color="auto"/>
              <w:right w:val="single" w:sz="4" w:space="0" w:color="auto"/>
            </w:tcBorders>
            <w:shd w:val="clear" w:color="auto" w:fill="auto"/>
            <w:noWrap/>
            <w:vAlign w:val="bottom"/>
            <w:hideMark/>
          </w:tcPr>
          <w:p w14:paraId="30AE43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3.683659</w:t>
            </w:r>
          </w:p>
        </w:tc>
        <w:tc>
          <w:tcPr>
            <w:tcW w:w="1218" w:type="dxa"/>
            <w:tcBorders>
              <w:top w:val="nil"/>
              <w:left w:val="nil"/>
              <w:bottom w:val="single" w:sz="4" w:space="0" w:color="auto"/>
              <w:right w:val="single" w:sz="4" w:space="0" w:color="auto"/>
            </w:tcBorders>
            <w:shd w:val="clear" w:color="auto" w:fill="auto"/>
            <w:noWrap/>
            <w:vAlign w:val="bottom"/>
            <w:hideMark/>
          </w:tcPr>
          <w:p w14:paraId="286538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1.502955</w:t>
            </w:r>
          </w:p>
        </w:tc>
      </w:tr>
      <w:tr w:rsidR="002027D2" w:rsidRPr="008D1712" w14:paraId="0B6065CF"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C3A44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25CCE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-4.77885</w:t>
            </w:r>
          </w:p>
        </w:tc>
        <w:tc>
          <w:tcPr>
            <w:tcW w:w="1218" w:type="dxa"/>
            <w:tcBorders>
              <w:top w:val="nil"/>
              <w:left w:val="nil"/>
              <w:bottom w:val="single" w:sz="4" w:space="0" w:color="auto"/>
              <w:right w:val="single" w:sz="4" w:space="0" w:color="auto"/>
            </w:tcBorders>
            <w:shd w:val="clear" w:color="auto" w:fill="auto"/>
            <w:noWrap/>
            <w:vAlign w:val="bottom"/>
            <w:hideMark/>
          </w:tcPr>
          <w:p w14:paraId="6D6B83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1.61045</w:t>
            </w:r>
          </w:p>
        </w:tc>
        <w:tc>
          <w:tcPr>
            <w:tcW w:w="1218" w:type="dxa"/>
            <w:tcBorders>
              <w:top w:val="nil"/>
              <w:left w:val="nil"/>
              <w:bottom w:val="single" w:sz="4" w:space="0" w:color="auto"/>
              <w:right w:val="single" w:sz="4" w:space="0" w:color="auto"/>
            </w:tcBorders>
            <w:shd w:val="clear" w:color="auto" w:fill="auto"/>
            <w:noWrap/>
            <w:vAlign w:val="bottom"/>
            <w:hideMark/>
          </w:tcPr>
          <w:p w14:paraId="508EA51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2.942907</w:t>
            </w:r>
          </w:p>
        </w:tc>
      </w:tr>
      <w:tr w:rsidR="002027D2" w:rsidRPr="008D1712" w14:paraId="24E8BB55"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0C2E72B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6CF4B3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-7.44308</w:t>
            </w:r>
          </w:p>
        </w:tc>
        <w:tc>
          <w:tcPr>
            <w:tcW w:w="1218" w:type="dxa"/>
            <w:tcBorders>
              <w:top w:val="nil"/>
              <w:left w:val="nil"/>
              <w:bottom w:val="single" w:sz="4" w:space="0" w:color="auto"/>
              <w:right w:val="single" w:sz="4" w:space="0" w:color="auto"/>
            </w:tcBorders>
            <w:shd w:val="clear" w:color="auto" w:fill="auto"/>
            <w:noWrap/>
            <w:vAlign w:val="bottom"/>
            <w:hideMark/>
          </w:tcPr>
          <w:p w14:paraId="02A54B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2.342068</w:t>
            </w:r>
          </w:p>
        </w:tc>
        <w:tc>
          <w:tcPr>
            <w:tcW w:w="1218" w:type="dxa"/>
            <w:tcBorders>
              <w:top w:val="nil"/>
              <w:left w:val="nil"/>
              <w:bottom w:val="single" w:sz="4" w:space="0" w:color="auto"/>
              <w:right w:val="single" w:sz="4" w:space="0" w:color="auto"/>
            </w:tcBorders>
            <w:shd w:val="clear" w:color="auto" w:fill="auto"/>
            <w:noWrap/>
            <w:vAlign w:val="bottom"/>
            <w:hideMark/>
          </w:tcPr>
          <w:p w14:paraId="1A4D5C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1.137031</w:t>
            </w:r>
          </w:p>
        </w:tc>
      </w:tr>
      <w:tr w:rsidR="002027D2" w:rsidRPr="008D1712" w14:paraId="5CA51256"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0F6760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0BF2D5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-6.98313</w:t>
            </w:r>
          </w:p>
        </w:tc>
        <w:tc>
          <w:tcPr>
            <w:tcW w:w="1218" w:type="dxa"/>
            <w:tcBorders>
              <w:top w:val="nil"/>
              <w:left w:val="nil"/>
              <w:bottom w:val="single" w:sz="4" w:space="0" w:color="auto"/>
              <w:right w:val="single" w:sz="4" w:space="0" w:color="auto"/>
            </w:tcBorders>
            <w:shd w:val="clear" w:color="auto" w:fill="auto"/>
            <w:noWrap/>
            <w:vAlign w:val="bottom"/>
            <w:hideMark/>
          </w:tcPr>
          <w:p w14:paraId="7DF6A27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0.792062</w:t>
            </w:r>
          </w:p>
        </w:tc>
        <w:tc>
          <w:tcPr>
            <w:tcW w:w="1218" w:type="dxa"/>
            <w:tcBorders>
              <w:top w:val="nil"/>
              <w:left w:val="nil"/>
              <w:bottom w:val="single" w:sz="4" w:space="0" w:color="auto"/>
              <w:right w:val="single" w:sz="4" w:space="0" w:color="auto"/>
            </w:tcBorders>
            <w:shd w:val="clear" w:color="auto" w:fill="auto"/>
            <w:noWrap/>
            <w:vAlign w:val="bottom"/>
            <w:hideMark/>
          </w:tcPr>
          <w:p w14:paraId="79C383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-1.20842</w:t>
            </w:r>
          </w:p>
        </w:tc>
      </w:tr>
      <w:tr w:rsidR="002027D2" w:rsidRPr="008D1712" w14:paraId="24FE9A78"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3BD61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535654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-8.27493</w:t>
            </w:r>
          </w:p>
        </w:tc>
        <w:tc>
          <w:tcPr>
            <w:tcW w:w="1218" w:type="dxa"/>
            <w:tcBorders>
              <w:top w:val="nil"/>
              <w:left w:val="nil"/>
              <w:bottom w:val="single" w:sz="4" w:space="0" w:color="auto"/>
              <w:right w:val="single" w:sz="4" w:space="0" w:color="auto"/>
            </w:tcBorders>
            <w:shd w:val="clear" w:color="auto" w:fill="auto"/>
            <w:noWrap/>
            <w:vAlign w:val="bottom"/>
            <w:hideMark/>
          </w:tcPr>
          <w:p w14:paraId="31F54AA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1.243051</w:t>
            </w:r>
          </w:p>
        </w:tc>
        <w:tc>
          <w:tcPr>
            <w:tcW w:w="1218" w:type="dxa"/>
            <w:tcBorders>
              <w:top w:val="nil"/>
              <w:left w:val="nil"/>
              <w:bottom w:val="single" w:sz="4" w:space="0" w:color="auto"/>
              <w:right w:val="single" w:sz="4" w:space="0" w:color="auto"/>
            </w:tcBorders>
            <w:shd w:val="clear" w:color="auto" w:fill="auto"/>
            <w:noWrap/>
            <w:vAlign w:val="bottom"/>
            <w:hideMark/>
          </w:tcPr>
          <w:p w14:paraId="2A3DEE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-0.88069</w:t>
            </w:r>
          </w:p>
        </w:tc>
      </w:tr>
      <w:tr w:rsidR="002027D2" w:rsidRPr="008D1712" w14:paraId="445C01F7"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678B4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6FAABF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-8.50718</w:t>
            </w:r>
          </w:p>
        </w:tc>
        <w:tc>
          <w:tcPr>
            <w:tcW w:w="1218" w:type="dxa"/>
            <w:tcBorders>
              <w:top w:val="nil"/>
              <w:left w:val="nil"/>
              <w:bottom w:val="single" w:sz="4" w:space="0" w:color="auto"/>
              <w:right w:val="single" w:sz="4" w:space="0" w:color="auto"/>
            </w:tcBorders>
            <w:shd w:val="clear" w:color="auto" w:fill="auto"/>
            <w:noWrap/>
            <w:vAlign w:val="bottom"/>
            <w:hideMark/>
          </w:tcPr>
          <w:p w14:paraId="04939B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1.9984</w:t>
            </w:r>
          </w:p>
        </w:tc>
        <w:tc>
          <w:tcPr>
            <w:tcW w:w="1218" w:type="dxa"/>
            <w:tcBorders>
              <w:top w:val="nil"/>
              <w:left w:val="nil"/>
              <w:bottom w:val="single" w:sz="4" w:space="0" w:color="auto"/>
              <w:right w:val="single" w:sz="4" w:space="0" w:color="auto"/>
            </w:tcBorders>
            <w:shd w:val="clear" w:color="auto" w:fill="auto"/>
            <w:noWrap/>
            <w:vAlign w:val="bottom"/>
            <w:hideMark/>
          </w:tcPr>
          <w:p w14:paraId="2DD0F5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0.281031</w:t>
            </w:r>
          </w:p>
        </w:tc>
      </w:tr>
      <w:tr w:rsidR="002027D2" w:rsidRPr="008D1712" w14:paraId="37BF711B"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8C4496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3D40EB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-4.01155</w:t>
            </w:r>
          </w:p>
        </w:tc>
        <w:tc>
          <w:tcPr>
            <w:tcW w:w="1218" w:type="dxa"/>
            <w:tcBorders>
              <w:top w:val="nil"/>
              <w:left w:val="nil"/>
              <w:bottom w:val="single" w:sz="4" w:space="0" w:color="auto"/>
              <w:right w:val="single" w:sz="4" w:space="0" w:color="auto"/>
            </w:tcBorders>
            <w:shd w:val="clear" w:color="auto" w:fill="auto"/>
            <w:noWrap/>
            <w:vAlign w:val="bottom"/>
            <w:hideMark/>
          </w:tcPr>
          <w:p w14:paraId="7E8839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0.091818</w:t>
            </w:r>
          </w:p>
        </w:tc>
        <w:tc>
          <w:tcPr>
            <w:tcW w:w="1218" w:type="dxa"/>
            <w:tcBorders>
              <w:top w:val="nil"/>
              <w:left w:val="nil"/>
              <w:bottom w:val="single" w:sz="4" w:space="0" w:color="auto"/>
              <w:right w:val="single" w:sz="4" w:space="0" w:color="auto"/>
            </w:tcBorders>
            <w:shd w:val="clear" w:color="auto" w:fill="auto"/>
            <w:noWrap/>
            <w:vAlign w:val="bottom"/>
            <w:hideMark/>
          </w:tcPr>
          <w:p w14:paraId="4B2078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-1.57559</w:t>
            </w:r>
          </w:p>
        </w:tc>
      </w:tr>
      <w:tr w:rsidR="002027D2" w:rsidRPr="008D1712" w14:paraId="094849EA"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662E5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5B06D2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-4.40316</w:t>
            </w:r>
          </w:p>
        </w:tc>
        <w:tc>
          <w:tcPr>
            <w:tcW w:w="1218" w:type="dxa"/>
            <w:tcBorders>
              <w:top w:val="nil"/>
              <w:left w:val="nil"/>
              <w:bottom w:val="single" w:sz="4" w:space="0" w:color="auto"/>
              <w:right w:val="single" w:sz="4" w:space="0" w:color="auto"/>
            </w:tcBorders>
            <w:shd w:val="clear" w:color="auto" w:fill="auto"/>
            <w:noWrap/>
            <w:vAlign w:val="bottom"/>
            <w:hideMark/>
          </w:tcPr>
          <w:p w14:paraId="2FD468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-1.40386</w:t>
            </w:r>
          </w:p>
        </w:tc>
        <w:tc>
          <w:tcPr>
            <w:tcW w:w="1218" w:type="dxa"/>
            <w:tcBorders>
              <w:top w:val="nil"/>
              <w:left w:val="nil"/>
              <w:bottom w:val="single" w:sz="4" w:space="0" w:color="auto"/>
              <w:right w:val="single" w:sz="4" w:space="0" w:color="auto"/>
            </w:tcBorders>
            <w:shd w:val="clear" w:color="auto" w:fill="auto"/>
            <w:noWrap/>
            <w:vAlign w:val="bottom"/>
            <w:hideMark/>
          </w:tcPr>
          <w:p w14:paraId="02BC34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-1.64521</w:t>
            </w:r>
          </w:p>
        </w:tc>
      </w:tr>
      <w:tr w:rsidR="002027D2" w:rsidRPr="008D1712" w14:paraId="130E710C"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5483E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2F88D6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-4.12872</w:t>
            </w:r>
          </w:p>
        </w:tc>
        <w:tc>
          <w:tcPr>
            <w:tcW w:w="1218" w:type="dxa"/>
            <w:tcBorders>
              <w:top w:val="nil"/>
              <w:left w:val="nil"/>
              <w:bottom w:val="single" w:sz="4" w:space="0" w:color="auto"/>
              <w:right w:val="single" w:sz="4" w:space="0" w:color="auto"/>
            </w:tcBorders>
            <w:shd w:val="clear" w:color="auto" w:fill="auto"/>
            <w:noWrap/>
            <w:vAlign w:val="bottom"/>
            <w:hideMark/>
          </w:tcPr>
          <w:p w14:paraId="2F8ADB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-2.08963</w:t>
            </w:r>
          </w:p>
        </w:tc>
        <w:tc>
          <w:tcPr>
            <w:tcW w:w="1218" w:type="dxa"/>
            <w:tcBorders>
              <w:top w:val="nil"/>
              <w:left w:val="nil"/>
              <w:bottom w:val="single" w:sz="4" w:space="0" w:color="auto"/>
              <w:right w:val="single" w:sz="4" w:space="0" w:color="auto"/>
            </w:tcBorders>
            <w:shd w:val="clear" w:color="auto" w:fill="auto"/>
            <w:noWrap/>
            <w:vAlign w:val="bottom"/>
            <w:hideMark/>
          </w:tcPr>
          <w:p w14:paraId="7D2517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-0.30902</w:t>
            </w:r>
          </w:p>
        </w:tc>
      </w:tr>
      <w:tr w:rsidR="002027D2" w:rsidRPr="008D1712" w14:paraId="144536CB"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C138E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218" w:type="dxa"/>
            <w:tcBorders>
              <w:top w:val="nil"/>
              <w:left w:val="nil"/>
              <w:bottom w:val="single" w:sz="4" w:space="0" w:color="auto"/>
              <w:right w:val="single" w:sz="4" w:space="0" w:color="auto"/>
            </w:tcBorders>
            <w:shd w:val="clear" w:color="auto" w:fill="auto"/>
            <w:noWrap/>
            <w:vAlign w:val="bottom"/>
            <w:hideMark/>
          </w:tcPr>
          <w:p w14:paraId="05483C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-4.12906</w:t>
            </w:r>
          </w:p>
        </w:tc>
        <w:tc>
          <w:tcPr>
            <w:tcW w:w="1218" w:type="dxa"/>
            <w:tcBorders>
              <w:top w:val="nil"/>
              <w:left w:val="nil"/>
              <w:bottom w:val="single" w:sz="4" w:space="0" w:color="auto"/>
              <w:right w:val="single" w:sz="4" w:space="0" w:color="auto"/>
            </w:tcBorders>
            <w:shd w:val="clear" w:color="auto" w:fill="auto"/>
            <w:noWrap/>
            <w:vAlign w:val="bottom"/>
            <w:hideMark/>
          </w:tcPr>
          <w:p w14:paraId="3F5264B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-3.62256</w:t>
            </w:r>
          </w:p>
        </w:tc>
        <w:tc>
          <w:tcPr>
            <w:tcW w:w="1218" w:type="dxa"/>
            <w:tcBorders>
              <w:top w:val="nil"/>
              <w:left w:val="nil"/>
              <w:bottom w:val="single" w:sz="4" w:space="0" w:color="auto"/>
              <w:right w:val="single" w:sz="4" w:space="0" w:color="auto"/>
            </w:tcBorders>
            <w:shd w:val="clear" w:color="auto" w:fill="auto"/>
            <w:noWrap/>
            <w:vAlign w:val="bottom"/>
            <w:hideMark/>
          </w:tcPr>
          <w:p w14:paraId="56EE6FD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-0.34916</w:t>
            </w:r>
          </w:p>
        </w:tc>
      </w:tr>
      <w:tr w:rsidR="002027D2" w:rsidRPr="008D1712" w14:paraId="702722AC"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E53B9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2CF6AC3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-5.47683</w:t>
            </w:r>
          </w:p>
        </w:tc>
        <w:tc>
          <w:tcPr>
            <w:tcW w:w="1218" w:type="dxa"/>
            <w:tcBorders>
              <w:top w:val="nil"/>
              <w:left w:val="nil"/>
              <w:bottom w:val="single" w:sz="4" w:space="0" w:color="auto"/>
              <w:right w:val="single" w:sz="4" w:space="0" w:color="auto"/>
            </w:tcBorders>
            <w:shd w:val="clear" w:color="auto" w:fill="auto"/>
            <w:noWrap/>
            <w:vAlign w:val="bottom"/>
            <w:hideMark/>
          </w:tcPr>
          <w:p w14:paraId="0E3A47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-4.16194</w:t>
            </w:r>
          </w:p>
        </w:tc>
        <w:tc>
          <w:tcPr>
            <w:tcW w:w="1218" w:type="dxa"/>
            <w:tcBorders>
              <w:top w:val="nil"/>
              <w:left w:val="nil"/>
              <w:bottom w:val="single" w:sz="4" w:space="0" w:color="auto"/>
              <w:right w:val="single" w:sz="4" w:space="0" w:color="auto"/>
            </w:tcBorders>
            <w:shd w:val="clear" w:color="auto" w:fill="auto"/>
            <w:noWrap/>
            <w:vAlign w:val="bottom"/>
            <w:hideMark/>
          </w:tcPr>
          <w:p w14:paraId="6CD2DA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-0.75196</w:t>
            </w:r>
          </w:p>
        </w:tc>
      </w:tr>
      <w:tr w:rsidR="002027D2" w:rsidRPr="008D1712" w14:paraId="369B3B41"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86A24E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0B15CA7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-3.80327</w:t>
            </w:r>
          </w:p>
        </w:tc>
        <w:tc>
          <w:tcPr>
            <w:tcW w:w="1218" w:type="dxa"/>
            <w:tcBorders>
              <w:top w:val="nil"/>
              <w:left w:val="nil"/>
              <w:bottom w:val="single" w:sz="4" w:space="0" w:color="auto"/>
              <w:right w:val="single" w:sz="4" w:space="0" w:color="auto"/>
            </w:tcBorders>
            <w:shd w:val="clear" w:color="auto" w:fill="auto"/>
            <w:noWrap/>
            <w:vAlign w:val="bottom"/>
            <w:hideMark/>
          </w:tcPr>
          <w:p w14:paraId="5E0430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-4.10928</w:t>
            </w:r>
          </w:p>
        </w:tc>
        <w:tc>
          <w:tcPr>
            <w:tcW w:w="1218" w:type="dxa"/>
            <w:tcBorders>
              <w:top w:val="nil"/>
              <w:left w:val="nil"/>
              <w:bottom w:val="single" w:sz="4" w:space="0" w:color="auto"/>
              <w:right w:val="single" w:sz="4" w:space="0" w:color="auto"/>
            </w:tcBorders>
            <w:shd w:val="clear" w:color="auto" w:fill="auto"/>
            <w:noWrap/>
            <w:vAlign w:val="bottom"/>
            <w:hideMark/>
          </w:tcPr>
          <w:p w14:paraId="61D154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1.042244</w:t>
            </w:r>
          </w:p>
        </w:tc>
      </w:tr>
      <w:tr w:rsidR="002027D2" w:rsidRPr="008D1712" w14:paraId="55E73ED0"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7C3CF21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491F84F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-3.06419</w:t>
            </w:r>
          </w:p>
        </w:tc>
        <w:tc>
          <w:tcPr>
            <w:tcW w:w="1218" w:type="dxa"/>
            <w:tcBorders>
              <w:top w:val="nil"/>
              <w:left w:val="nil"/>
              <w:bottom w:val="single" w:sz="4" w:space="0" w:color="auto"/>
              <w:right w:val="single" w:sz="4" w:space="0" w:color="auto"/>
            </w:tcBorders>
            <w:shd w:val="clear" w:color="auto" w:fill="auto"/>
            <w:noWrap/>
            <w:vAlign w:val="bottom"/>
            <w:hideMark/>
          </w:tcPr>
          <w:p w14:paraId="593DBFD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-4.13276</w:t>
            </w:r>
          </w:p>
        </w:tc>
        <w:tc>
          <w:tcPr>
            <w:tcW w:w="1218" w:type="dxa"/>
            <w:tcBorders>
              <w:top w:val="nil"/>
              <w:left w:val="nil"/>
              <w:bottom w:val="single" w:sz="4" w:space="0" w:color="auto"/>
              <w:right w:val="single" w:sz="4" w:space="0" w:color="auto"/>
            </w:tcBorders>
            <w:shd w:val="clear" w:color="auto" w:fill="auto"/>
            <w:noWrap/>
            <w:vAlign w:val="bottom"/>
            <w:hideMark/>
          </w:tcPr>
          <w:p w14:paraId="30F5847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-1.297</w:t>
            </w:r>
          </w:p>
        </w:tc>
      </w:tr>
      <w:tr w:rsidR="002027D2" w:rsidRPr="008D1712" w14:paraId="025733AC"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361A8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4806E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1.802275</w:t>
            </w:r>
          </w:p>
        </w:tc>
        <w:tc>
          <w:tcPr>
            <w:tcW w:w="1218" w:type="dxa"/>
            <w:tcBorders>
              <w:top w:val="nil"/>
              <w:left w:val="nil"/>
              <w:bottom w:val="single" w:sz="4" w:space="0" w:color="auto"/>
              <w:right w:val="single" w:sz="4" w:space="0" w:color="auto"/>
            </w:tcBorders>
            <w:shd w:val="clear" w:color="auto" w:fill="auto"/>
            <w:noWrap/>
            <w:vAlign w:val="bottom"/>
            <w:hideMark/>
          </w:tcPr>
          <w:p w14:paraId="7E144B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-0.3707</w:t>
            </w:r>
          </w:p>
        </w:tc>
        <w:tc>
          <w:tcPr>
            <w:tcW w:w="1218" w:type="dxa"/>
            <w:tcBorders>
              <w:top w:val="nil"/>
              <w:left w:val="nil"/>
              <w:bottom w:val="single" w:sz="4" w:space="0" w:color="auto"/>
              <w:right w:val="single" w:sz="4" w:space="0" w:color="auto"/>
            </w:tcBorders>
            <w:shd w:val="clear" w:color="auto" w:fill="auto"/>
            <w:noWrap/>
            <w:vAlign w:val="bottom"/>
            <w:hideMark/>
          </w:tcPr>
          <w:p w14:paraId="6BA70A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-0.77087</w:t>
            </w:r>
          </w:p>
        </w:tc>
      </w:tr>
      <w:tr w:rsidR="002027D2" w:rsidRPr="008D1712" w14:paraId="4A61A818"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6665FA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1373A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3.061697</w:t>
            </w:r>
          </w:p>
        </w:tc>
        <w:tc>
          <w:tcPr>
            <w:tcW w:w="1218" w:type="dxa"/>
            <w:tcBorders>
              <w:top w:val="nil"/>
              <w:left w:val="nil"/>
              <w:bottom w:val="single" w:sz="4" w:space="0" w:color="auto"/>
              <w:right w:val="single" w:sz="4" w:space="0" w:color="auto"/>
            </w:tcBorders>
            <w:shd w:val="clear" w:color="auto" w:fill="auto"/>
            <w:noWrap/>
            <w:vAlign w:val="bottom"/>
            <w:hideMark/>
          </w:tcPr>
          <w:p w14:paraId="6EDCF5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0.202113</w:t>
            </w:r>
          </w:p>
        </w:tc>
        <w:tc>
          <w:tcPr>
            <w:tcW w:w="1218" w:type="dxa"/>
            <w:tcBorders>
              <w:top w:val="nil"/>
              <w:left w:val="nil"/>
              <w:bottom w:val="single" w:sz="4" w:space="0" w:color="auto"/>
              <w:right w:val="single" w:sz="4" w:space="0" w:color="auto"/>
            </w:tcBorders>
            <w:shd w:val="clear" w:color="auto" w:fill="auto"/>
            <w:noWrap/>
            <w:vAlign w:val="bottom"/>
            <w:hideMark/>
          </w:tcPr>
          <w:p w14:paraId="2DB3160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-0.94521</w:t>
            </w:r>
          </w:p>
        </w:tc>
      </w:tr>
      <w:tr w:rsidR="002027D2" w:rsidRPr="008D1712" w14:paraId="30C6036E"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F7A837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3A12A23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3.52847</w:t>
            </w:r>
          </w:p>
        </w:tc>
        <w:tc>
          <w:tcPr>
            <w:tcW w:w="1218" w:type="dxa"/>
            <w:tcBorders>
              <w:top w:val="nil"/>
              <w:left w:val="nil"/>
              <w:bottom w:val="single" w:sz="4" w:space="0" w:color="auto"/>
              <w:right w:val="single" w:sz="4" w:space="0" w:color="auto"/>
            </w:tcBorders>
            <w:shd w:val="clear" w:color="auto" w:fill="auto"/>
            <w:noWrap/>
            <w:vAlign w:val="bottom"/>
            <w:hideMark/>
          </w:tcPr>
          <w:p w14:paraId="77E693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1.651612</w:t>
            </w:r>
          </w:p>
        </w:tc>
        <w:tc>
          <w:tcPr>
            <w:tcW w:w="1218" w:type="dxa"/>
            <w:tcBorders>
              <w:top w:val="nil"/>
              <w:left w:val="nil"/>
              <w:bottom w:val="single" w:sz="4" w:space="0" w:color="auto"/>
              <w:right w:val="single" w:sz="4" w:space="0" w:color="auto"/>
            </w:tcBorders>
            <w:shd w:val="clear" w:color="auto" w:fill="auto"/>
            <w:noWrap/>
            <w:vAlign w:val="bottom"/>
            <w:hideMark/>
          </w:tcPr>
          <w:p w14:paraId="63A7A0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-0.70196</w:t>
            </w:r>
          </w:p>
        </w:tc>
      </w:tr>
      <w:tr w:rsidR="002027D2" w:rsidRPr="008D1712" w14:paraId="3FA863FB"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77E69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218" w:type="dxa"/>
            <w:tcBorders>
              <w:top w:val="nil"/>
              <w:left w:val="nil"/>
              <w:bottom w:val="single" w:sz="4" w:space="0" w:color="auto"/>
              <w:right w:val="single" w:sz="4" w:space="0" w:color="auto"/>
            </w:tcBorders>
            <w:shd w:val="clear" w:color="auto" w:fill="auto"/>
            <w:noWrap/>
            <w:vAlign w:val="bottom"/>
            <w:hideMark/>
          </w:tcPr>
          <w:p w14:paraId="0793EC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4.127846</w:t>
            </w:r>
          </w:p>
        </w:tc>
        <w:tc>
          <w:tcPr>
            <w:tcW w:w="1218" w:type="dxa"/>
            <w:tcBorders>
              <w:top w:val="nil"/>
              <w:left w:val="nil"/>
              <w:bottom w:val="single" w:sz="4" w:space="0" w:color="auto"/>
              <w:right w:val="single" w:sz="4" w:space="0" w:color="auto"/>
            </w:tcBorders>
            <w:shd w:val="clear" w:color="auto" w:fill="auto"/>
            <w:noWrap/>
            <w:vAlign w:val="bottom"/>
            <w:hideMark/>
          </w:tcPr>
          <w:p w14:paraId="50E40E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-0.50447</w:t>
            </w:r>
          </w:p>
        </w:tc>
        <w:tc>
          <w:tcPr>
            <w:tcW w:w="1218" w:type="dxa"/>
            <w:tcBorders>
              <w:top w:val="nil"/>
              <w:left w:val="nil"/>
              <w:bottom w:val="single" w:sz="4" w:space="0" w:color="auto"/>
              <w:right w:val="single" w:sz="4" w:space="0" w:color="auto"/>
            </w:tcBorders>
            <w:shd w:val="clear" w:color="auto" w:fill="auto"/>
            <w:noWrap/>
            <w:vAlign w:val="bottom"/>
            <w:hideMark/>
          </w:tcPr>
          <w:p w14:paraId="580129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-1.49829</w:t>
            </w:r>
          </w:p>
        </w:tc>
      </w:tr>
      <w:tr w:rsidR="002027D2" w:rsidRPr="008D1712" w14:paraId="65F0097A"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A106C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C</w:t>
            </w:r>
          </w:p>
        </w:tc>
        <w:tc>
          <w:tcPr>
            <w:tcW w:w="1218" w:type="dxa"/>
            <w:tcBorders>
              <w:top w:val="nil"/>
              <w:left w:val="nil"/>
              <w:bottom w:val="single" w:sz="4" w:space="0" w:color="auto"/>
              <w:right w:val="single" w:sz="4" w:space="0" w:color="auto"/>
            </w:tcBorders>
            <w:shd w:val="clear" w:color="auto" w:fill="auto"/>
            <w:noWrap/>
            <w:vAlign w:val="bottom"/>
            <w:hideMark/>
          </w:tcPr>
          <w:p w14:paraId="231A70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5.214319</w:t>
            </w:r>
          </w:p>
        </w:tc>
        <w:tc>
          <w:tcPr>
            <w:tcW w:w="1218" w:type="dxa"/>
            <w:tcBorders>
              <w:top w:val="nil"/>
              <w:left w:val="nil"/>
              <w:bottom w:val="single" w:sz="4" w:space="0" w:color="auto"/>
              <w:right w:val="single" w:sz="4" w:space="0" w:color="auto"/>
            </w:tcBorders>
            <w:shd w:val="clear" w:color="auto" w:fill="auto"/>
            <w:noWrap/>
            <w:vAlign w:val="bottom"/>
            <w:hideMark/>
          </w:tcPr>
          <w:p w14:paraId="486243F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0.353601</w:t>
            </w:r>
          </w:p>
        </w:tc>
        <w:tc>
          <w:tcPr>
            <w:tcW w:w="1218" w:type="dxa"/>
            <w:tcBorders>
              <w:top w:val="nil"/>
              <w:left w:val="nil"/>
              <w:bottom w:val="single" w:sz="4" w:space="0" w:color="auto"/>
              <w:right w:val="single" w:sz="4" w:space="0" w:color="auto"/>
            </w:tcBorders>
            <w:shd w:val="clear" w:color="auto" w:fill="auto"/>
            <w:noWrap/>
            <w:vAlign w:val="bottom"/>
            <w:hideMark/>
          </w:tcPr>
          <w:p w14:paraId="7CD72D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-1.79702</w:t>
            </w:r>
          </w:p>
        </w:tc>
      </w:tr>
      <w:tr w:rsidR="002027D2" w:rsidRPr="008D1712" w14:paraId="4FF6E284"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4A878B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0E2B03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4.912287</w:t>
            </w:r>
          </w:p>
        </w:tc>
        <w:tc>
          <w:tcPr>
            <w:tcW w:w="1218" w:type="dxa"/>
            <w:tcBorders>
              <w:top w:val="nil"/>
              <w:left w:val="nil"/>
              <w:bottom w:val="single" w:sz="4" w:space="0" w:color="auto"/>
              <w:right w:val="single" w:sz="4" w:space="0" w:color="auto"/>
            </w:tcBorders>
            <w:shd w:val="clear" w:color="auto" w:fill="auto"/>
            <w:noWrap/>
            <w:vAlign w:val="bottom"/>
            <w:hideMark/>
          </w:tcPr>
          <w:p w14:paraId="232A9B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1.644256</w:t>
            </w:r>
          </w:p>
        </w:tc>
        <w:tc>
          <w:tcPr>
            <w:tcW w:w="1218" w:type="dxa"/>
            <w:tcBorders>
              <w:top w:val="nil"/>
              <w:left w:val="nil"/>
              <w:bottom w:val="single" w:sz="4" w:space="0" w:color="auto"/>
              <w:right w:val="single" w:sz="4" w:space="0" w:color="auto"/>
            </w:tcBorders>
            <w:shd w:val="clear" w:color="auto" w:fill="auto"/>
            <w:noWrap/>
            <w:vAlign w:val="bottom"/>
            <w:hideMark/>
          </w:tcPr>
          <w:p w14:paraId="349B96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-1.33248</w:t>
            </w:r>
          </w:p>
        </w:tc>
      </w:tr>
      <w:tr w:rsidR="002027D2" w:rsidRPr="008D1712" w14:paraId="670AB2AE"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D5CBA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95B0F6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2.613585</w:t>
            </w:r>
          </w:p>
        </w:tc>
        <w:tc>
          <w:tcPr>
            <w:tcW w:w="1218" w:type="dxa"/>
            <w:tcBorders>
              <w:top w:val="nil"/>
              <w:left w:val="nil"/>
              <w:bottom w:val="single" w:sz="4" w:space="0" w:color="auto"/>
              <w:right w:val="single" w:sz="4" w:space="0" w:color="auto"/>
            </w:tcBorders>
            <w:shd w:val="clear" w:color="auto" w:fill="auto"/>
            <w:noWrap/>
            <w:vAlign w:val="bottom"/>
            <w:hideMark/>
          </w:tcPr>
          <w:p w14:paraId="356A5A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2.691669</w:t>
            </w:r>
          </w:p>
        </w:tc>
        <w:tc>
          <w:tcPr>
            <w:tcW w:w="1218" w:type="dxa"/>
            <w:tcBorders>
              <w:top w:val="nil"/>
              <w:left w:val="nil"/>
              <w:bottom w:val="single" w:sz="4" w:space="0" w:color="auto"/>
              <w:right w:val="single" w:sz="4" w:space="0" w:color="auto"/>
            </w:tcBorders>
            <w:shd w:val="clear" w:color="auto" w:fill="auto"/>
            <w:noWrap/>
            <w:vAlign w:val="bottom"/>
            <w:hideMark/>
          </w:tcPr>
          <w:p w14:paraId="4C294A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-1.39043</w:t>
            </w:r>
          </w:p>
        </w:tc>
      </w:tr>
      <w:tr w:rsidR="002027D2" w:rsidRPr="008D1712" w14:paraId="5E49B02B"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075B4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5EA8AB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3.636208</w:t>
            </w:r>
          </w:p>
        </w:tc>
        <w:tc>
          <w:tcPr>
            <w:tcW w:w="1218" w:type="dxa"/>
            <w:tcBorders>
              <w:top w:val="nil"/>
              <w:left w:val="nil"/>
              <w:bottom w:val="single" w:sz="4" w:space="0" w:color="auto"/>
              <w:right w:val="single" w:sz="4" w:space="0" w:color="auto"/>
            </w:tcBorders>
            <w:shd w:val="clear" w:color="auto" w:fill="auto"/>
            <w:noWrap/>
            <w:vAlign w:val="bottom"/>
            <w:hideMark/>
          </w:tcPr>
          <w:p w14:paraId="07D85F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1.945465</w:t>
            </w:r>
          </w:p>
        </w:tc>
        <w:tc>
          <w:tcPr>
            <w:tcW w:w="1218" w:type="dxa"/>
            <w:tcBorders>
              <w:top w:val="nil"/>
              <w:left w:val="nil"/>
              <w:bottom w:val="single" w:sz="4" w:space="0" w:color="auto"/>
              <w:right w:val="single" w:sz="4" w:space="0" w:color="auto"/>
            </w:tcBorders>
            <w:shd w:val="clear" w:color="auto" w:fill="auto"/>
            <w:noWrap/>
            <w:vAlign w:val="bottom"/>
            <w:hideMark/>
          </w:tcPr>
          <w:p w14:paraId="12D707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0.820602</w:t>
            </w:r>
          </w:p>
        </w:tc>
      </w:tr>
      <w:tr w:rsidR="002027D2" w:rsidRPr="008D1712" w14:paraId="453FB33D"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BF85CC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120D15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4.234973</w:t>
            </w:r>
          </w:p>
        </w:tc>
        <w:tc>
          <w:tcPr>
            <w:tcW w:w="1218" w:type="dxa"/>
            <w:tcBorders>
              <w:top w:val="nil"/>
              <w:left w:val="nil"/>
              <w:bottom w:val="single" w:sz="4" w:space="0" w:color="auto"/>
              <w:right w:val="single" w:sz="4" w:space="0" w:color="auto"/>
            </w:tcBorders>
            <w:shd w:val="clear" w:color="auto" w:fill="auto"/>
            <w:noWrap/>
            <w:vAlign w:val="bottom"/>
            <w:hideMark/>
          </w:tcPr>
          <w:p w14:paraId="1B116B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-1.95118</w:t>
            </w:r>
          </w:p>
        </w:tc>
        <w:tc>
          <w:tcPr>
            <w:tcW w:w="1218" w:type="dxa"/>
            <w:tcBorders>
              <w:top w:val="nil"/>
              <w:left w:val="nil"/>
              <w:bottom w:val="single" w:sz="4" w:space="0" w:color="auto"/>
              <w:right w:val="single" w:sz="4" w:space="0" w:color="auto"/>
            </w:tcBorders>
            <w:shd w:val="clear" w:color="auto" w:fill="auto"/>
            <w:noWrap/>
            <w:vAlign w:val="bottom"/>
            <w:hideMark/>
          </w:tcPr>
          <w:p w14:paraId="0663FF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-1.6218</w:t>
            </w:r>
          </w:p>
        </w:tc>
      </w:tr>
      <w:tr w:rsidR="002027D2" w:rsidRPr="008D1712" w14:paraId="6B45DCD9"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7CBF6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26C0BB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5.306183</w:t>
            </w:r>
          </w:p>
        </w:tc>
        <w:tc>
          <w:tcPr>
            <w:tcW w:w="1218" w:type="dxa"/>
            <w:tcBorders>
              <w:top w:val="nil"/>
              <w:left w:val="nil"/>
              <w:bottom w:val="single" w:sz="4" w:space="0" w:color="auto"/>
              <w:right w:val="single" w:sz="4" w:space="0" w:color="auto"/>
            </w:tcBorders>
            <w:shd w:val="clear" w:color="auto" w:fill="auto"/>
            <w:noWrap/>
            <w:vAlign w:val="bottom"/>
            <w:hideMark/>
          </w:tcPr>
          <w:p w14:paraId="4AE60E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-2.5541</w:t>
            </w:r>
          </w:p>
        </w:tc>
        <w:tc>
          <w:tcPr>
            <w:tcW w:w="1218" w:type="dxa"/>
            <w:tcBorders>
              <w:top w:val="nil"/>
              <w:left w:val="nil"/>
              <w:bottom w:val="single" w:sz="4" w:space="0" w:color="auto"/>
              <w:right w:val="single" w:sz="4" w:space="0" w:color="auto"/>
            </w:tcBorders>
            <w:shd w:val="clear" w:color="auto" w:fill="auto"/>
            <w:noWrap/>
            <w:vAlign w:val="bottom"/>
            <w:hideMark/>
          </w:tcPr>
          <w:p w14:paraId="76D52D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-0.67026</w:t>
            </w:r>
          </w:p>
        </w:tc>
      </w:tr>
      <w:tr w:rsidR="002027D2" w:rsidRPr="008D1712" w14:paraId="1A0EFBDD"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7236680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2C4247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5.032515</w:t>
            </w:r>
          </w:p>
        </w:tc>
        <w:tc>
          <w:tcPr>
            <w:tcW w:w="1218" w:type="dxa"/>
            <w:tcBorders>
              <w:top w:val="nil"/>
              <w:left w:val="nil"/>
              <w:bottom w:val="single" w:sz="4" w:space="0" w:color="auto"/>
              <w:right w:val="single" w:sz="4" w:space="0" w:color="auto"/>
            </w:tcBorders>
            <w:shd w:val="clear" w:color="auto" w:fill="auto"/>
            <w:noWrap/>
            <w:vAlign w:val="bottom"/>
            <w:hideMark/>
          </w:tcPr>
          <w:p w14:paraId="05BF2F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-2.18496</w:t>
            </w:r>
          </w:p>
        </w:tc>
        <w:tc>
          <w:tcPr>
            <w:tcW w:w="1218" w:type="dxa"/>
            <w:tcBorders>
              <w:top w:val="nil"/>
              <w:left w:val="nil"/>
              <w:bottom w:val="single" w:sz="4" w:space="0" w:color="auto"/>
              <w:right w:val="single" w:sz="4" w:space="0" w:color="auto"/>
            </w:tcBorders>
            <w:shd w:val="clear" w:color="auto" w:fill="auto"/>
            <w:noWrap/>
            <w:vAlign w:val="bottom"/>
            <w:hideMark/>
          </w:tcPr>
          <w:p w14:paraId="127B2A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0.789737</w:t>
            </w:r>
          </w:p>
        </w:tc>
      </w:tr>
      <w:tr w:rsidR="002027D2" w:rsidRPr="008D1712" w14:paraId="7D5897BD"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BE101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218" w:type="dxa"/>
            <w:tcBorders>
              <w:top w:val="nil"/>
              <w:left w:val="nil"/>
              <w:bottom w:val="single" w:sz="4" w:space="0" w:color="auto"/>
              <w:right w:val="single" w:sz="4" w:space="0" w:color="auto"/>
            </w:tcBorders>
            <w:shd w:val="clear" w:color="auto" w:fill="auto"/>
            <w:noWrap/>
            <w:vAlign w:val="bottom"/>
            <w:hideMark/>
          </w:tcPr>
          <w:p w14:paraId="11F569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6.249512</w:t>
            </w:r>
          </w:p>
        </w:tc>
        <w:tc>
          <w:tcPr>
            <w:tcW w:w="1218" w:type="dxa"/>
            <w:tcBorders>
              <w:top w:val="nil"/>
              <w:left w:val="nil"/>
              <w:bottom w:val="single" w:sz="4" w:space="0" w:color="auto"/>
              <w:right w:val="single" w:sz="4" w:space="0" w:color="auto"/>
            </w:tcBorders>
            <w:shd w:val="clear" w:color="auto" w:fill="auto"/>
            <w:noWrap/>
            <w:vAlign w:val="bottom"/>
            <w:hideMark/>
          </w:tcPr>
          <w:p w14:paraId="0EEB2E7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-2.24992</w:t>
            </w:r>
          </w:p>
        </w:tc>
        <w:tc>
          <w:tcPr>
            <w:tcW w:w="1218" w:type="dxa"/>
            <w:tcBorders>
              <w:top w:val="nil"/>
              <w:left w:val="nil"/>
              <w:bottom w:val="single" w:sz="4" w:space="0" w:color="auto"/>
              <w:right w:val="single" w:sz="4" w:space="0" w:color="auto"/>
            </w:tcBorders>
            <w:shd w:val="clear" w:color="auto" w:fill="auto"/>
            <w:noWrap/>
            <w:vAlign w:val="bottom"/>
            <w:hideMark/>
          </w:tcPr>
          <w:p w14:paraId="6F61286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1.726128</w:t>
            </w:r>
          </w:p>
        </w:tc>
      </w:tr>
      <w:tr w:rsidR="002027D2" w:rsidRPr="008D1712" w14:paraId="0FA7CA79"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AC22C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16214C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7.259786</w:t>
            </w:r>
          </w:p>
        </w:tc>
        <w:tc>
          <w:tcPr>
            <w:tcW w:w="1218" w:type="dxa"/>
            <w:tcBorders>
              <w:top w:val="nil"/>
              <w:left w:val="nil"/>
              <w:bottom w:val="single" w:sz="4" w:space="0" w:color="auto"/>
              <w:right w:val="single" w:sz="4" w:space="0" w:color="auto"/>
            </w:tcBorders>
            <w:shd w:val="clear" w:color="auto" w:fill="auto"/>
            <w:noWrap/>
            <w:vAlign w:val="bottom"/>
            <w:hideMark/>
          </w:tcPr>
          <w:p w14:paraId="1672AAE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-1.17986</w:t>
            </w:r>
          </w:p>
        </w:tc>
        <w:tc>
          <w:tcPr>
            <w:tcW w:w="1218" w:type="dxa"/>
            <w:tcBorders>
              <w:top w:val="nil"/>
              <w:left w:val="nil"/>
              <w:bottom w:val="single" w:sz="4" w:space="0" w:color="auto"/>
              <w:right w:val="single" w:sz="4" w:space="0" w:color="auto"/>
            </w:tcBorders>
            <w:shd w:val="clear" w:color="auto" w:fill="auto"/>
            <w:noWrap/>
            <w:vAlign w:val="bottom"/>
            <w:hideMark/>
          </w:tcPr>
          <w:p w14:paraId="4812AD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1.376885</w:t>
            </w:r>
          </w:p>
        </w:tc>
      </w:tr>
      <w:tr w:rsidR="002027D2" w:rsidRPr="008D1712" w14:paraId="492D8BD8"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30F483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6C5252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5.764613</w:t>
            </w:r>
          </w:p>
        </w:tc>
        <w:tc>
          <w:tcPr>
            <w:tcW w:w="1218" w:type="dxa"/>
            <w:tcBorders>
              <w:top w:val="nil"/>
              <w:left w:val="nil"/>
              <w:bottom w:val="single" w:sz="4" w:space="0" w:color="auto"/>
              <w:right w:val="single" w:sz="4" w:space="0" w:color="auto"/>
            </w:tcBorders>
            <w:shd w:val="clear" w:color="auto" w:fill="auto"/>
            <w:noWrap/>
            <w:vAlign w:val="bottom"/>
            <w:hideMark/>
          </w:tcPr>
          <w:p w14:paraId="2D21AD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-2.00464</w:t>
            </w:r>
          </w:p>
        </w:tc>
        <w:tc>
          <w:tcPr>
            <w:tcW w:w="1218" w:type="dxa"/>
            <w:tcBorders>
              <w:top w:val="nil"/>
              <w:left w:val="nil"/>
              <w:bottom w:val="single" w:sz="4" w:space="0" w:color="auto"/>
              <w:right w:val="single" w:sz="4" w:space="0" w:color="auto"/>
            </w:tcBorders>
            <w:shd w:val="clear" w:color="auto" w:fill="auto"/>
            <w:noWrap/>
            <w:vAlign w:val="bottom"/>
            <w:hideMark/>
          </w:tcPr>
          <w:p w14:paraId="000B36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3.137636</w:t>
            </w:r>
          </w:p>
        </w:tc>
      </w:tr>
      <w:tr w:rsidR="002027D2" w:rsidRPr="008D1712" w14:paraId="0526DD60"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735ABF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B7922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6.90258</w:t>
            </w:r>
          </w:p>
        </w:tc>
        <w:tc>
          <w:tcPr>
            <w:tcW w:w="1218" w:type="dxa"/>
            <w:tcBorders>
              <w:top w:val="nil"/>
              <w:left w:val="nil"/>
              <w:bottom w:val="single" w:sz="4" w:space="0" w:color="auto"/>
              <w:right w:val="single" w:sz="4" w:space="0" w:color="auto"/>
            </w:tcBorders>
            <w:shd w:val="clear" w:color="auto" w:fill="auto"/>
            <w:noWrap/>
            <w:vAlign w:val="bottom"/>
            <w:hideMark/>
          </w:tcPr>
          <w:p w14:paraId="712E491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-3.60793</w:t>
            </w:r>
          </w:p>
        </w:tc>
        <w:tc>
          <w:tcPr>
            <w:tcW w:w="1218" w:type="dxa"/>
            <w:tcBorders>
              <w:top w:val="nil"/>
              <w:left w:val="nil"/>
              <w:bottom w:val="single" w:sz="4" w:space="0" w:color="auto"/>
              <w:right w:val="single" w:sz="4" w:space="0" w:color="auto"/>
            </w:tcBorders>
            <w:shd w:val="clear" w:color="auto" w:fill="auto"/>
            <w:noWrap/>
            <w:vAlign w:val="bottom"/>
            <w:hideMark/>
          </w:tcPr>
          <w:p w14:paraId="17B7E7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1.659409</w:t>
            </w:r>
          </w:p>
        </w:tc>
      </w:tr>
      <w:tr w:rsidR="002027D2" w:rsidRPr="008D1712" w14:paraId="169595D7"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F0759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18047B5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5.836709</w:t>
            </w:r>
          </w:p>
        </w:tc>
        <w:tc>
          <w:tcPr>
            <w:tcW w:w="1218" w:type="dxa"/>
            <w:tcBorders>
              <w:top w:val="nil"/>
              <w:left w:val="nil"/>
              <w:bottom w:val="single" w:sz="4" w:space="0" w:color="auto"/>
              <w:right w:val="single" w:sz="4" w:space="0" w:color="auto"/>
            </w:tcBorders>
            <w:shd w:val="clear" w:color="auto" w:fill="auto"/>
            <w:noWrap/>
            <w:vAlign w:val="bottom"/>
            <w:hideMark/>
          </w:tcPr>
          <w:p w14:paraId="7EFC02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2.676053</w:t>
            </w:r>
          </w:p>
        </w:tc>
        <w:tc>
          <w:tcPr>
            <w:tcW w:w="1218" w:type="dxa"/>
            <w:tcBorders>
              <w:top w:val="nil"/>
              <w:left w:val="nil"/>
              <w:bottom w:val="single" w:sz="4" w:space="0" w:color="auto"/>
              <w:right w:val="single" w:sz="4" w:space="0" w:color="auto"/>
            </w:tcBorders>
            <w:shd w:val="clear" w:color="auto" w:fill="auto"/>
            <w:noWrap/>
            <w:vAlign w:val="bottom"/>
            <w:hideMark/>
          </w:tcPr>
          <w:p w14:paraId="250A48B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-1.50397</w:t>
            </w:r>
          </w:p>
        </w:tc>
      </w:tr>
      <w:tr w:rsidR="002027D2" w:rsidRPr="008D1712" w14:paraId="7AFD15EB"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03A2136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BCF16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6.410678</w:t>
            </w:r>
          </w:p>
        </w:tc>
        <w:tc>
          <w:tcPr>
            <w:tcW w:w="1218" w:type="dxa"/>
            <w:tcBorders>
              <w:top w:val="nil"/>
              <w:left w:val="nil"/>
              <w:bottom w:val="single" w:sz="4" w:space="0" w:color="auto"/>
              <w:right w:val="single" w:sz="4" w:space="0" w:color="auto"/>
            </w:tcBorders>
            <w:shd w:val="clear" w:color="auto" w:fill="auto"/>
            <w:noWrap/>
            <w:vAlign w:val="bottom"/>
            <w:hideMark/>
          </w:tcPr>
          <w:p w14:paraId="528D12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0.059008</w:t>
            </w:r>
          </w:p>
        </w:tc>
        <w:tc>
          <w:tcPr>
            <w:tcW w:w="1218" w:type="dxa"/>
            <w:tcBorders>
              <w:top w:val="nil"/>
              <w:left w:val="nil"/>
              <w:bottom w:val="single" w:sz="4" w:space="0" w:color="auto"/>
              <w:right w:val="single" w:sz="4" w:space="0" w:color="auto"/>
            </w:tcBorders>
            <w:shd w:val="clear" w:color="auto" w:fill="auto"/>
            <w:noWrap/>
            <w:vAlign w:val="bottom"/>
            <w:hideMark/>
          </w:tcPr>
          <w:p w14:paraId="091B64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-2.4686</w:t>
            </w:r>
          </w:p>
        </w:tc>
      </w:tr>
      <w:tr w:rsidR="002027D2" w:rsidRPr="008D1712" w14:paraId="154BF0F9"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A3ECF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36A8A0E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7.331173</w:t>
            </w:r>
          </w:p>
        </w:tc>
        <w:tc>
          <w:tcPr>
            <w:tcW w:w="1218" w:type="dxa"/>
            <w:tcBorders>
              <w:top w:val="nil"/>
              <w:left w:val="nil"/>
              <w:bottom w:val="single" w:sz="4" w:space="0" w:color="auto"/>
              <w:right w:val="single" w:sz="4" w:space="0" w:color="auto"/>
            </w:tcBorders>
            <w:shd w:val="clear" w:color="auto" w:fill="auto"/>
            <w:noWrap/>
            <w:vAlign w:val="bottom"/>
            <w:hideMark/>
          </w:tcPr>
          <w:p w14:paraId="7E3288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1.110203</w:t>
            </w:r>
          </w:p>
        </w:tc>
        <w:tc>
          <w:tcPr>
            <w:tcW w:w="1218" w:type="dxa"/>
            <w:tcBorders>
              <w:top w:val="nil"/>
              <w:left w:val="nil"/>
              <w:bottom w:val="single" w:sz="4" w:space="0" w:color="auto"/>
              <w:right w:val="single" w:sz="4" w:space="0" w:color="auto"/>
            </w:tcBorders>
            <w:shd w:val="clear" w:color="auto" w:fill="auto"/>
            <w:noWrap/>
            <w:vAlign w:val="bottom"/>
            <w:hideMark/>
          </w:tcPr>
          <w:p w14:paraId="73AB7F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-2.63859</w:t>
            </w:r>
          </w:p>
        </w:tc>
      </w:tr>
      <w:tr w:rsidR="002027D2" w:rsidRPr="008D1712" w14:paraId="579AEA86"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D683D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431898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7.055026</w:t>
            </w:r>
          </w:p>
        </w:tc>
        <w:tc>
          <w:tcPr>
            <w:tcW w:w="1218" w:type="dxa"/>
            <w:tcBorders>
              <w:top w:val="nil"/>
              <w:left w:val="nil"/>
              <w:bottom w:val="single" w:sz="4" w:space="0" w:color="auto"/>
              <w:right w:val="single" w:sz="4" w:space="0" w:color="auto"/>
            </w:tcBorders>
            <w:shd w:val="clear" w:color="auto" w:fill="auto"/>
            <w:noWrap/>
            <w:vAlign w:val="bottom"/>
            <w:hideMark/>
          </w:tcPr>
          <w:p w14:paraId="219C60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2.400691</w:t>
            </w:r>
          </w:p>
        </w:tc>
        <w:tc>
          <w:tcPr>
            <w:tcW w:w="1218" w:type="dxa"/>
            <w:tcBorders>
              <w:top w:val="nil"/>
              <w:left w:val="nil"/>
              <w:bottom w:val="single" w:sz="4" w:space="0" w:color="auto"/>
              <w:right w:val="single" w:sz="4" w:space="0" w:color="auto"/>
            </w:tcBorders>
            <w:shd w:val="clear" w:color="auto" w:fill="auto"/>
            <w:noWrap/>
            <w:vAlign w:val="bottom"/>
            <w:hideMark/>
          </w:tcPr>
          <w:p w14:paraId="071F52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-2.15598</w:t>
            </w:r>
          </w:p>
        </w:tc>
      </w:tr>
      <w:tr w:rsidR="002027D2" w:rsidRPr="008D1712" w14:paraId="39F67105"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6D240C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B105EF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7.782927</w:t>
            </w:r>
          </w:p>
        </w:tc>
        <w:tc>
          <w:tcPr>
            <w:tcW w:w="1218" w:type="dxa"/>
            <w:tcBorders>
              <w:top w:val="nil"/>
              <w:left w:val="nil"/>
              <w:bottom w:val="single" w:sz="4" w:space="0" w:color="auto"/>
              <w:right w:val="single" w:sz="4" w:space="0" w:color="auto"/>
            </w:tcBorders>
            <w:shd w:val="clear" w:color="auto" w:fill="auto"/>
            <w:noWrap/>
            <w:vAlign w:val="bottom"/>
            <w:hideMark/>
          </w:tcPr>
          <w:p w14:paraId="5E185A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3.203415</w:t>
            </w:r>
          </w:p>
        </w:tc>
        <w:tc>
          <w:tcPr>
            <w:tcW w:w="1218" w:type="dxa"/>
            <w:tcBorders>
              <w:top w:val="nil"/>
              <w:left w:val="nil"/>
              <w:bottom w:val="single" w:sz="4" w:space="0" w:color="auto"/>
              <w:right w:val="single" w:sz="4" w:space="0" w:color="auto"/>
            </w:tcBorders>
            <w:shd w:val="clear" w:color="auto" w:fill="auto"/>
            <w:noWrap/>
            <w:vAlign w:val="bottom"/>
            <w:hideMark/>
          </w:tcPr>
          <w:p w14:paraId="676572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-2.30832</w:t>
            </w:r>
          </w:p>
        </w:tc>
      </w:tr>
      <w:tr w:rsidR="002027D2" w:rsidRPr="008D1712" w14:paraId="076822BA"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E5AA9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3733E7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-9.52166</w:t>
            </w:r>
          </w:p>
        </w:tc>
        <w:tc>
          <w:tcPr>
            <w:tcW w:w="1218" w:type="dxa"/>
            <w:tcBorders>
              <w:top w:val="nil"/>
              <w:left w:val="nil"/>
              <w:bottom w:val="single" w:sz="4" w:space="0" w:color="auto"/>
              <w:right w:val="single" w:sz="4" w:space="0" w:color="auto"/>
            </w:tcBorders>
            <w:shd w:val="clear" w:color="auto" w:fill="auto"/>
            <w:noWrap/>
            <w:vAlign w:val="bottom"/>
            <w:hideMark/>
          </w:tcPr>
          <w:p w14:paraId="5D3738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2.335638</w:t>
            </w:r>
          </w:p>
        </w:tc>
        <w:tc>
          <w:tcPr>
            <w:tcW w:w="1218" w:type="dxa"/>
            <w:tcBorders>
              <w:top w:val="nil"/>
              <w:left w:val="nil"/>
              <w:bottom w:val="single" w:sz="4" w:space="0" w:color="auto"/>
              <w:right w:val="single" w:sz="4" w:space="0" w:color="auto"/>
            </w:tcBorders>
            <w:shd w:val="clear" w:color="auto" w:fill="auto"/>
            <w:noWrap/>
            <w:vAlign w:val="bottom"/>
            <w:hideMark/>
          </w:tcPr>
          <w:p w14:paraId="2A6F35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0.514222</w:t>
            </w:r>
          </w:p>
        </w:tc>
      </w:tr>
      <w:tr w:rsidR="002027D2" w:rsidRPr="008D1712" w14:paraId="0878CD27"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108DB8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BDA15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-2.20033</w:t>
            </w:r>
          </w:p>
        </w:tc>
        <w:tc>
          <w:tcPr>
            <w:tcW w:w="1218" w:type="dxa"/>
            <w:tcBorders>
              <w:top w:val="nil"/>
              <w:left w:val="nil"/>
              <w:bottom w:val="single" w:sz="4" w:space="0" w:color="auto"/>
              <w:right w:val="single" w:sz="4" w:space="0" w:color="auto"/>
            </w:tcBorders>
            <w:shd w:val="clear" w:color="auto" w:fill="auto"/>
            <w:noWrap/>
            <w:vAlign w:val="bottom"/>
            <w:hideMark/>
          </w:tcPr>
          <w:p w14:paraId="486FBC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2.193444</w:t>
            </w:r>
          </w:p>
        </w:tc>
        <w:tc>
          <w:tcPr>
            <w:tcW w:w="1218" w:type="dxa"/>
            <w:tcBorders>
              <w:top w:val="nil"/>
              <w:left w:val="nil"/>
              <w:bottom w:val="single" w:sz="4" w:space="0" w:color="auto"/>
              <w:right w:val="single" w:sz="4" w:space="0" w:color="auto"/>
            </w:tcBorders>
            <w:shd w:val="clear" w:color="auto" w:fill="auto"/>
            <w:noWrap/>
            <w:vAlign w:val="bottom"/>
            <w:hideMark/>
          </w:tcPr>
          <w:p w14:paraId="01ADED6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1.57142</w:t>
            </w:r>
          </w:p>
        </w:tc>
      </w:tr>
      <w:tr w:rsidR="002027D2" w:rsidRPr="008D1712" w14:paraId="4BB92DAF"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D6311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C9061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-4.49445</w:t>
            </w:r>
          </w:p>
        </w:tc>
        <w:tc>
          <w:tcPr>
            <w:tcW w:w="1218" w:type="dxa"/>
            <w:tcBorders>
              <w:top w:val="nil"/>
              <w:left w:val="nil"/>
              <w:bottom w:val="single" w:sz="4" w:space="0" w:color="auto"/>
              <w:right w:val="single" w:sz="4" w:space="0" w:color="auto"/>
            </w:tcBorders>
            <w:shd w:val="clear" w:color="auto" w:fill="auto"/>
            <w:noWrap/>
            <w:vAlign w:val="bottom"/>
            <w:hideMark/>
          </w:tcPr>
          <w:p w14:paraId="49F05FB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4.097986</w:t>
            </w:r>
          </w:p>
        </w:tc>
        <w:tc>
          <w:tcPr>
            <w:tcW w:w="1218" w:type="dxa"/>
            <w:tcBorders>
              <w:top w:val="nil"/>
              <w:left w:val="nil"/>
              <w:bottom w:val="single" w:sz="4" w:space="0" w:color="auto"/>
              <w:right w:val="single" w:sz="4" w:space="0" w:color="auto"/>
            </w:tcBorders>
            <w:shd w:val="clear" w:color="auto" w:fill="auto"/>
            <w:noWrap/>
            <w:vAlign w:val="bottom"/>
            <w:hideMark/>
          </w:tcPr>
          <w:p w14:paraId="259477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0.481665</w:t>
            </w:r>
          </w:p>
        </w:tc>
      </w:tr>
      <w:tr w:rsidR="002027D2" w:rsidRPr="008D1712" w14:paraId="2603A897"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A1A77A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46D1C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-3.52274</w:t>
            </w:r>
          </w:p>
        </w:tc>
        <w:tc>
          <w:tcPr>
            <w:tcW w:w="1218" w:type="dxa"/>
            <w:tcBorders>
              <w:top w:val="nil"/>
              <w:left w:val="nil"/>
              <w:bottom w:val="single" w:sz="4" w:space="0" w:color="auto"/>
              <w:right w:val="single" w:sz="4" w:space="0" w:color="auto"/>
            </w:tcBorders>
            <w:shd w:val="clear" w:color="auto" w:fill="auto"/>
            <w:noWrap/>
            <w:vAlign w:val="bottom"/>
            <w:hideMark/>
          </w:tcPr>
          <w:p w14:paraId="68F5F9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3.880501</w:t>
            </w:r>
          </w:p>
        </w:tc>
        <w:tc>
          <w:tcPr>
            <w:tcW w:w="1218" w:type="dxa"/>
            <w:tcBorders>
              <w:top w:val="nil"/>
              <w:left w:val="nil"/>
              <w:bottom w:val="single" w:sz="4" w:space="0" w:color="auto"/>
              <w:right w:val="single" w:sz="4" w:space="0" w:color="auto"/>
            </w:tcBorders>
            <w:shd w:val="clear" w:color="auto" w:fill="auto"/>
            <w:noWrap/>
            <w:vAlign w:val="bottom"/>
            <w:hideMark/>
          </w:tcPr>
          <w:p w14:paraId="3F7928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1.970182</w:t>
            </w:r>
          </w:p>
        </w:tc>
      </w:tr>
      <w:tr w:rsidR="002027D2" w:rsidRPr="008D1712" w14:paraId="20826DA3"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75675F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9B855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-5.26954</w:t>
            </w:r>
          </w:p>
        </w:tc>
        <w:tc>
          <w:tcPr>
            <w:tcW w:w="1218" w:type="dxa"/>
            <w:tcBorders>
              <w:top w:val="nil"/>
              <w:left w:val="nil"/>
              <w:bottom w:val="single" w:sz="4" w:space="0" w:color="auto"/>
              <w:right w:val="single" w:sz="4" w:space="0" w:color="auto"/>
            </w:tcBorders>
            <w:shd w:val="clear" w:color="auto" w:fill="auto"/>
            <w:noWrap/>
            <w:vAlign w:val="bottom"/>
            <w:hideMark/>
          </w:tcPr>
          <w:p w14:paraId="4FBF1A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4.218906</w:t>
            </w:r>
          </w:p>
        </w:tc>
        <w:tc>
          <w:tcPr>
            <w:tcW w:w="1218" w:type="dxa"/>
            <w:tcBorders>
              <w:top w:val="nil"/>
              <w:left w:val="nil"/>
              <w:bottom w:val="single" w:sz="4" w:space="0" w:color="auto"/>
              <w:right w:val="single" w:sz="4" w:space="0" w:color="auto"/>
            </w:tcBorders>
            <w:shd w:val="clear" w:color="auto" w:fill="auto"/>
            <w:noWrap/>
            <w:vAlign w:val="bottom"/>
            <w:hideMark/>
          </w:tcPr>
          <w:p w14:paraId="716DE8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2.087358</w:t>
            </w:r>
          </w:p>
        </w:tc>
      </w:tr>
      <w:tr w:rsidR="002027D2" w:rsidRPr="008D1712" w14:paraId="0544F411"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6B4D78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22BC99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-5.02113</w:t>
            </w:r>
          </w:p>
        </w:tc>
        <w:tc>
          <w:tcPr>
            <w:tcW w:w="1218" w:type="dxa"/>
            <w:tcBorders>
              <w:top w:val="nil"/>
              <w:left w:val="nil"/>
              <w:bottom w:val="single" w:sz="4" w:space="0" w:color="auto"/>
              <w:right w:val="single" w:sz="4" w:space="0" w:color="auto"/>
            </w:tcBorders>
            <w:shd w:val="clear" w:color="auto" w:fill="auto"/>
            <w:noWrap/>
            <w:vAlign w:val="bottom"/>
            <w:hideMark/>
          </w:tcPr>
          <w:p w14:paraId="3859A65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0.534135</w:t>
            </w:r>
          </w:p>
        </w:tc>
        <w:tc>
          <w:tcPr>
            <w:tcW w:w="1218" w:type="dxa"/>
            <w:tcBorders>
              <w:top w:val="nil"/>
              <w:left w:val="nil"/>
              <w:bottom w:val="single" w:sz="4" w:space="0" w:color="auto"/>
              <w:right w:val="single" w:sz="4" w:space="0" w:color="auto"/>
            </w:tcBorders>
            <w:shd w:val="clear" w:color="auto" w:fill="auto"/>
            <w:noWrap/>
            <w:vAlign w:val="bottom"/>
            <w:hideMark/>
          </w:tcPr>
          <w:p w14:paraId="624ED4C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2.972041</w:t>
            </w:r>
          </w:p>
        </w:tc>
      </w:tr>
      <w:tr w:rsidR="002027D2" w:rsidRPr="008D1712" w14:paraId="6AB0FD50"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153DE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4990B8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-5.51362</w:t>
            </w:r>
          </w:p>
        </w:tc>
        <w:tc>
          <w:tcPr>
            <w:tcW w:w="1218" w:type="dxa"/>
            <w:tcBorders>
              <w:top w:val="nil"/>
              <w:left w:val="nil"/>
              <w:bottom w:val="single" w:sz="4" w:space="0" w:color="auto"/>
              <w:right w:val="single" w:sz="4" w:space="0" w:color="auto"/>
            </w:tcBorders>
            <w:shd w:val="clear" w:color="auto" w:fill="auto"/>
            <w:noWrap/>
            <w:vAlign w:val="bottom"/>
            <w:hideMark/>
          </w:tcPr>
          <w:p w14:paraId="4FEFDF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2.142525</w:t>
            </w:r>
          </w:p>
        </w:tc>
        <w:tc>
          <w:tcPr>
            <w:tcW w:w="1218" w:type="dxa"/>
            <w:tcBorders>
              <w:top w:val="nil"/>
              <w:left w:val="nil"/>
              <w:bottom w:val="single" w:sz="4" w:space="0" w:color="auto"/>
              <w:right w:val="single" w:sz="4" w:space="0" w:color="auto"/>
            </w:tcBorders>
            <w:shd w:val="clear" w:color="auto" w:fill="auto"/>
            <w:noWrap/>
            <w:vAlign w:val="bottom"/>
            <w:hideMark/>
          </w:tcPr>
          <w:p w14:paraId="4057284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3.570686</w:t>
            </w:r>
          </w:p>
        </w:tc>
      </w:tr>
      <w:tr w:rsidR="002027D2" w:rsidRPr="008D1712" w14:paraId="3526215E"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2F2D7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950A9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-3.77928</w:t>
            </w:r>
          </w:p>
        </w:tc>
        <w:tc>
          <w:tcPr>
            <w:tcW w:w="1218" w:type="dxa"/>
            <w:tcBorders>
              <w:top w:val="nil"/>
              <w:left w:val="nil"/>
              <w:bottom w:val="single" w:sz="4" w:space="0" w:color="auto"/>
              <w:right w:val="single" w:sz="4" w:space="0" w:color="auto"/>
            </w:tcBorders>
            <w:shd w:val="clear" w:color="auto" w:fill="auto"/>
            <w:noWrap/>
            <w:vAlign w:val="bottom"/>
            <w:hideMark/>
          </w:tcPr>
          <w:p w14:paraId="067821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1.755997</w:t>
            </w:r>
          </w:p>
        </w:tc>
        <w:tc>
          <w:tcPr>
            <w:tcW w:w="1218" w:type="dxa"/>
            <w:tcBorders>
              <w:top w:val="nil"/>
              <w:left w:val="nil"/>
              <w:bottom w:val="single" w:sz="4" w:space="0" w:color="auto"/>
              <w:right w:val="single" w:sz="4" w:space="0" w:color="auto"/>
            </w:tcBorders>
            <w:shd w:val="clear" w:color="auto" w:fill="auto"/>
            <w:noWrap/>
            <w:vAlign w:val="bottom"/>
            <w:hideMark/>
          </w:tcPr>
          <w:p w14:paraId="49A0B3F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3.38592</w:t>
            </w:r>
          </w:p>
        </w:tc>
      </w:tr>
      <w:tr w:rsidR="002027D2" w:rsidRPr="008D1712" w14:paraId="4E83C899"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2DAE3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266A73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-7.62856</w:t>
            </w:r>
          </w:p>
        </w:tc>
        <w:tc>
          <w:tcPr>
            <w:tcW w:w="1218" w:type="dxa"/>
            <w:tcBorders>
              <w:top w:val="nil"/>
              <w:left w:val="nil"/>
              <w:bottom w:val="single" w:sz="4" w:space="0" w:color="auto"/>
              <w:right w:val="single" w:sz="4" w:space="0" w:color="auto"/>
            </w:tcBorders>
            <w:shd w:val="clear" w:color="auto" w:fill="auto"/>
            <w:noWrap/>
            <w:vAlign w:val="bottom"/>
            <w:hideMark/>
          </w:tcPr>
          <w:p w14:paraId="672A5BB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2.95436</w:t>
            </w:r>
          </w:p>
        </w:tc>
        <w:tc>
          <w:tcPr>
            <w:tcW w:w="1218" w:type="dxa"/>
            <w:tcBorders>
              <w:top w:val="nil"/>
              <w:left w:val="nil"/>
              <w:bottom w:val="single" w:sz="4" w:space="0" w:color="auto"/>
              <w:right w:val="single" w:sz="4" w:space="0" w:color="auto"/>
            </w:tcBorders>
            <w:shd w:val="clear" w:color="auto" w:fill="auto"/>
            <w:noWrap/>
            <w:vAlign w:val="bottom"/>
            <w:hideMark/>
          </w:tcPr>
          <w:p w14:paraId="5F0E9C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2.026242</w:t>
            </w:r>
          </w:p>
        </w:tc>
      </w:tr>
      <w:tr w:rsidR="002027D2" w:rsidRPr="008D1712" w14:paraId="2E787EA2"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0B387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263EA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-6.81581</w:t>
            </w:r>
          </w:p>
        </w:tc>
        <w:tc>
          <w:tcPr>
            <w:tcW w:w="1218" w:type="dxa"/>
            <w:tcBorders>
              <w:top w:val="nil"/>
              <w:left w:val="nil"/>
              <w:bottom w:val="single" w:sz="4" w:space="0" w:color="auto"/>
              <w:right w:val="single" w:sz="4" w:space="0" w:color="auto"/>
            </w:tcBorders>
            <w:shd w:val="clear" w:color="auto" w:fill="auto"/>
            <w:noWrap/>
            <w:vAlign w:val="bottom"/>
            <w:hideMark/>
          </w:tcPr>
          <w:p w14:paraId="7E1EF57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0.229246</w:t>
            </w:r>
          </w:p>
        </w:tc>
        <w:tc>
          <w:tcPr>
            <w:tcW w:w="1218" w:type="dxa"/>
            <w:tcBorders>
              <w:top w:val="nil"/>
              <w:left w:val="nil"/>
              <w:bottom w:val="single" w:sz="4" w:space="0" w:color="auto"/>
              <w:right w:val="single" w:sz="4" w:space="0" w:color="auto"/>
            </w:tcBorders>
            <w:shd w:val="clear" w:color="auto" w:fill="auto"/>
            <w:noWrap/>
            <w:vAlign w:val="bottom"/>
            <w:hideMark/>
          </w:tcPr>
          <w:p w14:paraId="04BBAA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-2.13103</w:t>
            </w:r>
          </w:p>
        </w:tc>
      </w:tr>
      <w:tr w:rsidR="002027D2" w:rsidRPr="008D1712" w14:paraId="447A108E"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F9EDD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CA915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-9.10826</w:t>
            </w:r>
          </w:p>
        </w:tc>
        <w:tc>
          <w:tcPr>
            <w:tcW w:w="1218" w:type="dxa"/>
            <w:tcBorders>
              <w:top w:val="nil"/>
              <w:left w:val="nil"/>
              <w:bottom w:val="single" w:sz="4" w:space="0" w:color="auto"/>
              <w:right w:val="single" w:sz="4" w:space="0" w:color="auto"/>
            </w:tcBorders>
            <w:shd w:val="clear" w:color="auto" w:fill="auto"/>
            <w:noWrap/>
            <w:vAlign w:val="bottom"/>
            <w:hideMark/>
          </w:tcPr>
          <w:p w14:paraId="2DAF4E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1.006576</w:t>
            </w:r>
          </w:p>
        </w:tc>
        <w:tc>
          <w:tcPr>
            <w:tcW w:w="1218" w:type="dxa"/>
            <w:tcBorders>
              <w:top w:val="nil"/>
              <w:left w:val="nil"/>
              <w:bottom w:val="single" w:sz="4" w:space="0" w:color="auto"/>
              <w:right w:val="single" w:sz="4" w:space="0" w:color="auto"/>
            </w:tcBorders>
            <w:shd w:val="clear" w:color="auto" w:fill="auto"/>
            <w:noWrap/>
            <w:vAlign w:val="bottom"/>
            <w:hideMark/>
          </w:tcPr>
          <w:p w14:paraId="39531C8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-1.54971</w:t>
            </w:r>
          </w:p>
        </w:tc>
      </w:tr>
      <w:tr w:rsidR="002027D2" w:rsidRPr="008D1712" w14:paraId="1C256BBB"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9D9E33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218" w:type="dxa"/>
            <w:tcBorders>
              <w:top w:val="nil"/>
              <w:left w:val="nil"/>
              <w:bottom w:val="single" w:sz="4" w:space="0" w:color="auto"/>
              <w:right w:val="single" w:sz="4" w:space="0" w:color="auto"/>
            </w:tcBorders>
            <w:shd w:val="clear" w:color="auto" w:fill="auto"/>
            <w:noWrap/>
            <w:vAlign w:val="bottom"/>
            <w:hideMark/>
          </w:tcPr>
          <w:p w14:paraId="56ED8CD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-2.91777</w:t>
            </w:r>
          </w:p>
        </w:tc>
        <w:tc>
          <w:tcPr>
            <w:tcW w:w="1218" w:type="dxa"/>
            <w:tcBorders>
              <w:top w:val="nil"/>
              <w:left w:val="nil"/>
              <w:bottom w:val="single" w:sz="4" w:space="0" w:color="auto"/>
              <w:right w:val="single" w:sz="4" w:space="0" w:color="auto"/>
            </w:tcBorders>
            <w:shd w:val="clear" w:color="auto" w:fill="auto"/>
            <w:noWrap/>
            <w:vAlign w:val="bottom"/>
            <w:hideMark/>
          </w:tcPr>
          <w:p w14:paraId="7240FD3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0.172909</w:t>
            </w:r>
          </w:p>
        </w:tc>
        <w:tc>
          <w:tcPr>
            <w:tcW w:w="1218" w:type="dxa"/>
            <w:tcBorders>
              <w:top w:val="nil"/>
              <w:left w:val="nil"/>
              <w:bottom w:val="single" w:sz="4" w:space="0" w:color="auto"/>
              <w:right w:val="single" w:sz="4" w:space="0" w:color="auto"/>
            </w:tcBorders>
            <w:shd w:val="clear" w:color="auto" w:fill="auto"/>
            <w:noWrap/>
            <w:vAlign w:val="bottom"/>
            <w:hideMark/>
          </w:tcPr>
          <w:p w14:paraId="423F94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-1.53344</w:t>
            </w:r>
          </w:p>
        </w:tc>
      </w:tr>
      <w:tr w:rsidR="002027D2" w:rsidRPr="008D1712" w14:paraId="5EFBB262"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62A29A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30B625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-4.35963</w:t>
            </w:r>
          </w:p>
        </w:tc>
        <w:tc>
          <w:tcPr>
            <w:tcW w:w="1218" w:type="dxa"/>
            <w:tcBorders>
              <w:top w:val="nil"/>
              <w:left w:val="nil"/>
              <w:bottom w:val="single" w:sz="4" w:space="0" w:color="auto"/>
              <w:right w:val="single" w:sz="4" w:space="0" w:color="auto"/>
            </w:tcBorders>
            <w:shd w:val="clear" w:color="auto" w:fill="auto"/>
            <w:noWrap/>
            <w:vAlign w:val="bottom"/>
            <w:hideMark/>
          </w:tcPr>
          <w:p w14:paraId="36C7E7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0.596531</w:t>
            </w:r>
          </w:p>
        </w:tc>
        <w:tc>
          <w:tcPr>
            <w:tcW w:w="1218" w:type="dxa"/>
            <w:tcBorders>
              <w:top w:val="nil"/>
              <w:left w:val="nil"/>
              <w:bottom w:val="single" w:sz="4" w:space="0" w:color="auto"/>
              <w:right w:val="single" w:sz="4" w:space="0" w:color="auto"/>
            </w:tcBorders>
            <w:shd w:val="clear" w:color="auto" w:fill="auto"/>
            <w:noWrap/>
            <w:vAlign w:val="bottom"/>
            <w:hideMark/>
          </w:tcPr>
          <w:p w14:paraId="2E03B3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-2.49543</w:t>
            </w:r>
          </w:p>
        </w:tc>
      </w:tr>
      <w:tr w:rsidR="002027D2" w:rsidRPr="008D1712" w14:paraId="6672A8C8"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78F738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3F467EA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-3.77242</w:t>
            </w:r>
          </w:p>
        </w:tc>
        <w:tc>
          <w:tcPr>
            <w:tcW w:w="1218" w:type="dxa"/>
            <w:tcBorders>
              <w:top w:val="nil"/>
              <w:left w:val="nil"/>
              <w:bottom w:val="single" w:sz="4" w:space="0" w:color="auto"/>
              <w:right w:val="single" w:sz="4" w:space="0" w:color="auto"/>
            </w:tcBorders>
            <w:shd w:val="clear" w:color="auto" w:fill="auto"/>
            <w:noWrap/>
            <w:vAlign w:val="bottom"/>
            <w:hideMark/>
          </w:tcPr>
          <w:p w14:paraId="0E7651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-1.83052</w:t>
            </w:r>
          </w:p>
        </w:tc>
        <w:tc>
          <w:tcPr>
            <w:tcW w:w="1218" w:type="dxa"/>
            <w:tcBorders>
              <w:top w:val="nil"/>
              <w:left w:val="nil"/>
              <w:bottom w:val="single" w:sz="4" w:space="0" w:color="auto"/>
              <w:right w:val="single" w:sz="4" w:space="0" w:color="auto"/>
            </w:tcBorders>
            <w:shd w:val="clear" w:color="auto" w:fill="auto"/>
            <w:noWrap/>
            <w:vAlign w:val="bottom"/>
            <w:hideMark/>
          </w:tcPr>
          <w:p w14:paraId="6C3273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-2.44338</w:t>
            </w:r>
          </w:p>
        </w:tc>
      </w:tr>
      <w:tr w:rsidR="002027D2" w:rsidRPr="008D1712" w14:paraId="4DB34B80"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7C1DC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432748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-5.45847</w:t>
            </w:r>
          </w:p>
        </w:tc>
        <w:tc>
          <w:tcPr>
            <w:tcW w:w="1218" w:type="dxa"/>
            <w:tcBorders>
              <w:top w:val="nil"/>
              <w:left w:val="nil"/>
              <w:bottom w:val="single" w:sz="4" w:space="0" w:color="auto"/>
              <w:right w:val="single" w:sz="4" w:space="0" w:color="auto"/>
            </w:tcBorders>
            <w:shd w:val="clear" w:color="auto" w:fill="auto"/>
            <w:noWrap/>
            <w:vAlign w:val="bottom"/>
            <w:hideMark/>
          </w:tcPr>
          <w:p w14:paraId="5526F7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-1.51912</w:t>
            </w:r>
          </w:p>
        </w:tc>
        <w:tc>
          <w:tcPr>
            <w:tcW w:w="1218" w:type="dxa"/>
            <w:tcBorders>
              <w:top w:val="nil"/>
              <w:left w:val="nil"/>
              <w:bottom w:val="single" w:sz="4" w:space="0" w:color="auto"/>
              <w:right w:val="single" w:sz="4" w:space="0" w:color="auto"/>
            </w:tcBorders>
            <w:shd w:val="clear" w:color="auto" w:fill="auto"/>
            <w:noWrap/>
            <w:vAlign w:val="bottom"/>
            <w:hideMark/>
          </w:tcPr>
          <w:p w14:paraId="52E59C8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-1.9442</w:t>
            </w:r>
          </w:p>
        </w:tc>
      </w:tr>
      <w:tr w:rsidR="002027D2" w:rsidRPr="008D1712" w14:paraId="2E60690A"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726440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B0C12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-4.88162</w:t>
            </w:r>
          </w:p>
        </w:tc>
        <w:tc>
          <w:tcPr>
            <w:tcW w:w="1218" w:type="dxa"/>
            <w:tcBorders>
              <w:top w:val="nil"/>
              <w:left w:val="nil"/>
              <w:bottom w:val="single" w:sz="4" w:space="0" w:color="auto"/>
              <w:right w:val="single" w:sz="4" w:space="0" w:color="auto"/>
            </w:tcBorders>
            <w:shd w:val="clear" w:color="auto" w:fill="auto"/>
            <w:noWrap/>
            <w:vAlign w:val="bottom"/>
            <w:hideMark/>
          </w:tcPr>
          <w:p w14:paraId="691D27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-1.81206</w:t>
            </w:r>
          </w:p>
        </w:tc>
        <w:tc>
          <w:tcPr>
            <w:tcW w:w="1218" w:type="dxa"/>
            <w:tcBorders>
              <w:top w:val="nil"/>
              <w:left w:val="nil"/>
              <w:bottom w:val="single" w:sz="4" w:space="0" w:color="auto"/>
              <w:right w:val="single" w:sz="4" w:space="0" w:color="auto"/>
            </w:tcBorders>
            <w:shd w:val="clear" w:color="auto" w:fill="auto"/>
            <w:noWrap/>
            <w:vAlign w:val="bottom"/>
            <w:hideMark/>
          </w:tcPr>
          <w:p w14:paraId="1E75F5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0.447453</w:t>
            </w:r>
          </w:p>
        </w:tc>
      </w:tr>
      <w:tr w:rsidR="002027D2" w:rsidRPr="008D1712" w14:paraId="10618F90"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3AA6C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C0839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-3.11633</w:t>
            </w:r>
          </w:p>
        </w:tc>
        <w:tc>
          <w:tcPr>
            <w:tcW w:w="1218" w:type="dxa"/>
            <w:tcBorders>
              <w:top w:val="nil"/>
              <w:left w:val="nil"/>
              <w:bottom w:val="single" w:sz="4" w:space="0" w:color="auto"/>
              <w:right w:val="single" w:sz="4" w:space="0" w:color="auto"/>
            </w:tcBorders>
            <w:shd w:val="clear" w:color="auto" w:fill="auto"/>
            <w:noWrap/>
            <w:vAlign w:val="bottom"/>
            <w:hideMark/>
          </w:tcPr>
          <w:p w14:paraId="6281AB7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-1.81192</w:t>
            </w:r>
          </w:p>
        </w:tc>
        <w:tc>
          <w:tcPr>
            <w:tcW w:w="1218" w:type="dxa"/>
            <w:tcBorders>
              <w:top w:val="nil"/>
              <w:left w:val="nil"/>
              <w:bottom w:val="single" w:sz="4" w:space="0" w:color="auto"/>
              <w:right w:val="single" w:sz="4" w:space="0" w:color="auto"/>
            </w:tcBorders>
            <w:shd w:val="clear" w:color="auto" w:fill="auto"/>
            <w:noWrap/>
            <w:vAlign w:val="bottom"/>
            <w:hideMark/>
          </w:tcPr>
          <w:p w14:paraId="239B1AD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0.031426</w:t>
            </w:r>
          </w:p>
        </w:tc>
      </w:tr>
      <w:tr w:rsidR="002027D2" w:rsidRPr="008D1712" w14:paraId="1AEF56B2"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09CD388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20FEEC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-6.23451</w:t>
            </w:r>
          </w:p>
        </w:tc>
        <w:tc>
          <w:tcPr>
            <w:tcW w:w="1218" w:type="dxa"/>
            <w:tcBorders>
              <w:top w:val="nil"/>
              <w:left w:val="nil"/>
              <w:bottom w:val="single" w:sz="4" w:space="0" w:color="auto"/>
              <w:right w:val="single" w:sz="4" w:space="0" w:color="auto"/>
            </w:tcBorders>
            <w:shd w:val="clear" w:color="auto" w:fill="auto"/>
            <w:noWrap/>
            <w:vAlign w:val="bottom"/>
            <w:hideMark/>
          </w:tcPr>
          <w:p w14:paraId="6ED46E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-3.79387</w:t>
            </w:r>
          </w:p>
        </w:tc>
        <w:tc>
          <w:tcPr>
            <w:tcW w:w="1218" w:type="dxa"/>
            <w:tcBorders>
              <w:top w:val="nil"/>
              <w:left w:val="nil"/>
              <w:bottom w:val="single" w:sz="4" w:space="0" w:color="auto"/>
              <w:right w:val="single" w:sz="4" w:space="0" w:color="auto"/>
            </w:tcBorders>
            <w:shd w:val="clear" w:color="auto" w:fill="auto"/>
            <w:noWrap/>
            <w:vAlign w:val="bottom"/>
            <w:hideMark/>
          </w:tcPr>
          <w:p w14:paraId="66A9CB7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-0.04457</w:t>
            </w:r>
          </w:p>
        </w:tc>
      </w:tr>
      <w:tr w:rsidR="002027D2" w:rsidRPr="008D1712" w14:paraId="35BAF2C0"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6ADDA2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3B2351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-5.44124</w:t>
            </w:r>
          </w:p>
        </w:tc>
        <w:tc>
          <w:tcPr>
            <w:tcW w:w="1218" w:type="dxa"/>
            <w:tcBorders>
              <w:top w:val="nil"/>
              <w:left w:val="nil"/>
              <w:bottom w:val="single" w:sz="4" w:space="0" w:color="auto"/>
              <w:right w:val="single" w:sz="4" w:space="0" w:color="auto"/>
            </w:tcBorders>
            <w:shd w:val="clear" w:color="auto" w:fill="auto"/>
            <w:noWrap/>
            <w:vAlign w:val="bottom"/>
            <w:hideMark/>
          </w:tcPr>
          <w:p w14:paraId="76ACB2C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-5.26116</w:t>
            </w:r>
          </w:p>
        </w:tc>
        <w:tc>
          <w:tcPr>
            <w:tcW w:w="1218" w:type="dxa"/>
            <w:tcBorders>
              <w:top w:val="nil"/>
              <w:left w:val="nil"/>
              <w:bottom w:val="single" w:sz="4" w:space="0" w:color="auto"/>
              <w:right w:val="single" w:sz="4" w:space="0" w:color="auto"/>
            </w:tcBorders>
            <w:shd w:val="clear" w:color="auto" w:fill="auto"/>
            <w:noWrap/>
            <w:vAlign w:val="bottom"/>
            <w:hideMark/>
          </w:tcPr>
          <w:p w14:paraId="5A52CE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-0.72847</w:t>
            </w:r>
          </w:p>
        </w:tc>
      </w:tr>
      <w:tr w:rsidR="002027D2" w:rsidRPr="008D1712" w14:paraId="6B7DB94D"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FFF88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911DA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-5.715</w:t>
            </w:r>
          </w:p>
        </w:tc>
        <w:tc>
          <w:tcPr>
            <w:tcW w:w="1218" w:type="dxa"/>
            <w:tcBorders>
              <w:top w:val="nil"/>
              <w:left w:val="nil"/>
              <w:bottom w:val="single" w:sz="4" w:space="0" w:color="auto"/>
              <w:right w:val="single" w:sz="4" w:space="0" w:color="auto"/>
            </w:tcBorders>
            <w:shd w:val="clear" w:color="auto" w:fill="auto"/>
            <w:noWrap/>
            <w:vAlign w:val="bottom"/>
            <w:hideMark/>
          </w:tcPr>
          <w:p w14:paraId="6CEE5FB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-3.82229</w:t>
            </w:r>
          </w:p>
        </w:tc>
        <w:tc>
          <w:tcPr>
            <w:tcW w:w="1218" w:type="dxa"/>
            <w:tcBorders>
              <w:top w:val="nil"/>
              <w:left w:val="nil"/>
              <w:bottom w:val="single" w:sz="4" w:space="0" w:color="auto"/>
              <w:right w:val="single" w:sz="4" w:space="0" w:color="auto"/>
            </w:tcBorders>
            <w:shd w:val="clear" w:color="auto" w:fill="auto"/>
            <w:noWrap/>
            <w:vAlign w:val="bottom"/>
            <w:hideMark/>
          </w:tcPr>
          <w:p w14:paraId="0FDB4F4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-1.76911</w:t>
            </w:r>
          </w:p>
        </w:tc>
      </w:tr>
      <w:tr w:rsidR="002027D2" w:rsidRPr="008D1712" w14:paraId="5F4A48CF"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13A9C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097CEC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-4.55125</w:t>
            </w:r>
          </w:p>
        </w:tc>
        <w:tc>
          <w:tcPr>
            <w:tcW w:w="1218" w:type="dxa"/>
            <w:tcBorders>
              <w:top w:val="nil"/>
              <w:left w:val="nil"/>
              <w:bottom w:val="single" w:sz="4" w:space="0" w:color="auto"/>
              <w:right w:val="single" w:sz="4" w:space="0" w:color="auto"/>
            </w:tcBorders>
            <w:shd w:val="clear" w:color="auto" w:fill="auto"/>
            <w:noWrap/>
            <w:vAlign w:val="bottom"/>
            <w:hideMark/>
          </w:tcPr>
          <w:p w14:paraId="6AE4F05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-3.71341</w:t>
            </w:r>
          </w:p>
        </w:tc>
        <w:tc>
          <w:tcPr>
            <w:tcW w:w="1218" w:type="dxa"/>
            <w:tcBorders>
              <w:top w:val="nil"/>
              <w:left w:val="nil"/>
              <w:bottom w:val="single" w:sz="4" w:space="0" w:color="auto"/>
              <w:right w:val="single" w:sz="4" w:space="0" w:color="auto"/>
            </w:tcBorders>
            <w:shd w:val="clear" w:color="auto" w:fill="auto"/>
            <w:noWrap/>
            <w:vAlign w:val="bottom"/>
            <w:hideMark/>
          </w:tcPr>
          <w:p w14:paraId="6BE585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1.744669</w:t>
            </w:r>
          </w:p>
        </w:tc>
      </w:tr>
      <w:tr w:rsidR="002027D2" w:rsidRPr="008D1712" w14:paraId="43F1145B"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FD810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EFD0C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-2.80118</w:t>
            </w:r>
          </w:p>
        </w:tc>
        <w:tc>
          <w:tcPr>
            <w:tcW w:w="1218" w:type="dxa"/>
            <w:tcBorders>
              <w:top w:val="nil"/>
              <w:left w:val="nil"/>
              <w:bottom w:val="single" w:sz="4" w:space="0" w:color="auto"/>
              <w:right w:val="single" w:sz="4" w:space="0" w:color="auto"/>
            </w:tcBorders>
            <w:shd w:val="clear" w:color="auto" w:fill="auto"/>
            <w:noWrap/>
            <w:vAlign w:val="bottom"/>
            <w:hideMark/>
          </w:tcPr>
          <w:p w14:paraId="2CC293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-3.7472</w:t>
            </w:r>
          </w:p>
        </w:tc>
        <w:tc>
          <w:tcPr>
            <w:tcW w:w="1218" w:type="dxa"/>
            <w:tcBorders>
              <w:top w:val="nil"/>
              <w:left w:val="nil"/>
              <w:bottom w:val="single" w:sz="4" w:space="0" w:color="auto"/>
              <w:right w:val="single" w:sz="4" w:space="0" w:color="auto"/>
            </w:tcBorders>
            <w:shd w:val="clear" w:color="auto" w:fill="auto"/>
            <w:noWrap/>
            <w:vAlign w:val="bottom"/>
            <w:hideMark/>
          </w:tcPr>
          <w:p w14:paraId="3FB2A8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1.314189</w:t>
            </w:r>
          </w:p>
        </w:tc>
      </w:tr>
      <w:tr w:rsidR="002027D2" w:rsidRPr="008D1712" w14:paraId="13E45877"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2A6BF7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220C6BB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-3.82698</w:t>
            </w:r>
          </w:p>
        </w:tc>
        <w:tc>
          <w:tcPr>
            <w:tcW w:w="1218" w:type="dxa"/>
            <w:tcBorders>
              <w:top w:val="nil"/>
              <w:left w:val="nil"/>
              <w:bottom w:val="single" w:sz="4" w:space="0" w:color="auto"/>
              <w:right w:val="single" w:sz="4" w:space="0" w:color="auto"/>
            </w:tcBorders>
            <w:shd w:val="clear" w:color="auto" w:fill="auto"/>
            <w:noWrap/>
            <w:vAlign w:val="bottom"/>
            <w:hideMark/>
          </w:tcPr>
          <w:p w14:paraId="518BF3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-5.20883</w:t>
            </w:r>
          </w:p>
        </w:tc>
        <w:tc>
          <w:tcPr>
            <w:tcW w:w="1218" w:type="dxa"/>
            <w:tcBorders>
              <w:top w:val="nil"/>
              <w:left w:val="nil"/>
              <w:bottom w:val="single" w:sz="4" w:space="0" w:color="auto"/>
              <w:right w:val="single" w:sz="4" w:space="0" w:color="auto"/>
            </w:tcBorders>
            <w:shd w:val="clear" w:color="auto" w:fill="auto"/>
            <w:noWrap/>
            <w:vAlign w:val="bottom"/>
            <w:hideMark/>
          </w:tcPr>
          <w:p w14:paraId="010ABC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1.051525</w:t>
            </w:r>
          </w:p>
        </w:tc>
      </w:tr>
      <w:tr w:rsidR="002027D2" w:rsidRPr="008D1712" w14:paraId="5243CA20"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A227AB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7CA87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-3.40306</w:t>
            </w:r>
          </w:p>
        </w:tc>
        <w:tc>
          <w:tcPr>
            <w:tcW w:w="1218" w:type="dxa"/>
            <w:tcBorders>
              <w:top w:val="nil"/>
              <w:left w:val="nil"/>
              <w:bottom w:val="single" w:sz="4" w:space="0" w:color="auto"/>
              <w:right w:val="single" w:sz="4" w:space="0" w:color="auto"/>
            </w:tcBorders>
            <w:shd w:val="clear" w:color="auto" w:fill="auto"/>
            <w:noWrap/>
            <w:vAlign w:val="bottom"/>
            <w:hideMark/>
          </w:tcPr>
          <w:p w14:paraId="0FB460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-3.98802</w:t>
            </w:r>
          </w:p>
        </w:tc>
        <w:tc>
          <w:tcPr>
            <w:tcW w:w="1218" w:type="dxa"/>
            <w:tcBorders>
              <w:top w:val="nil"/>
              <w:left w:val="nil"/>
              <w:bottom w:val="single" w:sz="4" w:space="0" w:color="auto"/>
              <w:right w:val="single" w:sz="4" w:space="0" w:color="auto"/>
            </w:tcBorders>
            <w:shd w:val="clear" w:color="auto" w:fill="auto"/>
            <w:noWrap/>
            <w:vAlign w:val="bottom"/>
            <w:hideMark/>
          </w:tcPr>
          <w:p w14:paraId="15F425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-2.33107</w:t>
            </w:r>
          </w:p>
        </w:tc>
      </w:tr>
      <w:tr w:rsidR="002027D2" w:rsidRPr="008D1712" w14:paraId="6B689265"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0DAE1B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B5250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-2.92233</w:t>
            </w:r>
          </w:p>
        </w:tc>
        <w:tc>
          <w:tcPr>
            <w:tcW w:w="1218" w:type="dxa"/>
            <w:tcBorders>
              <w:top w:val="nil"/>
              <w:left w:val="nil"/>
              <w:bottom w:val="single" w:sz="4" w:space="0" w:color="auto"/>
              <w:right w:val="single" w:sz="4" w:space="0" w:color="auto"/>
            </w:tcBorders>
            <w:shd w:val="clear" w:color="auto" w:fill="auto"/>
            <w:noWrap/>
            <w:vAlign w:val="bottom"/>
            <w:hideMark/>
          </w:tcPr>
          <w:p w14:paraId="4FD4A3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-5.2075</w:t>
            </w:r>
          </w:p>
        </w:tc>
        <w:tc>
          <w:tcPr>
            <w:tcW w:w="1218" w:type="dxa"/>
            <w:tcBorders>
              <w:top w:val="nil"/>
              <w:left w:val="nil"/>
              <w:bottom w:val="single" w:sz="4" w:space="0" w:color="auto"/>
              <w:right w:val="single" w:sz="4" w:space="0" w:color="auto"/>
            </w:tcBorders>
            <w:shd w:val="clear" w:color="auto" w:fill="auto"/>
            <w:noWrap/>
            <w:vAlign w:val="bottom"/>
            <w:hideMark/>
          </w:tcPr>
          <w:p w14:paraId="2B976E2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-1.10976</w:t>
            </w:r>
          </w:p>
        </w:tc>
      </w:tr>
      <w:tr w:rsidR="002027D2" w:rsidRPr="008D1712" w14:paraId="4C37F6B2"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5C525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73E6B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-2.13815</w:t>
            </w:r>
          </w:p>
        </w:tc>
        <w:tc>
          <w:tcPr>
            <w:tcW w:w="1218" w:type="dxa"/>
            <w:tcBorders>
              <w:top w:val="nil"/>
              <w:left w:val="nil"/>
              <w:bottom w:val="single" w:sz="4" w:space="0" w:color="auto"/>
              <w:right w:val="single" w:sz="4" w:space="0" w:color="auto"/>
            </w:tcBorders>
            <w:shd w:val="clear" w:color="auto" w:fill="auto"/>
            <w:noWrap/>
            <w:vAlign w:val="bottom"/>
            <w:hideMark/>
          </w:tcPr>
          <w:p w14:paraId="50B3344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-3.56405</w:t>
            </w:r>
          </w:p>
        </w:tc>
        <w:tc>
          <w:tcPr>
            <w:tcW w:w="1218" w:type="dxa"/>
            <w:tcBorders>
              <w:top w:val="nil"/>
              <w:left w:val="nil"/>
              <w:bottom w:val="single" w:sz="4" w:space="0" w:color="auto"/>
              <w:right w:val="single" w:sz="4" w:space="0" w:color="auto"/>
            </w:tcBorders>
            <w:shd w:val="clear" w:color="auto" w:fill="auto"/>
            <w:noWrap/>
            <w:vAlign w:val="bottom"/>
            <w:hideMark/>
          </w:tcPr>
          <w:p w14:paraId="05E8BA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-1.12074</w:t>
            </w:r>
          </w:p>
        </w:tc>
      </w:tr>
      <w:tr w:rsidR="002027D2" w:rsidRPr="008D1712" w14:paraId="26DCD7B4"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9FFEB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9FC2E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1.647588</w:t>
            </w:r>
          </w:p>
        </w:tc>
        <w:tc>
          <w:tcPr>
            <w:tcW w:w="1218" w:type="dxa"/>
            <w:tcBorders>
              <w:top w:val="nil"/>
              <w:left w:val="nil"/>
              <w:bottom w:val="single" w:sz="4" w:space="0" w:color="auto"/>
              <w:right w:val="single" w:sz="4" w:space="0" w:color="auto"/>
            </w:tcBorders>
            <w:shd w:val="clear" w:color="auto" w:fill="auto"/>
            <w:noWrap/>
            <w:vAlign w:val="bottom"/>
            <w:hideMark/>
          </w:tcPr>
          <w:p w14:paraId="2A8C14E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-1.36623</w:t>
            </w:r>
          </w:p>
        </w:tc>
        <w:tc>
          <w:tcPr>
            <w:tcW w:w="1218" w:type="dxa"/>
            <w:tcBorders>
              <w:top w:val="nil"/>
              <w:left w:val="nil"/>
              <w:bottom w:val="single" w:sz="4" w:space="0" w:color="auto"/>
              <w:right w:val="single" w:sz="4" w:space="0" w:color="auto"/>
            </w:tcBorders>
            <w:shd w:val="clear" w:color="auto" w:fill="auto"/>
            <w:noWrap/>
            <w:vAlign w:val="bottom"/>
            <w:hideMark/>
          </w:tcPr>
          <w:p w14:paraId="5B09ED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-1.21231</w:t>
            </w:r>
          </w:p>
        </w:tc>
      </w:tr>
      <w:tr w:rsidR="002027D2" w:rsidRPr="008D1712" w14:paraId="677560B7"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014BCD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41CB75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2.508972</w:t>
            </w:r>
          </w:p>
        </w:tc>
        <w:tc>
          <w:tcPr>
            <w:tcW w:w="1218" w:type="dxa"/>
            <w:tcBorders>
              <w:top w:val="nil"/>
              <w:left w:val="nil"/>
              <w:bottom w:val="single" w:sz="4" w:space="0" w:color="auto"/>
              <w:right w:val="single" w:sz="4" w:space="0" w:color="auto"/>
            </w:tcBorders>
            <w:shd w:val="clear" w:color="auto" w:fill="auto"/>
            <w:noWrap/>
            <w:vAlign w:val="bottom"/>
            <w:hideMark/>
          </w:tcPr>
          <w:p w14:paraId="6CB339C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2.477832</w:t>
            </w:r>
          </w:p>
        </w:tc>
        <w:tc>
          <w:tcPr>
            <w:tcW w:w="1218" w:type="dxa"/>
            <w:tcBorders>
              <w:top w:val="nil"/>
              <w:left w:val="nil"/>
              <w:bottom w:val="single" w:sz="4" w:space="0" w:color="auto"/>
              <w:right w:val="single" w:sz="4" w:space="0" w:color="auto"/>
            </w:tcBorders>
            <w:shd w:val="clear" w:color="auto" w:fill="auto"/>
            <w:noWrap/>
            <w:vAlign w:val="bottom"/>
            <w:hideMark/>
          </w:tcPr>
          <w:p w14:paraId="32BBBE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-2.46697</w:t>
            </w:r>
          </w:p>
        </w:tc>
      </w:tr>
      <w:tr w:rsidR="002027D2" w:rsidRPr="008D1712" w14:paraId="23249A21"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D0C2E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75A7B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3.056831</w:t>
            </w:r>
          </w:p>
        </w:tc>
        <w:tc>
          <w:tcPr>
            <w:tcW w:w="1218" w:type="dxa"/>
            <w:tcBorders>
              <w:top w:val="nil"/>
              <w:left w:val="nil"/>
              <w:bottom w:val="single" w:sz="4" w:space="0" w:color="auto"/>
              <w:right w:val="single" w:sz="4" w:space="0" w:color="auto"/>
            </w:tcBorders>
            <w:shd w:val="clear" w:color="auto" w:fill="auto"/>
            <w:noWrap/>
            <w:vAlign w:val="bottom"/>
            <w:hideMark/>
          </w:tcPr>
          <w:p w14:paraId="65456F8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3.695995</w:t>
            </w:r>
          </w:p>
        </w:tc>
        <w:tc>
          <w:tcPr>
            <w:tcW w:w="1218" w:type="dxa"/>
            <w:tcBorders>
              <w:top w:val="nil"/>
              <w:left w:val="nil"/>
              <w:bottom w:val="single" w:sz="4" w:space="0" w:color="auto"/>
              <w:right w:val="single" w:sz="4" w:space="0" w:color="auto"/>
            </w:tcBorders>
            <w:shd w:val="clear" w:color="auto" w:fill="auto"/>
            <w:noWrap/>
            <w:vAlign w:val="bottom"/>
            <w:hideMark/>
          </w:tcPr>
          <w:p w14:paraId="33D590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-1.28098</w:t>
            </w:r>
          </w:p>
        </w:tc>
      </w:tr>
      <w:tr w:rsidR="002027D2" w:rsidRPr="008D1712" w14:paraId="35B23196"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E399D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36BB6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1.619388</w:t>
            </w:r>
          </w:p>
        </w:tc>
        <w:tc>
          <w:tcPr>
            <w:tcW w:w="1218" w:type="dxa"/>
            <w:tcBorders>
              <w:top w:val="nil"/>
              <w:left w:val="nil"/>
              <w:bottom w:val="single" w:sz="4" w:space="0" w:color="auto"/>
              <w:right w:val="single" w:sz="4" w:space="0" w:color="auto"/>
            </w:tcBorders>
            <w:shd w:val="clear" w:color="auto" w:fill="auto"/>
            <w:noWrap/>
            <w:vAlign w:val="bottom"/>
            <w:hideMark/>
          </w:tcPr>
          <w:p w14:paraId="264FE6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2.713031</w:t>
            </w:r>
          </w:p>
        </w:tc>
        <w:tc>
          <w:tcPr>
            <w:tcW w:w="1218" w:type="dxa"/>
            <w:tcBorders>
              <w:top w:val="nil"/>
              <w:left w:val="nil"/>
              <w:bottom w:val="single" w:sz="4" w:space="0" w:color="auto"/>
              <w:right w:val="single" w:sz="4" w:space="0" w:color="auto"/>
            </w:tcBorders>
            <w:shd w:val="clear" w:color="auto" w:fill="auto"/>
            <w:noWrap/>
            <w:vAlign w:val="bottom"/>
            <w:hideMark/>
          </w:tcPr>
          <w:p w14:paraId="625A1A5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-0.92133</w:t>
            </w:r>
          </w:p>
        </w:tc>
      </w:tr>
      <w:tr w:rsidR="002027D2" w:rsidRPr="008D1712" w14:paraId="38656269"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0250C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84F10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4.278236</w:t>
            </w:r>
          </w:p>
        </w:tc>
        <w:tc>
          <w:tcPr>
            <w:tcW w:w="1218" w:type="dxa"/>
            <w:tcBorders>
              <w:top w:val="nil"/>
              <w:left w:val="nil"/>
              <w:bottom w:val="single" w:sz="4" w:space="0" w:color="auto"/>
              <w:right w:val="single" w:sz="4" w:space="0" w:color="auto"/>
            </w:tcBorders>
            <w:shd w:val="clear" w:color="auto" w:fill="auto"/>
            <w:noWrap/>
            <w:vAlign w:val="bottom"/>
            <w:hideMark/>
          </w:tcPr>
          <w:p w14:paraId="0C2B6A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1.198632</w:t>
            </w:r>
          </w:p>
        </w:tc>
        <w:tc>
          <w:tcPr>
            <w:tcW w:w="1218" w:type="dxa"/>
            <w:tcBorders>
              <w:top w:val="nil"/>
              <w:left w:val="nil"/>
              <w:bottom w:val="single" w:sz="4" w:space="0" w:color="auto"/>
              <w:right w:val="single" w:sz="4" w:space="0" w:color="auto"/>
            </w:tcBorders>
            <w:shd w:val="clear" w:color="auto" w:fill="auto"/>
            <w:noWrap/>
            <w:vAlign w:val="bottom"/>
            <w:hideMark/>
          </w:tcPr>
          <w:p w14:paraId="78A3A1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1.32616</w:t>
            </w:r>
          </w:p>
        </w:tc>
      </w:tr>
      <w:tr w:rsidR="002027D2" w:rsidRPr="008D1712" w14:paraId="56E4178E"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47D1A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E5F4DF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2.636379</w:t>
            </w:r>
          </w:p>
        </w:tc>
        <w:tc>
          <w:tcPr>
            <w:tcW w:w="1218" w:type="dxa"/>
            <w:tcBorders>
              <w:top w:val="nil"/>
              <w:left w:val="nil"/>
              <w:bottom w:val="single" w:sz="4" w:space="0" w:color="auto"/>
              <w:right w:val="single" w:sz="4" w:space="0" w:color="auto"/>
            </w:tcBorders>
            <w:shd w:val="clear" w:color="auto" w:fill="auto"/>
            <w:noWrap/>
            <w:vAlign w:val="bottom"/>
            <w:hideMark/>
          </w:tcPr>
          <w:p w14:paraId="593F7D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1.9586</w:t>
            </w:r>
          </w:p>
        </w:tc>
        <w:tc>
          <w:tcPr>
            <w:tcW w:w="1218" w:type="dxa"/>
            <w:tcBorders>
              <w:top w:val="nil"/>
              <w:left w:val="nil"/>
              <w:bottom w:val="single" w:sz="4" w:space="0" w:color="auto"/>
              <w:right w:val="single" w:sz="4" w:space="0" w:color="auto"/>
            </w:tcBorders>
            <w:shd w:val="clear" w:color="auto" w:fill="auto"/>
            <w:noWrap/>
            <w:vAlign w:val="bottom"/>
            <w:hideMark/>
          </w:tcPr>
          <w:p w14:paraId="73C490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1.285764</w:t>
            </w:r>
          </w:p>
        </w:tc>
      </w:tr>
      <w:tr w:rsidR="002027D2" w:rsidRPr="008D1712" w14:paraId="10EFE80F"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07688A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0969A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4.099409</w:t>
            </w:r>
          </w:p>
        </w:tc>
        <w:tc>
          <w:tcPr>
            <w:tcW w:w="1218" w:type="dxa"/>
            <w:tcBorders>
              <w:top w:val="nil"/>
              <w:left w:val="nil"/>
              <w:bottom w:val="single" w:sz="4" w:space="0" w:color="auto"/>
              <w:right w:val="single" w:sz="4" w:space="0" w:color="auto"/>
            </w:tcBorders>
            <w:shd w:val="clear" w:color="auto" w:fill="auto"/>
            <w:noWrap/>
            <w:vAlign w:val="bottom"/>
            <w:hideMark/>
          </w:tcPr>
          <w:p w14:paraId="3CC37A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2.936277</w:t>
            </w:r>
          </w:p>
        </w:tc>
        <w:tc>
          <w:tcPr>
            <w:tcW w:w="1218" w:type="dxa"/>
            <w:tcBorders>
              <w:top w:val="nil"/>
              <w:left w:val="nil"/>
              <w:bottom w:val="single" w:sz="4" w:space="0" w:color="auto"/>
              <w:right w:val="single" w:sz="4" w:space="0" w:color="auto"/>
            </w:tcBorders>
            <w:shd w:val="clear" w:color="auto" w:fill="auto"/>
            <w:noWrap/>
            <w:vAlign w:val="bottom"/>
            <w:hideMark/>
          </w:tcPr>
          <w:p w14:paraId="324EB7D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0.970156</w:t>
            </w:r>
          </w:p>
        </w:tc>
      </w:tr>
      <w:tr w:rsidR="002027D2" w:rsidRPr="008D1712" w14:paraId="1ADCF75A"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EA654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2DFDDBE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4.495886</w:t>
            </w:r>
          </w:p>
        </w:tc>
        <w:tc>
          <w:tcPr>
            <w:tcW w:w="1218" w:type="dxa"/>
            <w:tcBorders>
              <w:top w:val="nil"/>
              <w:left w:val="nil"/>
              <w:bottom w:val="single" w:sz="4" w:space="0" w:color="auto"/>
              <w:right w:val="single" w:sz="4" w:space="0" w:color="auto"/>
            </w:tcBorders>
            <w:shd w:val="clear" w:color="auto" w:fill="auto"/>
            <w:noWrap/>
            <w:vAlign w:val="bottom"/>
            <w:hideMark/>
          </w:tcPr>
          <w:p w14:paraId="7EEB02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-2.22016</w:t>
            </w:r>
          </w:p>
        </w:tc>
        <w:tc>
          <w:tcPr>
            <w:tcW w:w="1218" w:type="dxa"/>
            <w:tcBorders>
              <w:top w:val="nil"/>
              <w:left w:val="nil"/>
              <w:bottom w:val="single" w:sz="4" w:space="0" w:color="auto"/>
              <w:right w:val="single" w:sz="4" w:space="0" w:color="auto"/>
            </w:tcBorders>
            <w:shd w:val="clear" w:color="auto" w:fill="auto"/>
            <w:noWrap/>
            <w:vAlign w:val="bottom"/>
            <w:hideMark/>
          </w:tcPr>
          <w:p w14:paraId="18DABE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-2.66113</w:t>
            </w:r>
          </w:p>
        </w:tc>
      </w:tr>
      <w:tr w:rsidR="002027D2" w:rsidRPr="008D1712" w14:paraId="5BAADA78"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A0A07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DD137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3.252212</w:t>
            </w:r>
          </w:p>
        </w:tc>
        <w:tc>
          <w:tcPr>
            <w:tcW w:w="1218" w:type="dxa"/>
            <w:tcBorders>
              <w:top w:val="nil"/>
              <w:left w:val="nil"/>
              <w:bottom w:val="single" w:sz="4" w:space="0" w:color="auto"/>
              <w:right w:val="single" w:sz="4" w:space="0" w:color="auto"/>
            </w:tcBorders>
            <w:shd w:val="clear" w:color="auto" w:fill="auto"/>
            <w:noWrap/>
            <w:vAlign w:val="bottom"/>
            <w:hideMark/>
          </w:tcPr>
          <w:p w14:paraId="3E5072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-2.39656</w:t>
            </w:r>
          </w:p>
        </w:tc>
        <w:tc>
          <w:tcPr>
            <w:tcW w:w="1218" w:type="dxa"/>
            <w:tcBorders>
              <w:top w:val="nil"/>
              <w:left w:val="nil"/>
              <w:bottom w:val="single" w:sz="4" w:space="0" w:color="auto"/>
              <w:right w:val="single" w:sz="4" w:space="0" w:color="auto"/>
            </w:tcBorders>
            <w:shd w:val="clear" w:color="auto" w:fill="auto"/>
            <w:noWrap/>
            <w:vAlign w:val="bottom"/>
            <w:hideMark/>
          </w:tcPr>
          <w:p w14:paraId="2F57F0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-1.41219</w:t>
            </w:r>
          </w:p>
        </w:tc>
      </w:tr>
      <w:tr w:rsidR="002027D2" w:rsidRPr="008D1712" w14:paraId="76E40156"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448C0A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4B733A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6.29796</w:t>
            </w:r>
          </w:p>
        </w:tc>
        <w:tc>
          <w:tcPr>
            <w:tcW w:w="1218" w:type="dxa"/>
            <w:tcBorders>
              <w:top w:val="nil"/>
              <w:left w:val="nil"/>
              <w:bottom w:val="single" w:sz="4" w:space="0" w:color="auto"/>
              <w:right w:val="single" w:sz="4" w:space="0" w:color="auto"/>
            </w:tcBorders>
            <w:shd w:val="clear" w:color="auto" w:fill="auto"/>
            <w:noWrap/>
            <w:vAlign w:val="bottom"/>
            <w:hideMark/>
          </w:tcPr>
          <w:p w14:paraId="1E880D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-2.19367</w:t>
            </w:r>
          </w:p>
        </w:tc>
        <w:tc>
          <w:tcPr>
            <w:tcW w:w="1218" w:type="dxa"/>
            <w:tcBorders>
              <w:top w:val="nil"/>
              <w:left w:val="nil"/>
              <w:bottom w:val="single" w:sz="4" w:space="0" w:color="auto"/>
              <w:right w:val="single" w:sz="4" w:space="0" w:color="auto"/>
            </w:tcBorders>
            <w:shd w:val="clear" w:color="auto" w:fill="auto"/>
            <w:noWrap/>
            <w:vAlign w:val="bottom"/>
            <w:hideMark/>
          </w:tcPr>
          <w:p w14:paraId="648900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-0.99111</w:t>
            </w:r>
          </w:p>
        </w:tc>
      </w:tr>
      <w:tr w:rsidR="002027D2" w:rsidRPr="008D1712" w14:paraId="398D37F1"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41449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394977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5.299567</w:t>
            </w:r>
          </w:p>
        </w:tc>
        <w:tc>
          <w:tcPr>
            <w:tcW w:w="1218" w:type="dxa"/>
            <w:tcBorders>
              <w:top w:val="nil"/>
              <w:left w:val="nil"/>
              <w:bottom w:val="single" w:sz="4" w:space="0" w:color="auto"/>
              <w:right w:val="single" w:sz="4" w:space="0" w:color="auto"/>
            </w:tcBorders>
            <w:shd w:val="clear" w:color="auto" w:fill="auto"/>
            <w:noWrap/>
            <w:vAlign w:val="bottom"/>
            <w:hideMark/>
          </w:tcPr>
          <w:p w14:paraId="528BB59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-3.64903</w:t>
            </w:r>
          </w:p>
        </w:tc>
        <w:tc>
          <w:tcPr>
            <w:tcW w:w="1218" w:type="dxa"/>
            <w:tcBorders>
              <w:top w:val="nil"/>
              <w:left w:val="nil"/>
              <w:bottom w:val="single" w:sz="4" w:space="0" w:color="auto"/>
              <w:right w:val="single" w:sz="4" w:space="0" w:color="auto"/>
            </w:tcBorders>
            <w:shd w:val="clear" w:color="auto" w:fill="auto"/>
            <w:noWrap/>
            <w:vAlign w:val="bottom"/>
            <w:hideMark/>
          </w:tcPr>
          <w:p w14:paraId="54C235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-0.81033</w:t>
            </w:r>
          </w:p>
        </w:tc>
      </w:tr>
      <w:tr w:rsidR="002027D2" w:rsidRPr="008D1712" w14:paraId="0EACC3BF"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79A7EA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39DFC5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4.279081</w:t>
            </w:r>
          </w:p>
        </w:tc>
        <w:tc>
          <w:tcPr>
            <w:tcW w:w="1218" w:type="dxa"/>
            <w:tcBorders>
              <w:top w:val="nil"/>
              <w:left w:val="nil"/>
              <w:bottom w:val="single" w:sz="4" w:space="0" w:color="auto"/>
              <w:right w:val="single" w:sz="4" w:space="0" w:color="auto"/>
            </w:tcBorders>
            <w:shd w:val="clear" w:color="auto" w:fill="auto"/>
            <w:noWrap/>
            <w:vAlign w:val="bottom"/>
            <w:hideMark/>
          </w:tcPr>
          <w:p w14:paraId="58A6AC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-2.85431</w:t>
            </w:r>
          </w:p>
        </w:tc>
        <w:tc>
          <w:tcPr>
            <w:tcW w:w="1218" w:type="dxa"/>
            <w:tcBorders>
              <w:top w:val="nil"/>
              <w:left w:val="nil"/>
              <w:bottom w:val="single" w:sz="4" w:space="0" w:color="auto"/>
              <w:right w:val="single" w:sz="4" w:space="0" w:color="auto"/>
            </w:tcBorders>
            <w:shd w:val="clear" w:color="auto" w:fill="auto"/>
            <w:noWrap/>
            <w:vAlign w:val="bottom"/>
            <w:hideMark/>
          </w:tcPr>
          <w:p w14:paraId="0D4442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1.237242</w:t>
            </w:r>
          </w:p>
        </w:tc>
      </w:tr>
      <w:tr w:rsidR="002027D2" w:rsidRPr="008D1712" w14:paraId="4B2B57FB"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4DE3D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218" w:type="dxa"/>
            <w:tcBorders>
              <w:top w:val="nil"/>
              <w:left w:val="nil"/>
              <w:bottom w:val="single" w:sz="4" w:space="0" w:color="auto"/>
              <w:right w:val="single" w:sz="4" w:space="0" w:color="auto"/>
            </w:tcBorders>
            <w:shd w:val="clear" w:color="auto" w:fill="auto"/>
            <w:noWrap/>
            <w:vAlign w:val="bottom"/>
            <w:hideMark/>
          </w:tcPr>
          <w:p w14:paraId="2CF292B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4.661303</w:t>
            </w:r>
          </w:p>
        </w:tc>
        <w:tc>
          <w:tcPr>
            <w:tcW w:w="1218" w:type="dxa"/>
            <w:tcBorders>
              <w:top w:val="nil"/>
              <w:left w:val="nil"/>
              <w:bottom w:val="single" w:sz="4" w:space="0" w:color="auto"/>
              <w:right w:val="single" w:sz="4" w:space="0" w:color="auto"/>
            </w:tcBorders>
            <w:shd w:val="clear" w:color="auto" w:fill="auto"/>
            <w:noWrap/>
            <w:vAlign w:val="bottom"/>
            <w:hideMark/>
          </w:tcPr>
          <w:p w14:paraId="70F2316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-1.14957</w:t>
            </w:r>
          </w:p>
        </w:tc>
        <w:tc>
          <w:tcPr>
            <w:tcW w:w="1218" w:type="dxa"/>
            <w:tcBorders>
              <w:top w:val="nil"/>
              <w:left w:val="nil"/>
              <w:bottom w:val="single" w:sz="4" w:space="0" w:color="auto"/>
              <w:right w:val="single" w:sz="4" w:space="0" w:color="auto"/>
            </w:tcBorders>
            <w:shd w:val="clear" w:color="auto" w:fill="auto"/>
            <w:noWrap/>
            <w:vAlign w:val="bottom"/>
            <w:hideMark/>
          </w:tcPr>
          <w:p w14:paraId="165EBA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0.872949</w:t>
            </w:r>
          </w:p>
        </w:tc>
      </w:tr>
      <w:tr w:rsidR="002027D2" w:rsidRPr="008D1712" w14:paraId="159FEA7B"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8DB24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A1B01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6.761811</w:t>
            </w:r>
          </w:p>
        </w:tc>
        <w:tc>
          <w:tcPr>
            <w:tcW w:w="1218" w:type="dxa"/>
            <w:tcBorders>
              <w:top w:val="nil"/>
              <w:left w:val="nil"/>
              <w:bottom w:val="single" w:sz="4" w:space="0" w:color="auto"/>
              <w:right w:val="single" w:sz="4" w:space="0" w:color="auto"/>
            </w:tcBorders>
            <w:shd w:val="clear" w:color="auto" w:fill="auto"/>
            <w:noWrap/>
            <w:vAlign w:val="bottom"/>
            <w:hideMark/>
          </w:tcPr>
          <w:p w14:paraId="291B20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-0.19962</w:t>
            </w:r>
          </w:p>
        </w:tc>
        <w:tc>
          <w:tcPr>
            <w:tcW w:w="1218" w:type="dxa"/>
            <w:tcBorders>
              <w:top w:val="nil"/>
              <w:left w:val="nil"/>
              <w:bottom w:val="single" w:sz="4" w:space="0" w:color="auto"/>
              <w:right w:val="single" w:sz="4" w:space="0" w:color="auto"/>
            </w:tcBorders>
            <w:shd w:val="clear" w:color="auto" w:fill="auto"/>
            <w:noWrap/>
            <w:vAlign w:val="bottom"/>
            <w:hideMark/>
          </w:tcPr>
          <w:p w14:paraId="10B548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1.39404</w:t>
            </w:r>
          </w:p>
        </w:tc>
      </w:tr>
      <w:tr w:rsidR="002027D2" w:rsidRPr="008D1712" w14:paraId="255593FC"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2F320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3429914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7.670779</w:t>
            </w:r>
          </w:p>
        </w:tc>
        <w:tc>
          <w:tcPr>
            <w:tcW w:w="1218" w:type="dxa"/>
            <w:tcBorders>
              <w:top w:val="nil"/>
              <w:left w:val="nil"/>
              <w:bottom w:val="single" w:sz="4" w:space="0" w:color="auto"/>
              <w:right w:val="single" w:sz="4" w:space="0" w:color="auto"/>
            </w:tcBorders>
            <w:shd w:val="clear" w:color="auto" w:fill="auto"/>
            <w:noWrap/>
            <w:vAlign w:val="bottom"/>
            <w:hideMark/>
          </w:tcPr>
          <w:p w14:paraId="39B7B3C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-1.36738</w:t>
            </w:r>
          </w:p>
        </w:tc>
        <w:tc>
          <w:tcPr>
            <w:tcW w:w="1218" w:type="dxa"/>
            <w:tcBorders>
              <w:top w:val="nil"/>
              <w:left w:val="nil"/>
              <w:bottom w:val="single" w:sz="4" w:space="0" w:color="auto"/>
              <w:right w:val="single" w:sz="4" w:space="0" w:color="auto"/>
            </w:tcBorders>
            <w:shd w:val="clear" w:color="auto" w:fill="auto"/>
            <w:noWrap/>
            <w:vAlign w:val="bottom"/>
            <w:hideMark/>
          </w:tcPr>
          <w:p w14:paraId="5777AD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0.376747</w:t>
            </w:r>
          </w:p>
        </w:tc>
      </w:tr>
      <w:tr w:rsidR="002027D2" w:rsidRPr="008D1712" w14:paraId="712CCC0C"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F1AF3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2808D83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8.068394</w:t>
            </w:r>
          </w:p>
        </w:tc>
        <w:tc>
          <w:tcPr>
            <w:tcW w:w="1218" w:type="dxa"/>
            <w:tcBorders>
              <w:top w:val="nil"/>
              <w:left w:val="nil"/>
              <w:bottom w:val="single" w:sz="4" w:space="0" w:color="auto"/>
              <w:right w:val="single" w:sz="4" w:space="0" w:color="auto"/>
            </w:tcBorders>
            <w:shd w:val="clear" w:color="auto" w:fill="auto"/>
            <w:noWrap/>
            <w:vAlign w:val="bottom"/>
            <w:hideMark/>
          </w:tcPr>
          <w:p w14:paraId="765BAB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-1.20894</w:t>
            </w:r>
          </w:p>
        </w:tc>
        <w:tc>
          <w:tcPr>
            <w:tcW w:w="1218" w:type="dxa"/>
            <w:tcBorders>
              <w:top w:val="nil"/>
              <w:left w:val="nil"/>
              <w:bottom w:val="single" w:sz="4" w:space="0" w:color="auto"/>
              <w:right w:val="single" w:sz="4" w:space="0" w:color="auto"/>
            </w:tcBorders>
            <w:shd w:val="clear" w:color="auto" w:fill="auto"/>
            <w:noWrap/>
            <w:vAlign w:val="bottom"/>
            <w:hideMark/>
          </w:tcPr>
          <w:p w14:paraId="35D96C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2.121664</w:t>
            </w:r>
          </w:p>
        </w:tc>
      </w:tr>
      <w:tr w:rsidR="002027D2" w:rsidRPr="008D1712" w14:paraId="08AA9F44"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E9CD6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41D26D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5.292865</w:t>
            </w:r>
          </w:p>
        </w:tc>
        <w:tc>
          <w:tcPr>
            <w:tcW w:w="1218" w:type="dxa"/>
            <w:tcBorders>
              <w:top w:val="nil"/>
              <w:left w:val="nil"/>
              <w:bottom w:val="single" w:sz="4" w:space="0" w:color="auto"/>
              <w:right w:val="single" w:sz="4" w:space="0" w:color="auto"/>
            </w:tcBorders>
            <w:shd w:val="clear" w:color="auto" w:fill="auto"/>
            <w:noWrap/>
            <w:vAlign w:val="bottom"/>
            <w:hideMark/>
          </w:tcPr>
          <w:p w14:paraId="40CBDE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-1.01221</w:t>
            </w:r>
          </w:p>
        </w:tc>
        <w:tc>
          <w:tcPr>
            <w:tcW w:w="1218" w:type="dxa"/>
            <w:tcBorders>
              <w:top w:val="nil"/>
              <w:left w:val="nil"/>
              <w:bottom w:val="single" w:sz="4" w:space="0" w:color="auto"/>
              <w:right w:val="single" w:sz="4" w:space="0" w:color="auto"/>
            </w:tcBorders>
            <w:shd w:val="clear" w:color="auto" w:fill="auto"/>
            <w:noWrap/>
            <w:vAlign w:val="bottom"/>
            <w:hideMark/>
          </w:tcPr>
          <w:p w14:paraId="682258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3.184385</w:t>
            </w:r>
          </w:p>
        </w:tc>
      </w:tr>
      <w:tr w:rsidR="002027D2" w:rsidRPr="008D1712" w14:paraId="64607E1C"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14ACA8F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3EDB5E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6.624921</w:t>
            </w:r>
          </w:p>
        </w:tc>
        <w:tc>
          <w:tcPr>
            <w:tcW w:w="1218" w:type="dxa"/>
            <w:tcBorders>
              <w:top w:val="nil"/>
              <w:left w:val="nil"/>
              <w:bottom w:val="single" w:sz="4" w:space="0" w:color="auto"/>
              <w:right w:val="single" w:sz="4" w:space="0" w:color="auto"/>
            </w:tcBorders>
            <w:shd w:val="clear" w:color="auto" w:fill="auto"/>
            <w:noWrap/>
            <w:vAlign w:val="bottom"/>
            <w:hideMark/>
          </w:tcPr>
          <w:p w14:paraId="00BCB3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-2.04533</w:t>
            </w:r>
          </w:p>
        </w:tc>
        <w:tc>
          <w:tcPr>
            <w:tcW w:w="1218" w:type="dxa"/>
            <w:tcBorders>
              <w:top w:val="nil"/>
              <w:left w:val="nil"/>
              <w:bottom w:val="single" w:sz="4" w:space="0" w:color="auto"/>
              <w:right w:val="single" w:sz="4" w:space="0" w:color="auto"/>
            </w:tcBorders>
            <w:shd w:val="clear" w:color="auto" w:fill="auto"/>
            <w:noWrap/>
            <w:vAlign w:val="bottom"/>
            <w:hideMark/>
          </w:tcPr>
          <w:p w14:paraId="6239F4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3.82157</w:t>
            </w:r>
          </w:p>
        </w:tc>
      </w:tr>
      <w:tr w:rsidR="002027D2" w:rsidRPr="008D1712" w14:paraId="6BE52900"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64D2D3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7148B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5.035005</w:t>
            </w:r>
          </w:p>
        </w:tc>
        <w:tc>
          <w:tcPr>
            <w:tcW w:w="1218" w:type="dxa"/>
            <w:tcBorders>
              <w:top w:val="nil"/>
              <w:left w:val="nil"/>
              <w:bottom w:val="single" w:sz="4" w:space="0" w:color="auto"/>
              <w:right w:val="single" w:sz="4" w:space="0" w:color="auto"/>
            </w:tcBorders>
            <w:shd w:val="clear" w:color="auto" w:fill="auto"/>
            <w:noWrap/>
            <w:vAlign w:val="bottom"/>
            <w:hideMark/>
          </w:tcPr>
          <w:p w14:paraId="3A3E95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-2.78277</w:t>
            </w:r>
          </w:p>
        </w:tc>
        <w:tc>
          <w:tcPr>
            <w:tcW w:w="1218" w:type="dxa"/>
            <w:tcBorders>
              <w:top w:val="nil"/>
              <w:left w:val="nil"/>
              <w:bottom w:val="single" w:sz="4" w:space="0" w:color="auto"/>
              <w:right w:val="single" w:sz="4" w:space="0" w:color="auto"/>
            </w:tcBorders>
            <w:shd w:val="clear" w:color="auto" w:fill="auto"/>
            <w:noWrap/>
            <w:vAlign w:val="bottom"/>
            <w:hideMark/>
          </w:tcPr>
          <w:p w14:paraId="0DFE32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3.405394</w:t>
            </w:r>
          </w:p>
        </w:tc>
      </w:tr>
      <w:tr w:rsidR="002027D2" w:rsidRPr="008D1712" w14:paraId="2C5573F5"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5162DB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88CFE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7.296082</w:t>
            </w:r>
          </w:p>
        </w:tc>
        <w:tc>
          <w:tcPr>
            <w:tcW w:w="1218" w:type="dxa"/>
            <w:tcBorders>
              <w:top w:val="nil"/>
              <w:left w:val="nil"/>
              <w:bottom w:val="single" w:sz="4" w:space="0" w:color="auto"/>
              <w:right w:val="single" w:sz="4" w:space="0" w:color="auto"/>
            </w:tcBorders>
            <w:shd w:val="clear" w:color="auto" w:fill="auto"/>
            <w:noWrap/>
            <w:vAlign w:val="bottom"/>
            <w:hideMark/>
          </w:tcPr>
          <w:p w14:paraId="34084A8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-3.76954</w:t>
            </w:r>
          </w:p>
        </w:tc>
        <w:tc>
          <w:tcPr>
            <w:tcW w:w="1218" w:type="dxa"/>
            <w:tcBorders>
              <w:top w:val="nil"/>
              <w:left w:val="nil"/>
              <w:bottom w:val="single" w:sz="4" w:space="0" w:color="auto"/>
              <w:right w:val="single" w:sz="4" w:space="0" w:color="auto"/>
            </w:tcBorders>
            <w:shd w:val="clear" w:color="auto" w:fill="auto"/>
            <w:noWrap/>
            <w:vAlign w:val="bottom"/>
            <w:hideMark/>
          </w:tcPr>
          <w:p w14:paraId="3D20BF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0.646763</w:t>
            </w:r>
          </w:p>
        </w:tc>
      </w:tr>
      <w:tr w:rsidR="002027D2" w:rsidRPr="008D1712" w14:paraId="16B2E156"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654E4D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8115C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6.152552</w:t>
            </w:r>
          </w:p>
        </w:tc>
        <w:tc>
          <w:tcPr>
            <w:tcW w:w="1218" w:type="dxa"/>
            <w:tcBorders>
              <w:top w:val="nil"/>
              <w:left w:val="nil"/>
              <w:bottom w:val="single" w:sz="4" w:space="0" w:color="auto"/>
              <w:right w:val="single" w:sz="4" w:space="0" w:color="auto"/>
            </w:tcBorders>
            <w:shd w:val="clear" w:color="auto" w:fill="auto"/>
            <w:noWrap/>
            <w:vAlign w:val="bottom"/>
            <w:hideMark/>
          </w:tcPr>
          <w:p w14:paraId="1D0B63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-4.375</w:t>
            </w:r>
          </w:p>
        </w:tc>
        <w:tc>
          <w:tcPr>
            <w:tcW w:w="1218" w:type="dxa"/>
            <w:tcBorders>
              <w:top w:val="nil"/>
              <w:left w:val="nil"/>
              <w:bottom w:val="single" w:sz="4" w:space="0" w:color="auto"/>
              <w:right w:val="single" w:sz="4" w:space="0" w:color="auto"/>
            </w:tcBorders>
            <w:shd w:val="clear" w:color="auto" w:fill="auto"/>
            <w:noWrap/>
            <w:vAlign w:val="bottom"/>
            <w:hideMark/>
          </w:tcPr>
          <w:p w14:paraId="590458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1.902221</w:t>
            </w:r>
          </w:p>
        </w:tc>
      </w:tr>
      <w:tr w:rsidR="002027D2" w:rsidRPr="008D1712" w14:paraId="6C7A0A63"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677B68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45E07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7.724581</w:t>
            </w:r>
          </w:p>
        </w:tc>
        <w:tc>
          <w:tcPr>
            <w:tcW w:w="1218" w:type="dxa"/>
            <w:tcBorders>
              <w:top w:val="nil"/>
              <w:left w:val="nil"/>
              <w:bottom w:val="single" w:sz="4" w:space="0" w:color="auto"/>
              <w:right w:val="single" w:sz="4" w:space="0" w:color="auto"/>
            </w:tcBorders>
            <w:shd w:val="clear" w:color="auto" w:fill="auto"/>
            <w:noWrap/>
            <w:vAlign w:val="bottom"/>
            <w:hideMark/>
          </w:tcPr>
          <w:p w14:paraId="2663E04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-3.64111</w:t>
            </w:r>
          </w:p>
        </w:tc>
        <w:tc>
          <w:tcPr>
            <w:tcW w:w="1218" w:type="dxa"/>
            <w:tcBorders>
              <w:top w:val="nil"/>
              <w:left w:val="nil"/>
              <w:bottom w:val="single" w:sz="4" w:space="0" w:color="auto"/>
              <w:right w:val="single" w:sz="4" w:space="0" w:color="auto"/>
            </w:tcBorders>
            <w:shd w:val="clear" w:color="auto" w:fill="auto"/>
            <w:noWrap/>
            <w:vAlign w:val="bottom"/>
            <w:hideMark/>
          </w:tcPr>
          <w:p w14:paraId="609FC5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2.388828</w:t>
            </w:r>
          </w:p>
        </w:tc>
      </w:tr>
      <w:tr w:rsidR="002027D2" w:rsidRPr="008D1712" w14:paraId="525C6C76"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20ED75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0C61F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5.616328</w:t>
            </w:r>
          </w:p>
        </w:tc>
        <w:tc>
          <w:tcPr>
            <w:tcW w:w="1218" w:type="dxa"/>
            <w:tcBorders>
              <w:top w:val="nil"/>
              <w:left w:val="nil"/>
              <w:bottom w:val="single" w:sz="4" w:space="0" w:color="auto"/>
              <w:right w:val="single" w:sz="4" w:space="0" w:color="auto"/>
            </w:tcBorders>
            <w:shd w:val="clear" w:color="auto" w:fill="auto"/>
            <w:noWrap/>
            <w:vAlign w:val="bottom"/>
            <w:hideMark/>
          </w:tcPr>
          <w:p w14:paraId="5BBD75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3.691451</w:t>
            </w:r>
          </w:p>
        </w:tc>
        <w:tc>
          <w:tcPr>
            <w:tcW w:w="1218" w:type="dxa"/>
            <w:tcBorders>
              <w:top w:val="nil"/>
              <w:left w:val="nil"/>
              <w:bottom w:val="single" w:sz="4" w:space="0" w:color="auto"/>
              <w:right w:val="single" w:sz="4" w:space="0" w:color="auto"/>
            </w:tcBorders>
            <w:shd w:val="clear" w:color="auto" w:fill="auto"/>
            <w:noWrap/>
            <w:vAlign w:val="bottom"/>
            <w:hideMark/>
          </w:tcPr>
          <w:p w14:paraId="0E46EF7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-1.1565</w:t>
            </w:r>
          </w:p>
        </w:tc>
      </w:tr>
      <w:tr w:rsidR="002027D2" w:rsidRPr="008D1712" w14:paraId="73B3272C"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EB9BD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6A272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6.617593</w:t>
            </w:r>
          </w:p>
        </w:tc>
        <w:tc>
          <w:tcPr>
            <w:tcW w:w="1218" w:type="dxa"/>
            <w:tcBorders>
              <w:top w:val="nil"/>
              <w:left w:val="nil"/>
              <w:bottom w:val="single" w:sz="4" w:space="0" w:color="auto"/>
              <w:right w:val="single" w:sz="4" w:space="0" w:color="auto"/>
            </w:tcBorders>
            <w:shd w:val="clear" w:color="auto" w:fill="auto"/>
            <w:noWrap/>
            <w:vAlign w:val="bottom"/>
            <w:hideMark/>
          </w:tcPr>
          <w:p w14:paraId="510016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-0.92904</w:t>
            </w:r>
          </w:p>
        </w:tc>
        <w:tc>
          <w:tcPr>
            <w:tcW w:w="1218" w:type="dxa"/>
            <w:tcBorders>
              <w:top w:val="nil"/>
              <w:left w:val="nil"/>
              <w:bottom w:val="single" w:sz="4" w:space="0" w:color="auto"/>
              <w:right w:val="single" w:sz="4" w:space="0" w:color="auto"/>
            </w:tcBorders>
            <w:shd w:val="clear" w:color="auto" w:fill="auto"/>
            <w:noWrap/>
            <w:vAlign w:val="bottom"/>
            <w:hideMark/>
          </w:tcPr>
          <w:p w14:paraId="0B73C7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-2.89384</w:t>
            </w:r>
          </w:p>
        </w:tc>
      </w:tr>
      <w:tr w:rsidR="002027D2" w:rsidRPr="008D1712" w14:paraId="2862A2E6" w14:textId="77777777" w:rsidTr="008D1712">
        <w:trPr>
          <w:trHeight w:val="300"/>
          <w:jc w:val="center"/>
        </w:trPr>
        <w:tc>
          <w:tcPr>
            <w:tcW w:w="403" w:type="dxa"/>
            <w:tcBorders>
              <w:top w:val="nil"/>
              <w:left w:val="single" w:sz="4" w:space="0" w:color="auto"/>
              <w:bottom w:val="single" w:sz="4" w:space="0" w:color="auto"/>
              <w:right w:val="single" w:sz="4" w:space="0" w:color="auto"/>
            </w:tcBorders>
            <w:shd w:val="clear" w:color="auto" w:fill="auto"/>
            <w:noWrap/>
            <w:vAlign w:val="center"/>
            <w:hideMark/>
          </w:tcPr>
          <w:p w14:paraId="3AF2C9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F2E0F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8.266859</w:t>
            </w:r>
          </w:p>
        </w:tc>
        <w:tc>
          <w:tcPr>
            <w:tcW w:w="1218" w:type="dxa"/>
            <w:tcBorders>
              <w:top w:val="nil"/>
              <w:left w:val="nil"/>
              <w:bottom w:val="single" w:sz="4" w:space="0" w:color="auto"/>
              <w:right w:val="single" w:sz="4" w:space="0" w:color="auto"/>
            </w:tcBorders>
            <w:shd w:val="clear" w:color="auto" w:fill="auto"/>
            <w:noWrap/>
            <w:vAlign w:val="bottom"/>
            <w:hideMark/>
          </w:tcPr>
          <w:p w14:paraId="7504B0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0.919797</w:t>
            </w:r>
          </w:p>
        </w:tc>
        <w:tc>
          <w:tcPr>
            <w:tcW w:w="1218" w:type="dxa"/>
            <w:tcBorders>
              <w:top w:val="nil"/>
              <w:left w:val="nil"/>
              <w:bottom w:val="single" w:sz="4" w:space="0" w:color="auto"/>
              <w:right w:val="single" w:sz="4" w:space="0" w:color="auto"/>
            </w:tcBorders>
            <w:shd w:val="clear" w:color="auto" w:fill="auto"/>
            <w:noWrap/>
            <w:vAlign w:val="bottom"/>
            <w:hideMark/>
          </w:tcPr>
          <w:p w14:paraId="4FE1E6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-3.17396</w:t>
            </w:r>
          </w:p>
        </w:tc>
      </w:tr>
    </w:tbl>
    <w:p w14:paraId="6B1019A2" w14:textId="77777777" w:rsidR="002027D2" w:rsidRPr="008D1712" w:rsidRDefault="002027D2" w:rsidP="008D1712">
      <w:pPr>
        <w:jc w:val="center"/>
        <w:rPr>
          <w:rFonts w:ascii="Arial" w:hAnsi="Arial" w:cs="Arial"/>
          <w:sz w:val="24"/>
          <w:szCs w:val="24"/>
        </w:rPr>
      </w:pPr>
    </w:p>
    <w:p w14:paraId="63B45203"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S2.44</w:t>
      </w:r>
      <w:r w:rsidRPr="000452A8">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 xml:space="preserve">Coordinates (Angstroms) and energy (a.u.) of </w:t>
      </w:r>
      <w:r w:rsidRPr="008D1712">
        <w:rPr>
          <w:rFonts w:ascii="Arial" w:eastAsia="Times New Roman" w:hAnsi="Arial" w:cs="Arial"/>
          <w:b/>
          <w:bCs/>
          <w:color w:val="000000"/>
          <w:sz w:val="24"/>
          <w:szCs w:val="24"/>
        </w:rPr>
        <w:t>SQ H</w:t>
      </w:r>
      <w:r w:rsidRPr="008D1712">
        <w:rPr>
          <w:rFonts w:ascii="Arial" w:hAnsi="Arial" w:cs="Arial"/>
          <w:sz w:val="24"/>
          <w:szCs w:val="24"/>
        </w:rPr>
        <w:t>. Geometries were optimized using PBE functional and 6-31+G* basis set.</w:t>
      </w:r>
    </w:p>
    <w:p w14:paraId="02009C64" w14:textId="77777777" w:rsidR="002027D2" w:rsidRPr="008D1712" w:rsidRDefault="002027D2" w:rsidP="005556B5">
      <w:pPr>
        <w:rPr>
          <w:rFonts w:ascii="Arial" w:hAnsi="Arial" w:cs="Arial"/>
          <w:sz w:val="24"/>
          <w:szCs w:val="24"/>
        </w:rPr>
      </w:pPr>
    </w:p>
    <w:tbl>
      <w:tblPr>
        <w:tblW w:w="3840" w:type="dxa"/>
        <w:jc w:val="center"/>
        <w:tblLook w:val="04A0" w:firstRow="1" w:lastRow="0" w:firstColumn="1" w:lastColumn="0" w:noHBand="0" w:noVBand="1"/>
      </w:tblPr>
      <w:tblGrid>
        <w:gridCol w:w="403"/>
        <w:gridCol w:w="1218"/>
        <w:gridCol w:w="1218"/>
        <w:gridCol w:w="1218"/>
      </w:tblGrid>
      <w:tr w:rsidR="002027D2" w:rsidRPr="008D1712" w14:paraId="7B78ACE2" w14:textId="77777777" w:rsidTr="00323CC4">
        <w:trPr>
          <w:trHeight w:val="300"/>
          <w:jc w:val="center"/>
        </w:trPr>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C669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b/>
                <w:bCs/>
                <w:color w:val="000000"/>
                <w:sz w:val="24"/>
                <w:szCs w:val="24"/>
              </w:rPr>
              <w:t>SQ F</w:t>
            </w:r>
          </w:p>
        </w:tc>
      </w:tr>
      <w:tr w:rsidR="002027D2" w:rsidRPr="008D1712" w14:paraId="4D806C10" w14:textId="77777777" w:rsidTr="00323CC4">
        <w:trPr>
          <w:trHeight w:val="300"/>
          <w:jc w:val="center"/>
        </w:trPr>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D5E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-2044.27223196399 a.u.</w:t>
            </w:r>
          </w:p>
        </w:tc>
      </w:tr>
      <w:tr w:rsidR="002027D2" w:rsidRPr="008D1712" w14:paraId="03F8C61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2BE8F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7388C5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0.637614</w:t>
            </w:r>
          </w:p>
        </w:tc>
        <w:tc>
          <w:tcPr>
            <w:tcW w:w="1199" w:type="dxa"/>
            <w:tcBorders>
              <w:top w:val="nil"/>
              <w:left w:val="nil"/>
              <w:bottom w:val="single" w:sz="4" w:space="0" w:color="auto"/>
              <w:right w:val="single" w:sz="4" w:space="0" w:color="auto"/>
            </w:tcBorders>
            <w:shd w:val="clear" w:color="auto" w:fill="auto"/>
            <w:noWrap/>
            <w:vAlign w:val="bottom"/>
            <w:hideMark/>
          </w:tcPr>
          <w:p w14:paraId="6110E37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-0.03342</w:t>
            </w:r>
          </w:p>
        </w:tc>
        <w:tc>
          <w:tcPr>
            <w:tcW w:w="1199" w:type="dxa"/>
            <w:tcBorders>
              <w:top w:val="nil"/>
              <w:left w:val="nil"/>
              <w:bottom w:val="single" w:sz="4" w:space="0" w:color="auto"/>
              <w:right w:val="single" w:sz="4" w:space="0" w:color="auto"/>
            </w:tcBorders>
            <w:shd w:val="clear" w:color="auto" w:fill="auto"/>
            <w:noWrap/>
            <w:vAlign w:val="bottom"/>
            <w:hideMark/>
          </w:tcPr>
          <w:p w14:paraId="5FF2E2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-0.26236</w:t>
            </w:r>
          </w:p>
        </w:tc>
      </w:tr>
      <w:tr w:rsidR="002027D2" w:rsidRPr="008D1712" w14:paraId="7039D59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9D41C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596854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0.113666</w:t>
            </w:r>
          </w:p>
        </w:tc>
        <w:tc>
          <w:tcPr>
            <w:tcW w:w="1199" w:type="dxa"/>
            <w:tcBorders>
              <w:top w:val="nil"/>
              <w:left w:val="nil"/>
              <w:bottom w:val="single" w:sz="4" w:space="0" w:color="auto"/>
              <w:right w:val="single" w:sz="4" w:space="0" w:color="auto"/>
            </w:tcBorders>
            <w:shd w:val="clear" w:color="auto" w:fill="auto"/>
            <w:noWrap/>
            <w:vAlign w:val="bottom"/>
            <w:hideMark/>
          </w:tcPr>
          <w:p w14:paraId="1275D6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1.072113</w:t>
            </w:r>
          </w:p>
        </w:tc>
        <w:tc>
          <w:tcPr>
            <w:tcW w:w="1199" w:type="dxa"/>
            <w:tcBorders>
              <w:top w:val="nil"/>
              <w:left w:val="nil"/>
              <w:bottom w:val="single" w:sz="4" w:space="0" w:color="auto"/>
              <w:right w:val="single" w:sz="4" w:space="0" w:color="auto"/>
            </w:tcBorders>
            <w:shd w:val="clear" w:color="auto" w:fill="auto"/>
            <w:noWrap/>
            <w:vAlign w:val="bottom"/>
            <w:hideMark/>
          </w:tcPr>
          <w:p w14:paraId="4DBD3F7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0.582026</w:t>
            </w:r>
          </w:p>
        </w:tc>
      </w:tr>
      <w:tr w:rsidR="002027D2" w:rsidRPr="008D1712" w14:paraId="425F5792"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5C49F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13329AE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-1.28159</w:t>
            </w:r>
          </w:p>
        </w:tc>
        <w:tc>
          <w:tcPr>
            <w:tcW w:w="1199" w:type="dxa"/>
            <w:tcBorders>
              <w:top w:val="nil"/>
              <w:left w:val="nil"/>
              <w:bottom w:val="single" w:sz="4" w:space="0" w:color="auto"/>
              <w:right w:val="single" w:sz="4" w:space="0" w:color="auto"/>
            </w:tcBorders>
            <w:shd w:val="clear" w:color="auto" w:fill="auto"/>
            <w:noWrap/>
            <w:vAlign w:val="bottom"/>
            <w:hideMark/>
          </w:tcPr>
          <w:p w14:paraId="176CF19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0.625644</w:t>
            </w:r>
          </w:p>
        </w:tc>
        <w:tc>
          <w:tcPr>
            <w:tcW w:w="1199" w:type="dxa"/>
            <w:tcBorders>
              <w:top w:val="nil"/>
              <w:left w:val="nil"/>
              <w:bottom w:val="single" w:sz="4" w:space="0" w:color="auto"/>
              <w:right w:val="single" w:sz="4" w:space="0" w:color="auto"/>
            </w:tcBorders>
            <w:shd w:val="clear" w:color="auto" w:fill="auto"/>
            <w:noWrap/>
            <w:vAlign w:val="bottom"/>
            <w:hideMark/>
          </w:tcPr>
          <w:p w14:paraId="497C58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0.313889</w:t>
            </w:r>
          </w:p>
        </w:tc>
      </w:tr>
      <w:tr w:rsidR="002027D2" w:rsidRPr="008D1712" w14:paraId="2E553FA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EAF57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7AF48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-0.73671</w:t>
            </w:r>
          </w:p>
        </w:tc>
        <w:tc>
          <w:tcPr>
            <w:tcW w:w="1199" w:type="dxa"/>
            <w:tcBorders>
              <w:top w:val="nil"/>
              <w:left w:val="nil"/>
              <w:bottom w:val="single" w:sz="4" w:space="0" w:color="auto"/>
              <w:right w:val="single" w:sz="4" w:space="0" w:color="auto"/>
            </w:tcBorders>
            <w:shd w:val="clear" w:color="auto" w:fill="auto"/>
            <w:noWrap/>
            <w:vAlign w:val="bottom"/>
            <w:hideMark/>
          </w:tcPr>
          <w:p w14:paraId="6A721FA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-0.55051</w:t>
            </w:r>
          </w:p>
        </w:tc>
        <w:tc>
          <w:tcPr>
            <w:tcW w:w="1199" w:type="dxa"/>
            <w:tcBorders>
              <w:top w:val="nil"/>
              <w:left w:val="nil"/>
              <w:bottom w:val="single" w:sz="4" w:space="0" w:color="auto"/>
              <w:right w:val="single" w:sz="4" w:space="0" w:color="auto"/>
            </w:tcBorders>
            <w:shd w:val="clear" w:color="auto" w:fill="auto"/>
            <w:noWrap/>
            <w:vAlign w:val="bottom"/>
            <w:hideMark/>
          </w:tcPr>
          <w:p w14:paraId="3736047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-0.40775</w:t>
            </w:r>
          </w:p>
        </w:tc>
      </w:tr>
      <w:tr w:rsidR="002027D2" w:rsidRPr="008D1712" w14:paraId="18BF4F7F"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77823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76FEFDD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-2.41873</w:t>
            </w:r>
          </w:p>
        </w:tc>
        <w:tc>
          <w:tcPr>
            <w:tcW w:w="1199" w:type="dxa"/>
            <w:tcBorders>
              <w:top w:val="nil"/>
              <w:left w:val="nil"/>
              <w:bottom w:val="single" w:sz="4" w:space="0" w:color="auto"/>
              <w:right w:val="single" w:sz="4" w:space="0" w:color="auto"/>
            </w:tcBorders>
            <w:shd w:val="clear" w:color="auto" w:fill="auto"/>
            <w:noWrap/>
            <w:vAlign w:val="bottom"/>
            <w:hideMark/>
          </w:tcPr>
          <w:p w14:paraId="2F5D23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1.288705</w:t>
            </w:r>
          </w:p>
        </w:tc>
        <w:tc>
          <w:tcPr>
            <w:tcW w:w="1199" w:type="dxa"/>
            <w:tcBorders>
              <w:top w:val="nil"/>
              <w:left w:val="nil"/>
              <w:bottom w:val="single" w:sz="4" w:space="0" w:color="auto"/>
              <w:right w:val="single" w:sz="4" w:space="0" w:color="auto"/>
            </w:tcBorders>
            <w:shd w:val="clear" w:color="auto" w:fill="auto"/>
            <w:noWrap/>
            <w:vAlign w:val="bottom"/>
            <w:hideMark/>
          </w:tcPr>
          <w:p w14:paraId="2329E1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0.795073</w:t>
            </w:r>
          </w:p>
        </w:tc>
      </w:tr>
      <w:tr w:rsidR="002027D2" w:rsidRPr="008D1712" w14:paraId="6BD3218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E596A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4748D6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-3.79948</w:t>
            </w:r>
          </w:p>
        </w:tc>
        <w:tc>
          <w:tcPr>
            <w:tcW w:w="1199" w:type="dxa"/>
            <w:tcBorders>
              <w:top w:val="nil"/>
              <w:left w:val="nil"/>
              <w:bottom w:val="single" w:sz="4" w:space="0" w:color="auto"/>
              <w:right w:val="single" w:sz="4" w:space="0" w:color="auto"/>
            </w:tcBorders>
            <w:shd w:val="clear" w:color="auto" w:fill="auto"/>
            <w:noWrap/>
            <w:vAlign w:val="bottom"/>
            <w:hideMark/>
          </w:tcPr>
          <w:p w14:paraId="50587DD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1.303033</w:t>
            </w:r>
          </w:p>
        </w:tc>
        <w:tc>
          <w:tcPr>
            <w:tcW w:w="1199" w:type="dxa"/>
            <w:tcBorders>
              <w:top w:val="nil"/>
              <w:left w:val="nil"/>
              <w:bottom w:val="single" w:sz="4" w:space="0" w:color="auto"/>
              <w:right w:val="single" w:sz="4" w:space="0" w:color="auto"/>
            </w:tcBorders>
            <w:shd w:val="clear" w:color="auto" w:fill="auto"/>
            <w:noWrap/>
            <w:vAlign w:val="bottom"/>
            <w:hideMark/>
          </w:tcPr>
          <w:p w14:paraId="6DE1003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0.56177</w:t>
            </w:r>
          </w:p>
        </w:tc>
      </w:tr>
      <w:tr w:rsidR="002027D2" w:rsidRPr="008D1712" w14:paraId="5D7E243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DB99A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7466EA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-4.73467</w:t>
            </w:r>
          </w:p>
        </w:tc>
        <w:tc>
          <w:tcPr>
            <w:tcW w:w="1199" w:type="dxa"/>
            <w:tcBorders>
              <w:top w:val="nil"/>
              <w:left w:val="nil"/>
              <w:bottom w:val="single" w:sz="4" w:space="0" w:color="auto"/>
              <w:right w:val="single" w:sz="4" w:space="0" w:color="auto"/>
            </w:tcBorders>
            <w:shd w:val="clear" w:color="auto" w:fill="auto"/>
            <w:noWrap/>
            <w:vAlign w:val="bottom"/>
            <w:hideMark/>
          </w:tcPr>
          <w:p w14:paraId="2B51FB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2.137494</w:t>
            </w:r>
          </w:p>
        </w:tc>
        <w:tc>
          <w:tcPr>
            <w:tcW w:w="1199" w:type="dxa"/>
            <w:tcBorders>
              <w:top w:val="nil"/>
              <w:left w:val="nil"/>
              <w:bottom w:val="single" w:sz="4" w:space="0" w:color="auto"/>
              <w:right w:val="single" w:sz="4" w:space="0" w:color="auto"/>
            </w:tcBorders>
            <w:shd w:val="clear" w:color="auto" w:fill="auto"/>
            <w:noWrap/>
            <w:vAlign w:val="bottom"/>
            <w:hideMark/>
          </w:tcPr>
          <w:p w14:paraId="03292B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1.460015</w:t>
            </w:r>
          </w:p>
        </w:tc>
      </w:tr>
      <w:tr w:rsidR="002027D2" w:rsidRPr="008D1712" w14:paraId="73172658"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B40B9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D224B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-6.0817</w:t>
            </w:r>
          </w:p>
        </w:tc>
        <w:tc>
          <w:tcPr>
            <w:tcW w:w="1199" w:type="dxa"/>
            <w:tcBorders>
              <w:top w:val="nil"/>
              <w:left w:val="nil"/>
              <w:bottom w:val="single" w:sz="4" w:space="0" w:color="auto"/>
              <w:right w:val="single" w:sz="4" w:space="0" w:color="auto"/>
            </w:tcBorders>
            <w:shd w:val="clear" w:color="auto" w:fill="auto"/>
            <w:noWrap/>
            <w:vAlign w:val="bottom"/>
            <w:hideMark/>
          </w:tcPr>
          <w:p w14:paraId="77A4E3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1.919411</w:t>
            </w:r>
          </w:p>
        </w:tc>
        <w:tc>
          <w:tcPr>
            <w:tcW w:w="1199" w:type="dxa"/>
            <w:tcBorders>
              <w:top w:val="nil"/>
              <w:left w:val="nil"/>
              <w:bottom w:val="single" w:sz="4" w:space="0" w:color="auto"/>
              <w:right w:val="single" w:sz="4" w:space="0" w:color="auto"/>
            </w:tcBorders>
            <w:shd w:val="clear" w:color="auto" w:fill="auto"/>
            <w:noWrap/>
            <w:vAlign w:val="bottom"/>
            <w:hideMark/>
          </w:tcPr>
          <w:p w14:paraId="0BCA83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0.799808</w:t>
            </w:r>
          </w:p>
        </w:tc>
      </w:tr>
      <w:tr w:rsidR="002027D2" w:rsidRPr="008D1712" w14:paraId="53F70D7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A26E5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213A3A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-5.91366</w:t>
            </w:r>
          </w:p>
        </w:tc>
        <w:tc>
          <w:tcPr>
            <w:tcW w:w="1199" w:type="dxa"/>
            <w:tcBorders>
              <w:top w:val="nil"/>
              <w:left w:val="nil"/>
              <w:bottom w:val="single" w:sz="4" w:space="0" w:color="auto"/>
              <w:right w:val="single" w:sz="4" w:space="0" w:color="auto"/>
            </w:tcBorders>
            <w:shd w:val="clear" w:color="auto" w:fill="auto"/>
            <w:noWrap/>
            <w:vAlign w:val="bottom"/>
            <w:hideMark/>
          </w:tcPr>
          <w:p w14:paraId="51E1AF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1.105249</w:t>
            </w:r>
          </w:p>
        </w:tc>
        <w:tc>
          <w:tcPr>
            <w:tcW w:w="1199" w:type="dxa"/>
            <w:tcBorders>
              <w:top w:val="nil"/>
              <w:left w:val="nil"/>
              <w:bottom w:val="single" w:sz="4" w:space="0" w:color="auto"/>
              <w:right w:val="single" w:sz="4" w:space="0" w:color="auto"/>
            </w:tcBorders>
            <w:shd w:val="clear" w:color="auto" w:fill="auto"/>
            <w:noWrap/>
            <w:vAlign w:val="bottom"/>
            <w:hideMark/>
          </w:tcPr>
          <w:p w14:paraId="5A1ADF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-0.33381</w:t>
            </w:r>
          </w:p>
        </w:tc>
      </w:tr>
      <w:tr w:rsidR="002027D2" w:rsidRPr="008D1712" w14:paraId="55C52ECC"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7CD11B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N</w:t>
            </w:r>
          </w:p>
        </w:tc>
        <w:tc>
          <w:tcPr>
            <w:tcW w:w="1199" w:type="dxa"/>
            <w:tcBorders>
              <w:top w:val="nil"/>
              <w:left w:val="nil"/>
              <w:bottom w:val="single" w:sz="4" w:space="0" w:color="auto"/>
              <w:right w:val="single" w:sz="4" w:space="0" w:color="auto"/>
            </w:tcBorders>
            <w:shd w:val="clear" w:color="auto" w:fill="auto"/>
            <w:noWrap/>
            <w:vAlign w:val="bottom"/>
            <w:hideMark/>
          </w:tcPr>
          <w:p w14:paraId="212D276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-4.54677</w:t>
            </w:r>
          </w:p>
        </w:tc>
        <w:tc>
          <w:tcPr>
            <w:tcW w:w="1199" w:type="dxa"/>
            <w:tcBorders>
              <w:top w:val="nil"/>
              <w:left w:val="nil"/>
              <w:bottom w:val="single" w:sz="4" w:space="0" w:color="auto"/>
              <w:right w:val="single" w:sz="4" w:space="0" w:color="auto"/>
            </w:tcBorders>
            <w:shd w:val="clear" w:color="auto" w:fill="auto"/>
            <w:noWrap/>
            <w:vAlign w:val="bottom"/>
            <w:hideMark/>
          </w:tcPr>
          <w:p w14:paraId="5C4E05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0.724736</w:t>
            </w:r>
          </w:p>
        </w:tc>
        <w:tc>
          <w:tcPr>
            <w:tcW w:w="1199" w:type="dxa"/>
            <w:tcBorders>
              <w:top w:val="nil"/>
              <w:left w:val="nil"/>
              <w:bottom w:val="single" w:sz="4" w:space="0" w:color="auto"/>
              <w:right w:val="single" w:sz="4" w:space="0" w:color="auto"/>
            </w:tcBorders>
            <w:shd w:val="clear" w:color="auto" w:fill="auto"/>
            <w:noWrap/>
            <w:vAlign w:val="bottom"/>
            <w:hideMark/>
          </w:tcPr>
          <w:p w14:paraId="38349F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-0.43404</w:t>
            </w:r>
          </w:p>
        </w:tc>
      </w:tr>
      <w:tr w:rsidR="002027D2" w:rsidRPr="008D1712" w14:paraId="42D629C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8A139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199" w:type="dxa"/>
            <w:tcBorders>
              <w:top w:val="nil"/>
              <w:left w:val="nil"/>
              <w:bottom w:val="single" w:sz="4" w:space="0" w:color="auto"/>
              <w:right w:val="single" w:sz="4" w:space="0" w:color="auto"/>
            </w:tcBorders>
            <w:shd w:val="clear" w:color="auto" w:fill="auto"/>
            <w:noWrap/>
            <w:vAlign w:val="bottom"/>
            <w:hideMark/>
          </w:tcPr>
          <w:p w14:paraId="2C352FB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-1.21376</w:t>
            </w:r>
          </w:p>
        </w:tc>
        <w:tc>
          <w:tcPr>
            <w:tcW w:w="1199" w:type="dxa"/>
            <w:tcBorders>
              <w:top w:val="nil"/>
              <w:left w:val="nil"/>
              <w:bottom w:val="single" w:sz="4" w:space="0" w:color="auto"/>
              <w:right w:val="single" w:sz="4" w:space="0" w:color="auto"/>
            </w:tcBorders>
            <w:shd w:val="clear" w:color="auto" w:fill="auto"/>
            <w:noWrap/>
            <w:vAlign w:val="bottom"/>
            <w:hideMark/>
          </w:tcPr>
          <w:p w14:paraId="0F738E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-1.59514</w:t>
            </w:r>
          </w:p>
        </w:tc>
        <w:tc>
          <w:tcPr>
            <w:tcW w:w="1199" w:type="dxa"/>
            <w:tcBorders>
              <w:top w:val="nil"/>
              <w:left w:val="nil"/>
              <w:bottom w:val="single" w:sz="4" w:space="0" w:color="auto"/>
              <w:right w:val="single" w:sz="4" w:space="0" w:color="auto"/>
            </w:tcBorders>
            <w:shd w:val="clear" w:color="auto" w:fill="auto"/>
            <w:noWrap/>
            <w:vAlign w:val="bottom"/>
            <w:hideMark/>
          </w:tcPr>
          <w:p w14:paraId="5F39AE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-0.91831</w:t>
            </w:r>
          </w:p>
        </w:tc>
      </w:tr>
      <w:tr w:rsidR="002027D2" w:rsidRPr="008D1712" w14:paraId="4688FBFC"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D0E362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199" w:type="dxa"/>
            <w:tcBorders>
              <w:top w:val="nil"/>
              <w:left w:val="nil"/>
              <w:bottom w:val="single" w:sz="4" w:space="0" w:color="auto"/>
              <w:right w:val="single" w:sz="4" w:space="0" w:color="auto"/>
            </w:tcBorders>
            <w:shd w:val="clear" w:color="auto" w:fill="auto"/>
            <w:noWrap/>
            <w:vAlign w:val="bottom"/>
            <w:hideMark/>
          </w:tcPr>
          <w:p w14:paraId="153F3A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0.573808</w:t>
            </w:r>
          </w:p>
        </w:tc>
        <w:tc>
          <w:tcPr>
            <w:tcW w:w="1199" w:type="dxa"/>
            <w:tcBorders>
              <w:top w:val="nil"/>
              <w:left w:val="nil"/>
              <w:bottom w:val="single" w:sz="4" w:space="0" w:color="auto"/>
              <w:right w:val="single" w:sz="4" w:space="0" w:color="auto"/>
            </w:tcBorders>
            <w:shd w:val="clear" w:color="auto" w:fill="auto"/>
            <w:noWrap/>
            <w:vAlign w:val="bottom"/>
            <w:hideMark/>
          </w:tcPr>
          <w:p w14:paraId="35AA6D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1.99791</w:t>
            </w:r>
          </w:p>
        </w:tc>
        <w:tc>
          <w:tcPr>
            <w:tcW w:w="1199" w:type="dxa"/>
            <w:tcBorders>
              <w:top w:val="nil"/>
              <w:left w:val="nil"/>
              <w:bottom w:val="single" w:sz="4" w:space="0" w:color="auto"/>
              <w:right w:val="single" w:sz="4" w:space="0" w:color="auto"/>
            </w:tcBorders>
            <w:shd w:val="clear" w:color="auto" w:fill="auto"/>
            <w:noWrap/>
            <w:vAlign w:val="bottom"/>
            <w:hideMark/>
          </w:tcPr>
          <w:p w14:paraId="66437F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1.260256</w:t>
            </w:r>
          </w:p>
        </w:tc>
      </w:tr>
      <w:tr w:rsidR="002027D2" w:rsidRPr="008D1712" w14:paraId="547D312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037C9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4738A8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-4.34946</w:t>
            </w:r>
          </w:p>
        </w:tc>
        <w:tc>
          <w:tcPr>
            <w:tcW w:w="1199" w:type="dxa"/>
            <w:tcBorders>
              <w:top w:val="nil"/>
              <w:left w:val="nil"/>
              <w:bottom w:val="single" w:sz="4" w:space="0" w:color="auto"/>
              <w:right w:val="single" w:sz="4" w:space="0" w:color="auto"/>
            </w:tcBorders>
            <w:shd w:val="clear" w:color="auto" w:fill="auto"/>
            <w:noWrap/>
            <w:vAlign w:val="bottom"/>
            <w:hideMark/>
          </w:tcPr>
          <w:p w14:paraId="63ABFB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3.639903</w:t>
            </w:r>
          </w:p>
        </w:tc>
        <w:tc>
          <w:tcPr>
            <w:tcW w:w="1199" w:type="dxa"/>
            <w:tcBorders>
              <w:top w:val="nil"/>
              <w:left w:val="nil"/>
              <w:bottom w:val="single" w:sz="4" w:space="0" w:color="auto"/>
              <w:right w:val="single" w:sz="4" w:space="0" w:color="auto"/>
            </w:tcBorders>
            <w:shd w:val="clear" w:color="auto" w:fill="auto"/>
            <w:noWrap/>
            <w:vAlign w:val="bottom"/>
            <w:hideMark/>
          </w:tcPr>
          <w:p w14:paraId="57EA59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1.42506</w:t>
            </w:r>
          </w:p>
        </w:tc>
      </w:tr>
      <w:tr w:rsidR="002027D2" w:rsidRPr="008D1712" w14:paraId="61BCC279"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1D2AF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6A9C27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-4.70583</w:t>
            </w:r>
          </w:p>
        </w:tc>
        <w:tc>
          <w:tcPr>
            <w:tcW w:w="1199" w:type="dxa"/>
            <w:tcBorders>
              <w:top w:val="nil"/>
              <w:left w:val="nil"/>
              <w:bottom w:val="single" w:sz="4" w:space="0" w:color="auto"/>
              <w:right w:val="single" w:sz="4" w:space="0" w:color="auto"/>
            </w:tcBorders>
            <w:shd w:val="clear" w:color="auto" w:fill="auto"/>
            <w:noWrap/>
            <w:vAlign w:val="bottom"/>
            <w:hideMark/>
          </w:tcPr>
          <w:p w14:paraId="03B3268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1.614168</w:t>
            </w:r>
          </w:p>
        </w:tc>
        <w:tc>
          <w:tcPr>
            <w:tcW w:w="1199" w:type="dxa"/>
            <w:tcBorders>
              <w:top w:val="nil"/>
              <w:left w:val="nil"/>
              <w:bottom w:val="single" w:sz="4" w:space="0" w:color="auto"/>
              <w:right w:val="single" w:sz="4" w:space="0" w:color="auto"/>
            </w:tcBorders>
            <w:shd w:val="clear" w:color="auto" w:fill="auto"/>
            <w:noWrap/>
            <w:vAlign w:val="bottom"/>
            <w:hideMark/>
          </w:tcPr>
          <w:p w14:paraId="0AD9D49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2.918213</w:t>
            </w:r>
          </w:p>
        </w:tc>
      </w:tr>
      <w:tr w:rsidR="002027D2" w:rsidRPr="008D1712" w14:paraId="666072D0"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17D89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680563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-7.34002</w:t>
            </w:r>
          </w:p>
        </w:tc>
        <w:tc>
          <w:tcPr>
            <w:tcW w:w="1199" w:type="dxa"/>
            <w:tcBorders>
              <w:top w:val="nil"/>
              <w:left w:val="nil"/>
              <w:bottom w:val="single" w:sz="4" w:space="0" w:color="auto"/>
              <w:right w:val="single" w:sz="4" w:space="0" w:color="auto"/>
            </w:tcBorders>
            <w:shd w:val="clear" w:color="auto" w:fill="auto"/>
            <w:noWrap/>
            <w:vAlign w:val="bottom"/>
            <w:hideMark/>
          </w:tcPr>
          <w:p w14:paraId="31BEC7B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2.423086</w:t>
            </w:r>
          </w:p>
        </w:tc>
        <w:tc>
          <w:tcPr>
            <w:tcW w:w="1199" w:type="dxa"/>
            <w:tcBorders>
              <w:top w:val="nil"/>
              <w:left w:val="nil"/>
              <w:bottom w:val="single" w:sz="4" w:space="0" w:color="auto"/>
              <w:right w:val="single" w:sz="4" w:space="0" w:color="auto"/>
            </w:tcBorders>
            <w:shd w:val="clear" w:color="auto" w:fill="auto"/>
            <w:noWrap/>
            <w:vAlign w:val="bottom"/>
            <w:hideMark/>
          </w:tcPr>
          <w:p w14:paraId="7F010D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1.125707</w:t>
            </w:r>
          </w:p>
        </w:tc>
      </w:tr>
      <w:tr w:rsidR="002027D2" w:rsidRPr="008D1712" w14:paraId="2FB78728"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D2183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29C970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-6.9766</w:t>
            </w:r>
          </w:p>
        </w:tc>
        <w:tc>
          <w:tcPr>
            <w:tcW w:w="1199" w:type="dxa"/>
            <w:tcBorders>
              <w:top w:val="nil"/>
              <w:left w:val="nil"/>
              <w:bottom w:val="single" w:sz="4" w:space="0" w:color="auto"/>
              <w:right w:val="single" w:sz="4" w:space="0" w:color="auto"/>
            </w:tcBorders>
            <w:shd w:val="clear" w:color="auto" w:fill="auto"/>
            <w:noWrap/>
            <w:vAlign w:val="bottom"/>
            <w:hideMark/>
          </w:tcPr>
          <w:p w14:paraId="2FFD92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0.799913</w:t>
            </w:r>
          </w:p>
        </w:tc>
        <w:tc>
          <w:tcPr>
            <w:tcW w:w="1199" w:type="dxa"/>
            <w:tcBorders>
              <w:top w:val="nil"/>
              <w:left w:val="nil"/>
              <w:bottom w:val="single" w:sz="4" w:space="0" w:color="auto"/>
              <w:right w:val="single" w:sz="4" w:space="0" w:color="auto"/>
            </w:tcBorders>
            <w:shd w:val="clear" w:color="auto" w:fill="auto"/>
            <w:noWrap/>
            <w:vAlign w:val="bottom"/>
            <w:hideMark/>
          </w:tcPr>
          <w:p w14:paraId="2DD717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-1.19514</w:t>
            </w:r>
          </w:p>
        </w:tc>
      </w:tr>
      <w:tr w:rsidR="002027D2" w:rsidRPr="008D1712" w14:paraId="20CD2349"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EC8D1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6929C35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-8.24699</w:t>
            </w:r>
          </w:p>
        </w:tc>
        <w:tc>
          <w:tcPr>
            <w:tcW w:w="1199" w:type="dxa"/>
            <w:tcBorders>
              <w:top w:val="nil"/>
              <w:left w:val="nil"/>
              <w:bottom w:val="single" w:sz="4" w:space="0" w:color="auto"/>
              <w:right w:val="single" w:sz="4" w:space="0" w:color="auto"/>
            </w:tcBorders>
            <w:shd w:val="clear" w:color="auto" w:fill="auto"/>
            <w:noWrap/>
            <w:vAlign w:val="bottom"/>
            <w:hideMark/>
          </w:tcPr>
          <w:p w14:paraId="0236D4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1.307743</w:t>
            </w:r>
          </w:p>
        </w:tc>
        <w:tc>
          <w:tcPr>
            <w:tcW w:w="1199" w:type="dxa"/>
            <w:tcBorders>
              <w:top w:val="nil"/>
              <w:left w:val="nil"/>
              <w:bottom w:val="single" w:sz="4" w:space="0" w:color="auto"/>
              <w:right w:val="single" w:sz="4" w:space="0" w:color="auto"/>
            </w:tcBorders>
            <w:shd w:val="clear" w:color="auto" w:fill="auto"/>
            <w:noWrap/>
            <w:vAlign w:val="bottom"/>
            <w:hideMark/>
          </w:tcPr>
          <w:p w14:paraId="0C93E5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-0.87397</w:t>
            </w:r>
          </w:p>
        </w:tc>
      </w:tr>
      <w:tr w:rsidR="002027D2" w:rsidRPr="008D1712" w14:paraId="371891A0"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8CF69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4818A4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-8.40563</w:t>
            </w:r>
          </w:p>
        </w:tc>
        <w:tc>
          <w:tcPr>
            <w:tcW w:w="1199" w:type="dxa"/>
            <w:tcBorders>
              <w:top w:val="nil"/>
              <w:left w:val="nil"/>
              <w:bottom w:val="single" w:sz="4" w:space="0" w:color="auto"/>
              <w:right w:val="single" w:sz="4" w:space="0" w:color="auto"/>
            </w:tcBorders>
            <w:shd w:val="clear" w:color="auto" w:fill="auto"/>
            <w:noWrap/>
            <w:vAlign w:val="bottom"/>
            <w:hideMark/>
          </w:tcPr>
          <w:p w14:paraId="74794D5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2.091798</w:t>
            </w:r>
          </w:p>
        </w:tc>
        <w:tc>
          <w:tcPr>
            <w:tcW w:w="1199" w:type="dxa"/>
            <w:tcBorders>
              <w:top w:val="nil"/>
              <w:left w:val="nil"/>
              <w:bottom w:val="single" w:sz="4" w:space="0" w:color="auto"/>
              <w:right w:val="single" w:sz="4" w:space="0" w:color="auto"/>
            </w:tcBorders>
            <w:shd w:val="clear" w:color="auto" w:fill="auto"/>
            <w:noWrap/>
            <w:vAlign w:val="bottom"/>
            <w:hideMark/>
          </w:tcPr>
          <w:p w14:paraId="6C98A5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0.275139</w:t>
            </w:r>
          </w:p>
        </w:tc>
      </w:tr>
      <w:tr w:rsidR="002027D2" w:rsidRPr="008D1712" w14:paraId="6B77614D"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4976E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07275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-4.0415</w:t>
            </w:r>
          </w:p>
        </w:tc>
        <w:tc>
          <w:tcPr>
            <w:tcW w:w="1199" w:type="dxa"/>
            <w:tcBorders>
              <w:top w:val="nil"/>
              <w:left w:val="nil"/>
              <w:bottom w:val="single" w:sz="4" w:space="0" w:color="auto"/>
              <w:right w:val="single" w:sz="4" w:space="0" w:color="auto"/>
            </w:tcBorders>
            <w:shd w:val="clear" w:color="auto" w:fill="auto"/>
            <w:noWrap/>
            <w:vAlign w:val="bottom"/>
            <w:hideMark/>
          </w:tcPr>
          <w:p w14:paraId="421194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-0.03333</w:t>
            </w:r>
          </w:p>
        </w:tc>
        <w:tc>
          <w:tcPr>
            <w:tcW w:w="1199" w:type="dxa"/>
            <w:tcBorders>
              <w:top w:val="nil"/>
              <w:left w:val="nil"/>
              <w:bottom w:val="single" w:sz="4" w:space="0" w:color="auto"/>
              <w:right w:val="single" w:sz="4" w:space="0" w:color="auto"/>
            </w:tcBorders>
            <w:shd w:val="clear" w:color="auto" w:fill="auto"/>
            <w:noWrap/>
            <w:vAlign w:val="bottom"/>
            <w:hideMark/>
          </w:tcPr>
          <w:p w14:paraId="378B06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-1.57709</w:t>
            </w:r>
          </w:p>
        </w:tc>
      </w:tr>
      <w:tr w:rsidR="002027D2" w:rsidRPr="008D1712" w14:paraId="6F09EC02"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DDCB9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77B5736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-4.48627</w:t>
            </w:r>
          </w:p>
        </w:tc>
        <w:tc>
          <w:tcPr>
            <w:tcW w:w="1199" w:type="dxa"/>
            <w:tcBorders>
              <w:top w:val="nil"/>
              <w:left w:val="nil"/>
              <w:bottom w:val="single" w:sz="4" w:space="0" w:color="auto"/>
              <w:right w:val="single" w:sz="4" w:space="0" w:color="auto"/>
            </w:tcBorders>
            <w:shd w:val="clear" w:color="auto" w:fill="auto"/>
            <w:noWrap/>
            <w:vAlign w:val="bottom"/>
            <w:hideMark/>
          </w:tcPr>
          <w:p w14:paraId="071944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-1.5146</w:t>
            </w:r>
          </w:p>
        </w:tc>
        <w:tc>
          <w:tcPr>
            <w:tcW w:w="1199" w:type="dxa"/>
            <w:tcBorders>
              <w:top w:val="nil"/>
              <w:left w:val="nil"/>
              <w:bottom w:val="single" w:sz="4" w:space="0" w:color="auto"/>
              <w:right w:val="single" w:sz="4" w:space="0" w:color="auto"/>
            </w:tcBorders>
            <w:shd w:val="clear" w:color="auto" w:fill="auto"/>
            <w:noWrap/>
            <w:vAlign w:val="bottom"/>
            <w:hideMark/>
          </w:tcPr>
          <w:p w14:paraId="6F6ACB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-1.61092</w:t>
            </w:r>
          </w:p>
        </w:tc>
      </w:tr>
      <w:tr w:rsidR="002027D2" w:rsidRPr="008D1712" w14:paraId="588D490F"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AAFEE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7A5F91B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-4.11381</w:t>
            </w:r>
          </w:p>
        </w:tc>
        <w:tc>
          <w:tcPr>
            <w:tcW w:w="1199" w:type="dxa"/>
            <w:tcBorders>
              <w:top w:val="nil"/>
              <w:left w:val="nil"/>
              <w:bottom w:val="single" w:sz="4" w:space="0" w:color="auto"/>
              <w:right w:val="single" w:sz="4" w:space="0" w:color="auto"/>
            </w:tcBorders>
            <w:shd w:val="clear" w:color="auto" w:fill="auto"/>
            <w:noWrap/>
            <w:vAlign w:val="bottom"/>
            <w:hideMark/>
          </w:tcPr>
          <w:p w14:paraId="3F668C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-2.21908</w:t>
            </w:r>
          </w:p>
        </w:tc>
        <w:tc>
          <w:tcPr>
            <w:tcW w:w="1199" w:type="dxa"/>
            <w:tcBorders>
              <w:top w:val="nil"/>
              <w:left w:val="nil"/>
              <w:bottom w:val="single" w:sz="4" w:space="0" w:color="auto"/>
              <w:right w:val="single" w:sz="4" w:space="0" w:color="auto"/>
            </w:tcBorders>
            <w:shd w:val="clear" w:color="auto" w:fill="auto"/>
            <w:noWrap/>
            <w:vAlign w:val="bottom"/>
            <w:hideMark/>
          </w:tcPr>
          <w:p w14:paraId="5C197A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-0.3084</w:t>
            </w:r>
          </w:p>
        </w:tc>
      </w:tr>
      <w:tr w:rsidR="002027D2" w:rsidRPr="008D1712" w14:paraId="1E6A1F86"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F38AD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99" w:type="dxa"/>
            <w:tcBorders>
              <w:top w:val="nil"/>
              <w:left w:val="nil"/>
              <w:bottom w:val="single" w:sz="4" w:space="0" w:color="auto"/>
              <w:right w:val="single" w:sz="4" w:space="0" w:color="auto"/>
            </w:tcBorders>
            <w:shd w:val="clear" w:color="auto" w:fill="auto"/>
            <w:noWrap/>
            <w:vAlign w:val="bottom"/>
            <w:hideMark/>
          </w:tcPr>
          <w:p w14:paraId="7C61F4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-4.12752</w:t>
            </w:r>
          </w:p>
        </w:tc>
        <w:tc>
          <w:tcPr>
            <w:tcW w:w="1199" w:type="dxa"/>
            <w:tcBorders>
              <w:top w:val="nil"/>
              <w:left w:val="nil"/>
              <w:bottom w:val="single" w:sz="4" w:space="0" w:color="auto"/>
              <w:right w:val="single" w:sz="4" w:space="0" w:color="auto"/>
            </w:tcBorders>
            <w:shd w:val="clear" w:color="auto" w:fill="auto"/>
            <w:noWrap/>
            <w:vAlign w:val="bottom"/>
            <w:hideMark/>
          </w:tcPr>
          <w:p w14:paraId="54EB04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-3.75174</w:t>
            </w:r>
          </w:p>
        </w:tc>
        <w:tc>
          <w:tcPr>
            <w:tcW w:w="1199" w:type="dxa"/>
            <w:tcBorders>
              <w:top w:val="nil"/>
              <w:left w:val="nil"/>
              <w:bottom w:val="single" w:sz="4" w:space="0" w:color="auto"/>
              <w:right w:val="single" w:sz="4" w:space="0" w:color="auto"/>
            </w:tcBorders>
            <w:shd w:val="clear" w:color="auto" w:fill="auto"/>
            <w:noWrap/>
            <w:vAlign w:val="bottom"/>
            <w:hideMark/>
          </w:tcPr>
          <w:p w14:paraId="57276C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-0.36222</w:t>
            </w:r>
          </w:p>
        </w:tc>
      </w:tr>
      <w:tr w:rsidR="002027D2" w:rsidRPr="008D1712" w14:paraId="6FF1A6FE"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8480C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2F148C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-5.51434</w:t>
            </w:r>
          </w:p>
        </w:tc>
        <w:tc>
          <w:tcPr>
            <w:tcW w:w="1199" w:type="dxa"/>
            <w:tcBorders>
              <w:top w:val="nil"/>
              <w:left w:val="nil"/>
              <w:bottom w:val="single" w:sz="4" w:space="0" w:color="auto"/>
              <w:right w:val="single" w:sz="4" w:space="0" w:color="auto"/>
            </w:tcBorders>
            <w:shd w:val="clear" w:color="auto" w:fill="auto"/>
            <w:noWrap/>
            <w:vAlign w:val="bottom"/>
            <w:hideMark/>
          </w:tcPr>
          <w:p w14:paraId="426D495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-4.28128</w:t>
            </w:r>
          </w:p>
        </w:tc>
        <w:tc>
          <w:tcPr>
            <w:tcW w:w="1199" w:type="dxa"/>
            <w:tcBorders>
              <w:top w:val="nil"/>
              <w:left w:val="nil"/>
              <w:bottom w:val="single" w:sz="4" w:space="0" w:color="auto"/>
              <w:right w:val="single" w:sz="4" w:space="0" w:color="auto"/>
            </w:tcBorders>
            <w:shd w:val="clear" w:color="auto" w:fill="auto"/>
            <w:noWrap/>
            <w:vAlign w:val="bottom"/>
            <w:hideMark/>
          </w:tcPr>
          <w:p w14:paraId="75A257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-0.62134</w:t>
            </w:r>
          </w:p>
        </w:tc>
      </w:tr>
      <w:tr w:rsidR="002027D2" w:rsidRPr="008D1712" w14:paraId="30050F56"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4A05D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372D01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-3.65128</w:t>
            </w:r>
          </w:p>
        </w:tc>
        <w:tc>
          <w:tcPr>
            <w:tcW w:w="1199" w:type="dxa"/>
            <w:tcBorders>
              <w:top w:val="nil"/>
              <w:left w:val="nil"/>
              <w:bottom w:val="single" w:sz="4" w:space="0" w:color="auto"/>
              <w:right w:val="single" w:sz="4" w:space="0" w:color="auto"/>
            </w:tcBorders>
            <w:shd w:val="clear" w:color="auto" w:fill="auto"/>
            <w:noWrap/>
            <w:vAlign w:val="bottom"/>
            <w:hideMark/>
          </w:tcPr>
          <w:p w14:paraId="54ADE2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-4.24924</w:t>
            </w:r>
          </w:p>
        </w:tc>
        <w:tc>
          <w:tcPr>
            <w:tcW w:w="1199" w:type="dxa"/>
            <w:tcBorders>
              <w:top w:val="nil"/>
              <w:left w:val="nil"/>
              <w:bottom w:val="single" w:sz="4" w:space="0" w:color="auto"/>
              <w:right w:val="single" w:sz="4" w:space="0" w:color="auto"/>
            </w:tcBorders>
            <w:shd w:val="clear" w:color="auto" w:fill="auto"/>
            <w:noWrap/>
            <w:vAlign w:val="bottom"/>
            <w:hideMark/>
          </w:tcPr>
          <w:p w14:paraId="2DC66B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0.981301</w:t>
            </w:r>
          </w:p>
        </w:tc>
      </w:tr>
      <w:tr w:rsidR="002027D2" w:rsidRPr="008D1712" w14:paraId="7F9A9D89"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D2A32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66E522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-3.17334</w:t>
            </w:r>
          </w:p>
        </w:tc>
        <w:tc>
          <w:tcPr>
            <w:tcW w:w="1199" w:type="dxa"/>
            <w:tcBorders>
              <w:top w:val="nil"/>
              <w:left w:val="nil"/>
              <w:bottom w:val="single" w:sz="4" w:space="0" w:color="auto"/>
              <w:right w:val="single" w:sz="4" w:space="0" w:color="auto"/>
            </w:tcBorders>
            <w:shd w:val="clear" w:color="auto" w:fill="auto"/>
            <w:noWrap/>
            <w:vAlign w:val="bottom"/>
            <w:hideMark/>
          </w:tcPr>
          <w:p w14:paraId="7F78DE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-4.25804</w:t>
            </w:r>
          </w:p>
        </w:tc>
        <w:tc>
          <w:tcPr>
            <w:tcW w:w="1199" w:type="dxa"/>
            <w:tcBorders>
              <w:top w:val="nil"/>
              <w:left w:val="nil"/>
              <w:bottom w:val="single" w:sz="4" w:space="0" w:color="auto"/>
              <w:right w:val="single" w:sz="4" w:space="0" w:color="auto"/>
            </w:tcBorders>
            <w:shd w:val="clear" w:color="auto" w:fill="auto"/>
            <w:noWrap/>
            <w:vAlign w:val="bottom"/>
            <w:hideMark/>
          </w:tcPr>
          <w:p w14:paraId="5B023A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-1.42276</w:t>
            </w:r>
          </w:p>
        </w:tc>
      </w:tr>
      <w:tr w:rsidR="002027D2" w:rsidRPr="008D1712" w14:paraId="1081955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99A87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683A237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1.826147</w:t>
            </w:r>
          </w:p>
        </w:tc>
        <w:tc>
          <w:tcPr>
            <w:tcW w:w="1199" w:type="dxa"/>
            <w:tcBorders>
              <w:top w:val="nil"/>
              <w:left w:val="nil"/>
              <w:bottom w:val="single" w:sz="4" w:space="0" w:color="auto"/>
              <w:right w:val="single" w:sz="4" w:space="0" w:color="auto"/>
            </w:tcBorders>
            <w:shd w:val="clear" w:color="auto" w:fill="auto"/>
            <w:noWrap/>
            <w:vAlign w:val="bottom"/>
            <w:hideMark/>
          </w:tcPr>
          <w:p w14:paraId="196FF1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-0.56429</w:t>
            </w:r>
          </w:p>
        </w:tc>
        <w:tc>
          <w:tcPr>
            <w:tcW w:w="1199" w:type="dxa"/>
            <w:tcBorders>
              <w:top w:val="nil"/>
              <w:left w:val="nil"/>
              <w:bottom w:val="single" w:sz="4" w:space="0" w:color="auto"/>
              <w:right w:val="single" w:sz="4" w:space="0" w:color="auto"/>
            </w:tcBorders>
            <w:shd w:val="clear" w:color="auto" w:fill="auto"/>
            <w:noWrap/>
            <w:vAlign w:val="bottom"/>
            <w:hideMark/>
          </w:tcPr>
          <w:p w14:paraId="7696C1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-0.80375</w:t>
            </w:r>
          </w:p>
        </w:tc>
      </w:tr>
      <w:tr w:rsidR="002027D2" w:rsidRPr="008D1712" w14:paraId="7AA9667E"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649F3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6E1731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3.094602</w:t>
            </w:r>
          </w:p>
        </w:tc>
        <w:tc>
          <w:tcPr>
            <w:tcW w:w="1199" w:type="dxa"/>
            <w:tcBorders>
              <w:top w:val="nil"/>
              <w:left w:val="nil"/>
              <w:bottom w:val="single" w:sz="4" w:space="0" w:color="auto"/>
              <w:right w:val="single" w:sz="4" w:space="0" w:color="auto"/>
            </w:tcBorders>
            <w:shd w:val="clear" w:color="auto" w:fill="auto"/>
            <w:noWrap/>
            <w:vAlign w:val="bottom"/>
            <w:hideMark/>
          </w:tcPr>
          <w:p w14:paraId="0ADF92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-0.00502</w:t>
            </w:r>
          </w:p>
        </w:tc>
        <w:tc>
          <w:tcPr>
            <w:tcW w:w="1199" w:type="dxa"/>
            <w:tcBorders>
              <w:top w:val="nil"/>
              <w:left w:val="nil"/>
              <w:bottom w:val="single" w:sz="4" w:space="0" w:color="auto"/>
              <w:right w:val="single" w:sz="4" w:space="0" w:color="auto"/>
            </w:tcBorders>
            <w:shd w:val="clear" w:color="auto" w:fill="auto"/>
            <w:noWrap/>
            <w:vAlign w:val="bottom"/>
            <w:hideMark/>
          </w:tcPr>
          <w:p w14:paraId="3DFEFF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-0.95597</w:t>
            </w:r>
          </w:p>
        </w:tc>
      </w:tr>
      <w:tr w:rsidR="002027D2" w:rsidRPr="008D1712" w14:paraId="64E6DE3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FCDE0F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283D35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3.574715</w:t>
            </w:r>
          </w:p>
        </w:tc>
        <w:tc>
          <w:tcPr>
            <w:tcW w:w="1199" w:type="dxa"/>
            <w:tcBorders>
              <w:top w:val="nil"/>
              <w:left w:val="nil"/>
              <w:bottom w:val="single" w:sz="4" w:space="0" w:color="auto"/>
              <w:right w:val="single" w:sz="4" w:space="0" w:color="auto"/>
            </w:tcBorders>
            <w:shd w:val="clear" w:color="auto" w:fill="auto"/>
            <w:noWrap/>
            <w:vAlign w:val="bottom"/>
            <w:hideMark/>
          </w:tcPr>
          <w:p w14:paraId="4F37AF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1.436791</w:t>
            </w:r>
          </w:p>
        </w:tc>
        <w:tc>
          <w:tcPr>
            <w:tcW w:w="1199" w:type="dxa"/>
            <w:tcBorders>
              <w:top w:val="nil"/>
              <w:left w:val="nil"/>
              <w:bottom w:val="single" w:sz="4" w:space="0" w:color="auto"/>
              <w:right w:val="single" w:sz="4" w:space="0" w:color="auto"/>
            </w:tcBorders>
            <w:shd w:val="clear" w:color="auto" w:fill="auto"/>
            <w:noWrap/>
            <w:vAlign w:val="bottom"/>
            <w:hideMark/>
          </w:tcPr>
          <w:p w14:paraId="2663FC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-0.68854</w:t>
            </w:r>
          </w:p>
        </w:tc>
      </w:tr>
      <w:tr w:rsidR="002027D2" w:rsidRPr="008D1712" w14:paraId="760C1875"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7E749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99" w:type="dxa"/>
            <w:tcBorders>
              <w:top w:val="nil"/>
              <w:left w:val="nil"/>
              <w:bottom w:val="single" w:sz="4" w:space="0" w:color="auto"/>
              <w:right w:val="single" w:sz="4" w:space="0" w:color="auto"/>
            </w:tcBorders>
            <w:shd w:val="clear" w:color="auto" w:fill="auto"/>
            <w:noWrap/>
            <w:vAlign w:val="bottom"/>
            <w:hideMark/>
          </w:tcPr>
          <w:p w14:paraId="4EFCBBA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4.158934</w:t>
            </w:r>
          </w:p>
        </w:tc>
        <w:tc>
          <w:tcPr>
            <w:tcW w:w="1199" w:type="dxa"/>
            <w:tcBorders>
              <w:top w:val="nil"/>
              <w:left w:val="nil"/>
              <w:bottom w:val="single" w:sz="4" w:space="0" w:color="auto"/>
              <w:right w:val="single" w:sz="4" w:space="0" w:color="auto"/>
            </w:tcBorders>
            <w:shd w:val="clear" w:color="auto" w:fill="auto"/>
            <w:noWrap/>
            <w:vAlign w:val="bottom"/>
            <w:hideMark/>
          </w:tcPr>
          <w:p w14:paraId="50B8AA7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-0.71643</w:t>
            </w:r>
          </w:p>
        </w:tc>
        <w:tc>
          <w:tcPr>
            <w:tcW w:w="1199" w:type="dxa"/>
            <w:tcBorders>
              <w:top w:val="nil"/>
              <w:left w:val="nil"/>
              <w:bottom w:val="single" w:sz="4" w:space="0" w:color="auto"/>
              <w:right w:val="single" w:sz="4" w:space="0" w:color="auto"/>
            </w:tcBorders>
            <w:shd w:val="clear" w:color="auto" w:fill="auto"/>
            <w:noWrap/>
            <w:vAlign w:val="bottom"/>
            <w:hideMark/>
          </w:tcPr>
          <w:p w14:paraId="576FC6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-1.50602</w:t>
            </w:r>
          </w:p>
        </w:tc>
      </w:tr>
      <w:tr w:rsidR="002027D2" w:rsidRPr="008D1712" w14:paraId="0C91B2DD"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91349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3FC423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5.255753</w:t>
            </w:r>
          </w:p>
        </w:tc>
        <w:tc>
          <w:tcPr>
            <w:tcW w:w="1199" w:type="dxa"/>
            <w:tcBorders>
              <w:top w:val="nil"/>
              <w:left w:val="nil"/>
              <w:bottom w:val="single" w:sz="4" w:space="0" w:color="auto"/>
              <w:right w:val="single" w:sz="4" w:space="0" w:color="auto"/>
            </w:tcBorders>
            <w:shd w:val="clear" w:color="auto" w:fill="auto"/>
            <w:noWrap/>
            <w:vAlign w:val="bottom"/>
            <w:hideMark/>
          </w:tcPr>
          <w:p w14:paraId="7F83F4B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0.134185</w:t>
            </w:r>
          </w:p>
        </w:tc>
        <w:tc>
          <w:tcPr>
            <w:tcW w:w="1199" w:type="dxa"/>
            <w:tcBorders>
              <w:top w:val="nil"/>
              <w:left w:val="nil"/>
              <w:bottom w:val="single" w:sz="4" w:space="0" w:color="auto"/>
              <w:right w:val="single" w:sz="4" w:space="0" w:color="auto"/>
            </w:tcBorders>
            <w:shd w:val="clear" w:color="auto" w:fill="auto"/>
            <w:noWrap/>
            <w:vAlign w:val="bottom"/>
            <w:hideMark/>
          </w:tcPr>
          <w:p w14:paraId="045003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-1.78792</w:t>
            </w:r>
          </w:p>
        </w:tc>
      </w:tr>
      <w:tr w:rsidR="002027D2" w:rsidRPr="008D1712" w14:paraId="0BC3972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C87710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308AC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4.961995</w:t>
            </w:r>
          </w:p>
        </w:tc>
        <w:tc>
          <w:tcPr>
            <w:tcW w:w="1199" w:type="dxa"/>
            <w:tcBorders>
              <w:top w:val="nil"/>
              <w:left w:val="nil"/>
              <w:bottom w:val="single" w:sz="4" w:space="0" w:color="auto"/>
              <w:right w:val="single" w:sz="4" w:space="0" w:color="auto"/>
            </w:tcBorders>
            <w:shd w:val="clear" w:color="auto" w:fill="auto"/>
            <w:noWrap/>
            <w:vAlign w:val="bottom"/>
            <w:hideMark/>
          </w:tcPr>
          <w:p w14:paraId="7EBB89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1.422707</w:t>
            </w:r>
          </w:p>
        </w:tc>
        <w:tc>
          <w:tcPr>
            <w:tcW w:w="1199" w:type="dxa"/>
            <w:tcBorders>
              <w:top w:val="nil"/>
              <w:left w:val="nil"/>
              <w:bottom w:val="single" w:sz="4" w:space="0" w:color="auto"/>
              <w:right w:val="single" w:sz="4" w:space="0" w:color="auto"/>
            </w:tcBorders>
            <w:shd w:val="clear" w:color="auto" w:fill="auto"/>
            <w:noWrap/>
            <w:vAlign w:val="bottom"/>
            <w:hideMark/>
          </w:tcPr>
          <w:p w14:paraId="7B9B31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-1.31039</w:t>
            </w:r>
          </w:p>
        </w:tc>
      </w:tr>
      <w:tr w:rsidR="002027D2" w:rsidRPr="008D1712" w14:paraId="5DDE668E"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989D5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67C814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2.677556</w:t>
            </w:r>
          </w:p>
        </w:tc>
        <w:tc>
          <w:tcPr>
            <w:tcW w:w="1199" w:type="dxa"/>
            <w:tcBorders>
              <w:top w:val="nil"/>
              <w:left w:val="nil"/>
              <w:bottom w:val="single" w:sz="4" w:space="0" w:color="auto"/>
              <w:right w:val="single" w:sz="4" w:space="0" w:color="auto"/>
            </w:tcBorders>
            <w:shd w:val="clear" w:color="auto" w:fill="auto"/>
            <w:noWrap/>
            <w:vAlign w:val="bottom"/>
            <w:hideMark/>
          </w:tcPr>
          <w:p w14:paraId="01C7818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2.498024</w:t>
            </w:r>
          </w:p>
        </w:tc>
        <w:tc>
          <w:tcPr>
            <w:tcW w:w="1199" w:type="dxa"/>
            <w:tcBorders>
              <w:top w:val="nil"/>
              <w:left w:val="nil"/>
              <w:bottom w:val="single" w:sz="4" w:space="0" w:color="auto"/>
              <w:right w:val="single" w:sz="4" w:space="0" w:color="auto"/>
            </w:tcBorders>
            <w:shd w:val="clear" w:color="auto" w:fill="auto"/>
            <w:noWrap/>
            <w:vAlign w:val="bottom"/>
            <w:hideMark/>
          </w:tcPr>
          <w:p w14:paraId="5DC15B7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-1.36747</w:t>
            </w:r>
          </w:p>
        </w:tc>
      </w:tr>
      <w:tr w:rsidR="002027D2" w:rsidRPr="008D1712" w14:paraId="3AB4273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81138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7A86B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3.680767</w:t>
            </w:r>
          </w:p>
        </w:tc>
        <w:tc>
          <w:tcPr>
            <w:tcW w:w="1199" w:type="dxa"/>
            <w:tcBorders>
              <w:top w:val="nil"/>
              <w:left w:val="nil"/>
              <w:bottom w:val="single" w:sz="4" w:space="0" w:color="auto"/>
              <w:right w:val="single" w:sz="4" w:space="0" w:color="auto"/>
            </w:tcBorders>
            <w:shd w:val="clear" w:color="auto" w:fill="auto"/>
            <w:noWrap/>
            <w:vAlign w:val="bottom"/>
            <w:hideMark/>
          </w:tcPr>
          <w:p w14:paraId="631E11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1.706869</w:t>
            </w:r>
          </w:p>
        </w:tc>
        <w:tc>
          <w:tcPr>
            <w:tcW w:w="1199" w:type="dxa"/>
            <w:tcBorders>
              <w:top w:val="nil"/>
              <w:left w:val="nil"/>
              <w:bottom w:val="single" w:sz="4" w:space="0" w:color="auto"/>
              <w:right w:val="single" w:sz="4" w:space="0" w:color="auto"/>
            </w:tcBorders>
            <w:shd w:val="clear" w:color="auto" w:fill="auto"/>
            <w:noWrap/>
            <w:vAlign w:val="bottom"/>
            <w:hideMark/>
          </w:tcPr>
          <w:p w14:paraId="139448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0.838685</w:t>
            </w:r>
          </w:p>
        </w:tc>
      </w:tr>
      <w:tr w:rsidR="002027D2" w:rsidRPr="008D1712" w14:paraId="2A6A7500"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C51BF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573ACC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4.251451</w:t>
            </w:r>
          </w:p>
        </w:tc>
        <w:tc>
          <w:tcPr>
            <w:tcW w:w="1199" w:type="dxa"/>
            <w:tcBorders>
              <w:top w:val="nil"/>
              <w:left w:val="nil"/>
              <w:bottom w:val="single" w:sz="4" w:space="0" w:color="auto"/>
              <w:right w:val="single" w:sz="4" w:space="0" w:color="auto"/>
            </w:tcBorders>
            <w:shd w:val="clear" w:color="auto" w:fill="auto"/>
            <w:noWrap/>
            <w:vAlign w:val="bottom"/>
            <w:hideMark/>
          </w:tcPr>
          <w:p w14:paraId="05B5694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-2.16263</w:t>
            </w:r>
          </w:p>
        </w:tc>
        <w:tc>
          <w:tcPr>
            <w:tcW w:w="1199" w:type="dxa"/>
            <w:tcBorders>
              <w:top w:val="nil"/>
              <w:left w:val="nil"/>
              <w:bottom w:val="single" w:sz="4" w:space="0" w:color="auto"/>
              <w:right w:val="single" w:sz="4" w:space="0" w:color="auto"/>
            </w:tcBorders>
            <w:shd w:val="clear" w:color="auto" w:fill="auto"/>
            <w:noWrap/>
            <w:vAlign w:val="bottom"/>
            <w:hideMark/>
          </w:tcPr>
          <w:p w14:paraId="1B947C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-1.64698</w:t>
            </w:r>
          </w:p>
        </w:tc>
      </w:tr>
      <w:tr w:rsidR="002027D2" w:rsidRPr="008D1712" w14:paraId="17FABAAD"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1173C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36FF08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5.318988</w:t>
            </w:r>
          </w:p>
        </w:tc>
        <w:tc>
          <w:tcPr>
            <w:tcW w:w="1199" w:type="dxa"/>
            <w:tcBorders>
              <w:top w:val="nil"/>
              <w:left w:val="nil"/>
              <w:bottom w:val="single" w:sz="4" w:space="0" w:color="auto"/>
              <w:right w:val="single" w:sz="4" w:space="0" w:color="auto"/>
            </w:tcBorders>
            <w:shd w:val="clear" w:color="auto" w:fill="auto"/>
            <w:noWrap/>
            <w:vAlign w:val="bottom"/>
            <w:hideMark/>
          </w:tcPr>
          <w:p w14:paraId="786BD74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-2.78965</w:t>
            </w:r>
          </w:p>
        </w:tc>
        <w:tc>
          <w:tcPr>
            <w:tcW w:w="1199" w:type="dxa"/>
            <w:tcBorders>
              <w:top w:val="nil"/>
              <w:left w:val="nil"/>
              <w:bottom w:val="single" w:sz="4" w:space="0" w:color="auto"/>
              <w:right w:val="single" w:sz="4" w:space="0" w:color="auto"/>
            </w:tcBorders>
            <w:shd w:val="clear" w:color="auto" w:fill="auto"/>
            <w:noWrap/>
            <w:vAlign w:val="bottom"/>
            <w:hideMark/>
          </w:tcPr>
          <w:p w14:paraId="5C2F271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-0.70703</w:t>
            </w:r>
          </w:p>
        </w:tc>
      </w:tr>
      <w:tr w:rsidR="002027D2" w:rsidRPr="008D1712" w14:paraId="65A475C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8D850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6D8A58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5.053834</w:t>
            </w:r>
          </w:p>
        </w:tc>
        <w:tc>
          <w:tcPr>
            <w:tcW w:w="1199" w:type="dxa"/>
            <w:tcBorders>
              <w:top w:val="nil"/>
              <w:left w:val="nil"/>
              <w:bottom w:val="single" w:sz="4" w:space="0" w:color="auto"/>
              <w:right w:val="single" w:sz="4" w:space="0" w:color="auto"/>
            </w:tcBorders>
            <w:shd w:val="clear" w:color="auto" w:fill="auto"/>
            <w:noWrap/>
            <w:vAlign w:val="bottom"/>
            <w:hideMark/>
          </w:tcPr>
          <w:p w14:paraId="6F6761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-2.43958</w:t>
            </w:r>
          </w:p>
        </w:tc>
        <w:tc>
          <w:tcPr>
            <w:tcW w:w="1199" w:type="dxa"/>
            <w:tcBorders>
              <w:top w:val="nil"/>
              <w:left w:val="nil"/>
              <w:bottom w:val="single" w:sz="4" w:space="0" w:color="auto"/>
              <w:right w:val="single" w:sz="4" w:space="0" w:color="auto"/>
            </w:tcBorders>
            <w:shd w:val="clear" w:color="auto" w:fill="auto"/>
            <w:noWrap/>
            <w:vAlign w:val="bottom"/>
            <w:hideMark/>
          </w:tcPr>
          <w:p w14:paraId="6C1110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0.759206</w:t>
            </w:r>
          </w:p>
        </w:tc>
      </w:tr>
      <w:tr w:rsidR="002027D2" w:rsidRPr="008D1712" w14:paraId="4F88CEF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146A77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N</w:t>
            </w:r>
          </w:p>
        </w:tc>
        <w:tc>
          <w:tcPr>
            <w:tcW w:w="1199" w:type="dxa"/>
            <w:tcBorders>
              <w:top w:val="nil"/>
              <w:left w:val="nil"/>
              <w:bottom w:val="single" w:sz="4" w:space="0" w:color="auto"/>
              <w:right w:val="single" w:sz="4" w:space="0" w:color="auto"/>
            </w:tcBorders>
            <w:shd w:val="clear" w:color="auto" w:fill="auto"/>
            <w:noWrap/>
            <w:vAlign w:val="bottom"/>
            <w:hideMark/>
          </w:tcPr>
          <w:p w14:paraId="3E9329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6.268943</w:t>
            </w:r>
          </w:p>
        </w:tc>
        <w:tc>
          <w:tcPr>
            <w:tcW w:w="1199" w:type="dxa"/>
            <w:tcBorders>
              <w:top w:val="nil"/>
              <w:left w:val="nil"/>
              <w:bottom w:val="single" w:sz="4" w:space="0" w:color="auto"/>
              <w:right w:val="single" w:sz="4" w:space="0" w:color="auto"/>
            </w:tcBorders>
            <w:shd w:val="clear" w:color="auto" w:fill="auto"/>
            <w:noWrap/>
            <w:vAlign w:val="bottom"/>
            <w:hideMark/>
          </w:tcPr>
          <w:p w14:paraId="2EB529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-2.54909</w:t>
            </w:r>
          </w:p>
        </w:tc>
        <w:tc>
          <w:tcPr>
            <w:tcW w:w="1199" w:type="dxa"/>
            <w:tcBorders>
              <w:top w:val="nil"/>
              <w:left w:val="nil"/>
              <w:bottom w:val="single" w:sz="4" w:space="0" w:color="auto"/>
              <w:right w:val="single" w:sz="4" w:space="0" w:color="auto"/>
            </w:tcBorders>
            <w:shd w:val="clear" w:color="auto" w:fill="auto"/>
            <w:noWrap/>
            <w:vAlign w:val="bottom"/>
            <w:hideMark/>
          </w:tcPr>
          <w:p w14:paraId="771083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1.693639</w:t>
            </w:r>
          </w:p>
        </w:tc>
      </w:tr>
      <w:tr w:rsidR="002027D2" w:rsidRPr="008D1712" w14:paraId="55ABAF3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E7814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6FC58B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7.296721</w:t>
            </w:r>
          </w:p>
        </w:tc>
        <w:tc>
          <w:tcPr>
            <w:tcW w:w="1199" w:type="dxa"/>
            <w:tcBorders>
              <w:top w:val="nil"/>
              <w:left w:val="nil"/>
              <w:bottom w:val="single" w:sz="4" w:space="0" w:color="auto"/>
              <w:right w:val="single" w:sz="4" w:space="0" w:color="auto"/>
            </w:tcBorders>
            <w:shd w:val="clear" w:color="auto" w:fill="auto"/>
            <w:noWrap/>
            <w:vAlign w:val="bottom"/>
            <w:hideMark/>
          </w:tcPr>
          <w:p w14:paraId="088A40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-1.48809</w:t>
            </w:r>
          </w:p>
        </w:tc>
        <w:tc>
          <w:tcPr>
            <w:tcW w:w="1199" w:type="dxa"/>
            <w:tcBorders>
              <w:top w:val="nil"/>
              <w:left w:val="nil"/>
              <w:bottom w:val="single" w:sz="4" w:space="0" w:color="auto"/>
              <w:right w:val="single" w:sz="4" w:space="0" w:color="auto"/>
            </w:tcBorders>
            <w:shd w:val="clear" w:color="auto" w:fill="auto"/>
            <w:noWrap/>
            <w:vAlign w:val="bottom"/>
            <w:hideMark/>
          </w:tcPr>
          <w:p w14:paraId="3AC940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1.370072</w:t>
            </w:r>
          </w:p>
        </w:tc>
      </w:tr>
      <w:tr w:rsidR="002027D2" w:rsidRPr="008D1712" w14:paraId="5F09BC3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66E493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3FFBBA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5.788739</w:t>
            </w:r>
          </w:p>
        </w:tc>
        <w:tc>
          <w:tcPr>
            <w:tcW w:w="1199" w:type="dxa"/>
            <w:tcBorders>
              <w:top w:val="nil"/>
              <w:left w:val="nil"/>
              <w:bottom w:val="single" w:sz="4" w:space="0" w:color="auto"/>
              <w:right w:val="single" w:sz="4" w:space="0" w:color="auto"/>
            </w:tcBorders>
            <w:shd w:val="clear" w:color="auto" w:fill="auto"/>
            <w:noWrap/>
            <w:vAlign w:val="bottom"/>
            <w:hideMark/>
          </w:tcPr>
          <w:p w14:paraId="373122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-2.33121</w:t>
            </w:r>
          </w:p>
        </w:tc>
        <w:tc>
          <w:tcPr>
            <w:tcW w:w="1199" w:type="dxa"/>
            <w:tcBorders>
              <w:top w:val="nil"/>
              <w:left w:val="nil"/>
              <w:bottom w:val="single" w:sz="4" w:space="0" w:color="auto"/>
              <w:right w:val="single" w:sz="4" w:space="0" w:color="auto"/>
            </w:tcBorders>
            <w:shd w:val="clear" w:color="auto" w:fill="auto"/>
            <w:noWrap/>
            <w:vAlign w:val="bottom"/>
            <w:hideMark/>
          </w:tcPr>
          <w:p w14:paraId="7309EE5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3.111277</w:t>
            </w:r>
          </w:p>
        </w:tc>
      </w:tr>
      <w:tr w:rsidR="002027D2" w:rsidRPr="008D1712" w14:paraId="394CC9C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385D1B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FCAFD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6.898842</w:t>
            </w:r>
          </w:p>
        </w:tc>
        <w:tc>
          <w:tcPr>
            <w:tcW w:w="1199" w:type="dxa"/>
            <w:tcBorders>
              <w:top w:val="nil"/>
              <w:left w:val="nil"/>
              <w:bottom w:val="single" w:sz="4" w:space="0" w:color="auto"/>
              <w:right w:val="single" w:sz="4" w:space="0" w:color="auto"/>
            </w:tcBorders>
            <w:shd w:val="clear" w:color="auto" w:fill="auto"/>
            <w:noWrap/>
            <w:vAlign w:val="bottom"/>
            <w:hideMark/>
          </w:tcPr>
          <w:p w14:paraId="795E5FF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-3.91638</w:t>
            </w:r>
          </w:p>
        </w:tc>
        <w:tc>
          <w:tcPr>
            <w:tcW w:w="1199" w:type="dxa"/>
            <w:tcBorders>
              <w:top w:val="nil"/>
              <w:left w:val="nil"/>
              <w:bottom w:val="single" w:sz="4" w:space="0" w:color="auto"/>
              <w:right w:val="single" w:sz="4" w:space="0" w:color="auto"/>
            </w:tcBorders>
            <w:shd w:val="clear" w:color="auto" w:fill="auto"/>
            <w:noWrap/>
            <w:vAlign w:val="bottom"/>
            <w:hideMark/>
          </w:tcPr>
          <w:p w14:paraId="349453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1.593416</w:t>
            </w:r>
          </w:p>
        </w:tc>
      </w:tr>
      <w:tr w:rsidR="002027D2" w:rsidRPr="008D1712" w14:paraId="5814C0F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1E4B2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4DA48E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5.888196</w:t>
            </w:r>
          </w:p>
        </w:tc>
        <w:tc>
          <w:tcPr>
            <w:tcW w:w="1199" w:type="dxa"/>
            <w:tcBorders>
              <w:top w:val="nil"/>
              <w:left w:val="nil"/>
              <w:bottom w:val="single" w:sz="4" w:space="0" w:color="auto"/>
              <w:right w:val="single" w:sz="4" w:space="0" w:color="auto"/>
            </w:tcBorders>
            <w:shd w:val="clear" w:color="auto" w:fill="auto"/>
            <w:noWrap/>
            <w:vAlign w:val="bottom"/>
            <w:hideMark/>
          </w:tcPr>
          <w:p w14:paraId="3CF59BF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2.454977</w:t>
            </w:r>
          </w:p>
        </w:tc>
        <w:tc>
          <w:tcPr>
            <w:tcW w:w="1199" w:type="dxa"/>
            <w:tcBorders>
              <w:top w:val="nil"/>
              <w:left w:val="nil"/>
              <w:bottom w:val="single" w:sz="4" w:space="0" w:color="auto"/>
              <w:right w:val="single" w:sz="4" w:space="0" w:color="auto"/>
            </w:tcBorders>
            <w:shd w:val="clear" w:color="auto" w:fill="auto"/>
            <w:noWrap/>
            <w:vAlign w:val="bottom"/>
            <w:hideMark/>
          </w:tcPr>
          <w:p w14:paraId="356E00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-1.45778</w:t>
            </w:r>
          </w:p>
        </w:tc>
      </w:tr>
      <w:tr w:rsidR="002027D2" w:rsidRPr="008D1712" w14:paraId="40C7B775"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F3C18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2F7D27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6.452974</w:t>
            </w:r>
          </w:p>
        </w:tc>
        <w:tc>
          <w:tcPr>
            <w:tcW w:w="1199" w:type="dxa"/>
            <w:tcBorders>
              <w:top w:val="nil"/>
              <w:left w:val="nil"/>
              <w:bottom w:val="single" w:sz="4" w:space="0" w:color="auto"/>
              <w:right w:val="single" w:sz="4" w:space="0" w:color="auto"/>
            </w:tcBorders>
            <w:shd w:val="clear" w:color="auto" w:fill="auto"/>
            <w:noWrap/>
            <w:vAlign w:val="bottom"/>
            <w:hideMark/>
          </w:tcPr>
          <w:p w14:paraId="6F6F97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-0.15799</w:t>
            </w:r>
          </w:p>
        </w:tc>
        <w:tc>
          <w:tcPr>
            <w:tcW w:w="1199" w:type="dxa"/>
            <w:tcBorders>
              <w:top w:val="nil"/>
              <w:left w:val="nil"/>
              <w:bottom w:val="single" w:sz="4" w:space="0" w:color="auto"/>
              <w:right w:val="single" w:sz="4" w:space="0" w:color="auto"/>
            </w:tcBorders>
            <w:shd w:val="clear" w:color="auto" w:fill="auto"/>
            <w:noWrap/>
            <w:vAlign w:val="bottom"/>
            <w:hideMark/>
          </w:tcPr>
          <w:p w14:paraId="27108B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-2.4594</w:t>
            </w:r>
          </w:p>
        </w:tc>
      </w:tr>
      <w:tr w:rsidR="002027D2" w:rsidRPr="008D1712" w14:paraId="19B9CD8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8D5E5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50D85C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7.388663</w:t>
            </w:r>
          </w:p>
        </w:tc>
        <w:tc>
          <w:tcPr>
            <w:tcW w:w="1199" w:type="dxa"/>
            <w:tcBorders>
              <w:top w:val="nil"/>
              <w:left w:val="nil"/>
              <w:bottom w:val="single" w:sz="4" w:space="0" w:color="auto"/>
              <w:right w:val="single" w:sz="4" w:space="0" w:color="auto"/>
            </w:tcBorders>
            <w:shd w:val="clear" w:color="auto" w:fill="auto"/>
            <w:noWrap/>
            <w:vAlign w:val="bottom"/>
            <w:hideMark/>
          </w:tcPr>
          <w:p w14:paraId="175938D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0.8806</w:t>
            </w:r>
          </w:p>
        </w:tc>
        <w:tc>
          <w:tcPr>
            <w:tcW w:w="1199" w:type="dxa"/>
            <w:tcBorders>
              <w:top w:val="nil"/>
              <w:left w:val="nil"/>
              <w:bottom w:val="single" w:sz="4" w:space="0" w:color="auto"/>
              <w:right w:val="single" w:sz="4" w:space="0" w:color="auto"/>
            </w:tcBorders>
            <w:shd w:val="clear" w:color="auto" w:fill="auto"/>
            <w:noWrap/>
            <w:vAlign w:val="bottom"/>
            <w:hideMark/>
          </w:tcPr>
          <w:p w14:paraId="54E614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-2.61425</w:t>
            </w:r>
          </w:p>
        </w:tc>
      </w:tr>
      <w:tr w:rsidR="002027D2" w:rsidRPr="008D1712" w14:paraId="630D516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80D821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99" w:type="dxa"/>
            <w:tcBorders>
              <w:top w:val="nil"/>
              <w:left w:val="nil"/>
              <w:bottom w:val="single" w:sz="4" w:space="0" w:color="auto"/>
              <w:right w:val="single" w:sz="4" w:space="0" w:color="auto"/>
            </w:tcBorders>
            <w:shd w:val="clear" w:color="auto" w:fill="auto"/>
            <w:noWrap/>
            <w:vAlign w:val="bottom"/>
            <w:hideMark/>
          </w:tcPr>
          <w:p w14:paraId="094476F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7.095564</w:t>
            </w:r>
          </w:p>
        </w:tc>
        <w:tc>
          <w:tcPr>
            <w:tcW w:w="1199" w:type="dxa"/>
            <w:tcBorders>
              <w:top w:val="nil"/>
              <w:left w:val="nil"/>
              <w:bottom w:val="single" w:sz="4" w:space="0" w:color="auto"/>
              <w:right w:val="single" w:sz="4" w:space="0" w:color="auto"/>
            </w:tcBorders>
            <w:shd w:val="clear" w:color="auto" w:fill="auto"/>
            <w:noWrap/>
            <w:vAlign w:val="bottom"/>
            <w:hideMark/>
          </w:tcPr>
          <w:p w14:paraId="2295781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2.151874</w:t>
            </w:r>
          </w:p>
        </w:tc>
        <w:tc>
          <w:tcPr>
            <w:tcW w:w="1199" w:type="dxa"/>
            <w:tcBorders>
              <w:top w:val="nil"/>
              <w:left w:val="nil"/>
              <w:bottom w:val="single" w:sz="4" w:space="0" w:color="auto"/>
              <w:right w:val="single" w:sz="4" w:space="0" w:color="auto"/>
            </w:tcBorders>
            <w:shd w:val="clear" w:color="auto" w:fill="auto"/>
            <w:noWrap/>
            <w:vAlign w:val="bottom"/>
            <w:hideMark/>
          </w:tcPr>
          <w:p w14:paraId="5B2CDC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-2.10616</w:t>
            </w:r>
          </w:p>
        </w:tc>
      </w:tr>
      <w:tr w:rsidR="002027D2" w:rsidRPr="008D1712" w14:paraId="771520E8"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0F933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F</w:t>
            </w:r>
          </w:p>
        </w:tc>
        <w:tc>
          <w:tcPr>
            <w:tcW w:w="1199" w:type="dxa"/>
            <w:tcBorders>
              <w:top w:val="nil"/>
              <w:left w:val="nil"/>
              <w:bottom w:val="single" w:sz="4" w:space="0" w:color="auto"/>
              <w:right w:val="single" w:sz="4" w:space="0" w:color="auto"/>
            </w:tcBorders>
            <w:shd w:val="clear" w:color="auto" w:fill="auto"/>
            <w:noWrap/>
            <w:vAlign w:val="bottom"/>
            <w:hideMark/>
          </w:tcPr>
          <w:p w14:paraId="433DDB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8.012697</w:t>
            </w:r>
          </w:p>
        </w:tc>
        <w:tc>
          <w:tcPr>
            <w:tcW w:w="1199" w:type="dxa"/>
            <w:tcBorders>
              <w:top w:val="nil"/>
              <w:left w:val="nil"/>
              <w:bottom w:val="single" w:sz="4" w:space="0" w:color="auto"/>
              <w:right w:val="single" w:sz="4" w:space="0" w:color="auto"/>
            </w:tcBorders>
            <w:shd w:val="clear" w:color="auto" w:fill="auto"/>
            <w:noWrap/>
            <w:vAlign w:val="bottom"/>
            <w:hideMark/>
          </w:tcPr>
          <w:p w14:paraId="371263C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3.13886</w:t>
            </w:r>
          </w:p>
        </w:tc>
        <w:tc>
          <w:tcPr>
            <w:tcW w:w="1199" w:type="dxa"/>
            <w:tcBorders>
              <w:top w:val="nil"/>
              <w:left w:val="nil"/>
              <w:bottom w:val="single" w:sz="4" w:space="0" w:color="auto"/>
              <w:right w:val="single" w:sz="4" w:space="0" w:color="auto"/>
            </w:tcBorders>
            <w:shd w:val="clear" w:color="auto" w:fill="auto"/>
            <w:noWrap/>
            <w:vAlign w:val="bottom"/>
            <w:hideMark/>
          </w:tcPr>
          <w:p w14:paraId="578A7E1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-2.26003</w:t>
            </w:r>
          </w:p>
        </w:tc>
      </w:tr>
      <w:tr w:rsidR="002027D2" w:rsidRPr="008D1712" w14:paraId="388D56A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09C66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F</w:t>
            </w:r>
          </w:p>
        </w:tc>
        <w:tc>
          <w:tcPr>
            <w:tcW w:w="1199" w:type="dxa"/>
            <w:tcBorders>
              <w:top w:val="nil"/>
              <w:left w:val="nil"/>
              <w:bottom w:val="single" w:sz="4" w:space="0" w:color="auto"/>
              <w:right w:val="single" w:sz="4" w:space="0" w:color="auto"/>
            </w:tcBorders>
            <w:shd w:val="clear" w:color="auto" w:fill="auto"/>
            <w:noWrap/>
            <w:vAlign w:val="bottom"/>
            <w:hideMark/>
          </w:tcPr>
          <w:p w14:paraId="0B18372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-9.6408</w:t>
            </w:r>
          </w:p>
        </w:tc>
        <w:tc>
          <w:tcPr>
            <w:tcW w:w="1199" w:type="dxa"/>
            <w:tcBorders>
              <w:top w:val="nil"/>
              <w:left w:val="nil"/>
              <w:bottom w:val="single" w:sz="4" w:space="0" w:color="auto"/>
              <w:right w:val="single" w:sz="4" w:space="0" w:color="auto"/>
            </w:tcBorders>
            <w:shd w:val="clear" w:color="auto" w:fill="auto"/>
            <w:noWrap/>
            <w:vAlign w:val="bottom"/>
            <w:hideMark/>
          </w:tcPr>
          <w:p w14:paraId="3B09730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2.561093</w:t>
            </w:r>
          </w:p>
        </w:tc>
        <w:tc>
          <w:tcPr>
            <w:tcW w:w="1199" w:type="dxa"/>
            <w:tcBorders>
              <w:top w:val="nil"/>
              <w:left w:val="nil"/>
              <w:bottom w:val="single" w:sz="4" w:space="0" w:color="auto"/>
              <w:right w:val="single" w:sz="4" w:space="0" w:color="auto"/>
            </w:tcBorders>
            <w:shd w:val="clear" w:color="auto" w:fill="auto"/>
            <w:noWrap/>
            <w:vAlign w:val="bottom"/>
            <w:hideMark/>
          </w:tcPr>
          <w:p w14:paraId="748F4D1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0.574616</w:t>
            </w:r>
          </w:p>
        </w:tc>
      </w:tr>
      <w:tr w:rsidR="002027D2" w:rsidRPr="008D1712" w14:paraId="1604AD00"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14222B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013A2B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-2.12498</w:t>
            </w:r>
          </w:p>
        </w:tc>
        <w:tc>
          <w:tcPr>
            <w:tcW w:w="1199" w:type="dxa"/>
            <w:tcBorders>
              <w:top w:val="nil"/>
              <w:left w:val="nil"/>
              <w:bottom w:val="single" w:sz="4" w:space="0" w:color="auto"/>
              <w:right w:val="single" w:sz="4" w:space="0" w:color="auto"/>
            </w:tcBorders>
            <w:shd w:val="clear" w:color="auto" w:fill="auto"/>
            <w:noWrap/>
            <w:vAlign w:val="bottom"/>
            <w:hideMark/>
          </w:tcPr>
          <w:p w14:paraId="2FA9A4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2.050687</w:t>
            </w:r>
          </w:p>
        </w:tc>
        <w:tc>
          <w:tcPr>
            <w:tcW w:w="1199" w:type="dxa"/>
            <w:tcBorders>
              <w:top w:val="nil"/>
              <w:left w:val="nil"/>
              <w:bottom w:val="single" w:sz="4" w:space="0" w:color="auto"/>
              <w:right w:val="single" w:sz="4" w:space="0" w:color="auto"/>
            </w:tcBorders>
            <w:shd w:val="clear" w:color="auto" w:fill="auto"/>
            <w:noWrap/>
            <w:vAlign w:val="bottom"/>
            <w:hideMark/>
          </w:tcPr>
          <w:p w14:paraId="1A24EF7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1.533323</w:t>
            </w:r>
          </w:p>
        </w:tc>
      </w:tr>
      <w:tr w:rsidR="002027D2" w:rsidRPr="008D1712" w14:paraId="492377DC"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C6D8A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215E29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-4.32577</w:t>
            </w:r>
          </w:p>
        </w:tc>
        <w:tc>
          <w:tcPr>
            <w:tcW w:w="1199" w:type="dxa"/>
            <w:tcBorders>
              <w:top w:val="nil"/>
              <w:left w:val="nil"/>
              <w:bottom w:val="single" w:sz="4" w:space="0" w:color="auto"/>
              <w:right w:val="single" w:sz="4" w:space="0" w:color="auto"/>
            </w:tcBorders>
            <w:shd w:val="clear" w:color="auto" w:fill="auto"/>
            <w:noWrap/>
            <w:vAlign w:val="bottom"/>
            <w:hideMark/>
          </w:tcPr>
          <w:p w14:paraId="3476B6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4.025836</w:t>
            </w:r>
          </w:p>
        </w:tc>
        <w:tc>
          <w:tcPr>
            <w:tcW w:w="1199" w:type="dxa"/>
            <w:tcBorders>
              <w:top w:val="nil"/>
              <w:left w:val="nil"/>
              <w:bottom w:val="single" w:sz="4" w:space="0" w:color="auto"/>
              <w:right w:val="single" w:sz="4" w:space="0" w:color="auto"/>
            </w:tcBorders>
            <w:shd w:val="clear" w:color="auto" w:fill="auto"/>
            <w:noWrap/>
            <w:vAlign w:val="bottom"/>
            <w:hideMark/>
          </w:tcPr>
          <w:p w14:paraId="49547B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0.392889</w:t>
            </w:r>
          </w:p>
        </w:tc>
      </w:tr>
      <w:tr w:rsidR="002027D2" w:rsidRPr="008D1712" w14:paraId="1D7622D6"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0BA0C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2C77274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-3.3608</w:t>
            </w:r>
          </w:p>
        </w:tc>
        <w:tc>
          <w:tcPr>
            <w:tcW w:w="1199" w:type="dxa"/>
            <w:tcBorders>
              <w:top w:val="nil"/>
              <w:left w:val="nil"/>
              <w:bottom w:val="single" w:sz="4" w:space="0" w:color="auto"/>
              <w:right w:val="single" w:sz="4" w:space="0" w:color="auto"/>
            </w:tcBorders>
            <w:shd w:val="clear" w:color="auto" w:fill="auto"/>
            <w:noWrap/>
            <w:vAlign w:val="bottom"/>
            <w:hideMark/>
          </w:tcPr>
          <w:p w14:paraId="722B0D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3.806516</w:t>
            </w:r>
          </w:p>
        </w:tc>
        <w:tc>
          <w:tcPr>
            <w:tcW w:w="1199" w:type="dxa"/>
            <w:tcBorders>
              <w:top w:val="nil"/>
              <w:left w:val="nil"/>
              <w:bottom w:val="single" w:sz="4" w:space="0" w:color="auto"/>
              <w:right w:val="single" w:sz="4" w:space="0" w:color="auto"/>
            </w:tcBorders>
            <w:shd w:val="clear" w:color="auto" w:fill="auto"/>
            <w:noWrap/>
            <w:vAlign w:val="bottom"/>
            <w:hideMark/>
          </w:tcPr>
          <w:p w14:paraId="78B6F2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1.884692</w:t>
            </w:r>
          </w:p>
        </w:tc>
      </w:tr>
      <w:tr w:rsidR="002027D2" w:rsidRPr="008D1712" w14:paraId="7A71EA38"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82327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7BEEA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-5.09129</w:t>
            </w:r>
          </w:p>
        </w:tc>
        <w:tc>
          <w:tcPr>
            <w:tcW w:w="1199" w:type="dxa"/>
            <w:tcBorders>
              <w:top w:val="nil"/>
              <w:left w:val="nil"/>
              <w:bottom w:val="single" w:sz="4" w:space="0" w:color="auto"/>
              <w:right w:val="single" w:sz="4" w:space="0" w:color="auto"/>
            </w:tcBorders>
            <w:shd w:val="clear" w:color="auto" w:fill="auto"/>
            <w:noWrap/>
            <w:vAlign w:val="bottom"/>
            <w:hideMark/>
          </w:tcPr>
          <w:p w14:paraId="5224632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4.223762</w:t>
            </w:r>
          </w:p>
        </w:tc>
        <w:tc>
          <w:tcPr>
            <w:tcW w:w="1199" w:type="dxa"/>
            <w:tcBorders>
              <w:top w:val="nil"/>
              <w:left w:val="nil"/>
              <w:bottom w:val="single" w:sz="4" w:space="0" w:color="auto"/>
              <w:right w:val="single" w:sz="4" w:space="0" w:color="auto"/>
            </w:tcBorders>
            <w:shd w:val="clear" w:color="auto" w:fill="auto"/>
            <w:noWrap/>
            <w:vAlign w:val="bottom"/>
            <w:hideMark/>
          </w:tcPr>
          <w:p w14:paraId="58FCEF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1.995362</w:t>
            </w:r>
          </w:p>
        </w:tc>
      </w:tr>
      <w:tr w:rsidR="002027D2" w:rsidRPr="008D1712" w14:paraId="7FB06455"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F334C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6E1DA6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-5.01242</w:t>
            </w:r>
          </w:p>
        </w:tc>
        <w:tc>
          <w:tcPr>
            <w:tcW w:w="1199" w:type="dxa"/>
            <w:tcBorders>
              <w:top w:val="nil"/>
              <w:left w:val="nil"/>
              <w:bottom w:val="single" w:sz="4" w:space="0" w:color="auto"/>
              <w:right w:val="single" w:sz="4" w:space="0" w:color="auto"/>
            </w:tcBorders>
            <w:shd w:val="clear" w:color="auto" w:fill="auto"/>
            <w:noWrap/>
            <w:vAlign w:val="bottom"/>
            <w:hideMark/>
          </w:tcPr>
          <w:p w14:paraId="02941F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0.555667</w:t>
            </w:r>
          </w:p>
        </w:tc>
        <w:tc>
          <w:tcPr>
            <w:tcW w:w="1199" w:type="dxa"/>
            <w:tcBorders>
              <w:top w:val="nil"/>
              <w:left w:val="nil"/>
              <w:bottom w:val="single" w:sz="4" w:space="0" w:color="auto"/>
              <w:right w:val="single" w:sz="4" w:space="0" w:color="auto"/>
            </w:tcBorders>
            <w:shd w:val="clear" w:color="auto" w:fill="auto"/>
            <w:noWrap/>
            <w:vAlign w:val="bottom"/>
            <w:hideMark/>
          </w:tcPr>
          <w:p w14:paraId="07987A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2.976055</w:t>
            </w:r>
          </w:p>
        </w:tc>
      </w:tr>
      <w:tr w:rsidR="002027D2" w:rsidRPr="008D1712" w14:paraId="269F8F49"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D0615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D6DA1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-5.39805</w:t>
            </w:r>
          </w:p>
        </w:tc>
        <w:tc>
          <w:tcPr>
            <w:tcW w:w="1199" w:type="dxa"/>
            <w:tcBorders>
              <w:top w:val="nil"/>
              <w:left w:val="nil"/>
              <w:bottom w:val="single" w:sz="4" w:space="0" w:color="auto"/>
              <w:right w:val="single" w:sz="4" w:space="0" w:color="auto"/>
            </w:tcBorders>
            <w:shd w:val="clear" w:color="auto" w:fill="auto"/>
            <w:noWrap/>
            <w:vAlign w:val="bottom"/>
            <w:hideMark/>
          </w:tcPr>
          <w:p w14:paraId="51C8E9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2.204511</w:t>
            </w:r>
          </w:p>
        </w:tc>
        <w:tc>
          <w:tcPr>
            <w:tcW w:w="1199" w:type="dxa"/>
            <w:tcBorders>
              <w:top w:val="nil"/>
              <w:left w:val="nil"/>
              <w:bottom w:val="single" w:sz="4" w:space="0" w:color="auto"/>
              <w:right w:val="single" w:sz="4" w:space="0" w:color="auto"/>
            </w:tcBorders>
            <w:shd w:val="clear" w:color="auto" w:fill="auto"/>
            <w:noWrap/>
            <w:vAlign w:val="bottom"/>
            <w:hideMark/>
          </w:tcPr>
          <w:p w14:paraId="23B9B6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3.542143</w:t>
            </w:r>
          </w:p>
        </w:tc>
      </w:tr>
      <w:tr w:rsidR="002027D2" w:rsidRPr="008D1712" w14:paraId="4BEC26E4"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248AC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491720C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-3.69358</w:t>
            </w:r>
          </w:p>
        </w:tc>
        <w:tc>
          <w:tcPr>
            <w:tcW w:w="1199" w:type="dxa"/>
            <w:tcBorders>
              <w:top w:val="nil"/>
              <w:left w:val="nil"/>
              <w:bottom w:val="single" w:sz="4" w:space="0" w:color="auto"/>
              <w:right w:val="single" w:sz="4" w:space="0" w:color="auto"/>
            </w:tcBorders>
            <w:shd w:val="clear" w:color="auto" w:fill="auto"/>
            <w:noWrap/>
            <w:vAlign w:val="bottom"/>
            <w:hideMark/>
          </w:tcPr>
          <w:p w14:paraId="175252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1.708959</w:t>
            </w:r>
          </w:p>
        </w:tc>
        <w:tc>
          <w:tcPr>
            <w:tcW w:w="1199" w:type="dxa"/>
            <w:tcBorders>
              <w:top w:val="nil"/>
              <w:left w:val="nil"/>
              <w:bottom w:val="single" w:sz="4" w:space="0" w:color="auto"/>
              <w:right w:val="single" w:sz="4" w:space="0" w:color="auto"/>
            </w:tcBorders>
            <w:shd w:val="clear" w:color="auto" w:fill="auto"/>
            <w:noWrap/>
            <w:vAlign w:val="bottom"/>
            <w:hideMark/>
          </w:tcPr>
          <w:p w14:paraId="4C2F41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3.345492</w:t>
            </w:r>
          </w:p>
        </w:tc>
      </w:tr>
      <w:tr w:rsidR="002027D2" w:rsidRPr="008D1712" w14:paraId="176A190F"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D9CCD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4395A3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-7.51635</w:t>
            </w:r>
          </w:p>
        </w:tc>
        <w:tc>
          <w:tcPr>
            <w:tcW w:w="1199" w:type="dxa"/>
            <w:tcBorders>
              <w:top w:val="nil"/>
              <w:left w:val="nil"/>
              <w:bottom w:val="single" w:sz="4" w:space="0" w:color="auto"/>
              <w:right w:val="single" w:sz="4" w:space="0" w:color="auto"/>
            </w:tcBorders>
            <w:shd w:val="clear" w:color="auto" w:fill="auto"/>
            <w:noWrap/>
            <w:vAlign w:val="bottom"/>
            <w:hideMark/>
          </w:tcPr>
          <w:p w14:paraId="5EBF25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3.065349</w:t>
            </w:r>
          </w:p>
        </w:tc>
        <w:tc>
          <w:tcPr>
            <w:tcW w:w="1199" w:type="dxa"/>
            <w:tcBorders>
              <w:top w:val="nil"/>
              <w:left w:val="nil"/>
              <w:bottom w:val="single" w:sz="4" w:space="0" w:color="auto"/>
              <w:right w:val="single" w:sz="4" w:space="0" w:color="auto"/>
            </w:tcBorders>
            <w:shd w:val="clear" w:color="auto" w:fill="auto"/>
            <w:noWrap/>
            <w:vAlign w:val="bottom"/>
            <w:hideMark/>
          </w:tcPr>
          <w:p w14:paraId="65FC34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1.993936</w:t>
            </w:r>
          </w:p>
        </w:tc>
      </w:tr>
      <w:tr w:rsidR="002027D2" w:rsidRPr="008D1712" w14:paraId="2E486839"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C501A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080A413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-6.84822</w:t>
            </w:r>
          </w:p>
        </w:tc>
        <w:tc>
          <w:tcPr>
            <w:tcW w:w="1199" w:type="dxa"/>
            <w:tcBorders>
              <w:top w:val="nil"/>
              <w:left w:val="nil"/>
              <w:bottom w:val="single" w:sz="4" w:space="0" w:color="auto"/>
              <w:right w:val="single" w:sz="4" w:space="0" w:color="auto"/>
            </w:tcBorders>
            <w:shd w:val="clear" w:color="auto" w:fill="auto"/>
            <w:noWrap/>
            <w:vAlign w:val="bottom"/>
            <w:hideMark/>
          </w:tcPr>
          <w:p w14:paraId="0C74AC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0.21109</w:t>
            </w:r>
          </w:p>
        </w:tc>
        <w:tc>
          <w:tcPr>
            <w:tcW w:w="1199" w:type="dxa"/>
            <w:tcBorders>
              <w:top w:val="nil"/>
              <w:left w:val="nil"/>
              <w:bottom w:val="single" w:sz="4" w:space="0" w:color="auto"/>
              <w:right w:val="single" w:sz="4" w:space="0" w:color="auto"/>
            </w:tcBorders>
            <w:shd w:val="clear" w:color="auto" w:fill="auto"/>
            <w:noWrap/>
            <w:vAlign w:val="bottom"/>
            <w:hideMark/>
          </w:tcPr>
          <w:p w14:paraId="7301FC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-2.10739</w:t>
            </w:r>
          </w:p>
        </w:tc>
      </w:tr>
      <w:tr w:rsidR="002027D2" w:rsidRPr="008D1712" w14:paraId="07F886A4"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AD31C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7FFF63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-9.11268</w:t>
            </w:r>
          </w:p>
        </w:tc>
        <w:tc>
          <w:tcPr>
            <w:tcW w:w="1199" w:type="dxa"/>
            <w:tcBorders>
              <w:top w:val="nil"/>
              <w:left w:val="nil"/>
              <w:bottom w:val="single" w:sz="4" w:space="0" w:color="auto"/>
              <w:right w:val="single" w:sz="4" w:space="0" w:color="auto"/>
            </w:tcBorders>
            <w:shd w:val="clear" w:color="auto" w:fill="auto"/>
            <w:noWrap/>
            <w:vAlign w:val="bottom"/>
            <w:hideMark/>
          </w:tcPr>
          <w:p w14:paraId="03AA31F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1.108195</w:t>
            </w:r>
          </w:p>
        </w:tc>
        <w:tc>
          <w:tcPr>
            <w:tcW w:w="1199" w:type="dxa"/>
            <w:tcBorders>
              <w:top w:val="nil"/>
              <w:left w:val="nil"/>
              <w:bottom w:val="single" w:sz="4" w:space="0" w:color="auto"/>
              <w:right w:val="single" w:sz="4" w:space="0" w:color="auto"/>
            </w:tcBorders>
            <w:shd w:val="clear" w:color="auto" w:fill="auto"/>
            <w:noWrap/>
            <w:vAlign w:val="bottom"/>
            <w:hideMark/>
          </w:tcPr>
          <w:p w14:paraId="334C0F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-1.51124</w:t>
            </w:r>
          </w:p>
        </w:tc>
      </w:tr>
      <w:tr w:rsidR="002027D2" w:rsidRPr="008D1712" w14:paraId="41C1A06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45204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397D51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-2.94404</w:t>
            </w:r>
          </w:p>
        </w:tc>
        <w:tc>
          <w:tcPr>
            <w:tcW w:w="1199" w:type="dxa"/>
            <w:tcBorders>
              <w:top w:val="nil"/>
              <w:left w:val="nil"/>
              <w:bottom w:val="single" w:sz="4" w:space="0" w:color="auto"/>
              <w:right w:val="single" w:sz="4" w:space="0" w:color="auto"/>
            </w:tcBorders>
            <w:shd w:val="clear" w:color="auto" w:fill="auto"/>
            <w:noWrap/>
            <w:vAlign w:val="bottom"/>
            <w:hideMark/>
          </w:tcPr>
          <w:p w14:paraId="17A7AC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0.012434</w:t>
            </w:r>
          </w:p>
        </w:tc>
        <w:tc>
          <w:tcPr>
            <w:tcW w:w="1199" w:type="dxa"/>
            <w:tcBorders>
              <w:top w:val="nil"/>
              <w:left w:val="nil"/>
              <w:bottom w:val="single" w:sz="4" w:space="0" w:color="auto"/>
              <w:right w:val="single" w:sz="4" w:space="0" w:color="auto"/>
            </w:tcBorders>
            <w:shd w:val="clear" w:color="auto" w:fill="auto"/>
            <w:noWrap/>
            <w:vAlign w:val="bottom"/>
            <w:hideMark/>
          </w:tcPr>
          <w:p w14:paraId="1693DE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-1.56018</w:t>
            </w:r>
          </w:p>
        </w:tc>
      </w:tr>
      <w:tr w:rsidR="002027D2" w:rsidRPr="008D1712" w14:paraId="56E43D92"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C336B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BBE762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-4.39119</w:t>
            </w:r>
          </w:p>
        </w:tc>
        <w:tc>
          <w:tcPr>
            <w:tcW w:w="1199" w:type="dxa"/>
            <w:tcBorders>
              <w:top w:val="nil"/>
              <w:left w:val="nil"/>
              <w:bottom w:val="single" w:sz="4" w:space="0" w:color="auto"/>
              <w:right w:val="single" w:sz="4" w:space="0" w:color="auto"/>
            </w:tcBorders>
            <w:shd w:val="clear" w:color="auto" w:fill="auto"/>
            <w:noWrap/>
            <w:vAlign w:val="bottom"/>
            <w:hideMark/>
          </w:tcPr>
          <w:p w14:paraId="74C665D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0.463957</w:t>
            </w:r>
          </w:p>
        </w:tc>
        <w:tc>
          <w:tcPr>
            <w:tcW w:w="1199" w:type="dxa"/>
            <w:tcBorders>
              <w:top w:val="nil"/>
              <w:left w:val="nil"/>
              <w:bottom w:val="single" w:sz="4" w:space="0" w:color="auto"/>
              <w:right w:val="single" w:sz="4" w:space="0" w:color="auto"/>
            </w:tcBorders>
            <w:shd w:val="clear" w:color="auto" w:fill="auto"/>
            <w:noWrap/>
            <w:vAlign w:val="bottom"/>
            <w:hideMark/>
          </w:tcPr>
          <w:p w14:paraId="7A3ED0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-2.50055</w:t>
            </w:r>
          </w:p>
        </w:tc>
      </w:tr>
      <w:tr w:rsidR="002027D2" w:rsidRPr="008D1712" w14:paraId="7921F8D0"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D1AE4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BC77E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-3.94587</w:t>
            </w:r>
          </w:p>
        </w:tc>
        <w:tc>
          <w:tcPr>
            <w:tcW w:w="1199" w:type="dxa"/>
            <w:tcBorders>
              <w:top w:val="nil"/>
              <w:left w:val="nil"/>
              <w:bottom w:val="single" w:sz="4" w:space="0" w:color="auto"/>
              <w:right w:val="single" w:sz="4" w:space="0" w:color="auto"/>
            </w:tcBorders>
            <w:shd w:val="clear" w:color="auto" w:fill="auto"/>
            <w:noWrap/>
            <w:vAlign w:val="bottom"/>
            <w:hideMark/>
          </w:tcPr>
          <w:p w14:paraId="0F5A8C3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-1.95638</w:t>
            </w:r>
          </w:p>
        </w:tc>
        <w:tc>
          <w:tcPr>
            <w:tcW w:w="1199" w:type="dxa"/>
            <w:tcBorders>
              <w:top w:val="nil"/>
              <w:left w:val="nil"/>
              <w:bottom w:val="single" w:sz="4" w:space="0" w:color="auto"/>
              <w:right w:val="single" w:sz="4" w:space="0" w:color="auto"/>
            </w:tcBorders>
            <w:shd w:val="clear" w:color="auto" w:fill="auto"/>
            <w:noWrap/>
            <w:vAlign w:val="bottom"/>
            <w:hideMark/>
          </w:tcPr>
          <w:p w14:paraId="1FC239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-2.46525</w:t>
            </w:r>
          </w:p>
        </w:tc>
      </w:tr>
      <w:tr w:rsidR="002027D2" w:rsidRPr="008D1712" w14:paraId="0CDE67A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7534B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41781B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-5.56698</w:t>
            </w:r>
          </w:p>
        </w:tc>
        <w:tc>
          <w:tcPr>
            <w:tcW w:w="1199" w:type="dxa"/>
            <w:tcBorders>
              <w:top w:val="nil"/>
              <w:left w:val="nil"/>
              <w:bottom w:val="single" w:sz="4" w:space="0" w:color="auto"/>
              <w:right w:val="single" w:sz="4" w:space="0" w:color="auto"/>
            </w:tcBorders>
            <w:shd w:val="clear" w:color="auto" w:fill="auto"/>
            <w:noWrap/>
            <w:vAlign w:val="bottom"/>
            <w:hideMark/>
          </w:tcPr>
          <w:p w14:paraId="37B928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-1.59386</w:t>
            </w:r>
          </w:p>
        </w:tc>
        <w:tc>
          <w:tcPr>
            <w:tcW w:w="1199" w:type="dxa"/>
            <w:tcBorders>
              <w:top w:val="nil"/>
              <w:left w:val="nil"/>
              <w:bottom w:val="single" w:sz="4" w:space="0" w:color="auto"/>
              <w:right w:val="single" w:sz="4" w:space="0" w:color="auto"/>
            </w:tcBorders>
            <w:shd w:val="clear" w:color="auto" w:fill="auto"/>
            <w:noWrap/>
            <w:vAlign w:val="bottom"/>
            <w:hideMark/>
          </w:tcPr>
          <w:p w14:paraId="555A86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-1.81685</w:t>
            </w:r>
          </w:p>
        </w:tc>
      </w:tr>
      <w:tr w:rsidR="002027D2" w:rsidRPr="008D1712" w14:paraId="4128AA0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B3B2F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38AABB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-4.79974</w:t>
            </w:r>
          </w:p>
        </w:tc>
        <w:tc>
          <w:tcPr>
            <w:tcW w:w="1199" w:type="dxa"/>
            <w:tcBorders>
              <w:top w:val="nil"/>
              <w:left w:val="nil"/>
              <w:bottom w:val="single" w:sz="4" w:space="0" w:color="auto"/>
              <w:right w:val="single" w:sz="4" w:space="0" w:color="auto"/>
            </w:tcBorders>
            <w:shd w:val="clear" w:color="auto" w:fill="auto"/>
            <w:noWrap/>
            <w:vAlign w:val="bottom"/>
            <w:hideMark/>
          </w:tcPr>
          <w:p w14:paraId="08E798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-1.94567</w:t>
            </w:r>
          </w:p>
        </w:tc>
        <w:tc>
          <w:tcPr>
            <w:tcW w:w="1199" w:type="dxa"/>
            <w:tcBorders>
              <w:top w:val="nil"/>
              <w:left w:val="nil"/>
              <w:bottom w:val="single" w:sz="4" w:space="0" w:color="auto"/>
              <w:right w:val="single" w:sz="4" w:space="0" w:color="auto"/>
            </w:tcBorders>
            <w:shd w:val="clear" w:color="auto" w:fill="auto"/>
            <w:noWrap/>
            <w:vAlign w:val="bottom"/>
            <w:hideMark/>
          </w:tcPr>
          <w:p w14:paraId="37C5FA8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0.510297</w:t>
            </w:r>
          </w:p>
        </w:tc>
      </w:tr>
      <w:tr w:rsidR="002027D2" w:rsidRPr="008D1712" w14:paraId="65077446"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01026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6ACCF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-3.07346</w:t>
            </w:r>
          </w:p>
        </w:tc>
        <w:tc>
          <w:tcPr>
            <w:tcW w:w="1199" w:type="dxa"/>
            <w:tcBorders>
              <w:top w:val="nil"/>
              <w:left w:val="nil"/>
              <w:bottom w:val="single" w:sz="4" w:space="0" w:color="auto"/>
              <w:right w:val="single" w:sz="4" w:space="0" w:color="auto"/>
            </w:tcBorders>
            <w:shd w:val="clear" w:color="auto" w:fill="auto"/>
            <w:noWrap/>
            <w:vAlign w:val="bottom"/>
            <w:hideMark/>
          </w:tcPr>
          <w:p w14:paraId="7E91E9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-1.95446</w:t>
            </w:r>
          </w:p>
        </w:tc>
        <w:tc>
          <w:tcPr>
            <w:tcW w:w="1199" w:type="dxa"/>
            <w:tcBorders>
              <w:top w:val="nil"/>
              <w:left w:val="nil"/>
              <w:bottom w:val="single" w:sz="4" w:space="0" w:color="auto"/>
              <w:right w:val="single" w:sz="4" w:space="0" w:color="auto"/>
            </w:tcBorders>
            <w:shd w:val="clear" w:color="auto" w:fill="auto"/>
            <w:noWrap/>
            <w:vAlign w:val="bottom"/>
            <w:hideMark/>
          </w:tcPr>
          <w:p w14:paraId="3EB29B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-0.0495</w:t>
            </w:r>
          </w:p>
        </w:tc>
      </w:tr>
      <w:tr w:rsidR="002027D2" w:rsidRPr="008D1712" w14:paraId="7F4A757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A0496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4D18C8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-6.18687</w:t>
            </w:r>
          </w:p>
        </w:tc>
        <w:tc>
          <w:tcPr>
            <w:tcW w:w="1199" w:type="dxa"/>
            <w:tcBorders>
              <w:top w:val="nil"/>
              <w:left w:val="nil"/>
              <w:bottom w:val="single" w:sz="4" w:space="0" w:color="auto"/>
              <w:right w:val="single" w:sz="4" w:space="0" w:color="auto"/>
            </w:tcBorders>
            <w:shd w:val="clear" w:color="auto" w:fill="auto"/>
            <w:noWrap/>
            <w:vAlign w:val="bottom"/>
            <w:hideMark/>
          </w:tcPr>
          <w:p w14:paraId="4AC814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-3.92744</w:t>
            </w:r>
          </w:p>
        </w:tc>
        <w:tc>
          <w:tcPr>
            <w:tcW w:w="1199" w:type="dxa"/>
            <w:tcBorders>
              <w:top w:val="nil"/>
              <w:left w:val="nil"/>
              <w:bottom w:val="single" w:sz="4" w:space="0" w:color="auto"/>
              <w:right w:val="single" w:sz="4" w:space="0" w:color="auto"/>
            </w:tcBorders>
            <w:shd w:val="clear" w:color="auto" w:fill="auto"/>
            <w:noWrap/>
            <w:vAlign w:val="bottom"/>
            <w:hideMark/>
          </w:tcPr>
          <w:p w14:paraId="78D7865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0.174142</w:t>
            </w:r>
          </w:p>
        </w:tc>
      </w:tr>
      <w:tr w:rsidR="002027D2" w:rsidRPr="008D1712" w14:paraId="30DE9EC9"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688AAB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199" w:type="dxa"/>
            <w:tcBorders>
              <w:top w:val="nil"/>
              <w:left w:val="nil"/>
              <w:bottom w:val="single" w:sz="4" w:space="0" w:color="auto"/>
              <w:right w:val="single" w:sz="4" w:space="0" w:color="auto"/>
            </w:tcBorders>
            <w:shd w:val="clear" w:color="auto" w:fill="auto"/>
            <w:noWrap/>
            <w:vAlign w:val="bottom"/>
            <w:hideMark/>
          </w:tcPr>
          <w:p w14:paraId="24095A7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-5.48282</w:t>
            </w:r>
          </w:p>
        </w:tc>
        <w:tc>
          <w:tcPr>
            <w:tcW w:w="1199" w:type="dxa"/>
            <w:tcBorders>
              <w:top w:val="nil"/>
              <w:left w:val="nil"/>
              <w:bottom w:val="single" w:sz="4" w:space="0" w:color="auto"/>
              <w:right w:val="single" w:sz="4" w:space="0" w:color="auto"/>
            </w:tcBorders>
            <w:shd w:val="clear" w:color="auto" w:fill="auto"/>
            <w:noWrap/>
            <w:vAlign w:val="bottom"/>
            <w:hideMark/>
          </w:tcPr>
          <w:p w14:paraId="15E12F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-5.38116</w:t>
            </w:r>
          </w:p>
        </w:tc>
        <w:tc>
          <w:tcPr>
            <w:tcW w:w="1199" w:type="dxa"/>
            <w:tcBorders>
              <w:top w:val="nil"/>
              <w:left w:val="nil"/>
              <w:bottom w:val="single" w:sz="4" w:space="0" w:color="auto"/>
              <w:right w:val="single" w:sz="4" w:space="0" w:color="auto"/>
            </w:tcBorders>
            <w:shd w:val="clear" w:color="auto" w:fill="auto"/>
            <w:noWrap/>
            <w:vAlign w:val="bottom"/>
            <w:hideMark/>
          </w:tcPr>
          <w:p w14:paraId="7AE7FC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-0.6244</w:t>
            </w:r>
          </w:p>
        </w:tc>
      </w:tr>
      <w:tr w:rsidR="002027D2" w:rsidRPr="008D1712" w14:paraId="180184E8"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77E4F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73BF89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-5.86447</w:t>
            </w:r>
          </w:p>
        </w:tc>
        <w:tc>
          <w:tcPr>
            <w:tcW w:w="1199" w:type="dxa"/>
            <w:tcBorders>
              <w:top w:val="nil"/>
              <w:left w:val="nil"/>
              <w:bottom w:val="single" w:sz="4" w:space="0" w:color="auto"/>
              <w:right w:val="single" w:sz="4" w:space="0" w:color="auto"/>
            </w:tcBorders>
            <w:shd w:val="clear" w:color="auto" w:fill="auto"/>
            <w:noWrap/>
            <w:vAlign w:val="bottom"/>
            <w:hideMark/>
          </w:tcPr>
          <w:p w14:paraId="161D11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-3.92093</w:t>
            </w:r>
          </w:p>
        </w:tc>
        <w:tc>
          <w:tcPr>
            <w:tcW w:w="1199" w:type="dxa"/>
            <w:tcBorders>
              <w:top w:val="nil"/>
              <w:left w:val="nil"/>
              <w:bottom w:val="single" w:sz="4" w:space="0" w:color="auto"/>
              <w:right w:val="single" w:sz="4" w:space="0" w:color="auto"/>
            </w:tcBorders>
            <w:shd w:val="clear" w:color="auto" w:fill="auto"/>
            <w:noWrap/>
            <w:vAlign w:val="bottom"/>
            <w:hideMark/>
          </w:tcPr>
          <w:p w14:paraId="74450C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-1.59816</w:t>
            </w:r>
          </w:p>
        </w:tc>
      </w:tr>
      <w:tr w:rsidR="002027D2" w:rsidRPr="008D1712" w14:paraId="5B89F52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D546FA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7B4C3C6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-4.31379</w:t>
            </w:r>
          </w:p>
        </w:tc>
        <w:tc>
          <w:tcPr>
            <w:tcW w:w="1199" w:type="dxa"/>
            <w:tcBorders>
              <w:top w:val="nil"/>
              <w:left w:val="nil"/>
              <w:bottom w:val="single" w:sz="4" w:space="0" w:color="auto"/>
              <w:right w:val="single" w:sz="4" w:space="0" w:color="auto"/>
            </w:tcBorders>
            <w:shd w:val="clear" w:color="auto" w:fill="auto"/>
            <w:noWrap/>
            <w:vAlign w:val="bottom"/>
            <w:hideMark/>
          </w:tcPr>
          <w:p w14:paraId="36B6E4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-3.85257</w:t>
            </w:r>
          </w:p>
        </w:tc>
        <w:tc>
          <w:tcPr>
            <w:tcW w:w="1199" w:type="dxa"/>
            <w:tcBorders>
              <w:top w:val="nil"/>
              <w:left w:val="nil"/>
              <w:bottom w:val="single" w:sz="4" w:space="0" w:color="auto"/>
              <w:right w:val="single" w:sz="4" w:space="0" w:color="auto"/>
            </w:tcBorders>
            <w:shd w:val="clear" w:color="auto" w:fill="auto"/>
            <w:noWrap/>
            <w:vAlign w:val="bottom"/>
            <w:hideMark/>
          </w:tcPr>
          <w:p w14:paraId="216931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1.764223</w:t>
            </w:r>
          </w:p>
        </w:tc>
      </w:tr>
      <w:tr w:rsidR="002027D2" w:rsidRPr="008D1712" w14:paraId="38E26B47"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68E30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27EC86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-2.62356</w:t>
            </w:r>
          </w:p>
        </w:tc>
        <w:tc>
          <w:tcPr>
            <w:tcW w:w="1199" w:type="dxa"/>
            <w:tcBorders>
              <w:top w:val="nil"/>
              <w:left w:val="nil"/>
              <w:bottom w:val="single" w:sz="4" w:space="0" w:color="auto"/>
              <w:right w:val="single" w:sz="4" w:space="0" w:color="auto"/>
            </w:tcBorders>
            <w:shd w:val="clear" w:color="auto" w:fill="auto"/>
            <w:noWrap/>
            <w:vAlign w:val="bottom"/>
            <w:hideMark/>
          </w:tcPr>
          <w:p w14:paraId="37EDD9B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-3.8913</w:t>
            </w:r>
          </w:p>
        </w:tc>
        <w:tc>
          <w:tcPr>
            <w:tcW w:w="1199" w:type="dxa"/>
            <w:tcBorders>
              <w:top w:val="nil"/>
              <w:left w:val="nil"/>
              <w:bottom w:val="single" w:sz="4" w:space="0" w:color="auto"/>
              <w:right w:val="single" w:sz="4" w:space="0" w:color="auto"/>
            </w:tcBorders>
            <w:shd w:val="clear" w:color="auto" w:fill="auto"/>
            <w:noWrap/>
            <w:vAlign w:val="bottom"/>
            <w:hideMark/>
          </w:tcPr>
          <w:p w14:paraId="3AC529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1.137313</w:t>
            </w:r>
          </w:p>
        </w:tc>
      </w:tr>
      <w:tr w:rsidR="002027D2" w:rsidRPr="008D1712" w14:paraId="56B92170"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13A64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83416B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-3.68037</w:t>
            </w:r>
          </w:p>
        </w:tc>
        <w:tc>
          <w:tcPr>
            <w:tcW w:w="1199" w:type="dxa"/>
            <w:tcBorders>
              <w:top w:val="nil"/>
              <w:left w:val="nil"/>
              <w:bottom w:val="single" w:sz="4" w:space="0" w:color="auto"/>
              <w:right w:val="single" w:sz="4" w:space="0" w:color="auto"/>
            </w:tcBorders>
            <w:shd w:val="clear" w:color="auto" w:fill="auto"/>
            <w:noWrap/>
            <w:vAlign w:val="bottom"/>
            <w:hideMark/>
          </w:tcPr>
          <w:p w14:paraId="215724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-5.34854</w:t>
            </w:r>
          </w:p>
        </w:tc>
        <w:tc>
          <w:tcPr>
            <w:tcW w:w="1199" w:type="dxa"/>
            <w:tcBorders>
              <w:top w:val="nil"/>
              <w:left w:val="nil"/>
              <w:bottom w:val="single" w:sz="4" w:space="0" w:color="auto"/>
              <w:right w:val="single" w:sz="4" w:space="0" w:color="auto"/>
            </w:tcBorders>
            <w:shd w:val="clear" w:color="auto" w:fill="auto"/>
            <w:noWrap/>
            <w:vAlign w:val="bottom"/>
            <w:hideMark/>
          </w:tcPr>
          <w:p w14:paraId="271B207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0.986063</w:t>
            </w:r>
          </w:p>
        </w:tc>
      </w:tr>
      <w:tr w:rsidR="002027D2" w:rsidRPr="008D1712" w14:paraId="51F236CC"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744A5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3FA004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-3.61081</w:t>
            </w:r>
          </w:p>
        </w:tc>
        <w:tc>
          <w:tcPr>
            <w:tcW w:w="1199" w:type="dxa"/>
            <w:tcBorders>
              <w:top w:val="nil"/>
              <w:left w:val="nil"/>
              <w:bottom w:val="single" w:sz="4" w:space="0" w:color="auto"/>
              <w:right w:val="single" w:sz="4" w:space="0" w:color="auto"/>
            </w:tcBorders>
            <w:shd w:val="clear" w:color="auto" w:fill="auto"/>
            <w:noWrap/>
            <w:vAlign w:val="bottom"/>
            <w:hideMark/>
          </w:tcPr>
          <w:p w14:paraId="78DD0B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-4.09191</w:t>
            </w:r>
          </w:p>
        </w:tc>
        <w:tc>
          <w:tcPr>
            <w:tcW w:w="1199" w:type="dxa"/>
            <w:tcBorders>
              <w:top w:val="nil"/>
              <w:left w:val="nil"/>
              <w:bottom w:val="single" w:sz="4" w:space="0" w:color="auto"/>
              <w:right w:val="single" w:sz="4" w:space="0" w:color="auto"/>
            </w:tcBorders>
            <w:shd w:val="clear" w:color="auto" w:fill="auto"/>
            <w:noWrap/>
            <w:vAlign w:val="bottom"/>
            <w:hideMark/>
          </w:tcPr>
          <w:p w14:paraId="530DC2A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-2.41621</w:t>
            </w:r>
          </w:p>
        </w:tc>
      </w:tr>
      <w:tr w:rsidR="002027D2" w:rsidRPr="008D1712" w14:paraId="7508984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42D02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DCCAD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-3.02708</w:t>
            </w:r>
          </w:p>
        </w:tc>
        <w:tc>
          <w:tcPr>
            <w:tcW w:w="1199" w:type="dxa"/>
            <w:tcBorders>
              <w:top w:val="nil"/>
              <w:left w:val="nil"/>
              <w:bottom w:val="single" w:sz="4" w:space="0" w:color="auto"/>
              <w:right w:val="single" w:sz="4" w:space="0" w:color="auto"/>
            </w:tcBorders>
            <w:shd w:val="clear" w:color="auto" w:fill="auto"/>
            <w:noWrap/>
            <w:vAlign w:val="bottom"/>
            <w:hideMark/>
          </w:tcPr>
          <w:p w14:paraId="1028A44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-5.33719</w:t>
            </w:r>
          </w:p>
        </w:tc>
        <w:tc>
          <w:tcPr>
            <w:tcW w:w="1199" w:type="dxa"/>
            <w:tcBorders>
              <w:top w:val="nil"/>
              <w:left w:val="nil"/>
              <w:bottom w:val="single" w:sz="4" w:space="0" w:color="auto"/>
              <w:right w:val="single" w:sz="4" w:space="0" w:color="auto"/>
            </w:tcBorders>
            <w:shd w:val="clear" w:color="auto" w:fill="auto"/>
            <w:noWrap/>
            <w:vAlign w:val="bottom"/>
            <w:hideMark/>
          </w:tcPr>
          <w:p w14:paraId="0232E1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-1.26828</w:t>
            </w:r>
          </w:p>
        </w:tc>
      </w:tr>
      <w:tr w:rsidR="002027D2" w:rsidRPr="008D1712" w14:paraId="62F12C76"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5C7450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28B0B9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-2.22546</w:t>
            </w:r>
          </w:p>
        </w:tc>
        <w:tc>
          <w:tcPr>
            <w:tcW w:w="1199" w:type="dxa"/>
            <w:tcBorders>
              <w:top w:val="nil"/>
              <w:left w:val="nil"/>
              <w:bottom w:val="single" w:sz="4" w:space="0" w:color="auto"/>
              <w:right w:val="single" w:sz="4" w:space="0" w:color="auto"/>
            </w:tcBorders>
            <w:shd w:val="clear" w:color="auto" w:fill="auto"/>
            <w:noWrap/>
            <w:vAlign w:val="bottom"/>
            <w:hideMark/>
          </w:tcPr>
          <w:p w14:paraId="1EB5EE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-3.70606</w:t>
            </w:r>
          </w:p>
        </w:tc>
        <w:tc>
          <w:tcPr>
            <w:tcW w:w="1199" w:type="dxa"/>
            <w:tcBorders>
              <w:top w:val="nil"/>
              <w:left w:val="nil"/>
              <w:bottom w:val="single" w:sz="4" w:space="0" w:color="auto"/>
              <w:right w:val="single" w:sz="4" w:space="0" w:color="auto"/>
            </w:tcBorders>
            <w:shd w:val="clear" w:color="auto" w:fill="auto"/>
            <w:noWrap/>
            <w:vAlign w:val="bottom"/>
            <w:hideMark/>
          </w:tcPr>
          <w:p w14:paraId="447BF84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-1.32798</w:t>
            </w:r>
          </w:p>
        </w:tc>
      </w:tr>
      <w:tr w:rsidR="002027D2" w:rsidRPr="008D1712" w14:paraId="46318EA5"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594395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0BF48F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1.66407</w:t>
            </w:r>
          </w:p>
        </w:tc>
        <w:tc>
          <w:tcPr>
            <w:tcW w:w="1199" w:type="dxa"/>
            <w:tcBorders>
              <w:top w:val="nil"/>
              <w:left w:val="nil"/>
              <w:bottom w:val="single" w:sz="4" w:space="0" w:color="auto"/>
              <w:right w:val="single" w:sz="4" w:space="0" w:color="auto"/>
            </w:tcBorders>
            <w:shd w:val="clear" w:color="auto" w:fill="auto"/>
            <w:noWrap/>
            <w:vAlign w:val="bottom"/>
            <w:hideMark/>
          </w:tcPr>
          <w:p w14:paraId="155F5F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-1.55093</w:t>
            </w:r>
          </w:p>
        </w:tc>
        <w:tc>
          <w:tcPr>
            <w:tcW w:w="1199" w:type="dxa"/>
            <w:tcBorders>
              <w:top w:val="nil"/>
              <w:left w:val="nil"/>
              <w:bottom w:val="single" w:sz="4" w:space="0" w:color="auto"/>
              <w:right w:val="single" w:sz="4" w:space="0" w:color="auto"/>
            </w:tcBorders>
            <w:shd w:val="clear" w:color="auto" w:fill="auto"/>
            <w:noWrap/>
            <w:vAlign w:val="bottom"/>
            <w:hideMark/>
          </w:tcPr>
          <w:p w14:paraId="06F027B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-1.26199</w:t>
            </w:r>
          </w:p>
        </w:tc>
      </w:tr>
      <w:tr w:rsidR="002027D2" w:rsidRPr="008D1712" w14:paraId="2292BB8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63A3B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331C2F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2.574706</w:t>
            </w:r>
          </w:p>
        </w:tc>
        <w:tc>
          <w:tcPr>
            <w:tcW w:w="1199" w:type="dxa"/>
            <w:tcBorders>
              <w:top w:val="nil"/>
              <w:left w:val="nil"/>
              <w:bottom w:val="single" w:sz="4" w:space="0" w:color="auto"/>
              <w:right w:val="single" w:sz="4" w:space="0" w:color="auto"/>
            </w:tcBorders>
            <w:shd w:val="clear" w:color="auto" w:fill="auto"/>
            <w:noWrap/>
            <w:vAlign w:val="bottom"/>
            <w:hideMark/>
          </w:tcPr>
          <w:p w14:paraId="5B6686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2.299974</w:t>
            </w:r>
          </w:p>
        </w:tc>
        <w:tc>
          <w:tcPr>
            <w:tcW w:w="1199" w:type="dxa"/>
            <w:tcBorders>
              <w:top w:val="nil"/>
              <w:left w:val="nil"/>
              <w:bottom w:val="single" w:sz="4" w:space="0" w:color="auto"/>
              <w:right w:val="single" w:sz="4" w:space="0" w:color="auto"/>
            </w:tcBorders>
            <w:shd w:val="clear" w:color="auto" w:fill="auto"/>
            <w:noWrap/>
            <w:vAlign w:val="bottom"/>
            <w:hideMark/>
          </w:tcPr>
          <w:p w14:paraId="073F4D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-2.44714</w:t>
            </w:r>
          </w:p>
        </w:tc>
      </w:tr>
      <w:tr w:rsidR="002027D2" w:rsidRPr="008D1712" w14:paraId="5DE4A9A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23155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69AED9A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3.132223</w:t>
            </w:r>
          </w:p>
        </w:tc>
        <w:tc>
          <w:tcPr>
            <w:tcW w:w="1199" w:type="dxa"/>
            <w:tcBorders>
              <w:top w:val="nil"/>
              <w:left w:val="nil"/>
              <w:bottom w:val="single" w:sz="4" w:space="0" w:color="auto"/>
              <w:right w:val="single" w:sz="4" w:space="0" w:color="auto"/>
            </w:tcBorders>
            <w:shd w:val="clear" w:color="auto" w:fill="auto"/>
            <w:noWrap/>
            <w:vAlign w:val="bottom"/>
            <w:hideMark/>
          </w:tcPr>
          <w:p w14:paraId="73E1BA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3.495364</w:t>
            </w:r>
          </w:p>
        </w:tc>
        <w:tc>
          <w:tcPr>
            <w:tcW w:w="1199" w:type="dxa"/>
            <w:tcBorders>
              <w:top w:val="nil"/>
              <w:left w:val="nil"/>
              <w:bottom w:val="single" w:sz="4" w:space="0" w:color="auto"/>
              <w:right w:val="single" w:sz="4" w:space="0" w:color="auto"/>
            </w:tcBorders>
            <w:shd w:val="clear" w:color="auto" w:fill="auto"/>
            <w:noWrap/>
            <w:vAlign w:val="bottom"/>
            <w:hideMark/>
          </w:tcPr>
          <w:p w14:paraId="35AD8C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-1.24212</w:t>
            </w:r>
          </w:p>
        </w:tc>
      </w:tr>
      <w:tr w:rsidR="002027D2" w:rsidRPr="008D1712" w14:paraId="0D5981A0"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84DF8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23DC93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1.682069</w:t>
            </w:r>
          </w:p>
        </w:tc>
        <w:tc>
          <w:tcPr>
            <w:tcW w:w="1199" w:type="dxa"/>
            <w:tcBorders>
              <w:top w:val="nil"/>
              <w:left w:val="nil"/>
              <w:bottom w:val="single" w:sz="4" w:space="0" w:color="auto"/>
              <w:right w:val="single" w:sz="4" w:space="0" w:color="auto"/>
            </w:tcBorders>
            <w:shd w:val="clear" w:color="auto" w:fill="auto"/>
            <w:noWrap/>
            <w:vAlign w:val="bottom"/>
            <w:hideMark/>
          </w:tcPr>
          <w:p w14:paraId="275C72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2.525582</w:t>
            </w:r>
          </w:p>
        </w:tc>
        <w:tc>
          <w:tcPr>
            <w:tcW w:w="1199" w:type="dxa"/>
            <w:tcBorders>
              <w:top w:val="nil"/>
              <w:left w:val="nil"/>
              <w:bottom w:val="single" w:sz="4" w:space="0" w:color="auto"/>
              <w:right w:val="single" w:sz="4" w:space="0" w:color="auto"/>
            </w:tcBorders>
            <w:shd w:val="clear" w:color="auto" w:fill="auto"/>
            <w:noWrap/>
            <w:vAlign w:val="bottom"/>
            <w:hideMark/>
          </w:tcPr>
          <w:p w14:paraId="20B2FB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-0.90187</w:t>
            </w:r>
          </w:p>
        </w:tc>
      </w:tr>
      <w:tr w:rsidR="002027D2" w:rsidRPr="008D1712" w14:paraId="27A8081C"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DCEA0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3ADE22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4.311719</w:t>
            </w:r>
          </w:p>
        </w:tc>
        <w:tc>
          <w:tcPr>
            <w:tcW w:w="1199" w:type="dxa"/>
            <w:tcBorders>
              <w:top w:val="nil"/>
              <w:left w:val="nil"/>
              <w:bottom w:val="single" w:sz="4" w:space="0" w:color="auto"/>
              <w:right w:val="single" w:sz="4" w:space="0" w:color="auto"/>
            </w:tcBorders>
            <w:shd w:val="clear" w:color="auto" w:fill="auto"/>
            <w:noWrap/>
            <w:vAlign w:val="bottom"/>
            <w:hideMark/>
          </w:tcPr>
          <w:p w14:paraId="76E35E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0.944635</w:t>
            </w:r>
          </w:p>
        </w:tc>
        <w:tc>
          <w:tcPr>
            <w:tcW w:w="1199" w:type="dxa"/>
            <w:tcBorders>
              <w:top w:val="nil"/>
              <w:left w:val="nil"/>
              <w:bottom w:val="single" w:sz="4" w:space="0" w:color="auto"/>
              <w:right w:val="single" w:sz="4" w:space="0" w:color="auto"/>
            </w:tcBorders>
            <w:shd w:val="clear" w:color="auto" w:fill="auto"/>
            <w:noWrap/>
            <w:vAlign w:val="bottom"/>
            <w:hideMark/>
          </w:tcPr>
          <w:p w14:paraId="0BADDA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1.334714</w:t>
            </w:r>
          </w:p>
        </w:tc>
      </w:tr>
      <w:tr w:rsidR="002027D2" w:rsidRPr="008D1712" w14:paraId="3F02D18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44BDC8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D5931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2.678734</w:t>
            </w:r>
          </w:p>
        </w:tc>
        <w:tc>
          <w:tcPr>
            <w:tcW w:w="1199" w:type="dxa"/>
            <w:tcBorders>
              <w:top w:val="nil"/>
              <w:left w:val="nil"/>
              <w:bottom w:val="single" w:sz="4" w:space="0" w:color="auto"/>
              <w:right w:val="single" w:sz="4" w:space="0" w:color="auto"/>
            </w:tcBorders>
            <w:shd w:val="clear" w:color="auto" w:fill="auto"/>
            <w:noWrap/>
            <w:vAlign w:val="bottom"/>
            <w:hideMark/>
          </w:tcPr>
          <w:p w14:paraId="01C2E28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1.724487</w:t>
            </w:r>
          </w:p>
        </w:tc>
        <w:tc>
          <w:tcPr>
            <w:tcW w:w="1199" w:type="dxa"/>
            <w:tcBorders>
              <w:top w:val="nil"/>
              <w:left w:val="nil"/>
              <w:bottom w:val="single" w:sz="4" w:space="0" w:color="auto"/>
              <w:right w:val="single" w:sz="4" w:space="0" w:color="auto"/>
            </w:tcBorders>
            <w:shd w:val="clear" w:color="auto" w:fill="auto"/>
            <w:noWrap/>
            <w:vAlign w:val="bottom"/>
            <w:hideMark/>
          </w:tcPr>
          <w:p w14:paraId="2C7928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1.298739</w:t>
            </w:r>
          </w:p>
        </w:tc>
      </w:tr>
      <w:tr w:rsidR="002027D2" w:rsidRPr="008D1712" w14:paraId="1FAF146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A2DA94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74C3AB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4.154112</w:t>
            </w:r>
          </w:p>
        </w:tc>
        <w:tc>
          <w:tcPr>
            <w:tcW w:w="1199" w:type="dxa"/>
            <w:tcBorders>
              <w:top w:val="nil"/>
              <w:left w:val="nil"/>
              <w:bottom w:val="single" w:sz="4" w:space="0" w:color="auto"/>
              <w:right w:val="single" w:sz="4" w:space="0" w:color="auto"/>
            </w:tcBorders>
            <w:shd w:val="clear" w:color="auto" w:fill="auto"/>
            <w:noWrap/>
            <w:vAlign w:val="bottom"/>
            <w:hideMark/>
          </w:tcPr>
          <w:p w14:paraId="11A4F1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2.690154</w:t>
            </w:r>
          </w:p>
        </w:tc>
        <w:tc>
          <w:tcPr>
            <w:tcW w:w="1199" w:type="dxa"/>
            <w:tcBorders>
              <w:top w:val="nil"/>
              <w:left w:val="nil"/>
              <w:bottom w:val="single" w:sz="4" w:space="0" w:color="auto"/>
              <w:right w:val="single" w:sz="4" w:space="0" w:color="auto"/>
            </w:tcBorders>
            <w:shd w:val="clear" w:color="auto" w:fill="auto"/>
            <w:noWrap/>
            <w:vAlign w:val="bottom"/>
            <w:hideMark/>
          </w:tcPr>
          <w:p w14:paraId="7FC0BA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1.00534</w:t>
            </w:r>
          </w:p>
        </w:tc>
      </w:tr>
      <w:tr w:rsidR="002027D2" w:rsidRPr="008D1712" w14:paraId="03D93CFE"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AAEF2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4490C05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4.504168</w:t>
            </w:r>
          </w:p>
        </w:tc>
        <w:tc>
          <w:tcPr>
            <w:tcW w:w="1199" w:type="dxa"/>
            <w:tcBorders>
              <w:top w:val="nil"/>
              <w:left w:val="nil"/>
              <w:bottom w:val="single" w:sz="4" w:space="0" w:color="auto"/>
              <w:right w:val="single" w:sz="4" w:space="0" w:color="auto"/>
            </w:tcBorders>
            <w:shd w:val="clear" w:color="auto" w:fill="auto"/>
            <w:noWrap/>
            <w:vAlign w:val="bottom"/>
            <w:hideMark/>
          </w:tcPr>
          <w:p w14:paraId="002EC45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-2.42318</w:t>
            </w:r>
          </w:p>
        </w:tc>
        <w:tc>
          <w:tcPr>
            <w:tcW w:w="1199" w:type="dxa"/>
            <w:tcBorders>
              <w:top w:val="nil"/>
              <w:left w:val="nil"/>
              <w:bottom w:val="single" w:sz="4" w:space="0" w:color="auto"/>
              <w:right w:val="single" w:sz="4" w:space="0" w:color="auto"/>
            </w:tcBorders>
            <w:shd w:val="clear" w:color="auto" w:fill="auto"/>
            <w:noWrap/>
            <w:vAlign w:val="bottom"/>
            <w:hideMark/>
          </w:tcPr>
          <w:p w14:paraId="1D2DDF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-2.69066</w:t>
            </w:r>
          </w:p>
        </w:tc>
      </w:tr>
      <w:tr w:rsidR="002027D2" w:rsidRPr="008D1712" w14:paraId="5890B59A"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0058F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305A2B1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3.264609</w:t>
            </w:r>
          </w:p>
        </w:tc>
        <w:tc>
          <w:tcPr>
            <w:tcW w:w="1199" w:type="dxa"/>
            <w:tcBorders>
              <w:top w:val="nil"/>
              <w:left w:val="nil"/>
              <w:bottom w:val="single" w:sz="4" w:space="0" w:color="auto"/>
              <w:right w:val="single" w:sz="4" w:space="0" w:color="auto"/>
            </w:tcBorders>
            <w:shd w:val="clear" w:color="auto" w:fill="auto"/>
            <w:noWrap/>
            <w:vAlign w:val="bottom"/>
            <w:hideMark/>
          </w:tcPr>
          <w:p w14:paraId="0E33192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-2.59885</w:t>
            </w:r>
          </w:p>
        </w:tc>
        <w:tc>
          <w:tcPr>
            <w:tcW w:w="1199" w:type="dxa"/>
            <w:tcBorders>
              <w:top w:val="nil"/>
              <w:left w:val="nil"/>
              <w:bottom w:val="single" w:sz="4" w:space="0" w:color="auto"/>
              <w:right w:val="single" w:sz="4" w:space="0" w:color="auto"/>
            </w:tcBorders>
            <w:shd w:val="clear" w:color="auto" w:fill="auto"/>
            <w:noWrap/>
            <w:vAlign w:val="bottom"/>
            <w:hideMark/>
          </w:tcPr>
          <w:p w14:paraId="595979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-1.43743</w:t>
            </w:r>
          </w:p>
        </w:tc>
      </w:tr>
      <w:tr w:rsidR="002027D2" w:rsidRPr="008D1712" w14:paraId="48248733"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293BB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388251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6.31479</w:t>
            </w:r>
          </w:p>
        </w:tc>
        <w:tc>
          <w:tcPr>
            <w:tcW w:w="1199" w:type="dxa"/>
            <w:tcBorders>
              <w:top w:val="nil"/>
              <w:left w:val="nil"/>
              <w:bottom w:val="single" w:sz="4" w:space="0" w:color="auto"/>
              <w:right w:val="single" w:sz="4" w:space="0" w:color="auto"/>
            </w:tcBorders>
            <w:shd w:val="clear" w:color="auto" w:fill="auto"/>
            <w:noWrap/>
            <w:vAlign w:val="bottom"/>
            <w:hideMark/>
          </w:tcPr>
          <w:p w14:paraId="7A72D7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-2.43797</w:t>
            </w:r>
          </w:p>
        </w:tc>
        <w:tc>
          <w:tcPr>
            <w:tcW w:w="1199" w:type="dxa"/>
            <w:tcBorders>
              <w:top w:val="nil"/>
              <w:left w:val="nil"/>
              <w:bottom w:val="single" w:sz="4" w:space="0" w:color="auto"/>
              <w:right w:val="single" w:sz="4" w:space="0" w:color="auto"/>
            </w:tcBorders>
            <w:shd w:val="clear" w:color="auto" w:fill="auto"/>
            <w:noWrap/>
            <w:vAlign w:val="bottom"/>
            <w:hideMark/>
          </w:tcPr>
          <w:p w14:paraId="22C3AF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-1.02493</w:t>
            </w:r>
          </w:p>
        </w:tc>
      </w:tr>
      <w:tr w:rsidR="002027D2" w:rsidRPr="008D1712" w14:paraId="0BB8218E"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C6383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0B0D7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5.298854</w:t>
            </w:r>
          </w:p>
        </w:tc>
        <w:tc>
          <w:tcPr>
            <w:tcW w:w="1199" w:type="dxa"/>
            <w:tcBorders>
              <w:top w:val="nil"/>
              <w:left w:val="nil"/>
              <w:bottom w:val="single" w:sz="4" w:space="0" w:color="auto"/>
              <w:right w:val="single" w:sz="4" w:space="0" w:color="auto"/>
            </w:tcBorders>
            <w:shd w:val="clear" w:color="auto" w:fill="auto"/>
            <w:noWrap/>
            <w:vAlign w:val="bottom"/>
            <w:hideMark/>
          </w:tcPr>
          <w:p w14:paraId="2B404C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-3.88218</w:t>
            </w:r>
          </w:p>
        </w:tc>
        <w:tc>
          <w:tcPr>
            <w:tcW w:w="1199" w:type="dxa"/>
            <w:tcBorders>
              <w:top w:val="nil"/>
              <w:left w:val="nil"/>
              <w:bottom w:val="single" w:sz="4" w:space="0" w:color="auto"/>
              <w:right w:val="single" w:sz="4" w:space="0" w:color="auto"/>
            </w:tcBorders>
            <w:shd w:val="clear" w:color="auto" w:fill="auto"/>
            <w:noWrap/>
            <w:vAlign w:val="bottom"/>
            <w:hideMark/>
          </w:tcPr>
          <w:p w14:paraId="5CC4FA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-0.86267</w:t>
            </w:r>
          </w:p>
        </w:tc>
      </w:tr>
      <w:tr w:rsidR="002027D2" w:rsidRPr="008D1712" w14:paraId="4746851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1EBFD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456D05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4.285104</w:t>
            </w:r>
          </w:p>
        </w:tc>
        <w:tc>
          <w:tcPr>
            <w:tcW w:w="1199" w:type="dxa"/>
            <w:tcBorders>
              <w:top w:val="nil"/>
              <w:left w:val="nil"/>
              <w:bottom w:val="single" w:sz="4" w:space="0" w:color="auto"/>
              <w:right w:val="single" w:sz="4" w:space="0" w:color="auto"/>
            </w:tcBorders>
            <w:shd w:val="clear" w:color="auto" w:fill="auto"/>
            <w:noWrap/>
            <w:vAlign w:val="bottom"/>
            <w:hideMark/>
          </w:tcPr>
          <w:p w14:paraId="0288BD5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-3.09999</w:t>
            </w:r>
          </w:p>
        </w:tc>
        <w:tc>
          <w:tcPr>
            <w:tcW w:w="1199" w:type="dxa"/>
            <w:tcBorders>
              <w:top w:val="nil"/>
              <w:left w:val="nil"/>
              <w:bottom w:val="single" w:sz="4" w:space="0" w:color="auto"/>
              <w:right w:val="single" w:sz="4" w:space="0" w:color="auto"/>
            </w:tcBorders>
            <w:shd w:val="clear" w:color="auto" w:fill="auto"/>
            <w:noWrap/>
            <w:vAlign w:val="bottom"/>
            <w:hideMark/>
          </w:tcPr>
          <w:p w14:paraId="52D4C2E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1.193824</w:t>
            </w:r>
          </w:p>
        </w:tc>
      </w:tr>
      <w:tr w:rsidR="002027D2" w:rsidRPr="008D1712" w14:paraId="1B4B099B"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776BC9E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7D2D458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4.705024</w:t>
            </w:r>
          </w:p>
        </w:tc>
        <w:tc>
          <w:tcPr>
            <w:tcW w:w="1199" w:type="dxa"/>
            <w:tcBorders>
              <w:top w:val="nil"/>
              <w:left w:val="nil"/>
              <w:bottom w:val="single" w:sz="4" w:space="0" w:color="auto"/>
              <w:right w:val="single" w:sz="4" w:space="0" w:color="auto"/>
            </w:tcBorders>
            <w:shd w:val="clear" w:color="auto" w:fill="auto"/>
            <w:noWrap/>
            <w:vAlign w:val="bottom"/>
            <w:hideMark/>
          </w:tcPr>
          <w:p w14:paraId="4CD16F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-1.39807</w:t>
            </w:r>
          </w:p>
        </w:tc>
        <w:tc>
          <w:tcPr>
            <w:tcW w:w="1199" w:type="dxa"/>
            <w:tcBorders>
              <w:top w:val="nil"/>
              <w:left w:val="nil"/>
              <w:bottom w:val="single" w:sz="4" w:space="0" w:color="auto"/>
              <w:right w:val="single" w:sz="4" w:space="0" w:color="auto"/>
            </w:tcBorders>
            <w:shd w:val="clear" w:color="auto" w:fill="auto"/>
            <w:noWrap/>
            <w:vAlign w:val="bottom"/>
            <w:hideMark/>
          </w:tcPr>
          <w:p w14:paraId="19B3A1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0.860819</w:t>
            </w:r>
          </w:p>
        </w:tc>
      </w:tr>
      <w:tr w:rsidR="002027D2" w:rsidRPr="008D1712" w14:paraId="541E736F"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8BC3A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81A4D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6.823129</w:t>
            </w:r>
          </w:p>
        </w:tc>
        <w:tc>
          <w:tcPr>
            <w:tcW w:w="1199" w:type="dxa"/>
            <w:tcBorders>
              <w:top w:val="nil"/>
              <w:left w:val="nil"/>
              <w:bottom w:val="single" w:sz="4" w:space="0" w:color="auto"/>
              <w:right w:val="single" w:sz="4" w:space="0" w:color="auto"/>
            </w:tcBorders>
            <w:shd w:val="clear" w:color="auto" w:fill="auto"/>
            <w:noWrap/>
            <w:vAlign w:val="bottom"/>
            <w:hideMark/>
          </w:tcPr>
          <w:p w14:paraId="041C028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-0.49823</w:t>
            </w:r>
          </w:p>
        </w:tc>
        <w:tc>
          <w:tcPr>
            <w:tcW w:w="1199" w:type="dxa"/>
            <w:tcBorders>
              <w:top w:val="nil"/>
              <w:left w:val="nil"/>
              <w:bottom w:val="single" w:sz="4" w:space="0" w:color="auto"/>
              <w:right w:val="single" w:sz="4" w:space="0" w:color="auto"/>
            </w:tcBorders>
            <w:shd w:val="clear" w:color="auto" w:fill="auto"/>
            <w:noWrap/>
            <w:vAlign w:val="bottom"/>
            <w:hideMark/>
          </w:tcPr>
          <w:p w14:paraId="419A36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1.442126</w:t>
            </w:r>
          </w:p>
        </w:tc>
      </w:tr>
      <w:tr w:rsidR="002027D2" w:rsidRPr="008D1712" w14:paraId="2020F15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F3F3D8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2828DD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7.681459</w:t>
            </w:r>
          </w:p>
        </w:tc>
        <w:tc>
          <w:tcPr>
            <w:tcW w:w="1199" w:type="dxa"/>
            <w:tcBorders>
              <w:top w:val="nil"/>
              <w:left w:val="nil"/>
              <w:bottom w:val="single" w:sz="4" w:space="0" w:color="auto"/>
              <w:right w:val="single" w:sz="4" w:space="0" w:color="auto"/>
            </w:tcBorders>
            <w:shd w:val="clear" w:color="auto" w:fill="auto"/>
            <w:noWrap/>
            <w:vAlign w:val="bottom"/>
            <w:hideMark/>
          </w:tcPr>
          <w:p w14:paraId="42CB45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-1.64016</w:t>
            </w:r>
          </w:p>
        </w:tc>
        <w:tc>
          <w:tcPr>
            <w:tcW w:w="1199" w:type="dxa"/>
            <w:tcBorders>
              <w:top w:val="nil"/>
              <w:left w:val="nil"/>
              <w:bottom w:val="single" w:sz="4" w:space="0" w:color="auto"/>
              <w:right w:val="single" w:sz="4" w:space="0" w:color="auto"/>
            </w:tcBorders>
            <w:shd w:val="clear" w:color="auto" w:fill="auto"/>
            <w:noWrap/>
            <w:vAlign w:val="bottom"/>
            <w:hideMark/>
          </w:tcPr>
          <w:p w14:paraId="0B24DC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0.353454</w:t>
            </w:r>
          </w:p>
        </w:tc>
      </w:tr>
      <w:tr w:rsidR="002027D2" w:rsidRPr="008D1712" w14:paraId="6ACF0865"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AD660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7D506BC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8.120416</w:t>
            </w:r>
          </w:p>
        </w:tc>
        <w:tc>
          <w:tcPr>
            <w:tcW w:w="1199" w:type="dxa"/>
            <w:tcBorders>
              <w:top w:val="nil"/>
              <w:left w:val="nil"/>
              <w:bottom w:val="single" w:sz="4" w:space="0" w:color="auto"/>
              <w:right w:val="single" w:sz="4" w:space="0" w:color="auto"/>
            </w:tcBorders>
            <w:shd w:val="clear" w:color="auto" w:fill="auto"/>
            <w:noWrap/>
            <w:vAlign w:val="bottom"/>
            <w:hideMark/>
          </w:tcPr>
          <w:p w14:paraId="1142FC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-1.56724</w:t>
            </w:r>
          </w:p>
        </w:tc>
        <w:tc>
          <w:tcPr>
            <w:tcW w:w="1199" w:type="dxa"/>
            <w:tcBorders>
              <w:top w:val="nil"/>
              <w:left w:val="nil"/>
              <w:bottom w:val="single" w:sz="4" w:space="0" w:color="auto"/>
              <w:right w:val="single" w:sz="4" w:space="0" w:color="auto"/>
            </w:tcBorders>
            <w:shd w:val="clear" w:color="auto" w:fill="auto"/>
            <w:noWrap/>
            <w:vAlign w:val="bottom"/>
            <w:hideMark/>
          </w:tcPr>
          <w:p w14:paraId="51E21F1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2.094476</w:t>
            </w:r>
          </w:p>
        </w:tc>
      </w:tr>
      <w:tr w:rsidR="002027D2" w:rsidRPr="008D1712" w14:paraId="6F5461CF"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23820B7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4EFFC3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5.321542</w:t>
            </w:r>
          </w:p>
        </w:tc>
        <w:tc>
          <w:tcPr>
            <w:tcW w:w="1199" w:type="dxa"/>
            <w:tcBorders>
              <w:top w:val="nil"/>
              <w:left w:val="nil"/>
              <w:bottom w:val="single" w:sz="4" w:space="0" w:color="auto"/>
              <w:right w:val="single" w:sz="4" w:space="0" w:color="auto"/>
            </w:tcBorders>
            <w:shd w:val="clear" w:color="auto" w:fill="auto"/>
            <w:noWrap/>
            <w:vAlign w:val="bottom"/>
            <w:hideMark/>
          </w:tcPr>
          <w:p w14:paraId="450B5AA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-1.33794</w:t>
            </w:r>
          </w:p>
        </w:tc>
        <w:tc>
          <w:tcPr>
            <w:tcW w:w="1199" w:type="dxa"/>
            <w:tcBorders>
              <w:top w:val="nil"/>
              <w:left w:val="nil"/>
              <w:bottom w:val="single" w:sz="4" w:space="0" w:color="auto"/>
              <w:right w:val="single" w:sz="4" w:space="0" w:color="auto"/>
            </w:tcBorders>
            <w:shd w:val="clear" w:color="auto" w:fill="auto"/>
            <w:noWrap/>
            <w:vAlign w:val="bottom"/>
            <w:hideMark/>
          </w:tcPr>
          <w:p w14:paraId="5FA245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3.180614</w:t>
            </w:r>
          </w:p>
        </w:tc>
      </w:tr>
      <w:tr w:rsidR="002027D2" w:rsidRPr="008D1712" w14:paraId="1634384D"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33925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2656C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6.650749</w:t>
            </w:r>
          </w:p>
        </w:tc>
        <w:tc>
          <w:tcPr>
            <w:tcW w:w="1199" w:type="dxa"/>
            <w:tcBorders>
              <w:top w:val="nil"/>
              <w:left w:val="nil"/>
              <w:bottom w:val="single" w:sz="4" w:space="0" w:color="auto"/>
              <w:right w:val="single" w:sz="4" w:space="0" w:color="auto"/>
            </w:tcBorders>
            <w:shd w:val="clear" w:color="auto" w:fill="auto"/>
            <w:noWrap/>
            <w:vAlign w:val="bottom"/>
            <w:hideMark/>
          </w:tcPr>
          <w:p w14:paraId="580CC4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-2.38998</w:t>
            </w:r>
          </w:p>
        </w:tc>
        <w:tc>
          <w:tcPr>
            <w:tcW w:w="1199" w:type="dxa"/>
            <w:tcBorders>
              <w:top w:val="nil"/>
              <w:left w:val="nil"/>
              <w:bottom w:val="single" w:sz="4" w:space="0" w:color="auto"/>
              <w:right w:val="single" w:sz="4" w:space="0" w:color="auto"/>
            </w:tcBorders>
            <w:shd w:val="clear" w:color="auto" w:fill="auto"/>
            <w:noWrap/>
            <w:vAlign w:val="bottom"/>
            <w:hideMark/>
          </w:tcPr>
          <w:p w14:paraId="7CDF1B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3.791713</w:t>
            </w:r>
          </w:p>
        </w:tc>
      </w:tr>
      <w:tr w:rsidR="002027D2" w:rsidRPr="008D1712" w14:paraId="5264EBFD"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6C608D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4F273B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5.056743</w:t>
            </w:r>
          </w:p>
        </w:tc>
        <w:tc>
          <w:tcPr>
            <w:tcW w:w="1199" w:type="dxa"/>
            <w:tcBorders>
              <w:top w:val="nil"/>
              <w:left w:val="nil"/>
              <w:bottom w:val="single" w:sz="4" w:space="0" w:color="auto"/>
              <w:right w:val="single" w:sz="4" w:space="0" w:color="auto"/>
            </w:tcBorders>
            <w:shd w:val="clear" w:color="auto" w:fill="auto"/>
            <w:noWrap/>
            <w:vAlign w:val="bottom"/>
            <w:hideMark/>
          </w:tcPr>
          <w:p w14:paraId="2F31C6B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-3.11183</w:t>
            </w:r>
          </w:p>
        </w:tc>
        <w:tc>
          <w:tcPr>
            <w:tcW w:w="1199" w:type="dxa"/>
            <w:tcBorders>
              <w:top w:val="nil"/>
              <w:left w:val="nil"/>
              <w:bottom w:val="single" w:sz="4" w:space="0" w:color="auto"/>
              <w:right w:val="single" w:sz="4" w:space="0" w:color="auto"/>
            </w:tcBorders>
            <w:shd w:val="clear" w:color="auto" w:fill="auto"/>
            <w:noWrap/>
            <w:vAlign w:val="bottom"/>
            <w:hideMark/>
          </w:tcPr>
          <w:p w14:paraId="23A029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3.364838</w:t>
            </w:r>
          </w:p>
        </w:tc>
      </w:tr>
      <w:tr w:rsidR="002027D2" w:rsidRPr="008D1712" w14:paraId="1408DE3C"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04BE36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199" w:type="dxa"/>
            <w:tcBorders>
              <w:top w:val="nil"/>
              <w:left w:val="nil"/>
              <w:bottom w:val="single" w:sz="4" w:space="0" w:color="auto"/>
              <w:right w:val="single" w:sz="4" w:space="0" w:color="auto"/>
            </w:tcBorders>
            <w:shd w:val="clear" w:color="auto" w:fill="auto"/>
            <w:noWrap/>
            <w:vAlign w:val="bottom"/>
            <w:hideMark/>
          </w:tcPr>
          <w:p w14:paraId="1041AF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7.302706</w:t>
            </w:r>
          </w:p>
        </w:tc>
        <w:tc>
          <w:tcPr>
            <w:tcW w:w="1199" w:type="dxa"/>
            <w:tcBorders>
              <w:top w:val="nil"/>
              <w:left w:val="nil"/>
              <w:bottom w:val="single" w:sz="4" w:space="0" w:color="auto"/>
              <w:right w:val="single" w:sz="4" w:space="0" w:color="auto"/>
            </w:tcBorders>
            <w:shd w:val="clear" w:color="auto" w:fill="auto"/>
            <w:noWrap/>
            <w:vAlign w:val="bottom"/>
            <w:hideMark/>
          </w:tcPr>
          <w:p w14:paraId="42E932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-4.05579</w:t>
            </w:r>
          </w:p>
        </w:tc>
        <w:tc>
          <w:tcPr>
            <w:tcW w:w="1199" w:type="dxa"/>
            <w:tcBorders>
              <w:top w:val="nil"/>
              <w:left w:val="nil"/>
              <w:bottom w:val="single" w:sz="4" w:space="0" w:color="auto"/>
              <w:right w:val="single" w:sz="4" w:space="0" w:color="auto"/>
            </w:tcBorders>
            <w:shd w:val="clear" w:color="auto" w:fill="auto"/>
            <w:noWrap/>
            <w:vAlign w:val="bottom"/>
            <w:hideMark/>
          </w:tcPr>
          <w:p w14:paraId="0748EF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0.581544</w:t>
            </w:r>
          </w:p>
        </w:tc>
      </w:tr>
      <w:tr w:rsidR="002027D2" w:rsidRPr="008D1712" w14:paraId="505DF669"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34262F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4DB55E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6.131892</w:t>
            </w:r>
          </w:p>
        </w:tc>
        <w:tc>
          <w:tcPr>
            <w:tcW w:w="1199" w:type="dxa"/>
            <w:tcBorders>
              <w:top w:val="nil"/>
              <w:left w:val="nil"/>
              <w:bottom w:val="single" w:sz="4" w:space="0" w:color="auto"/>
              <w:right w:val="single" w:sz="4" w:space="0" w:color="auto"/>
            </w:tcBorders>
            <w:shd w:val="clear" w:color="auto" w:fill="auto"/>
            <w:noWrap/>
            <w:vAlign w:val="bottom"/>
            <w:hideMark/>
          </w:tcPr>
          <w:p w14:paraId="3D7C47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-4.67608</w:t>
            </w:r>
          </w:p>
        </w:tc>
        <w:tc>
          <w:tcPr>
            <w:tcW w:w="1199" w:type="dxa"/>
            <w:tcBorders>
              <w:top w:val="nil"/>
              <w:left w:val="nil"/>
              <w:bottom w:val="single" w:sz="4" w:space="0" w:color="auto"/>
              <w:right w:val="single" w:sz="4" w:space="0" w:color="auto"/>
            </w:tcBorders>
            <w:shd w:val="clear" w:color="auto" w:fill="auto"/>
            <w:noWrap/>
            <w:vAlign w:val="bottom"/>
            <w:hideMark/>
          </w:tcPr>
          <w:p w14:paraId="63DA7F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1.804376</w:t>
            </w:r>
          </w:p>
        </w:tc>
      </w:tr>
      <w:tr w:rsidR="002027D2" w:rsidRPr="008D1712" w14:paraId="3DC71C05"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3FC2EE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343986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7.710144</w:t>
            </w:r>
          </w:p>
        </w:tc>
        <w:tc>
          <w:tcPr>
            <w:tcW w:w="1199" w:type="dxa"/>
            <w:tcBorders>
              <w:top w:val="nil"/>
              <w:left w:val="nil"/>
              <w:bottom w:val="single" w:sz="4" w:space="0" w:color="auto"/>
              <w:right w:val="single" w:sz="4" w:space="0" w:color="auto"/>
            </w:tcBorders>
            <w:shd w:val="clear" w:color="auto" w:fill="auto"/>
            <w:noWrap/>
            <w:vAlign w:val="bottom"/>
            <w:hideMark/>
          </w:tcPr>
          <w:p w14:paraId="1DDD50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-3.98723</w:t>
            </w:r>
          </w:p>
        </w:tc>
        <w:tc>
          <w:tcPr>
            <w:tcW w:w="1199" w:type="dxa"/>
            <w:tcBorders>
              <w:top w:val="nil"/>
              <w:left w:val="nil"/>
              <w:bottom w:val="single" w:sz="4" w:space="0" w:color="auto"/>
              <w:right w:val="single" w:sz="4" w:space="0" w:color="auto"/>
            </w:tcBorders>
            <w:shd w:val="clear" w:color="auto" w:fill="auto"/>
            <w:noWrap/>
            <w:vAlign w:val="bottom"/>
            <w:hideMark/>
          </w:tcPr>
          <w:p w14:paraId="4E58BF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2.331993</w:t>
            </w:r>
          </w:p>
        </w:tc>
      </w:tr>
      <w:tr w:rsidR="002027D2" w:rsidRPr="008D1712" w14:paraId="5CE4961D"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A8AC5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58C7CFF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5.699004</w:t>
            </w:r>
          </w:p>
        </w:tc>
        <w:tc>
          <w:tcPr>
            <w:tcW w:w="1199" w:type="dxa"/>
            <w:tcBorders>
              <w:top w:val="nil"/>
              <w:left w:val="nil"/>
              <w:bottom w:val="single" w:sz="4" w:space="0" w:color="auto"/>
              <w:right w:val="single" w:sz="4" w:space="0" w:color="auto"/>
            </w:tcBorders>
            <w:shd w:val="clear" w:color="auto" w:fill="auto"/>
            <w:noWrap/>
            <w:vAlign w:val="bottom"/>
            <w:hideMark/>
          </w:tcPr>
          <w:p w14:paraId="0481F2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3.475162</w:t>
            </w:r>
          </w:p>
        </w:tc>
        <w:tc>
          <w:tcPr>
            <w:tcW w:w="1199" w:type="dxa"/>
            <w:tcBorders>
              <w:top w:val="nil"/>
              <w:left w:val="nil"/>
              <w:bottom w:val="single" w:sz="4" w:space="0" w:color="auto"/>
              <w:right w:val="single" w:sz="4" w:space="0" w:color="auto"/>
            </w:tcBorders>
            <w:shd w:val="clear" w:color="auto" w:fill="auto"/>
            <w:noWrap/>
            <w:vAlign w:val="bottom"/>
            <w:hideMark/>
          </w:tcPr>
          <w:p w14:paraId="082DB7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-1.10958</w:t>
            </w:r>
          </w:p>
        </w:tc>
      </w:tr>
      <w:tr w:rsidR="002027D2" w:rsidRPr="008D1712" w14:paraId="65BCFEC1"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485FCB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E1755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6.656809</w:t>
            </w:r>
          </w:p>
        </w:tc>
        <w:tc>
          <w:tcPr>
            <w:tcW w:w="1199" w:type="dxa"/>
            <w:tcBorders>
              <w:top w:val="nil"/>
              <w:left w:val="nil"/>
              <w:bottom w:val="single" w:sz="4" w:space="0" w:color="auto"/>
              <w:right w:val="single" w:sz="4" w:space="0" w:color="auto"/>
            </w:tcBorders>
            <w:shd w:val="clear" w:color="auto" w:fill="auto"/>
            <w:noWrap/>
            <w:vAlign w:val="bottom"/>
            <w:hideMark/>
          </w:tcPr>
          <w:p w14:paraId="0031E2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-1.13966</w:t>
            </w:r>
          </w:p>
        </w:tc>
        <w:tc>
          <w:tcPr>
            <w:tcW w:w="1199" w:type="dxa"/>
            <w:tcBorders>
              <w:top w:val="nil"/>
              <w:left w:val="nil"/>
              <w:bottom w:val="single" w:sz="4" w:space="0" w:color="auto"/>
              <w:right w:val="single" w:sz="4" w:space="0" w:color="auto"/>
            </w:tcBorders>
            <w:shd w:val="clear" w:color="auto" w:fill="auto"/>
            <w:noWrap/>
            <w:vAlign w:val="bottom"/>
            <w:hideMark/>
          </w:tcPr>
          <w:p w14:paraId="14C5077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-2.89955</w:t>
            </w:r>
          </w:p>
        </w:tc>
      </w:tr>
      <w:tr w:rsidR="002027D2" w:rsidRPr="008D1712" w14:paraId="09DF6236" w14:textId="77777777" w:rsidTr="00323CC4">
        <w:trPr>
          <w:trHeight w:val="300"/>
          <w:jc w:val="center"/>
        </w:trPr>
        <w:tc>
          <w:tcPr>
            <w:tcW w:w="243" w:type="dxa"/>
            <w:tcBorders>
              <w:top w:val="nil"/>
              <w:left w:val="single" w:sz="4" w:space="0" w:color="auto"/>
              <w:bottom w:val="single" w:sz="4" w:space="0" w:color="auto"/>
              <w:right w:val="single" w:sz="4" w:space="0" w:color="auto"/>
            </w:tcBorders>
            <w:shd w:val="clear" w:color="auto" w:fill="auto"/>
            <w:noWrap/>
            <w:vAlign w:val="center"/>
            <w:hideMark/>
          </w:tcPr>
          <w:p w14:paraId="1E8631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99" w:type="dxa"/>
            <w:tcBorders>
              <w:top w:val="nil"/>
              <w:left w:val="nil"/>
              <w:bottom w:val="single" w:sz="4" w:space="0" w:color="auto"/>
              <w:right w:val="single" w:sz="4" w:space="0" w:color="auto"/>
            </w:tcBorders>
            <w:shd w:val="clear" w:color="auto" w:fill="auto"/>
            <w:noWrap/>
            <w:vAlign w:val="bottom"/>
            <w:hideMark/>
          </w:tcPr>
          <w:p w14:paraId="1D16693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8.331587</w:t>
            </w:r>
          </w:p>
        </w:tc>
        <w:tc>
          <w:tcPr>
            <w:tcW w:w="1199" w:type="dxa"/>
            <w:tcBorders>
              <w:top w:val="nil"/>
              <w:left w:val="nil"/>
              <w:bottom w:val="single" w:sz="4" w:space="0" w:color="auto"/>
              <w:right w:val="single" w:sz="4" w:space="0" w:color="auto"/>
            </w:tcBorders>
            <w:shd w:val="clear" w:color="auto" w:fill="auto"/>
            <w:noWrap/>
            <w:vAlign w:val="bottom"/>
            <w:hideMark/>
          </w:tcPr>
          <w:p w14:paraId="7FCF5AB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0.718824</w:t>
            </w:r>
          </w:p>
        </w:tc>
        <w:tc>
          <w:tcPr>
            <w:tcW w:w="1199" w:type="dxa"/>
            <w:tcBorders>
              <w:top w:val="nil"/>
              <w:left w:val="nil"/>
              <w:bottom w:val="single" w:sz="4" w:space="0" w:color="auto"/>
              <w:right w:val="single" w:sz="4" w:space="0" w:color="auto"/>
            </w:tcBorders>
            <w:shd w:val="clear" w:color="auto" w:fill="auto"/>
            <w:noWrap/>
            <w:vAlign w:val="bottom"/>
            <w:hideMark/>
          </w:tcPr>
          <w:p w14:paraId="50D8025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-3.14376</w:t>
            </w:r>
          </w:p>
        </w:tc>
      </w:tr>
    </w:tbl>
    <w:p w14:paraId="59C75C7A" w14:textId="77777777" w:rsidR="002027D2" w:rsidRPr="008D1712" w:rsidRDefault="002027D2" w:rsidP="008D1712">
      <w:pPr>
        <w:jc w:val="center"/>
        <w:rPr>
          <w:rFonts w:ascii="Arial" w:hAnsi="Arial" w:cs="Arial"/>
          <w:sz w:val="24"/>
          <w:szCs w:val="24"/>
        </w:rPr>
      </w:pPr>
    </w:p>
    <w:p w14:paraId="50338A43"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S2.45</w:t>
      </w:r>
      <w:r w:rsidRPr="000452A8">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 xml:space="preserve">Coordinates (Angstroms) and energy (a.u.) of </w:t>
      </w:r>
      <w:r w:rsidRPr="008D1712">
        <w:rPr>
          <w:rFonts w:ascii="Arial" w:eastAsia="Times New Roman" w:hAnsi="Arial" w:cs="Arial"/>
          <w:b/>
          <w:bCs/>
          <w:color w:val="000000"/>
          <w:sz w:val="24"/>
          <w:szCs w:val="24"/>
        </w:rPr>
        <w:t>SQ F</w:t>
      </w:r>
      <w:r w:rsidRPr="008D1712">
        <w:rPr>
          <w:rFonts w:ascii="Arial" w:hAnsi="Arial" w:cs="Arial"/>
          <w:sz w:val="24"/>
          <w:szCs w:val="24"/>
        </w:rPr>
        <w:t>. Geometries were optimized using PBE functional and 6-31+G* basis set.</w:t>
      </w:r>
    </w:p>
    <w:p w14:paraId="558CEDC0" w14:textId="77777777" w:rsidR="002027D2" w:rsidRPr="008D1712" w:rsidRDefault="002027D2" w:rsidP="005556B5">
      <w:pPr>
        <w:rPr>
          <w:rFonts w:ascii="Arial" w:hAnsi="Arial" w:cs="Arial"/>
          <w:sz w:val="24"/>
          <w:szCs w:val="24"/>
        </w:rPr>
      </w:pPr>
    </w:p>
    <w:tbl>
      <w:tblPr>
        <w:tblW w:w="3840" w:type="dxa"/>
        <w:jc w:val="center"/>
        <w:tblLook w:val="04A0" w:firstRow="1" w:lastRow="0" w:firstColumn="1" w:lastColumn="0" w:noHBand="0" w:noVBand="1"/>
      </w:tblPr>
      <w:tblGrid>
        <w:gridCol w:w="443"/>
        <w:gridCol w:w="1218"/>
        <w:gridCol w:w="1218"/>
        <w:gridCol w:w="1218"/>
      </w:tblGrid>
      <w:tr w:rsidR="002027D2" w:rsidRPr="008D1712" w14:paraId="31921DFC" w14:textId="77777777" w:rsidTr="00323CC4">
        <w:trPr>
          <w:trHeight w:val="300"/>
          <w:jc w:val="center"/>
        </w:trPr>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9BFD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b/>
                <w:bCs/>
                <w:color w:val="000000"/>
                <w:sz w:val="24"/>
                <w:szCs w:val="24"/>
              </w:rPr>
              <w:t>SQ Cl</w:t>
            </w:r>
          </w:p>
        </w:tc>
      </w:tr>
      <w:tr w:rsidR="002027D2" w:rsidRPr="008D1712" w14:paraId="6B733237" w14:textId="77777777" w:rsidTr="00323CC4">
        <w:trPr>
          <w:trHeight w:val="300"/>
          <w:jc w:val="center"/>
        </w:trPr>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515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-2764.76229746764 a.u.</w:t>
            </w:r>
          </w:p>
        </w:tc>
      </w:tr>
      <w:tr w:rsidR="002027D2" w:rsidRPr="008D1712" w14:paraId="031955C8"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3D5A5D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4ECC16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0.677866</w:t>
            </w:r>
          </w:p>
        </w:tc>
        <w:tc>
          <w:tcPr>
            <w:tcW w:w="1189" w:type="dxa"/>
            <w:tcBorders>
              <w:top w:val="nil"/>
              <w:left w:val="nil"/>
              <w:bottom w:val="single" w:sz="4" w:space="0" w:color="auto"/>
              <w:right w:val="single" w:sz="4" w:space="0" w:color="auto"/>
            </w:tcBorders>
            <w:shd w:val="clear" w:color="auto" w:fill="auto"/>
            <w:noWrap/>
            <w:vAlign w:val="bottom"/>
            <w:hideMark/>
          </w:tcPr>
          <w:p w14:paraId="06908DF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-0.20481</w:t>
            </w:r>
          </w:p>
        </w:tc>
        <w:tc>
          <w:tcPr>
            <w:tcW w:w="1189" w:type="dxa"/>
            <w:tcBorders>
              <w:top w:val="nil"/>
              <w:left w:val="nil"/>
              <w:bottom w:val="single" w:sz="4" w:space="0" w:color="auto"/>
              <w:right w:val="single" w:sz="4" w:space="0" w:color="auto"/>
            </w:tcBorders>
            <w:shd w:val="clear" w:color="auto" w:fill="auto"/>
            <w:noWrap/>
            <w:vAlign w:val="bottom"/>
            <w:hideMark/>
          </w:tcPr>
          <w:p w14:paraId="72A3705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-0.2453</w:t>
            </w:r>
          </w:p>
        </w:tc>
      </w:tr>
      <w:tr w:rsidR="002027D2" w:rsidRPr="008D1712" w14:paraId="19C37BDF"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DFC98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5E740F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0.165828</w:t>
            </w:r>
          </w:p>
        </w:tc>
        <w:tc>
          <w:tcPr>
            <w:tcW w:w="1189" w:type="dxa"/>
            <w:tcBorders>
              <w:top w:val="nil"/>
              <w:left w:val="nil"/>
              <w:bottom w:val="single" w:sz="4" w:space="0" w:color="auto"/>
              <w:right w:val="single" w:sz="4" w:space="0" w:color="auto"/>
            </w:tcBorders>
            <w:shd w:val="clear" w:color="auto" w:fill="auto"/>
            <w:noWrap/>
            <w:vAlign w:val="bottom"/>
            <w:hideMark/>
          </w:tcPr>
          <w:p w14:paraId="257E6D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0.896808</w:t>
            </w:r>
          </w:p>
        </w:tc>
        <w:tc>
          <w:tcPr>
            <w:tcW w:w="1189" w:type="dxa"/>
            <w:tcBorders>
              <w:top w:val="nil"/>
              <w:left w:val="nil"/>
              <w:bottom w:val="single" w:sz="4" w:space="0" w:color="auto"/>
              <w:right w:val="single" w:sz="4" w:space="0" w:color="auto"/>
            </w:tcBorders>
            <w:shd w:val="clear" w:color="auto" w:fill="auto"/>
            <w:noWrap/>
            <w:vAlign w:val="bottom"/>
            <w:hideMark/>
          </w:tcPr>
          <w:p w14:paraId="7E2984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0.61144</w:t>
            </w:r>
          </w:p>
        </w:tc>
      </w:tr>
      <w:tr w:rsidR="002027D2" w:rsidRPr="008D1712" w14:paraId="1EBC8E02"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B73CD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24AA85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-1.234</w:t>
            </w:r>
          </w:p>
        </w:tc>
        <w:tc>
          <w:tcPr>
            <w:tcW w:w="1189" w:type="dxa"/>
            <w:tcBorders>
              <w:top w:val="nil"/>
              <w:left w:val="nil"/>
              <w:bottom w:val="single" w:sz="4" w:space="0" w:color="auto"/>
              <w:right w:val="single" w:sz="4" w:space="0" w:color="auto"/>
            </w:tcBorders>
            <w:shd w:val="clear" w:color="auto" w:fill="auto"/>
            <w:noWrap/>
            <w:vAlign w:val="bottom"/>
            <w:hideMark/>
          </w:tcPr>
          <w:p w14:paraId="3CD2D4B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0.464689</w:t>
            </w:r>
          </w:p>
        </w:tc>
        <w:tc>
          <w:tcPr>
            <w:tcW w:w="1189" w:type="dxa"/>
            <w:tcBorders>
              <w:top w:val="nil"/>
              <w:left w:val="nil"/>
              <w:bottom w:val="single" w:sz="4" w:space="0" w:color="auto"/>
              <w:right w:val="single" w:sz="4" w:space="0" w:color="auto"/>
            </w:tcBorders>
            <w:shd w:val="clear" w:color="auto" w:fill="auto"/>
            <w:noWrap/>
            <w:vAlign w:val="bottom"/>
            <w:hideMark/>
          </w:tcPr>
          <w:p w14:paraId="7F37E79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0.342671</w:t>
            </w:r>
          </w:p>
        </w:tc>
      </w:tr>
      <w:tr w:rsidR="002027D2" w:rsidRPr="008D1712" w14:paraId="2AFA45D4"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42A0A9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28A038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-0.70115</w:t>
            </w:r>
          </w:p>
        </w:tc>
        <w:tc>
          <w:tcPr>
            <w:tcW w:w="1189" w:type="dxa"/>
            <w:tcBorders>
              <w:top w:val="nil"/>
              <w:left w:val="nil"/>
              <w:bottom w:val="single" w:sz="4" w:space="0" w:color="auto"/>
              <w:right w:val="single" w:sz="4" w:space="0" w:color="auto"/>
            </w:tcBorders>
            <w:shd w:val="clear" w:color="auto" w:fill="auto"/>
            <w:noWrap/>
            <w:vAlign w:val="bottom"/>
            <w:hideMark/>
          </w:tcPr>
          <w:p w14:paraId="25AB3F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-0.70916</w:t>
            </w:r>
          </w:p>
        </w:tc>
        <w:tc>
          <w:tcPr>
            <w:tcW w:w="1189" w:type="dxa"/>
            <w:tcBorders>
              <w:top w:val="nil"/>
              <w:left w:val="nil"/>
              <w:bottom w:val="single" w:sz="4" w:space="0" w:color="auto"/>
              <w:right w:val="single" w:sz="4" w:space="0" w:color="auto"/>
            </w:tcBorders>
            <w:shd w:val="clear" w:color="auto" w:fill="auto"/>
            <w:noWrap/>
            <w:vAlign w:val="bottom"/>
            <w:hideMark/>
          </w:tcPr>
          <w:p w14:paraId="359EDF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-0.39166</w:t>
            </w:r>
          </w:p>
        </w:tc>
      </w:tr>
      <w:tr w:rsidR="002027D2" w:rsidRPr="008D1712" w14:paraId="71E5D09F"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E55AC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17CC9B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-2.36392</w:t>
            </w:r>
          </w:p>
        </w:tc>
        <w:tc>
          <w:tcPr>
            <w:tcW w:w="1189" w:type="dxa"/>
            <w:tcBorders>
              <w:top w:val="nil"/>
              <w:left w:val="nil"/>
              <w:bottom w:val="single" w:sz="4" w:space="0" w:color="auto"/>
              <w:right w:val="single" w:sz="4" w:space="0" w:color="auto"/>
            </w:tcBorders>
            <w:shd w:val="clear" w:color="auto" w:fill="auto"/>
            <w:noWrap/>
            <w:vAlign w:val="bottom"/>
            <w:hideMark/>
          </w:tcPr>
          <w:p w14:paraId="1F8185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1.13483</w:t>
            </w:r>
          </w:p>
        </w:tc>
        <w:tc>
          <w:tcPr>
            <w:tcW w:w="1189" w:type="dxa"/>
            <w:tcBorders>
              <w:top w:val="nil"/>
              <w:left w:val="nil"/>
              <w:bottom w:val="single" w:sz="4" w:space="0" w:color="auto"/>
              <w:right w:val="single" w:sz="4" w:space="0" w:color="auto"/>
            </w:tcBorders>
            <w:shd w:val="clear" w:color="auto" w:fill="auto"/>
            <w:noWrap/>
            <w:vAlign w:val="bottom"/>
            <w:hideMark/>
          </w:tcPr>
          <w:p w14:paraId="46EC4A2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0.83115</w:t>
            </w:r>
          </w:p>
        </w:tc>
      </w:tr>
      <w:tr w:rsidR="002027D2" w:rsidRPr="008D1712" w14:paraId="51693272"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188159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355DDE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-3.74426</w:t>
            </w:r>
          </w:p>
        </w:tc>
        <w:tc>
          <w:tcPr>
            <w:tcW w:w="1189" w:type="dxa"/>
            <w:tcBorders>
              <w:top w:val="nil"/>
              <w:left w:val="nil"/>
              <w:bottom w:val="single" w:sz="4" w:space="0" w:color="auto"/>
              <w:right w:val="single" w:sz="4" w:space="0" w:color="auto"/>
            </w:tcBorders>
            <w:shd w:val="clear" w:color="auto" w:fill="auto"/>
            <w:noWrap/>
            <w:vAlign w:val="bottom"/>
            <w:hideMark/>
          </w:tcPr>
          <w:p w14:paraId="6D1D038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1.167428</w:t>
            </w:r>
          </w:p>
        </w:tc>
        <w:tc>
          <w:tcPr>
            <w:tcW w:w="1189" w:type="dxa"/>
            <w:tcBorders>
              <w:top w:val="nil"/>
              <w:left w:val="nil"/>
              <w:bottom w:val="single" w:sz="4" w:space="0" w:color="auto"/>
              <w:right w:val="single" w:sz="4" w:space="0" w:color="auto"/>
            </w:tcBorders>
            <w:shd w:val="clear" w:color="auto" w:fill="auto"/>
            <w:noWrap/>
            <w:vAlign w:val="bottom"/>
            <w:hideMark/>
          </w:tcPr>
          <w:p w14:paraId="0D1DF5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0.598813</w:t>
            </w:r>
          </w:p>
        </w:tc>
      </w:tr>
      <w:tr w:rsidR="002027D2" w:rsidRPr="008D1712" w14:paraId="10825468"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4BC110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48A813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-4.66832</w:t>
            </w:r>
          </w:p>
        </w:tc>
        <w:tc>
          <w:tcPr>
            <w:tcW w:w="1189" w:type="dxa"/>
            <w:tcBorders>
              <w:top w:val="nil"/>
              <w:left w:val="nil"/>
              <w:bottom w:val="single" w:sz="4" w:space="0" w:color="auto"/>
              <w:right w:val="single" w:sz="4" w:space="0" w:color="auto"/>
            </w:tcBorders>
            <w:shd w:val="clear" w:color="auto" w:fill="auto"/>
            <w:noWrap/>
            <w:vAlign w:val="bottom"/>
            <w:hideMark/>
          </w:tcPr>
          <w:p w14:paraId="72F3CC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2.01175</w:t>
            </w:r>
          </w:p>
        </w:tc>
        <w:tc>
          <w:tcPr>
            <w:tcW w:w="1189" w:type="dxa"/>
            <w:tcBorders>
              <w:top w:val="nil"/>
              <w:left w:val="nil"/>
              <w:bottom w:val="single" w:sz="4" w:space="0" w:color="auto"/>
              <w:right w:val="single" w:sz="4" w:space="0" w:color="auto"/>
            </w:tcBorders>
            <w:shd w:val="clear" w:color="auto" w:fill="auto"/>
            <w:noWrap/>
            <w:vAlign w:val="bottom"/>
            <w:hideMark/>
          </w:tcPr>
          <w:p w14:paraId="0DF87A8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1.499496</w:t>
            </w:r>
          </w:p>
        </w:tc>
      </w:tr>
      <w:tr w:rsidR="002027D2" w:rsidRPr="008D1712" w14:paraId="6CE113B0"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2ECE3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04EC67B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-6.01824</w:t>
            </w:r>
          </w:p>
        </w:tc>
        <w:tc>
          <w:tcPr>
            <w:tcW w:w="1189" w:type="dxa"/>
            <w:tcBorders>
              <w:top w:val="nil"/>
              <w:left w:val="nil"/>
              <w:bottom w:val="single" w:sz="4" w:space="0" w:color="auto"/>
              <w:right w:val="single" w:sz="4" w:space="0" w:color="auto"/>
            </w:tcBorders>
            <w:shd w:val="clear" w:color="auto" w:fill="auto"/>
            <w:noWrap/>
            <w:vAlign w:val="bottom"/>
            <w:hideMark/>
          </w:tcPr>
          <w:p w14:paraId="7C53F0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1.81295</w:t>
            </w:r>
          </w:p>
        </w:tc>
        <w:tc>
          <w:tcPr>
            <w:tcW w:w="1189" w:type="dxa"/>
            <w:tcBorders>
              <w:top w:val="nil"/>
              <w:left w:val="nil"/>
              <w:bottom w:val="single" w:sz="4" w:space="0" w:color="auto"/>
              <w:right w:val="single" w:sz="4" w:space="0" w:color="auto"/>
            </w:tcBorders>
            <w:shd w:val="clear" w:color="auto" w:fill="auto"/>
            <w:noWrap/>
            <w:vAlign w:val="bottom"/>
            <w:hideMark/>
          </w:tcPr>
          <w:p w14:paraId="3B4BFA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0.838138</w:t>
            </w:r>
          </w:p>
        </w:tc>
      </w:tr>
      <w:tr w:rsidR="002027D2" w:rsidRPr="008D1712" w14:paraId="66D7FC24"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11BD2DE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21964D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-5.86022</w:t>
            </w:r>
          </w:p>
        </w:tc>
        <w:tc>
          <w:tcPr>
            <w:tcW w:w="1189" w:type="dxa"/>
            <w:tcBorders>
              <w:top w:val="nil"/>
              <w:left w:val="nil"/>
              <w:bottom w:val="single" w:sz="4" w:space="0" w:color="auto"/>
              <w:right w:val="single" w:sz="4" w:space="0" w:color="auto"/>
            </w:tcBorders>
            <w:shd w:val="clear" w:color="auto" w:fill="auto"/>
            <w:noWrap/>
            <w:vAlign w:val="bottom"/>
            <w:hideMark/>
          </w:tcPr>
          <w:p w14:paraId="1E2756B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0.998745</w:t>
            </w:r>
          </w:p>
        </w:tc>
        <w:tc>
          <w:tcPr>
            <w:tcW w:w="1189" w:type="dxa"/>
            <w:tcBorders>
              <w:top w:val="nil"/>
              <w:left w:val="nil"/>
              <w:bottom w:val="single" w:sz="4" w:space="0" w:color="auto"/>
              <w:right w:val="single" w:sz="4" w:space="0" w:color="auto"/>
            </w:tcBorders>
            <w:shd w:val="clear" w:color="auto" w:fill="auto"/>
            <w:noWrap/>
            <w:vAlign w:val="bottom"/>
            <w:hideMark/>
          </w:tcPr>
          <w:p w14:paraId="6636FEC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-0.29589</w:t>
            </w:r>
          </w:p>
        </w:tc>
      </w:tr>
      <w:tr w:rsidR="002027D2" w:rsidRPr="008D1712" w14:paraId="23B510A3"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6F0DC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89" w:type="dxa"/>
            <w:tcBorders>
              <w:top w:val="nil"/>
              <w:left w:val="nil"/>
              <w:bottom w:val="single" w:sz="4" w:space="0" w:color="auto"/>
              <w:right w:val="single" w:sz="4" w:space="0" w:color="auto"/>
            </w:tcBorders>
            <w:shd w:val="clear" w:color="auto" w:fill="auto"/>
            <w:noWrap/>
            <w:vAlign w:val="bottom"/>
            <w:hideMark/>
          </w:tcPr>
          <w:p w14:paraId="614BCC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-4.50006</w:t>
            </w:r>
          </w:p>
        </w:tc>
        <w:tc>
          <w:tcPr>
            <w:tcW w:w="1189" w:type="dxa"/>
            <w:tcBorders>
              <w:top w:val="nil"/>
              <w:left w:val="nil"/>
              <w:bottom w:val="single" w:sz="4" w:space="0" w:color="auto"/>
              <w:right w:val="single" w:sz="4" w:space="0" w:color="auto"/>
            </w:tcBorders>
            <w:shd w:val="clear" w:color="auto" w:fill="auto"/>
            <w:noWrap/>
            <w:vAlign w:val="bottom"/>
            <w:hideMark/>
          </w:tcPr>
          <w:p w14:paraId="33F1FC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0.600927</w:t>
            </w:r>
          </w:p>
        </w:tc>
        <w:tc>
          <w:tcPr>
            <w:tcW w:w="1189" w:type="dxa"/>
            <w:tcBorders>
              <w:top w:val="nil"/>
              <w:left w:val="nil"/>
              <w:bottom w:val="single" w:sz="4" w:space="0" w:color="auto"/>
              <w:right w:val="single" w:sz="4" w:space="0" w:color="auto"/>
            </w:tcBorders>
            <w:shd w:val="clear" w:color="auto" w:fill="auto"/>
            <w:noWrap/>
            <w:vAlign w:val="bottom"/>
            <w:hideMark/>
          </w:tcPr>
          <w:p w14:paraId="6573BA0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-0.39814</w:t>
            </w:r>
          </w:p>
        </w:tc>
      </w:tr>
      <w:tr w:rsidR="002027D2" w:rsidRPr="008D1712" w14:paraId="426CDB82"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44C12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189" w:type="dxa"/>
            <w:tcBorders>
              <w:top w:val="nil"/>
              <w:left w:val="nil"/>
              <w:bottom w:val="single" w:sz="4" w:space="0" w:color="auto"/>
              <w:right w:val="single" w:sz="4" w:space="0" w:color="auto"/>
            </w:tcBorders>
            <w:shd w:val="clear" w:color="auto" w:fill="auto"/>
            <w:noWrap/>
            <w:vAlign w:val="bottom"/>
            <w:hideMark/>
          </w:tcPr>
          <w:p w14:paraId="256DED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-1.18852</w:t>
            </w:r>
          </w:p>
        </w:tc>
        <w:tc>
          <w:tcPr>
            <w:tcW w:w="1189" w:type="dxa"/>
            <w:tcBorders>
              <w:top w:val="nil"/>
              <w:left w:val="nil"/>
              <w:bottom w:val="single" w:sz="4" w:space="0" w:color="auto"/>
              <w:right w:val="single" w:sz="4" w:space="0" w:color="auto"/>
            </w:tcBorders>
            <w:shd w:val="clear" w:color="auto" w:fill="auto"/>
            <w:noWrap/>
            <w:vAlign w:val="bottom"/>
            <w:hideMark/>
          </w:tcPr>
          <w:p w14:paraId="0542C1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-1.74516</w:t>
            </w:r>
          </w:p>
        </w:tc>
        <w:tc>
          <w:tcPr>
            <w:tcW w:w="1189" w:type="dxa"/>
            <w:tcBorders>
              <w:top w:val="nil"/>
              <w:left w:val="nil"/>
              <w:bottom w:val="single" w:sz="4" w:space="0" w:color="auto"/>
              <w:right w:val="single" w:sz="4" w:space="0" w:color="auto"/>
            </w:tcBorders>
            <w:shd w:val="clear" w:color="auto" w:fill="auto"/>
            <w:noWrap/>
            <w:vAlign w:val="bottom"/>
            <w:hideMark/>
          </w:tcPr>
          <w:p w14:paraId="6D0A62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-0.90972</w:t>
            </w:r>
          </w:p>
        </w:tc>
      </w:tr>
      <w:tr w:rsidR="002027D2" w:rsidRPr="008D1712" w14:paraId="5160B1CE"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652DF3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189" w:type="dxa"/>
            <w:tcBorders>
              <w:top w:val="nil"/>
              <w:left w:val="nil"/>
              <w:bottom w:val="single" w:sz="4" w:space="0" w:color="auto"/>
              <w:right w:val="single" w:sz="4" w:space="0" w:color="auto"/>
            </w:tcBorders>
            <w:shd w:val="clear" w:color="auto" w:fill="auto"/>
            <w:noWrap/>
            <w:vAlign w:val="bottom"/>
            <w:hideMark/>
          </w:tcPr>
          <w:p w14:paraId="2EF496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0.635708</w:t>
            </w:r>
          </w:p>
        </w:tc>
        <w:tc>
          <w:tcPr>
            <w:tcW w:w="1189" w:type="dxa"/>
            <w:tcBorders>
              <w:top w:val="nil"/>
              <w:left w:val="nil"/>
              <w:bottom w:val="single" w:sz="4" w:space="0" w:color="auto"/>
              <w:right w:val="single" w:sz="4" w:space="0" w:color="auto"/>
            </w:tcBorders>
            <w:shd w:val="clear" w:color="auto" w:fill="auto"/>
            <w:noWrap/>
            <w:vAlign w:val="bottom"/>
            <w:hideMark/>
          </w:tcPr>
          <w:p w14:paraId="783BDC0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1.811462</w:t>
            </w:r>
          </w:p>
        </w:tc>
        <w:tc>
          <w:tcPr>
            <w:tcW w:w="1189" w:type="dxa"/>
            <w:tcBorders>
              <w:top w:val="nil"/>
              <w:left w:val="nil"/>
              <w:bottom w:val="single" w:sz="4" w:space="0" w:color="auto"/>
              <w:right w:val="single" w:sz="4" w:space="0" w:color="auto"/>
            </w:tcBorders>
            <w:shd w:val="clear" w:color="auto" w:fill="auto"/>
            <w:noWrap/>
            <w:vAlign w:val="bottom"/>
            <w:hideMark/>
          </w:tcPr>
          <w:p w14:paraId="2B7562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1.297802</w:t>
            </w:r>
          </w:p>
        </w:tc>
      </w:tr>
      <w:tr w:rsidR="002027D2" w:rsidRPr="008D1712" w14:paraId="29711DC4"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591FC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4CA03E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-4.2629</w:t>
            </w:r>
          </w:p>
        </w:tc>
        <w:tc>
          <w:tcPr>
            <w:tcW w:w="1189" w:type="dxa"/>
            <w:tcBorders>
              <w:top w:val="nil"/>
              <w:left w:val="nil"/>
              <w:bottom w:val="single" w:sz="4" w:space="0" w:color="auto"/>
              <w:right w:val="single" w:sz="4" w:space="0" w:color="auto"/>
            </w:tcBorders>
            <w:shd w:val="clear" w:color="auto" w:fill="auto"/>
            <w:noWrap/>
            <w:vAlign w:val="bottom"/>
            <w:hideMark/>
          </w:tcPr>
          <w:p w14:paraId="3A9055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3.508818</w:t>
            </w:r>
          </w:p>
        </w:tc>
        <w:tc>
          <w:tcPr>
            <w:tcW w:w="1189" w:type="dxa"/>
            <w:tcBorders>
              <w:top w:val="nil"/>
              <w:left w:val="nil"/>
              <w:bottom w:val="single" w:sz="4" w:space="0" w:color="auto"/>
              <w:right w:val="single" w:sz="4" w:space="0" w:color="auto"/>
            </w:tcBorders>
            <w:shd w:val="clear" w:color="auto" w:fill="auto"/>
            <w:noWrap/>
            <w:vAlign w:val="bottom"/>
            <w:hideMark/>
          </w:tcPr>
          <w:p w14:paraId="4E2CD8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1.468254</w:t>
            </w:r>
          </w:p>
        </w:tc>
      </w:tr>
      <w:tr w:rsidR="002027D2" w:rsidRPr="008D1712" w14:paraId="3B845E87"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38FAE1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6A1754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-4.64693</w:t>
            </w:r>
          </w:p>
        </w:tc>
        <w:tc>
          <w:tcPr>
            <w:tcW w:w="1189" w:type="dxa"/>
            <w:tcBorders>
              <w:top w:val="nil"/>
              <w:left w:val="nil"/>
              <w:bottom w:val="single" w:sz="4" w:space="0" w:color="auto"/>
              <w:right w:val="single" w:sz="4" w:space="0" w:color="auto"/>
            </w:tcBorders>
            <w:shd w:val="clear" w:color="auto" w:fill="auto"/>
            <w:noWrap/>
            <w:vAlign w:val="bottom"/>
            <w:hideMark/>
          </w:tcPr>
          <w:p w14:paraId="1C00FF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1.48376</w:t>
            </w:r>
          </w:p>
        </w:tc>
        <w:tc>
          <w:tcPr>
            <w:tcW w:w="1189" w:type="dxa"/>
            <w:tcBorders>
              <w:top w:val="nil"/>
              <w:left w:val="nil"/>
              <w:bottom w:val="single" w:sz="4" w:space="0" w:color="auto"/>
              <w:right w:val="single" w:sz="4" w:space="0" w:color="auto"/>
            </w:tcBorders>
            <w:shd w:val="clear" w:color="auto" w:fill="auto"/>
            <w:noWrap/>
            <w:vAlign w:val="bottom"/>
            <w:hideMark/>
          </w:tcPr>
          <w:p w14:paraId="6D5A47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2.956111</w:t>
            </w:r>
          </w:p>
        </w:tc>
      </w:tr>
      <w:tr w:rsidR="002027D2" w:rsidRPr="008D1712" w14:paraId="0C80DCD5"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602B28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72B022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-7.26875</w:t>
            </w:r>
          </w:p>
        </w:tc>
        <w:tc>
          <w:tcPr>
            <w:tcW w:w="1189" w:type="dxa"/>
            <w:tcBorders>
              <w:top w:val="nil"/>
              <w:left w:val="nil"/>
              <w:bottom w:val="single" w:sz="4" w:space="0" w:color="auto"/>
              <w:right w:val="single" w:sz="4" w:space="0" w:color="auto"/>
            </w:tcBorders>
            <w:shd w:val="clear" w:color="auto" w:fill="auto"/>
            <w:noWrap/>
            <w:vAlign w:val="bottom"/>
            <w:hideMark/>
          </w:tcPr>
          <w:p w14:paraId="6A1939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2.333421</w:t>
            </w:r>
          </w:p>
        </w:tc>
        <w:tc>
          <w:tcPr>
            <w:tcW w:w="1189" w:type="dxa"/>
            <w:tcBorders>
              <w:top w:val="nil"/>
              <w:left w:val="nil"/>
              <w:bottom w:val="single" w:sz="4" w:space="0" w:color="auto"/>
              <w:right w:val="single" w:sz="4" w:space="0" w:color="auto"/>
            </w:tcBorders>
            <w:shd w:val="clear" w:color="auto" w:fill="auto"/>
            <w:noWrap/>
            <w:vAlign w:val="bottom"/>
            <w:hideMark/>
          </w:tcPr>
          <w:p w14:paraId="64C59F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1.163476</w:t>
            </w:r>
          </w:p>
        </w:tc>
      </w:tr>
      <w:tr w:rsidR="002027D2" w:rsidRPr="008D1712" w14:paraId="47D5567B"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46A4838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305611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-6.92928</w:t>
            </w:r>
          </w:p>
        </w:tc>
        <w:tc>
          <w:tcPr>
            <w:tcW w:w="1189" w:type="dxa"/>
            <w:tcBorders>
              <w:top w:val="nil"/>
              <w:left w:val="nil"/>
              <w:bottom w:val="single" w:sz="4" w:space="0" w:color="auto"/>
              <w:right w:val="single" w:sz="4" w:space="0" w:color="auto"/>
            </w:tcBorders>
            <w:shd w:val="clear" w:color="auto" w:fill="auto"/>
            <w:noWrap/>
            <w:vAlign w:val="bottom"/>
            <w:hideMark/>
          </w:tcPr>
          <w:p w14:paraId="70F9B8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0.711152</w:t>
            </w:r>
          </w:p>
        </w:tc>
        <w:tc>
          <w:tcPr>
            <w:tcW w:w="1189" w:type="dxa"/>
            <w:tcBorders>
              <w:top w:val="nil"/>
              <w:left w:val="nil"/>
              <w:bottom w:val="single" w:sz="4" w:space="0" w:color="auto"/>
              <w:right w:val="single" w:sz="4" w:space="0" w:color="auto"/>
            </w:tcBorders>
            <w:shd w:val="clear" w:color="auto" w:fill="auto"/>
            <w:noWrap/>
            <w:vAlign w:val="bottom"/>
            <w:hideMark/>
          </w:tcPr>
          <w:p w14:paraId="372956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-1.15456</w:t>
            </w:r>
          </w:p>
        </w:tc>
      </w:tr>
      <w:tr w:rsidR="002027D2" w:rsidRPr="008D1712" w14:paraId="143968D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E6378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C</w:t>
            </w:r>
          </w:p>
        </w:tc>
        <w:tc>
          <w:tcPr>
            <w:tcW w:w="1189" w:type="dxa"/>
            <w:tcBorders>
              <w:top w:val="nil"/>
              <w:left w:val="nil"/>
              <w:bottom w:val="single" w:sz="4" w:space="0" w:color="auto"/>
              <w:right w:val="single" w:sz="4" w:space="0" w:color="auto"/>
            </w:tcBorders>
            <w:shd w:val="clear" w:color="auto" w:fill="auto"/>
            <w:noWrap/>
            <w:vAlign w:val="bottom"/>
            <w:hideMark/>
          </w:tcPr>
          <w:p w14:paraId="2918CC4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-8.19051</w:t>
            </w:r>
          </w:p>
        </w:tc>
        <w:tc>
          <w:tcPr>
            <w:tcW w:w="1189" w:type="dxa"/>
            <w:tcBorders>
              <w:top w:val="nil"/>
              <w:left w:val="nil"/>
              <w:bottom w:val="single" w:sz="4" w:space="0" w:color="auto"/>
              <w:right w:val="single" w:sz="4" w:space="0" w:color="auto"/>
            </w:tcBorders>
            <w:shd w:val="clear" w:color="auto" w:fill="auto"/>
            <w:noWrap/>
            <w:vAlign w:val="bottom"/>
            <w:hideMark/>
          </w:tcPr>
          <w:p w14:paraId="3761945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1.238219</w:t>
            </w:r>
          </w:p>
        </w:tc>
        <w:tc>
          <w:tcPr>
            <w:tcW w:w="1189" w:type="dxa"/>
            <w:tcBorders>
              <w:top w:val="nil"/>
              <w:left w:val="nil"/>
              <w:bottom w:val="single" w:sz="4" w:space="0" w:color="auto"/>
              <w:right w:val="single" w:sz="4" w:space="0" w:color="auto"/>
            </w:tcBorders>
            <w:shd w:val="clear" w:color="auto" w:fill="auto"/>
            <w:noWrap/>
            <w:vAlign w:val="bottom"/>
            <w:hideMark/>
          </w:tcPr>
          <w:p w14:paraId="358396B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-0.8301</w:t>
            </w:r>
          </w:p>
        </w:tc>
      </w:tr>
      <w:tr w:rsidR="002027D2" w:rsidRPr="008D1712" w14:paraId="7504B00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9778D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7A772E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-8.35654</w:t>
            </w:r>
          </w:p>
        </w:tc>
        <w:tc>
          <w:tcPr>
            <w:tcW w:w="1189" w:type="dxa"/>
            <w:tcBorders>
              <w:top w:val="nil"/>
              <w:left w:val="nil"/>
              <w:bottom w:val="single" w:sz="4" w:space="0" w:color="auto"/>
              <w:right w:val="single" w:sz="4" w:space="0" w:color="auto"/>
            </w:tcBorders>
            <w:shd w:val="clear" w:color="auto" w:fill="auto"/>
            <w:noWrap/>
            <w:vAlign w:val="bottom"/>
            <w:hideMark/>
          </w:tcPr>
          <w:p w14:paraId="494999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2.028074</w:t>
            </w:r>
          </w:p>
        </w:tc>
        <w:tc>
          <w:tcPr>
            <w:tcW w:w="1189" w:type="dxa"/>
            <w:tcBorders>
              <w:top w:val="nil"/>
              <w:left w:val="nil"/>
              <w:bottom w:val="single" w:sz="4" w:space="0" w:color="auto"/>
              <w:right w:val="single" w:sz="4" w:space="0" w:color="auto"/>
            </w:tcBorders>
            <w:shd w:val="clear" w:color="auto" w:fill="auto"/>
            <w:noWrap/>
            <w:vAlign w:val="bottom"/>
            <w:hideMark/>
          </w:tcPr>
          <w:p w14:paraId="27975E2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0.32125</w:t>
            </w:r>
          </w:p>
        </w:tc>
      </w:tr>
      <w:tr w:rsidR="002027D2" w:rsidRPr="008D1712" w14:paraId="32D83254"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4FE1C1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22CB23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-4.00762</w:t>
            </w:r>
          </w:p>
        </w:tc>
        <w:tc>
          <w:tcPr>
            <w:tcW w:w="1189" w:type="dxa"/>
            <w:tcBorders>
              <w:top w:val="nil"/>
              <w:left w:val="nil"/>
              <w:bottom w:val="single" w:sz="4" w:space="0" w:color="auto"/>
              <w:right w:val="single" w:sz="4" w:space="0" w:color="auto"/>
            </w:tcBorders>
            <w:shd w:val="clear" w:color="auto" w:fill="auto"/>
            <w:noWrap/>
            <w:vAlign w:val="bottom"/>
            <w:hideMark/>
          </w:tcPr>
          <w:p w14:paraId="66161C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-0.16487</w:t>
            </w:r>
          </w:p>
        </w:tc>
        <w:tc>
          <w:tcPr>
            <w:tcW w:w="1189" w:type="dxa"/>
            <w:tcBorders>
              <w:top w:val="nil"/>
              <w:left w:val="nil"/>
              <w:bottom w:val="single" w:sz="4" w:space="0" w:color="auto"/>
              <w:right w:val="single" w:sz="4" w:space="0" w:color="auto"/>
            </w:tcBorders>
            <w:shd w:val="clear" w:color="auto" w:fill="auto"/>
            <w:noWrap/>
            <w:vAlign w:val="bottom"/>
            <w:hideMark/>
          </w:tcPr>
          <w:p w14:paraId="79404D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-1.54202</w:t>
            </w:r>
          </w:p>
        </w:tc>
      </w:tr>
      <w:tr w:rsidR="002027D2" w:rsidRPr="008D1712" w14:paraId="4D52BAE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B0F95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0FDDEF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-4.46914</w:t>
            </w:r>
          </w:p>
        </w:tc>
        <w:tc>
          <w:tcPr>
            <w:tcW w:w="1189" w:type="dxa"/>
            <w:tcBorders>
              <w:top w:val="nil"/>
              <w:left w:val="nil"/>
              <w:bottom w:val="single" w:sz="4" w:space="0" w:color="auto"/>
              <w:right w:val="single" w:sz="4" w:space="0" w:color="auto"/>
            </w:tcBorders>
            <w:shd w:val="clear" w:color="auto" w:fill="auto"/>
            <w:noWrap/>
            <w:vAlign w:val="bottom"/>
            <w:hideMark/>
          </w:tcPr>
          <w:p w14:paraId="503ACCC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-1.64075</w:t>
            </w:r>
          </w:p>
        </w:tc>
        <w:tc>
          <w:tcPr>
            <w:tcW w:w="1189" w:type="dxa"/>
            <w:tcBorders>
              <w:top w:val="nil"/>
              <w:left w:val="nil"/>
              <w:bottom w:val="single" w:sz="4" w:space="0" w:color="auto"/>
              <w:right w:val="single" w:sz="4" w:space="0" w:color="auto"/>
            </w:tcBorders>
            <w:shd w:val="clear" w:color="auto" w:fill="auto"/>
            <w:noWrap/>
            <w:vAlign w:val="bottom"/>
            <w:hideMark/>
          </w:tcPr>
          <w:p w14:paraId="7ACE09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-1.57042</w:t>
            </w:r>
          </w:p>
        </w:tc>
      </w:tr>
      <w:tr w:rsidR="002027D2" w:rsidRPr="008D1712" w14:paraId="7E571614"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9D8E9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1189E0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-4.08934</w:t>
            </w:r>
          </w:p>
        </w:tc>
        <w:tc>
          <w:tcPr>
            <w:tcW w:w="1189" w:type="dxa"/>
            <w:tcBorders>
              <w:top w:val="nil"/>
              <w:left w:val="nil"/>
              <w:bottom w:val="single" w:sz="4" w:space="0" w:color="auto"/>
              <w:right w:val="single" w:sz="4" w:space="0" w:color="auto"/>
            </w:tcBorders>
            <w:shd w:val="clear" w:color="auto" w:fill="auto"/>
            <w:noWrap/>
            <w:vAlign w:val="bottom"/>
            <w:hideMark/>
          </w:tcPr>
          <w:p w14:paraId="717667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-2.35048</w:t>
            </w:r>
          </w:p>
        </w:tc>
        <w:tc>
          <w:tcPr>
            <w:tcW w:w="1189" w:type="dxa"/>
            <w:tcBorders>
              <w:top w:val="nil"/>
              <w:left w:val="nil"/>
              <w:bottom w:val="single" w:sz="4" w:space="0" w:color="auto"/>
              <w:right w:val="single" w:sz="4" w:space="0" w:color="auto"/>
            </w:tcBorders>
            <w:shd w:val="clear" w:color="auto" w:fill="auto"/>
            <w:noWrap/>
            <w:vAlign w:val="bottom"/>
            <w:hideMark/>
          </w:tcPr>
          <w:p w14:paraId="665FA5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-0.27272</w:t>
            </w:r>
          </w:p>
        </w:tc>
      </w:tr>
      <w:tr w:rsidR="002027D2" w:rsidRPr="008D1712" w14:paraId="220A56E2"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6DF6F9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89" w:type="dxa"/>
            <w:tcBorders>
              <w:top w:val="nil"/>
              <w:left w:val="nil"/>
              <w:bottom w:val="single" w:sz="4" w:space="0" w:color="auto"/>
              <w:right w:val="single" w:sz="4" w:space="0" w:color="auto"/>
            </w:tcBorders>
            <w:shd w:val="clear" w:color="auto" w:fill="auto"/>
            <w:noWrap/>
            <w:vAlign w:val="bottom"/>
            <w:hideMark/>
          </w:tcPr>
          <w:p w14:paraId="36D9DC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-4.11502</w:t>
            </w:r>
          </w:p>
        </w:tc>
        <w:tc>
          <w:tcPr>
            <w:tcW w:w="1189" w:type="dxa"/>
            <w:tcBorders>
              <w:top w:val="nil"/>
              <w:left w:val="nil"/>
              <w:bottom w:val="single" w:sz="4" w:space="0" w:color="auto"/>
              <w:right w:val="single" w:sz="4" w:space="0" w:color="auto"/>
            </w:tcBorders>
            <w:shd w:val="clear" w:color="auto" w:fill="auto"/>
            <w:noWrap/>
            <w:vAlign w:val="bottom"/>
            <w:hideMark/>
          </w:tcPr>
          <w:p w14:paraId="5EF6A3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-3.8828</w:t>
            </w:r>
          </w:p>
        </w:tc>
        <w:tc>
          <w:tcPr>
            <w:tcW w:w="1189" w:type="dxa"/>
            <w:tcBorders>
              <w:top w:val="nil"/>
              <w:left w:val="nil"/>
              <w:bottom w:val="single" w:sz="4" w:space="0" w:color="auto"/>
              <w:right w:val="single" w:sz="4" w:space="0" w:color="auto"/>
            </w:tcBorders>
            <w:shd w:val="clear" w:color="auto" w:fill="auto"/>
            <w:noWrap/>
            <w:vAlign w:val="bottom"/>
            <w:hideMark/>
          </w:tcPr>
          <w:p w14:paraId="36E248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-0.32981</w:t>
            </w:r>
          </w:p>
        </w:tc>
      </w:tr>
      <w:tr w:rsidR="002027D2" w:rsidRPr="008D1712" w14:paraId="5E8C05BC"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1B3ED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6EAFDE9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-5.50833</w:t>
            </w:r>
          </w:p>
        </w:tc>
        <w:tc>
          <w:tcPr>
            <w:tcW w:w="1189" w:type="dxa"/>
            <w:tcBorders>
              <w:top w:val="nil"/>
              <w:left w:val="nil"/>
              <w:bottom w:val="single" w:sz="4" w:space="0" w:color="auto"/>
              <w:right w:val="single" w:sz="4" w:space="0" w:color="auto"/>
            </w:tcBorders>
            <w:shd w:val="clear" w:color="auto" w:fill="auto"/>
            <w:noWrap/>
            <w:vAlign w:val="bottom"/>
            <w:hideMark/>
          </w:tcPr>
          <w:p w14:paraId="6BFAAA3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-4.40118</w:t>
            </w:r>
          </w:p>
        </w:tc>
        <w:tc>
          <w:tcPr>
            <w:tcW w:w="1189" w:type="dxa"/>
            <w:tcBorders>
              <w:top w:val="nil"/>
              <w:left w:val="nil"/>
              <w:bottom w:val="single" w:sz="4" w:space="0" w:color="auto"/>
              <w:right w:val="single" w:sz="4" w:space="0" w:color="auto"/>
            </w:tcBorders>
            <w:shd w:val="clear" w:color="auto" w:fill="auto"/>
            <w:noWrap/>
            <w:vAlign w:val="bottom"/>
            <w:hideMark/>
          </w:tcPr>
          <w:p w14:paraId="0A61A1E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-0.57665</w:t>
            </w:r>
          </w:p>
        </w:tc>
      </w:tr>
      <w:tr w:rsidR="002027D2" w:rsidRPr="008D1712" w14:paraId="5D2F4D0F"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3CC4E4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688673F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-3.62993</w:t>
            </w:r>
          </w:p>
        </w:tc>
        <w:tc>
          <w:tcPr>
            <w:tcW w:w="1189" w:type="dxa"/>
            <w:tcBorders>
              <w:top w:val="nil"/>
              <w:left w:val="nil"/>
              <w:bottom w:val="single" w:sz="4" w:space="0" w:color="auto"/>
              <w:right w:val="single" w:sz="4" w:space="0" w:color="auto"/>
            </w:tcBorders>
            <w:shd w:val="clear" w:color="auto" w:fill="auto"/>
            <w:noWrap/>
            <w:vAlign w:val="bottom"/>
            <w:hideMark/>
          </w:tcPr>
          <w:p w14:paraId="091C2C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-4.38693</w:t>
            </w:r>
          </w:p>
        </w:tc>
        <w:tc>
          <w:tcPr>
            <w:tcW w:w="1189" w:type="dxa"/>
            <w:tcBorders>
              <w:top w:val="nil"/>
              <w:left w:val="nil"/>
              <w:bottom w:val="single" w:sz="4" w:space="0" w:color="auto"/>
              <w:right w:val="single" w:sz="4" w:space="0" w:color="auto"/>
            </w:tcBorders>
            <w:shd w:val="clear" w:color="auto" w:fill="auto"/>
            <w:noWrap/>
            <w:vAlign w:val="bottom"/>
            <w:hideMark/>
          </w:tcPr>
          <w:p w14:paraId="18E67BF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1.008108</w:t>
            </w:r>
          </w:p>
        </w:tc>
      </w:tr>
      <w:tr w:rsidR="002027D2" w:rsidRPr="008D1712" w14:paraId="54AD8E98"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AAC22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38B356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-3.17505</w:t>
            </w:r>
          </w:p>
        </w:tc>
        <w:tc>
          <w:tcPr>
            <w:tcW w:w="1189" w:type="dxa"/>
            <w:tcBorders>
              <w:top w:val="nil"/>
              <w:left w:val="nil"/>
              <w:bottom w:val="single" w:sz="4" w:space="0" w:color="auto"/>
              <w:right w:val="single" w:sz="4" w:space="0" w:color="auto"/>
            </w:tcBorders>
            <w:shd w:val="clear" w:color="auto" w:fill="auto"/>
            <w:noWrap/>
            <w:vAlign w:val="bottom"/>
            <w:hideMark/>
          </w:tcPr>
          <w:p w14:paraId="530EE3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-4.39386</w:t>
            </w:r>
          </w:p>
        </w:tc>
        <w:tc>
          <w:tcPr>
            <w:tcW w:w="1189" w:type="dxa"/>
            <w:tcBorders>
              <w:top w:val="nil"/>
              <w:left w:val="nil"/>
              <w:bottom w:val="single" w:sz="4" w:space="0" w:color="auto"/>
              <w:right w:val="single" w:sz="4" w:space="0" w:color="auto"/>
            </w:tcBorders>
            <w:shd w:val="clear" w:color="auto" w:fill="auto"/>
            <w:noWrap/>
            <w:vAlign w:val="bottom"/>
            <w:hideMark/>
          </w:tcPr>
          <w:p w14:paraId="7D3AD2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-1.40077</w:t>
            </w:r>
          </w:p>
        </w:tc>
      </w:tr>
      <w:tr w:rsidR="002027D2" w:rsidRPr="008D1712" w14:paraId="17E1EAB7"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1444F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54B5A17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1.860459</w:t>
            </w:r>
          </w:p>
        </w:tc>
        <w:tc>
          <w:tcPr>
            <w:tcW w:w="1189" w:type="dxa"/>
            <w:tcBorders>
              <w:top w:val="nil"/>
              <w:left w:val="nil"/>
              <w:bottom w:val="single" w:sz="4" w:space="0" w:color="auto"/>
              <w:right w:val="single" w:sz="4" w:space="0" w:color="auto"/>
            </w:tcBorders>
            <w:shd w:val="clear" w:color="auto" w:fill="auto"/>
            <w:noWrap/>
            <w:vAlign w:val="bottom"/>
            <w:hideMark/>
          </w:tcPr>
          <w:p w14:paraId="56FF5A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-0.73963</w:t>
            </w:r>
          </w:p>
        </w:tc>
        <w:tc>
          <w:tcPr>
            <w:tcW w:w="1189" w:type="dxa"/>
            <w:tcBorders>
              <w:top w:val="nil"/>
              <w:left w:val="nil"/>
              <w:bottom w:val="single" w:sz="4" w:space="0" w:color="auto"/>
              <w:right w:val="single" w:sz="4" w:space="0" w:color="auto"/>
            </w:tcBorders>
            <w:shd w:val="clear" w:color="auto" w:fill="auto"/>
            <w:noWrap/>
            <w:vAlign w:val="bottom"/>
            <w:hideMark/>
          </w:tcPr>
          <w:p w14:paraId="1D4269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-0.79593</w:t>
            </w:r>
          </w:p>
        </w:tc>
      </w:tr>
      <w:tr w:rsidR="002027D2" w:rsidRPr="008D1712" w14:paraId="2658B3E3"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0F631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0FC34B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3.132531</w:t>
            </w:r>
          </w:p>
        </w:tc>
        <w:tc>
          <w:tcPr>
            <w:tcW w:w="1189" w:type="dxa"/>
            <w:tcBorders>
              <w:top w:val="nil"/>
              <w:left w:val="nil"/>
              <w:bottom w:val="single" w:sz="4" w:space="0" w:color="auto"/>
              <w:right w:val="single" w:sz="4" w:space="0" w:color="auto"/>
            </w:tcBorders>
            <w:shd w:val="clear" w:color="auto" w:fill="auto"/>
            <w:noWrap/>
            <w:vAlign w:val="bottom"/>
            <w:hideMark/>
          </w:tcPr>
          <w:p w14:paraId="523B3B4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-0.18877</w:t>
            </w:r>
          </w:p>
        </w:tc>
        <w:tc>
          <w:tcPr>
            <w:tcW w:w="1189" w:type="dxa"/>
            <w:tcBorders>
              <w:top w:val="nil"/>
              <w:left w:val="nil"/>
              <w:bottom w:val="single" w:sz="4" w:space="0" w:color="auto"/>
              <w:right w:val="single" w:sz="4" w:space="0" w:color="auto"/>
            </w:tcBorders>
            <w:shd w:val="clear" w:color="auto" w:fill="auto"/>
            <w:noWrap/>
            <w:vAlign w:val="bottom"/>
            <w:hideMark/>
          </w:tcPr>
          <w:p w14:paraId="455D46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-0.9467</w:t>
            </w:r>
          </w:p>
        </w:tc>
      </w:tr>
      <w:tr w:rsidR="002027D2" w:rsidRPr="008D1712" w14:paraId="7C50ECDC"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33F9D9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1307483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3.625291</w:t>
            </w:r>
          </w:p>
        </w:tc>
        <w:tc>
          <w:tcPr>
            <w:tcW w:w="1189" w:type="dxa"/>
            <w:tcBorders>
              <w:top w:val="nil"/>
              <w:left w:val="nil"/>
              <w:bottom w:val="single" w:sz="4" w:space="0" w:color="auto"/>
              <w:right w:val="single" w:sz="4" w:space="0" w:color="auto"/>
            </w:tcBorders>
            <w:shd w:val="clear" w:color="auto" w:fill="auto"/>
            <w:noWrap/>
            <w:vAlign w:val="bottom"/>
            <w:hideMark/>
          </w:tcPr>
          <w:p w14:paraId="196A57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1.246566</w:t>
            </w:r>
          </w:p>
        </w:tc>
        <w:tc>
          <w:tcPr>
            <w:tcW w:w="1189" w:type="dxa"/>
            <w:tcBorders>
              <w:top w:val="nil"/>
              <w:left w:val="nil"/>
              <w:bottom w:val="single" w:sz="4" w:space="0" w:color="auto"/>
              <w:right w:val="single" w:sz="4" w:space="0" w:color="auto"/>
            </w:tcBorders>
            <w:shd w:val="clear" w:color="auto" w:fill="auto"/>
            <w:noWrap/>
            <w:vAlign w:val="bottom"/>
            <w:hideMark/>
          </w:tcPr>
          <w:p w14:paraId="1F9A44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-0.66826</w:t>
            </w:r>
          </w:p>
        </w:tc>
      </w:tr>
      <w:tr w:rsidR="002027D2" w:rsidRPr="008D1712" w14:paraId="2FED3E34"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479BA9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89" w:type="dxa"/>
            <w:tcBorders>
              <w:top w:val="nil"/>
              <w:left w:val="nil"/>
              <w:bottom w:val="single" w:sz="4" w:space="0" w:color="auto"/>
              <w:right w:val="single" w:sz="4" w:space="0" w:color="auto"/>
            </w:tcBorders>
            <w:shd w:val="clear" w:color="auto" w:fill="auto"/>
            <w:noWrap/>
            <w:vAlign w:val="bottom"/>
            <w:hideMark/>
          </w:tcPr>
          <w:p w14:paraId="39C4B3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4.189496</w:t>
            </w:r>
          </w:p>
        </w:tc>
        <w:tc>
          <w:tcPr>
            <w:tcW w:w="1189" w:type="dxa"/>
            <w:tcBorders>
              <w:top w:val="nil"/>
              <w:left w:val="nil"/>
              <w:bottom w:val="single" w:sz="4" w:space="0" w:color="auto"/>
              <w:right w:val="single" w:sz="4" w:space="0" w:color="auto"/>
            </w:tcBorders>
            <w:shd w:val="clear" w:color="auto" w:fill="auto"/>
            <w:noWrap/>
            <w:vAlign w:val="bottom"/>
            <w:hideMark/>
          </w:tcPr>
          <w:p w14:paraId="4A2E07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-0.90388</w:t>
            </w:r>
          </w:p>
        </w:tc>
        <w:tc>
          <w:tcPr>
            <w:tcW w:w="1189" w:type="dxa"/>
            <w:tcBorders>
              <w:top w:val="nil"/>
              <w:left w:val="nil"/>
              <w:bottom w:val="single" w:sz="4" w:space="0" w:color="auto"/>
              <w:right w:val="single" w:sz="4" w:space="0" w:color="auto"/>
            </w:tcBorders>
            <w:shd w:val="clear" w:color="auto" w:fill="auto"/>
            <w:noWrap/>
            <w:vAlign w:val="bottom"/>
            <w:hideMark/>
          </w:tcPr>
          <w:p w14:paraId="62D567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-1.50808</w:t>
            </w:r>
          </w:p>
        </w:tc>
      </w:tr>
      <w:tr w:rsidR="002027D2" w:rsidRPr="008D1712" w14:paraId="7E2274DC"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3B780B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07604F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5.290625</w:t>
            </w:r>
          </w:p>
        </w:tc>
        <w:tc>
          <w:tcPr>
            <w:tcW w:w="1189" w:type="dxa"/>
            <w:tcBorders>
              <w:top w:val="nil"/>
              <w:left w:val="nil"/>
              <w:bottom w:val="single" w:sz="4" w:space="0" w:color="auto"/>
              <w:right w:val="single" w:sz="4" w:space="0" w:color="auto"/>
            </w:tcBorders>
            <w:shd w:val="clear" w:color="auto" w:fill="auto"/>
            <w:noWrap/>
            <w:vAlign w:val="bottom"/>
            <w:hideMark/>
          </w:tcPr>
          <w:p w14:paraId="14D316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-0.06018</w:t>
            </w:r>
          </w:p>
        </w:tc>
        <w:tc>
          <w:tcPr>
            <w:tcW w:w="1189" w:type="dxa"/>
            <w:tcBorders>
              <w:top w:val="nil"/>
              <w:left w:val="nil"/>
              <w:bottom w:val="single" w:sz="4" w:space="0" w:color="auto"/>
              <w:right w:val="single" w:sz="4" w:space="0" w:color="auto"/>
            </w:tcBorders>
            <w:shd w:val="clear" w:color="auto" w:fill="auto"/>
            <w:noWrap/>
            <w:vAlign w:val="bottom"/>
            <w:hideMark/>
          </w:tcPr>
          <w:p w14:paraId="0106D4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-1.78537</w:t>
            </w:r>
          </w:p>
        </w:tc>
      </w:tr>
      <w:tr w:rsidR="002027D2" w:rsidRPr="008D1712" w14:paraId="4D2F3370"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AEA1F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52B5EF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5.010223</w:t>
            </w:r>
          </w:p>
        </w:tc>
        <w:tc>
          <w:tcPr>
            <w:tcW w:w="1189" w:type="dxa"/>
            <w:tcBorders>
              <w:top w:val="nil"/>
              <w:left w:val="nil"/>
              <w:bottom w:val="single" w:sz="4" w:space="0" w:color="auto"/>
              <w:right w:val="single" w:sz="4" w:space="0" w:color="auto"/>
            </w:tcBorders>
            <w:shd w:val="clear" w:color="auto" w:fill="auto"/>
            <w:noWrap/>
            <w:vAlign w:val="bottom"/>
            <w:hideMark/>
          </w:tcPr>
          <w:p w14:paraId="28BD0F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1.226222</w:t>
            </w:r>
          </w:p>
        </w:tc>
        <w:tc>
          <w:tcPr>
            <w:tcW w:w="1189" w:type="dxa"/>
            <w:tcBorders>
              <w:top w:val="nil"/>
              <w:left w:val="nil"/>
              <w:bottom w:val="single" w:sz="4" w:space="0" w:color="auto"/>
              <w:right w:val="single" w:sz="4" w:space="0" w:color="auto"/>
            </w:tcBorders>
            <w:shd w:val="clear" w:color="auto" w:fill="auto"/>
            <w:noWrap/>
            <w:vAlign w:val="bottom"/>
            <w:hideMark/>
          </w:tcPr>
          <w:p w14:paraId="7814B34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-1.29626</w:t>
            </w:r>
          </w:p>
        </w:tc>
      </w:tr>
      <w:tr w:rsidR="002027D2" w:rsidRPr="008D1712" w14:paraId="0EDF73B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6D53E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5DD74C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2.733491</w:t>
            </w:r>
          </w:p>
        </w:tc>
        <w:tc>
          <w:tcPr>
            <w:tcW w:w="1189" w:type="dxa"/>
            <w:tcBorders>
              <w:top w:val="nil"/>
              <w:left w:val="nil"/>
              <w:bottom w:val="single" w:sz="4" w:space="0" w:color="auto"/>
              <w:right w:val="single" w:sz="4" w:space="0" w:color="auto"/>
            </w:tcBorders>
            <w:shd w:val="clear" w:color="auto" w:fill="auto"/>
            <w:noWrap/>
            <w:vAlign w:val="bottom"/>
            <w:hideMark/>
          </w:tcPr>
          <w:p w14:paraId="27B14B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2.320483</w:t>
            </w:r>
          </w:p>
        </w:tc>
        <w:tc>
          <w:tcPr>
            <w:tcW w:w="1189" w:type="dxa"/>
            <w:tcBorders>
              <w:top w:val="nil"/>
              <w:left w:val="nil"/>
              <w:bottom w:val="single" w:sz="4" w:space="0" w:color="auto"/>
              <w:right w:val="single" w:sz="4" w:space="0" w:color="auto"/>
            </w:tcBorders>
            <w:shd w:val="clear" w:color="auto" w:fill="auto"/>
            <w:noWrap/>
            <w:vAlign w:val="bottom"/>
            <w:hideMark/>
          </w:tcPr>
          <w:p w14:paraId="57B67C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-1.33401</w:t>
            </w:r>
          </w:p>
        </w:tc>
      </w:tr>
      <w:tr w:rsidR="002027D2" w:rsidRPr="008D1712" w14:paraId="79BF9AAF"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D66C4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5A89F24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3.740134</w:t>
            </w:r>
          </w:p>
        </w:tc>
        <w:tc>
          <w:tcPr>
            <w:tcW w:w="1189" w:type="dxa"/>
            <w:tcBorders>
              <w:top w:val="nil"/>
              <w:left w:val="nil"/>
              <w:bottom w:val="single" w:sz="4" w:space="0" w:color="auto"/>
              <w:right w:val="single" w:sz="4" w:space="0" w:color="auto"/>
            </w:tcBorders>
            <w:shd w:val="clear" w:color="auto" w:fill="auto"/>
            <w:noWrap/>
            <w:vAlign w:val="bottom"/>
            <w:hideMark/>
          </w:tcPr>
          <w:p w14:paraId="792114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1.502233</w:t>
            </w:r>
          </w:p>
        </w:tc>
        <w:tc>
          <w:tcPr>
            <w:tcW w:w="1189" w:type="dxa"/>
            <w:tcBorders>
              <w:top w:val="nil"/>
              <w:left w:val="nil"/>
              <w:bottom w:val="single" w:sz="4" w:space="0" w:color="auto"/>
              <w:right w:val="single" w:sz="4" w:space="0" w:color="auto"/>
            </w:tcBorders>
            <w:shd w:val="clear" w:color="auto" w:fill="auto"/>
            <w:noWrap/>
            <w:vAlign w:val="bottom"/>
            <w:hideMark/>
          </w:tcPr>
          <w:p w14:paraId="0521B8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0.860823</w:t>
            </w:r>
          </w:p>
        </w:tc>
      </w:tr>
      <w:tr w:rsidR="002027D2" w:rsidRPr="008D1712" w14:paraId="5FF53E73"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469E15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39B809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4.269444</w:t>
            </w:r>
          </w:p>
        </w:tc>
        <w:tc>
          <w:tcPr>
            <w:tcW w:w="1189" w:type="dxa"/>
            <w:tcBorders>
              <w:top w:val="nil"/>
              <w:left w:val="nil"/>
              <w:bottom w:val="single" w:sz="4" w:space="0" w:color="auto"/>
              <w:right w:val="single" w:sz="4" w:space="0" w:color="auto"/>
            </w:tcBorders>
            <w:shd w:val="clear" w:color="auto" w:fill="auto"/>
            <w:noWrap/>
            <w:vAlign w:val="bottom"/>
            <w:hideMark/>
          </w:tcPr>
          <w:p w14:paraId="643E64E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-2.34966</w:t>
            </w:r>
          </w:p>
        </w:tc>
        <w:tc>
          <w:tcPr>
            <w:tcW w:w="1189" w:type="dxa"/>
            <w:tcBorders>
              <w:top w:val="nil"/>
              <w:left w:val="nil"/>
              <w:bottom w:val="single" w:sz="4" w:space="0" w:color="auto"/>
              <w:right w:val="single" w:sz="4" w:space="0" w:color="auto"/>
            </w:tcBorders>
            <w:shd w:val="clear" w:color="auto" w:fill="auto"/>
            <w:noWrap/>
            <w:vAlign w:val="bottom"/>
            <w:hideMark/>
          </w:tcPr>
          <w:p w14:paraId="48B196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-1.66526</w:t>
            </w:r>
          </w:p>
        </w:tc>
      </w:tr>
      <w:tr w:rsidR="002027D2" w:rsidRPr="008D1712" w14:paraId="3F4DA125"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E69BB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1946973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5.334935</w:t>
            </w:r>
          </w:p>
        </w:tc>
        <w:tc>
          <w:tcPr>
            <w:tcW w:w="1189" w:type="dxa"/>
            <w:tcBorders>
              <w:top w:val="nil"/>
              <w:left w:val="nil"/>
              <w:bottom w:val="single" w:sz="4" w:space="0" w:color="auto"/>
              <w:right w:val="single" w:sz="4" w:space="0" w:color="auto"/>
            </w:tcBorders>
            <w:shd w:val="clear" w:color="auto" w:fill="auto"/>
            <w:noWrap/>
            <w:vAlign w:val="bottom"/>
            <w:hideMark/>
          </w:tcPr>
          <w:p w14:paraId="4424C3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-2.99385</w:t>
            </w:r>
          </w:p>
        </w:tc>
        <w:tc>
          <w:tcPr>
            <w:tcW w:w="1189" w:type="dxa"/>
            <w:tcBorders>
              <w:top w:val="nil"/>
              <w:left w:val="nil"/>
              <w:bottom w:val="single" w:sz="4" w:space="0" w:color="auto"/>
              <w:right w:val="single" w:sz="4" w:space="0" w:color="auto"/>
            </w:tcBorders>
            <w:shd w:val="clear" w:color="auto" w:fill="auto"/>
            <w:noWrap/>
            <w:vAlign w:val="bottom"/>
            <w:hideMark/>
          </w:tcPr>
          <w:p w14:paraId="516F8B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-0.73498</w:t>
            </w:r>
          </w:p>
        </w:tc>
      </w:tr>
      <w:tr w:rsidR="002027D2" w:rsidRPr="008D1712" w14:paraId="7469CA65"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02BDE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4E07DC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5.0751</w:t>
            </w:r>
          </w:p>
        </w:tc>
        <w:tc>
          <w:tcPr>
            <w:tcW w:w="1189" w:type="dxa"/>
            <w:tcBorders>
              <w:top w:val="nil"/>
              <w:left w:val="nil"/>
              <w:bottom w:val="single" w:sz="4" w:space="0" w:color="auto"/>
              <w:right w:val="single" w:sz="4" w:space="0" w:color="auto"/>
            </w:tcBorders>
            <w:shd w:val="clear" w:color="auto" w:fill="auto"/>
            <w:noWrap/>
            <w:vAlign w:val="bottom"/>
            <w:hideMark/>
          </w:tcPr>
          <w:p w14:paraId="1E961A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-2.6594</w:t>
            </w:r>
          </w:p>
        </w:tc>
        <w:tc>
          <w:tcPr>
            <w:tcW w:w="1189" w:type="dxa"/>
            <w:tcBorders>
              <w:top w:val="nil"/>
              <w:left w:val="nil"/>
              <w:bottom w:val="single" w:sz="4" w:space="0" w:color="auto"/>
              <w:right w:val="single" w:sz="4" w:space="0" w:color="auto"/>
            </w:tcBorders>
            <w:shd w:val="clear" w:color="auto" w:fill="auto"/>
            <w:noWrap/>
            <w:vAlign w:val="bottom"/>
            <w:hideMark/>
          </w:tcPr>
          <w:p w14:paraId="7F8D8D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0.735943</w:t>
            </w:r>
          </w:p>
        </w:tc>
      </w:tr>
      <w:tr w:rsidR="002027D2" w:rsidRPr="008D1712" w14:paraId="1C7A6D7B"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198683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89" w:type="dxa"/>
            <w:tcBorders>
              <w:top w:val="nil"/>
              <w:left w:val="nil"/>
              <w:bottom w:val="single" w:sz="4" w:space="0" w:color="auto"/>
              <w:right w:val="single" w:sz="4" w:space="0" w:color="auto"/>
            </w:tcBorders>
            <w:shd w:val="clear" w:color="auto" w:fill="auto"/>
            <w:noWrap/>
            <w:vAlign w:val="bottom"/>
            <w:hideMark/>
          </w:tcPr>
          <w:p w14:paraId="586B998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6.294362</w:t>
            </w:r>
          </w:p>
        </w:tc>
        <w:tc>
          <w:tcPr>
            <w:tcW w:w="1189" w:type="dxa"/>
            <w:tcBorders>
              <w:top w:val="nil"/>
              <w:left w:val="nil"/>
              <w:bottom w:val="single" w:sz="4" w:space="0" w:color="auto"/>
              <w:right w:val="single" w:sz="4" w:space="0" w:color="auto"/>
            </w:tcBorders>
            <w:shd w:val="clear" w:color="auto" w:fill="auto"/>
            <w:noWrap/>
            <w:vAlign w:val="bottom"/>
            <w:hideMark/>
          </w:tcPr>
          <w:p w14:paraId="32ED8F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-2.77539</w:t>
            </w:r>
          </w:p>
        </w:tc>
        <w:tc>
          <w:tcPr>
            <w:tcW w:w="1189" w:type="dxa"/>
            <w:tcBorders>
              <w:top w:val="nil"/>
              <w:left w:val="nil"/>
              <w:bottom w:val="single" w:sz="4" w:space="0" w:color="auto"/>
              <w:right w:val="single" w:sz="4" w:space="0" w:color="auto"/>
            </w:tcBorders>
            <w:shd w:val="clear" w:color="auto" w:fill="auto"/>
            <w:noWrap/>
            <w:vAlign w:val="bottom"/>
            <w:hideMark/>
          </w:tcPr>
          <w:p w14:paraId="5EAFE1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1.66406</w:t>
            </w:r>
          </w:p>
        </w:tc>
      </w:tr>
      <w:tr w:rsidR="002027D2" w:rsidRPr="008D1712" w14:paraId="2D7D1CC9"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1FC6C6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27B052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7.317091</w:t>
            </w:r>
          </w:p>
        </w:tc>
        <w:tc>
          <w:tcPr>
            <w:tcW w:w="1189" w:type="dxa"/>
            <w:tcBorders>
              <w:top w:val="nil"/>
              <w:left w:val="nil"/>
              <w:bottom w:val="single" w:sz="4" w:space="0" w:color="auto"/>
              <w:right w:val="single" w:sz="4" w:space="0" w:color="auto"/>
            </w:tcBorders>
            <w:shd w:val="clear" w:color="auto" w:fill="auto"/>
            <w:noWrap/>
            <w:vAlign w:val="bottom"/>
            <w:hideMark/>
          </w:tcPr>
          <w:p w14:paraId="3256FCE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-1.7069</w:t>
            </w:r>
          </w:p>
        </w:tc>
        <w:tc>
          <w:tcPr>
            <w:tcW w:w="1189" w:type="dxa"/>
            <w:tcBorders>
              <w:top w:val="nil"/>
              <w:left w:val="nil"/>
              <w:bottom w:val="single" w:sz="4" w:space="0" w:color="auto"/>
              <w:right w:val="single" w:sz="4" w:space="0" w:color="auto"/>
            </w:tcBorders>
            <w:shd w:val="clear" w:color="auto" w:fill="auto"/>
            <w:noWrap/>
            <w:vAlign w:val="bottom"/>
            <w:hideMark/>
          </w:tcPr>
          <w:p w14:paraId="4E3049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1.348856</w:t>
            </w:r>
          </w:p>
        </w:tc>
      </w:tr>
      <w:tr w:rsidR="002027D2" w:rsidRPr="008D1712" w14:paraId="76DD460E"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33C6041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4E98B61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5.819006</w:t>
            </w:r>
          </w:p>
        </w:tc>
        <w:tc>
          <w:tcPr>
            <w:tcW w:w="1189" w:type="dxa"/>
            <w:tcBorders>
              <w:top w:val="nil"/>
              <w:left w:val="nil"/>
              <w:bottom w:val="single" w:sz="4" w:space="0" w:color="auto"/>
              <w:right w:val="single" w:sz="4" w:space="0" w:color="auto"/>
            </w:tcBorders>
            <w:shd w:val="clear" w:color="auto" w:fill="auto"/>
            <w:noWrap/>
            <w:vAlign w:val="bottom"/>
            <w:hideMark/>
          </w:tcPr>
          <w:p w14:paraId="538F27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-2.57598</w:t>
            </w:r>
          </w:p>
        </w:tc>
        <w:tc>
          <w:tcPr>
            <w:tcW w:w="1189" w:type="dxa"/>
            <w:tcBorders>
              <w:top w:val="nil"/>
              <w:left w:val="nil"/>
              <w:bottom w:val="single" w:sz="4" w:space="0" w:color="auto"/>
              <w:right w:val="single" w:sz="4" w:space="0" w:color="auto"/>
            </w:tcBorders>
            <w:shd w:val="clear" w:color="auto" w:fill="auto"/>
            <w:noWrap/>
            <w:vAlign w:val="bottom"/>
            <w:hideMark/>
          </w:tcPr>
          <w:p w14:paraId="35E6EB4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3.085947</w:t>
            </w:r>
          </w:p>
        </w:tc>
      </w:tr>
      <w:tr w:rsidR="002027D2" w:rsidRPr="008D1712" w14:paraId="1F4D388C"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1D56E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13FF5E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6.928652</w:t>
            </w:r>
          </w:p>
        </w:tc>
        <w:tc>
          <w:tcPr>
            <w:tcW w:w="1189" w:type="dxa"/>
            <w:tcBorders>
              <w:top w:val="nil"/>
              <w:left w:val="nil"/>
              <w:bottom w:val="single" w:sz="4" w:space="0" w:color="auto"/>
              <w:right w:val="single" w:sz="4" w:space="0" w:color="auto"/>
            </w:tcBorders>
            <w:shd w:val="clear" w:color="auto" w:fill="auto"/>
            <w:noWrap/>
            <w:vAlign w:val="bottom"/>
            <w:hideMark/>
          </w:tcPr>
          <w:p w14:paraId="46D1C7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-4.13928</w:t>
            </w:r>
          </w:p>
        </w:tc>
        <w:tc>
          <w:tcPr>
            <w:tcW w:w="1189" w:type="dxa"/>
            <w:tcBorders>
              <w:top w:val="nil"/>
              <w:left w:val="nil"/>
              <w:bottom w:val="single" w:sz="4" w:space="0" w:color="auto"/>
              <w:right w:val="single" w:sz="4" w:space="0" w:color="auto"/>
            </w:tcBorders>
            <w:shd w:val="clear" w:color="auto" w:fill="auto"/>
            <w:noWrap/>
            <w:vAlign w:val="bottom"/>
            <w:hideMark/>
          </w:tcPr>
          <w:p w14:paraId="78EFB70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1.54545</w:t>
            </w:r>
          </w:p>
        </w:tc>
      </w:tr>
      <w:tr w:rsidR="002027D2" w:rsidRPr="008D1712" w14:paraId="0639273F"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07F24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58B7AE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5.94459</w:t>
            </w:r>
          </w:p>
        </w:tc>
        <w:tc>
          <w:tcPr>
            <w:tcW w:w="1189" w:type="dxa"/>
            <w:tcBorders>
              <w:top w:val="nil"/>
              <w:left w:val="nil"/>
              <w:bottom w:val="single" w:sz="4" w:space="0" w:color="auto"/>
              <w:right w:val="single" w:sz="4" w:space="0" w:color="auto"/>
            </w:tcBorders>
            <w:shd w:val="clear" w:color="auto" w:fill="auto"/>
            <w:noWrap/>
            <w:vAlign w:val="bottom"/>
            <w:hideMark/>
          </w:tcPr>
          <w:p w14:paraId="19A0C7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2.250636</w:t>
            </w:r>
          </w:p>
        </w:tc>
        <w:tc>
          <w:tcPr>
            <w:tcW w:w="1189" w:type="dxa"/>
            <w:tcBorders>
              <w:top w:val="nil"/>
              <w:left w:val="nil"/>
              <w:bottom w:val="single" w:sz="4" w:space="0" w:color="auto"/>
              <w:right w:val="single" w:sz="4" w:space="0" w:color="auto"/>
            </w:tcBorders>
            <w:shd w:val="clear" w:color="auto" w:fill="auto"/>
            <w:noWrap/>
            <w:vAlign w:val="bottom"/>
            <w:hideMark/>
          </w:tcPr>
          <w:p w14:paraId="48231DC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-1.43751</w:t>
            </w:r>
          </w:p>
        </w:tc>
      </w:tr>
      <w:tr w:rsidR="002027D2" w:rsidRPr="008D1712" w14:paraId="7086B87B"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9A33C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666274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6.484627</w:t>
            </w:r>
          </w:p>
        </w:tc>
        <w:tc>
          <w:tcPr>
            <w:tcW w:w="1189" w:type="dxa"/>
            <w:tcBorders>
              <w:top w:val="nil"/>
              <w:left w:val="nil"/>
              <w:bottom w:val="single" w:sz="4" w:space="0" w:color="auto"/>
              <w:right w:val="single" w:sz="4" w:space="0" w:color="auto"/>
            </w:tcBorders>
            <w:shd w:val="clear" w:color="auto" w:fill="auto"/>
            <w:noWrap/>
            <w:vAlign w:val="bottom"/>
            <w:hideMark/>
          </w:tcPr>
          <w:p w14:paraId="6A185A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-0.35287</w:t>
            </w:r>
          </w:p>
        </w:tc>
        <w:tc>
          <w:tcPr>
            <w:tcW w:w="1189" w:type="dxa"/>
            <w:tcBorders>
              <w:top w:val="nil"/>
              <w:left w:val="nil"/>
              <w:bottom w:val="single" w:sz="4" w:space="0" w:color="auto"/>
              <w:right w:val="single" w:sz="4" w:space="0" w:color="auto"/>
            </w:tcBorders>
            <w:shd w:val="clear" w:color="auto" w:fill="auto"/>
            <w:noWrap/>
            <w:vAlign w:val="bottom"/>
            <w:hideMark/>
          </w:tcPr>
          <w:p w14:paraId="43640E5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-2.4612</w:t>
            </w:r>
          </w:p>
        </w:tc>
      </w:tr>
      <w:tr w:rsidR="002027D2" w:rsidRPr="008D1712" w14:paraId="663ABDC0"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B602C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89" w:type="dxa"/>
            <w:tcBorders>
              <w:top w:val="nil"/>
              <w:left w:val="nil"/>
              <w:bottom w:val="single" w:sz="4" w:space="0" w:color="auto"/>
              <w:right w:val="single" w:sz="4" w:space="0" w:color="auto"/>
            </w:tcBorders>
            <w:shd w:val="clear" w:color="auto" w:fill="auto"/>
            <w:noWrap/>
            <w:vAlign w:val="bottom"/>
            <w:hideMark/>
          </w:tcPr>
          <w:p w14:paraId="338CF2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7.425683</w:t>
            </w:r>
          </w:p>
        </w:tc>
        <w:tc>
          <w:tcPr>
            <w:tcW w:w="1189" w:type="dxa"/>
            <w:tcBorders>
              <w:top w:val="nil"/>
              <w:left w:val="nil"/>
              <w:bottom w:val="single" w:sz="4" w:space="0" w:color="auto"/>
              <w:right w:val="single" w:sz="4" w:space="0" w:color="auto"/>
            </w:tcBorders>
            <w:shd w:val="clear" w:color="auto" w:fill="auto"/>
            <w:noWrap/>
            <w:vAlign w:val="bottom"/>
            <w:hideMark/>
          </w:tcPr>
          <w:p w14:paraId="41366A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0.681226</w:t>
            </w:r>
          </w:p>
        </w:tc>
        <w:tc>
          <w:tcPr>
            <w:tcW w:w="1189" w:type="dxa"/>
            <w:tcBorders>
              <w:top w:val="nil"/>
              <w:left w:val="nil"/>
              <w:bottom w:val="single" w:sz="4" w:space="0" w:color="auto"/>
              <w:right w:val="single" w:sz="4" w:space="0" w:color="auto"/>
            </w:tcBorders>
            <w:shd w:val="clear" w:color="auto" w:fill="auto"/>
            <w:noWrap/>
            <w:vAlign w:val="bottom"/>
            <w:hideMark/>
          </w:tcPr>
          <w:p w14:paraId="5FB2B7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-2.60819</w:t>
            </w:r>
          </w:p>
        </w:tc>
      </w:tr>
      <w:tr w:rsidR="002027D2" w:rsidRPr="008D1712" w14:paraId="4B435CE1"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68E66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C</w:t>
            </w:r>
          </w:p>
        </w:tc>
        <w:tc>
          <w:tcPr>
            <w:tcW w:w="1189" w:type="dxa"/>
            <w:tcBorders>
              <w:top w:val="nil"/>
              <w:left w:val="nil"/>
              <w:bottom w:val="single" w:sz="4" w:space="0" w:color="auto"/>
              <w:right w:val="single" w:sz="4" w:space="0" w:color="auto"/>
            </w:tcBorders>
            <w:shd w:val="clear" w:color="auto" w:fill="auto"/>
            <w:noWrap/>
            <w:vAlign w:val="bottom"/>
            <w:hideMark/>
          </w:tcPr>
          <w:p w14:paraId="4FED47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7.159713</w:t>
            </w:r>
          </w:p>
        </w:tc>
        <w:tc>
          <w:tcPr>
            <w:tcW w:w="1189" w:type="dxa"/>
            <w:tcBorders>
              <w:top w:val="nil"/>
              <w:left w:val="nil"/>
              <w:bottom w:val="single" w:sz="4" w:space="0" w:color="auto"/>
              <w:right w:val="single" w:sz="4" w:space="0" w:color="auto"/>
            </w:tcBorders>
            <w:shd w:val="clear" w:color="auto" w:fill="auto"/>
            <w:noWrap/>
            <w:vAlign w:val="bottom"/>
            <w:hideMark/>
          </w:tcPr>
          <w:p w14:paraId="5CE495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1.961431</w:t>
            </w:r>
          </w:p>
        </w:tc>
        <w:tc>
          <w:tcPr>
            <w:tcW w:w="1189" w:type="dxa"/>
            <w:tcBorders>
              <w:top w:val="nil"/>
              <w:left w:val="nil"/>
              <w:bottom w:val="single" w:sz="4" w:space="0" w:color="auto"/>
              <w:right w:val="single" w:sz="4" w:space="0" w:color="auto"/>
            </w:tcBorders>
            <w:shd w:val="clear" w:color="auto" w:fill="auto"/>
            <w:noWrap/>
            <w:vAlign w:val="bottom"/>
            <w:hideMark/>
          </w:tcPr>
          <w:p w14:paraId="48499E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-2.09121</w:t>
            </w:r>
          </w:p>
        </w:tc>
      </w:tr>
      <w:tr w:rsidR="002027D2" w:rsidRPr="008D1712" w14:paraId="01316C3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24F133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Cl</w:t>
            </w:r>
          </w:p>
        </w:tc>
        <w:tc>
          <w:tcPr>
            <w:tcW w:w="1189" w:type="dxa"/>
            <w:tcBorders>
              <w:top w:val="nil"/>
              <w:left w:val="nil"/>
              <w:bottom w:val="single" w:sz="4" w:space="0" w:color="auto"/>
              <w:right w:val="single" w:sz="4" w:space="0" w:color="auto"/>
            </w:tcBorders>
            <w:shd w:val="clear" w:color="auto" w:fill="auto"/>
            <w:noWrap/>
            <w:vAlign w:val="bottom"/>
            <w:hideMark/>
          </w:tcPr>
          <w:p w14:paraId="5EA1A3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8.346321</w:t>
            </w:r>
          </w:p>
        </w:tc>
        <w:tc>
          <w:tcPr>
            <w:tcW w:w="1189" w:type="dxa"/>
            <w:tcBorders>
              <w:top w:val="nil"/>
              <w:left w:val="nil"/>
              <w:bottom w:val="single" w:sz="4" w:space="0" w:color="auto"/>
              <w:right w:val="single" w:sz="4" w:space="0" w:color="auto"/>
            </w:tcBorders>
            <w:shd w:val="clear" w:color="auto" w:fill="auto"/>
            <w:noWrap/>
            <w:vAlign w:val="bottom"/>
            <w:hideMark/>
          </w:tcPr>
          <w:p w14:paraId="79F974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3.226011</w:t>
            </w:r>
          </w:p>
        </w:tc>
        <w:tc>
          <w:tcPr>
            <w:tcW w:w="1189" w:type="dxa"/>
            <w:tcBorders>
              <w:top w:val="nil"/>
              <w:left w:val="nil"/>
              <w:bottom w:val="single" w:sz="4" w:space="0" w:color="auto"/>
              <w:right w:val="single" w:sz="4" w:space="0" w:color="auto"/>
            </w:tcBorders>
            <w:shd w:val="clear" w:color="auto" w:fill="auto"/>
            <w:noWrap/>
            <w:vAlign w:val="bottom"/>
            <w:hideMark/>
          </w:tcPr>
          <w:p w14:paraId="71F939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-2.28377</w:t>
            </w:r>
          </w:p>
        </w:tc>
      </w:tr>
      <w:tr w:rsidR="002027D2" w:rsidRPr="008D1712" w14:paraId="33502EB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6010FF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Cl</w:t>
            </w:r>
          </w:p>
        </w:tc>
        <w:tc>
          <w:tcPr>
            <w:tcW w:w="1189" w:type="dxa"/>
            <w:tcBorders>
              <w:top w:val="nil"/>
              <w:left w:val="nil"/>
              <w:bottom w:val="single" w:sz="4" w:space="0" w:color="auto"/>
              <w:right w:val="single" w:sz="4" w:space="0" w:color="auto"/>
            </w:tcBorders>
            <w:shd w:val="clear" w:color="auto" w:fill="auto"/>
            <w:noWrap/>
            <w:vAlign w:val="bottom"/>
            <w:hideMark/>
          </w:tcPr>
          <w:p w14:paraId="071383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-9.93529</w:t>
            </w:r>
          </w:p>
        </w:tc>
        <w:tc>
          <w:tcPr>
            <w:tcW w:w="1189" w:type="dxa"/>
            <w:tcBorders>
              <w:top w:val="nil"/>
              <w:left w:val="nil"/>
              <w:bottom w:val="single" w:sz="4" w:space="0" w:color="auto"/>
              <w:right w:val="single" w:sz="4" w:space="0" w:color="auto"/>
            </w:tcBorders>
            <w:shd w:val="clear" w:color="auto" w:fill="auto"/>
            <w:noWrap/>
            <w:vAlign w:val="bottom"/>
            <w:hideMark/>
          </w:tcPr>
          <w:p w14:paraId="12A335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2.658816</w:t>
            </w:r>
          </w:p>
        </w:tc>
        <w:tc>
          <w:tcPr>
            <w:tcW w:w="1189" w:type="dxa"/>
            <w:tcBorders>
              <w:top w:val="nil"/>
              <w:left w:val="nil"/>
              <w:bottom w:val="single" w:sz="4" w:space="0" w:color="auto"/>
              <w:right w:val="single" w:sz="4" w:space="0" w:color="auto"/>
            </w:tcBorders>
            <w:shd w:val="clear" w:color="auto" w:fill="auto"/>
            <w:noWrap/>
            <w:vAlign w:val="bottom"/>
            <w:hideMark/>
          </w:tcPr>
          <w:p w14:paraId="1A5B15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0.706984</w:t>
            </w:r>
          </w:p>
        </w:tc>
      </w:tr>
      <w:tr w:rsidR="002027D2" w:rsidRPr="008D1712" w14:paraId="66512148"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61CDB5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3C17E0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-2.06119</w:t>
            </w:r>
          </w:p>
        </w:tc>
        <w:tc>
          <w:tcPr>
            <w:tcW w:w="1189" w:type="dxa"/>
            <w:tcBorders>
              <w:top w:val="nil"/>
              <w:left w:val="nil"/>
              <w:bottom w:val="single" w:sz="4" w:space="0" w:color="auto"/>
              <w:right w:val="single" w:sz="4" w:space="0" w:color="auto"/>
            </w:tcBorders>
            <w:shd w:val="clear" w:color="auto" w:fill="auto"/>
            <w:noWrap/>
            <w:vAlign w:val="bottom"/>
            <w:hideMark/>
          </w:tcPr>
          <w:p w14:paraId="7B0733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1.888181</w:t>
            </w:r>
          </w:p>
        </w:tc>
        <w:tc>
          <w:tcPr>
            <w:tcW w:w="1189" w:type="dxa"/>
            <w:tcBorders>
              <w:top w:val="nil"/>
              <w:left w:val="nil"/>
              <w:bottom w:val="single" w:sz="4" w:space="0" w:color="auto"/>
              <w:right w:val="single" w:sz="4" w:space="0" w:color="auto"/>
            </w:tcBorders>
            <w:shd w:val="clear" w:color="auto" w:fill="auto"/>
            <w:noWrap/>
            <w:vAlign w:val="bottom"/>
            <w:hideMark/>
          </w:tcPr>
          <w:p w14:paraId="5E4A5F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1.57472</w:t>
            </w:r>
          </w:p>
        </w:tc>
      </w:tr>
      <w:tr w:rsidR="002027D2" w:rsidRPr="008D1712" w14:paraId="3554C789"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176C6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549A084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-4.23662</w:t>
            </w:r>
          </w:p>
        </w:tc>
        <w:tc>
          <w:tcPr>
            <w:tcW w:w="1189" w:type="dxa"/>
            <w:tcBorders>
              <w:top w:val="nil"/>
              <w:left w:val="nil"/>
              <w:bottom w:val="single" w:sz="4" w:space="0" w:color="auto"/>
              <w:right w:val="single" w:sz="4" w:space="0" w:color="auto"/>
            </w:tcBorders>
            <w:shd w:val="clear" w:color="auto" w:fill="auto"/>
            <w:noWrap/>
            <w:vAlign w:val="bottom"/>
            <w:hideMark/>
          </w:tcPr>
          <w:p w14:paraId="343CF7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3.897627</w:t>
            </w:r>
          </w:p>
        </w:tc>
        <w:tc>
          <w:tcPr>
            <w:tcW w:w="1189" w:type="dxa"/>
            <w:tcBorders>
              <w:top w:val="nil"/>
              <w:left w:val="nil"/>
              <w:bottom w:val="single" w:sz="4" w:space="0" w:color="auto"/>
              <w:right w:val="single" w:sz="4" w:space="0" w:color="auto"/>
            </w:tcBorders>
            <w:shd w:val="clear" w:color="auto" w:fill="auto"/>
            <w:noWrap/>
            <w:vAlign w:val="bottom"/>
            <w:hideMark/>
          </w:tcPr>
          <w:p w14:paraId="2201AC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0.437166</w:t>
            </w:r>
          </w:p>
        </w:tc>
      </w:tr>
      <w:tr w:rsidR="002027D2" w:rsidRPr="008D1712" w14:paraId="2BD7B884"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1077A3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58D27D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-3.27095</w:t>
            </w:r>
          </w:p>
        </w:tc>
        <w:tc>
          <w:tcPr>
            <w:tcW w:w="1189" w:type="dxa"/>
            <w:tcBorders>
              <w:top w:val="nil"/>
              <w:left w:val="nil"/>
              <w:bottom w:val="single" w:sz="4" w:space="0" w:color="auto"/>
              <w:right w:val="single" w:sz="4" w:space="0" w:color="auto"/>
            </w:tcBorders>
            <w:shd w:val="clear" w:color="auto" w:fill="auto"/>
            <w:noWrap/>
            <w:vAlign w:val="bottom"/>
            <w:hideMark/>
          </w:tcPr>
          <w:p w14:paraId="1E2970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3.661843</w:t>
            </w:r>
          </w:p>
        </w:tc>
        <w:tc>
          <w:tcPr>
            <w:tcW w:w="1189" w:type="dxa"/>
            <w:tcBorders>
              <w:top w:val="nil"/>
              <w:left w:val="nil"/>
              <w:bottom w:val="single" w:sz="4" w:space="0" w:color="auto"/>
              <w:right w:val="single" w:sz="4" w:space="0" w:color="auto"/>
            </w:tcBorders>
            <w:shd w:val="clear" w:color="auto" w:fill="auto"/>
            <w:noWrap/>
            <w:vAlign w:val="bottom"/>
            <w:hideMark/>
          </w:tcPr>
          <w:p w14:paraId="36C482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1.925624</w:t>
            </w:r>
          </w:p>
        </w:tc>
      </w:tr>
      <w:tr w:rsidR="002027D2" w:rsidRPr="008D1712" w14:paraId="5B6DFCBF"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DCE7A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453D11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-4.99597</w:t>
            </w:r>
          </w:p>
        </w:tc>
        <w:tc>
          <w:tcPr>
            <w:tcW w:w="1189" w:type="dxa"/>
            <w:tcBorders>
              <w:top w:val="nil"/>
              <w:left w:val="nil"/>
              <w:bottom w:val="single" w:sz="4" w:space="0" w:color="auto"/>
              <w:right w:val="single" w:sz="4" w:space="0" w:color="auto"/>
            </w:tcBorders>
            <w:shd w:val="clear" w:color="auto" w:fill="auto"/>
            <w:noWrap/>
            <w:vAlign w:val="bottom"/>
            <w:hideMark/>
          </w:tcPr>
          <w:p w14:paraId="52CBC54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4.100629</w:t>
            </w:r>
          </w:p>
        </w:tc>
        <w:tc>
          <w:tcPr>
            <w:tcW w:w="1189" w:type="dxa"/>
            <w:tcBorders>
              <w:top w:val="nil"/>
              <w:left w:val="nil"/>
              <w:bottom w:val="single" w:sz="4" w:space="0" w:color="auto"/>
              <w:right w:val="single" w:sz="4" w:space="0" w:color="auto"/>
            </w:tcBorders>
            <w:shd w:val="clear" w:color="auto" w:fill="auto"/>
            <w:noWrap/>
            <w:vAlign w:val="bottom"/>
            <w:hideMark/>
          </w:tcPr>
          <w:p w14:paraId="6E5C06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2.041632</w:t>
            </w:r>
          </w:p>
        </w:tc>
      </w:tr>
      <w:tr w:rsidR="002027D2" w:rsidRPr="008D1712" w14:paraId="0DF38514"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58624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26239E7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-4.96961</w:t>
            </w:r>
          </w:p>
        </w:tc>
        <w:tc>
          <w:tcPr>
            <w:tcW w:w="1189" w:type="dxa"/>
            <w:tcBorders>
              <w:top w:val="nil"/>
              <w:left w:val="nil"/>
              <w:bottom w:val="single" w:sz="4" w:space="0" w:color="auto"/>
              <w:right w:val="single" w:sz="4" w:space="0" w:color="auto"/>
            </w:tcBorders>
            <w:shd w:val="clear" w:color="auto" w:fill="auto"/>
            <w:noWrap/>
            <w:vAlign w:val="bottom"/>
            <w:hideMark/>
          </w:tcPr>
          <w:p w14:paraId="3F82E4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0.429858</w:t>
            </w:r>
          </w:p>
        </w:tc>
        <w:tc>
          <w:tcPr>
            <w:tcW w:w="1189" w:type="dxa"/>
            <w:tcBorders>
              <w:top w:val="nil"/>
              <w:left w:val="nil"/>
              <w:bottom w:val="single" w:sz="4" w:space="0" w:color="auto"/>
              <w:right w:val="single" w:sz="4" w:space="0" w:color="auto"/>
            </w:tcBorders>
            <w:shd w:val="clear" w:color="auto" w:fill="auto"/>
            <w:noWrap/>
            <w:vAlign w:val="bottom"/>
            <w:hideMark/>
          </w:tcPr>
          <w:p w14:paraId="1B7FB9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3.010962</w:t>
            </w:r>
          </w:p>
        </w:tc>
      </w:tr>
      <w:tr w:rsidR="002027D2" w:rsidRPr="008D1712" w14:paraId="586465F0"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24511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3EAFEA8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-5.33046</w:t>
            </w:r>
          </w:p>
        </w:tc>
        <w:tc>
          <w:tcPr>
            <w:tcW w:w="1189" w:type="dxa"/>
            <w:tcBorders>
              <w:top w:val="nil"/>
              <w:left w:val="nil"/>
              <w:bottom w:val="single" w:sz="4" w:space="0" w:color="auto"/>
              <w:right w:val="single" w:sz="4" w:space="0" w:color="auto"/>
            </w:tcBorders>
            <w:shd w:val="clear" w:color="auto" w:fill="auto"/>
            <w:noWrap/>
            <w:vAlign w:val="bottom"/>
            <w:hideMark/>
          </w:tcPr>
          <w:p w14:paraId="7DC5CD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2.082428</w:t>
            </w:r>
          </w:p>
        </w:tc>
        <w:tc>
          <w:tcPr>
            <w:tcW w:w="1189" w:type="dxa"/>
            <w:tcBorders>
              <w:top w:val="nil"/>
              <w:left w:val="nil"/>
              <w:bottom w:val="single" w:sz="4" w:space="0" w:color="auto"/>
              <w:right w:val="single" w:sz="4" w:space="0" w:color="auto"/>
            </w:tcBorders>
            <w:shd w:val="clear" w:color="auto" w:fill="auto"/>
            <w:noWrap/>
            <w:vAlign w:val="bottom"/>
            <w:hideMark/>
          </w:tcPr>
          <w:p w14:paraId="2868D2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3.581674</w:t>
            </w:r>
          </w:p>
        </w:tc>
      </w:tr>
      <w:tr w:rsidR="002027D2" w:rsidRPr="008D1712" w14:paraId="74CA3474"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1EA79C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1F198B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-3.63364</w:t>
            </w:r>
          </w:p>
        </w:tc>
        <w:tc>
          <w:tcPr>
            <w:tcW w:w="1189" w:type="dxa"/>
            <w:tcBorders>
              <w:top w:val="nil"/>
              <w:left w:val="nil"/>
              <w:bottom w:val="single" w:sz="4" w:space="0" w:color="auto"/>
              <w:right w:val="single" w:sz="4" w:space="0" w:color="auto"/>
            </w:tcBorders>
            <w:shd w:val="clear" w:color="auto" w:fill="auto"/>
            <w:noWrap/>
            <w:vAlign w:val="bottom"/>
            <w:hideMark/>
          </w:tcPr>
          <w:p w14:paraId="320357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1.56162</w:t>
            </w:r>
          </w:p>
        </w:tc>
        <w:tc>
          <w:tcPr>
            <w:tcW w:w="1189" w:type="dxa"/>
            <w:tcBorders>
              <w:top w:val="nil"/>
              <w:left w:val="nil"/>
              <w:bottom w:val="single" w:sz="4" w:space="0" w:color="auto"/>
              <w:right w:val="single" w:sz="4" w:space="0" w:color="auto"/>
            </w:tcBorders>
            <w:shd w:val="clear" w:color="auto" w:fill="auto"/>
            <w:noWrap/>
            <w:vAlign w:val="bottom"/>
            <w:hideMark/>
          </w:tcPr>
          <w:p w14:paraId="453DF4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3.384437</w:t>
            </w:r>
          </w:p>
        </w:tc>
      </w:tr>
      <w:tr w:rsidR="002027D2" w:rsidRPr="008D1712" w14:paraId="63E4735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C4B2A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3A97E0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-7.41754</w:t>
            </w:r>
          </w:p>
        </w:tc>
        <w:tc>
          <w:tcPr>
            <w:tcW w:w="1189" w:type="dxa"/>
            <w:tcBorders>
              <w:top w:val="nil"/>
              <w:left w:val="nil"/>
              <w:bottom w:val="single" w:sz="4" w:space="0" w:color="auto"/>
              <w:right w:val="single" w:sz="4" w:space="0" w:color="auto"/>
            </w:tcBorders>
            <w:shd w:val="clear" w:color="auto" w:fill="auto"/>
            <w:noWrap/>
            <w:vAlign w:val="bottom"/>
            <w:hideMark/>
          </w:tcPr>
          <w:p w14:paraId="6F9045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2.975705</w:t>
            </w:r>
          </w:p>
        </w:tc>
        <w:tc>
          <w:tcPr>
            <w:tcW w:w="1189" w:type="dxa"/>
            <w:tcBorders>
              <w:top w:val="nil"/>
              <w:left w:val="nil"/>
              <w:bottom w:val="single" w:sz="4" w:space="0" w:color="auto"/>
              <w:right w:val="single" w:sz="4" w:space="0" w:color="auto"/>
            </w:tcBorders>
            <w:shd w:val="clear" w:color="auto" w:fill="auto"/>
            <w:noWrap/>
            <w:vAlign w:val="bottom"/>
            <w:hideMark/>
          </w:tcPr>
          <w:p w14:paraId="0CBA58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2.036965</w:t>
            </w:r>
          </w:p>
        </w:tc>
      </w:tr>
      <w:tr w:rsidR="002027D2" w:rsidRPr="008D1712" w14:paraId="2EA32AA5"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4E29A1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2E1559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-6.8137</w:t>
            </w:r>
          </w:p>
        </w:tc>
        <w:tc>
          <w:tcPr>
            <w:tcW w:w="1189" w:type="dxa"/>
            <w:tcBorders>
              <w:top w:val="nil"/>
              <w:left w:val="nil"/>
              <w:bottom w:val="single" w:sz="4" w:space="0" w:color="auto"/>
              <w:right w:val="single" w:sz="4" w:space="0" w:color="auto"/>
            </w:tcBorders>
            <w:shd w:val="clear" w:color="auto" w:fill="auto"/>
            <w:noWrap/>
            <w:vAlign w:val="bottom"/>
            <w:hideMark/>
          </w:tcPr>
          <w:p w14:paraId="040DD6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0.121519</w:t>
            </w:r>
          </w:p>
        </w:tc>
        <w:tc>
          <w:tcPr>
            <w:tcW w:w="1189" w:type="dxa"/>
            <w:tcBorders>
              <w:top w:val="nil"/>
              <w:left w:val="nil"/>
              <w:bottom w:val="single" w:sz="4" w:space="0" w:color="auto"/>
              <w:right w:val="single" w:sz="4" w:space="0" w:color="auto"/>
            </w:tcBorders>
            <w:shd w:val="clear" w:color="auto" w:fill="auto"/>
            <w:noWrap/>
            <w:vAlign w:val="bottom"/>
            <w:hideMark/>
          </w:tcPr>
          <w:p w14:paraId="21D976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-2.06837</w:t>
            </w:r>
          </w:p>
        </w:tc>
      </w:tr>
      <w:tr w:rsidR="002027D2" w:rsidRPr="008D1712" w14:paraId="1DC046DD"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44A7CD3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74797A1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-9.04885</w:t>
            </w:r>
          </w:p>
        </w:tc>
        <w:tc>
          <w:tcPr>
            <w:tcW w:w="1189" w:type="dxa"/>
            <w:tcBorders>
              <w:top w:val="nil"/>
              <w:left w:val="nil"/>
              <w:bottom w:val="single" w:sz="4" w:space="0" w:color="auto"/>
              <w:right w:val="single" w:sz="4" w:space="0" w:color="auto"/>
            </w:tcBorders>
            <w:shd w:val="clear" w:color="auto" w:fill="auto"/>
            <w:noWrap/>
            <w:vAlign w:val="bottom"/>
            <w:hideMark/>
          </w:tcPr>
          <w:p w14:paraId="734CE7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1.041788</w:t>
            </w:r>
          </w:p>
        </w:tc>
        <w:tc>
          <w:tcPr>
            <w:tcW w:w="1189" w:type="dxa"/>
            <w:tcBorders>
              <w:top w:val="nil"/>
              <w:left w:val="nil"/>
              <w:bottom w:val="single" w:sz="4" w:space="0" w:color="auto"/>
              <w:right w:val="single" w:sz="4" w:space="0" w:color="auto"/>
            </w:tcBorders>
            <w:shd w:val="clear" w:color="auto" w:fill="auto"/>
            <w:noWrap/>
            <w:vAlign w:val="bottom"/>
            <w:hideMark/>
          </w:tcPr>
          <w:p w14:paraId="6854F1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-1.47849</w:t>
            </w:r>
          </w:p>
        </w:tc>
      </w:tr>
      <w:tr w:rsidR="002027D2" w:rsidRPr="008D1712" w14:paraId="2278D617"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46B3D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512691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-2.90959</w:t>
            </w:r>
          </w:p>
        </w:tc>
        <w:tc>
          <w:tcPr>
            <w:tcW w:w="1189" w:type="dxa"/>
            <w:tcBorders>
              <w:top w:val="nil"/>
              <w:left w:val="nil"/>
              <w:bottom w:val="single" w:sz="4" w:space="0" w:color="auto"/>
              <w:right w:val="single" w:sz="4" w:space="0" w:color="auto"/>
            </w:tcBorders>
            <w:shd w:val="clear" w:color="auto" w:fill="auto"/>
            <w:noWrap/>
            <w:vAlign w:val="bottom"/>
            <w:hideMark/>
          </w:tcPr>
          <w:p w14:paraId="4F9F95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-0.13047</w:t>
            </w:r>
          </w:p>
        </w:tc>
        <w:tc>
          <w:tcPr>
            <w:tcW w:w="1189" w:type="dxa"/>
            <w:tcBorders>
              <w:top w:val="nil"/>
              <w:left w:val="nil"/>
              <w:bottom w:val="single" w:sz="4" w:space="0" w:color="auto"/>
              <w:right w:val="single" w:sz="4" w:space="0" w:color="auto"/>
            </w:tcBorders>
            <w:shd w:val="clear" w:color="auto" w:fill="auto"/>
            <w:noWrap/>
            <w:vAlign w:val="bottom"/>
            <w:hideMark/>
          </w:tcPr>
          <w:p w14:paraId="382C9C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-1.53122</w:t>
            </w:r>
          </w:p>
        </w:tc>
      </w:tr>
      <w:tr w:rsidR="002027D2" w:rsidRPr="008D1712" w14:paraId="6A22C20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10B9EC7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47B0C5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-4.3569</w:t>
            </w:r>
          </w:p>
        </w:tc>
        <w:tc>
          <w:tcPr>
            <w:tcW w:w="1189" w:type="dxa"/>
            <w:tcBorders>
              <w:top w:val="nil"/>
              <w:left w:val="nil"/>
              <w:bottom w:val="single" w:sz="4" w:space="0" w:color="auto"/>
              <w:right w:val="single" w:sz="4" w:space="0" w:color="auto"/>
            </w:tcBorders>
            <w:shd w:val="clear" w:color="auto" w:fill="auto"/>
            <w:noWrap/>
            <w:vAlign w:val="bottom"/>
            <w:hideMark/>
          </w:tcPr>
          <w:p w14:paraId="638941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0.334452</w:t>
            </w:r>
          </w:p>
        </w:tc>
        <w:tc>
          <w:tcPr>
            <w:tcW w:w="1189" w:type="dxa"/>
            <w:tcBorders>
              <w:top w:val="nil"/>
              <w:left w:val="nil"/>
              <w:bottom w:val="single" w:sz="4" w:space="0" w:color="auto"/>
              <w:right w:val="single" w:sz="4" w:space="0" w:color="auto"/>
            </w:tcBorders>
            <w:shd w:val="clear" w:color="auto" w:fill="auto"/>
            <w:noWrap/>
            <w:vAlign w:val="bottom"/>
            <w:hideMark/>
          </w:tcPr>
          <w:p w14:paraId="23A41E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-2.46441</w:t>
            </w:r>
          </w:p>
        </w:tc>
      </w:tr>
      <w:tr w:rsidR="002027D2" w:rsidRPr="008D1712" w14:paraId="6ACCE65A"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27A5B7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3B12A9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-3.94459</w:t>
            </w:r>
          </w:p>
        </w:tc>
        <w:tc>
          <w:tcPr>
            <w:tcW w:w="1189" w:type="dxa"/>
            <w:tcBorders>
              <w:top w:val="nil"/>
              <w:left w:val="nil"/>
              <w:bottom w:val="single" w:sz="4" w:space="0" w:color="auto"/>
              <w:right w:val="single" w:sz="4" w:space="0" w:color="auto"/>
            </w:tcBorders>
            <w:shd w:val="clear" w:color="auto" w:fill="auto"/>
            <w:noWrap/>
            <w:vAlign w:val="bottom"/>
            <w:hideMark/>
          </w:tcPr>
          <w:p w14:paraId="560947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-2.08863</w:t>
            </w:r>
          </w:p>
        </w:tc>
        <w:tc>
          <w:tcPr>
            <w:tcW w:w="1189" w:type="dxa"/>
            <w:tcBorders>
              <w:top w:val="nil"/>
              <w:left w:val="nil"/>
              <w:bottom w:val="single" w:sz="4" w:space="0" w:color="auto"/>
              <w:right w:val="single" w:sz="4" w:space="0" w:color="auto"/>
            </w:tcBorders>
            <w:shd w:val="clear" w:color="auto" w:fill="auto"/>
            <w:noWrap/>
            <w:vAlign w:val="bottom"/>
            <w:hideMark/>
          </w:tcPr>
          <w:p w14:paraId="3CF7002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-2.43145</w:t>
            </w:r>
          </w:p>
        </w:tc>
      </w:tr>
      <w:tr w:rsidR="002027D2" w:rsidRPr="008D1712" w14:paraId="1E24DD27"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1ADE7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17A687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-5.55319</w:t>
            </w:r>
          </w:p>
        </w:tc>
        <w:tc>
          <w:tcPr>
            <w:tcW w:w="1189" w:type="dxa"/>
            <w:tcBorders>
              <w:top w:val="nil"/>
              <w:left w:val="nil"/>
              <w:bottom w:val="single" w:sz="4" w:space="0" w:color="auto"/>
              <w:right w:val="single" w:sz="4" w:space="0" w:color="auto"/>
            </w:tcBorders>
            <w:shd w:val="clear" w:color="auto" w:fill="auto"/>
            <w:noWrap/>
            <w:vAlign w:val="bottom"/>
            <w:hideMark/>
          </w:tcPr>
          <w:p w14:paraId="6AADBE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-1.70689</w:t>
            </w:r>
          </w:p>
        </w:tc>
        <w:tc>
          <w:tcPr>
            <w:tcW w:w="1189" w:type="dxa"/>
            <w:tcBorders>
              <w:top w:val="nil"/>
              <w:left w:val="nil"/>
              <w:bottom w:val="single" w:sz="4" w:space="0" w:color="auto"/>
              <w:right w:val="single" w:sz="4" w:space="0" w:color="auto"/>
            </w:tcBorders>
            <w:shd w:val="clear" w:color="auto" w:fill="auto"/>
            <w:noWrap/>
            <w:vAlign w:val="bottom"/>
            <w:hideMark/>
          </w:tcPr>
          <w:p w14:paraId="2672D36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-1.76294</w:t>
            </w:r>
          </w:p>
        </w:tc>
      </w:tr>
      <w:tr w:rsidR="002027D2" w:rsidRPr="008D1712" w14:paraId="570114D5"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744E6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795070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-4.76529</w:t>
            </w:r>
          </w:p>
        </w:tc>
        <w:tc>
          <w:tcPr>
            <w:tcW w:w="1189" w:type="dxa"/>
            <w:tcBorders>
              <w:top w:val="nil"/>
              <w:left w:val="nil"/>
              <w:bottom w:val="single" w:sz="4" w:space="0" w:color="auto"/>
              <w:right w:val="single" w:sz="4" w:space="0" w:color="auto"/>
            </w:tcBorders>
            <w:shd w:val="clear" w:color="auto" w:fill="auto"/>
            <w:noWrap/>
            <w:vAlign w:val="bottom"/>
            <w:hideMark/>
          </w:tcPr>
          <w:p w14:paraId="1DFB99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-2.07385</w:t>
            </w:r>
          </w:p>
        </w:tc>
        <w:tc>
          <w:tcPr>
            <w:tcW w:w="1189" w:type="dxa"/>
            <w:tcBorders>
              <w:top w:val="nil"/>
              <w:left w:val="nil"/>
              <w:bottom w:val="single" w:sz="4" w:space="0" w:color="auto"/>
              <w:right w:val="single" w:sz="4" w:space="0" w:color="auto"/>
            </w:tcBorders>
            <w:shd w:val="clear" w:color="auto" w:fill="auto"/>
            <w:noWrap/>
            <w:vAlign w:val="bottom"/>
            <w:hideMark/>
          </w:tcPr>
          <w:p w14:paraId="58307B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0.553154</w:t>
            </w:r>
          </w:p>
        </w:tc>
      </w:tr>
      <w:tr w:rsidR="002027D2" w:rsidRPr="008D1712" w14:paraId="0DF79380"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F89213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2ACB51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-3.04485</w:t>
            </w:r>
          </w:p>
        </w:tc>
        <w:tc>
          <w:tcPr>
            <w:tcW w:w="1189" w:type="dxa"/>
            <w:tcBorders>
              <w:top w:val="nil"/>
              <w:left w:val="nil"/>
              <w:bottom w:val="single" w:sz="4" w:space="0" w:color="auto"/>
              <w:right w:val="single" w:sz="4" w:space="0" w:color="auto"/>
            </w:tcBorders>
            <w:shd w:val="clear" w:color="auto" w:fill="auto"/>
            <w:noWrap/>
            <w:vAlign w:val="bottom"/>
            <w:hideMark/>
          </w:tcPr>
          <w:p w14:paraId="55077E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-2.09432</w:t>
            </w:r>
          </w:p>
        </w:tc>
        <w:tc>
          <w:tcPr>
            <w:tcW w:w="1189" w:type="dxa"/>
            <w:tcBorders>
              <w:top w:val="nil"/>
              <w:left w:val="nil"/>
              <w:bottom w:val="single" w:sz="4" w:space="0" w:color="auto"/>
              <w:right w:val="single" w:sz="4" w:space="0" w:color="auto"/>
            </w:tcBorders>
            <w:shd w:val="clear" w:color="auto" w:fill="auto"/>
            <w:noWrap/>
            <w:vAlign w:val="bottom"/>
            <w:hideMark/>
          </w:tcPr>
          <w:p w14:paraId="1B9A6A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-0.02271</w:t>
            </w:r>
          </w:p>
        </w:tc>
      </w:tr>
      <w:tr w:rsidR="002027D2" w:rsidRPr="008D1712" w14:paraId="39EF170B"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6DE23F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1BBAA0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-6.17045</w:t>
            </w:r>
          </w:p>
        </w:tc>
        <w:tc>
          <w:tcPr>
            <w:tcW w:w="1189" w:type="dxa"/>
            <w:tcBorders>
              <w:top w:val="nil"/>
              <w:left w:val="nil"/>
              <w:bottom w:val="single" w:sz="4" w:space="0" w:color="auto"/>
              <w:right w:val="single" w:sz="4" w:space="0" w:color="auto"/>
            </w:tcBorders>
            <w:shd w:val="clear" w:color="auto" w:fill="auto"/>
            <w:noWrap/>
            <w:vAlign w:val="bottom"/>
            <w:hideMark/>
          </w:tcPr>
          <w:p w14:paraId="619E5E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-4.04418</w:t>
            </w:r>
          </w:p>
        </w:tc>
        <w:tc>
          <w:tcPr>
            <w:tcW w:w="1189" w:type="dxa"/>
            <w:tcBorders>
              <w:top w:val="nil"/>
              <w:left w:val="nil"/>
              <w:bottom w:val="single" w:sz="4" w:space="0" w:color="auto"/>
              <w:right w:val="single" w:sz="4" w:space="0" w:color="auto"/>
            </w:tcBorders>
            <w:shd w:val="clear" w:color="auto" w:fill="auto"/>
            <w:noWrap/>
            <w:vAlign w:val="bottom"/>
            <w:hideMark/>
          </w:tcPr>
          <w:p w14:paraId="139AEF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0.226113</w:t>
            </w:r>
          </w:p>
        </w:tc>
      </w:tr>
      <w:tr w:rsidR="002027D2" w:rsidRPr="008D1712" w14:paraId="115A6E2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453CCF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3DEB4D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-5.4851</w:t>
            </w:r>
          </w:p>
        </w:tc>
        <w:tc>
          <w:tcPr>
            <w:tcW w:w="1189" w:type="dxa"/>
            <w:tcBorders>
              <w:top w:val="nil"/>
              <w:left w:val="nil"/>
              <w:bottom w:val="single" w:sz="4" w:space="0" w:color="auto"/>
              <w:right w:val="single" w:sz="4" w:space="0" w:color="auto"/>
            </w:tcBorders>
            <w:shd w:val="clear" w:color="auto" w:fill="auto"/>
            <w:noWrap/>
            <w:vAlign w:val="bottom"/>
            <w:hideMark/>
          </w:tcPr>
          <w:p w14:paraId="0702D7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-5.50126</w:t>
            </w:r>
          </w:p>
        </w:tc>
        <w:tc>
          <w:tcPr>
            <w:tcW w:w="1189" w:type="dxa"/>
            <w:tcBorders>
              <w:top w:val="nil"/>
              <w:left w:val="nil"/>
              <w:bottom w:val="single" w:sz="4" w:space="0" w:color="auto"/>
              <w:right w:val="single" w:sz="4" w:space="0" w:color="auto"/>
            </w:tcBorders>
            <w:shd w:val="clear" w:color="auto" w:fill="auto"/>
            <w:noWrap/>
            <w:vAlign w:val="bottom"/>
            <w:hideMark/>
          </w:tcPr>
          <w:p w14:paraId="1303BC4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-0.5825</w:t>
            </w:r>
          </w:p>
        </w:tc>
      </w:tr>
      <w:tr w:rsidR="002027D2" w:rsidRPr="008D1712" w14:paraId="78DA7B37"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5405B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21006A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-5.865</w:t>
            </w:r>
          </w:p>
        </w:tc>
        <w:tc>
          <w:tcPr>
            <w:tcW w:w="1189" w:type="dxa"/>
            <w:tcBorders>
              <w:top w:val="nil"/>
              <w:left w:val="nil"/>
              <w:bottom w:val="single" w:sz="4" w:space="0" w:color="auto"/>
              <w:right w:val="single" w:sz="4" w:space="0" w:color="auto"/>
            </w:tcBorders>
            <w:shd w:val="clear" w:color="auto" w:fill="auto"/>
            <w:noWrap/>
            <w:vAlign w:val="bottom"/>
            <w:hideMark/>
          </w:tcPr>
          <w:p w14:paraId="280534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-4.03597</w:t>
            </w:r>
          </w:p>
        </w:tc>
        <w:tc>
          <w:tcPr>
            <w:tcW w:w="1189" w:type="dxa"/>
            <w:tcBorders>
              <w:top w:val="nil"/>
              <w:left w:val="nil"/>
              <w:bottom w:val="single" w:sz="4" w:space="0" w:color="auto"/>
              <w:right w:val="single" w:sz="4" w:space="0" w:color="auto"/>
            </w:tcBorders>
            <w:shd w:val="clear" w:color="auto" w:fill="auto"/>
            <w:noWrap/>
            <w:vAlign w:val="bottom"/>
            <w:hideMark/>
          </w:tcPr>
          <w:p w14:paraId="6AAFE4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-1.54931</w:t>
            </w:r>
          </w:p>
        </w:tc>
      </w:tr>
      <w:tr w:rsidR="002027D2" w:rsidRPr="008D1712" w14:paraId="24D3A9D3"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0B5DC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0BD7F29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-4.28106</w:t>
            </w:r>
          </w:p>
        </w:tc>
        <w:tc>
          <w:tcPr>
            <w:tcW w:w="1189" w:type="dxa"/>
            <w:tcBorders>
              <w:top w:val="nil"/>
              <w:left w:val="nil"/>
              <w:bottom w:val="single" w:sz="4" w:space="0" w:color="auto"/>
              <w:right w:val="single" w:sz="4" w:space="0" w:color="auto"/>
            </w:tcBorders>
            <w:shd w:val="clear" w:color="auto" w:fill="auto"/>
            <w:noWrap/>
            <w:vAlign w:val="bottom"/>
            <w:hideMark/>
          </w:tcPr>
          <w:p w14:paraId="76823C3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-3.98575</w:t>
            </w:r>
          </w:p>
        </w:tc>
        <w:tc>
          <w:tcPr>
            <w:tcW w:w="1189" w:type="dxa"/>
            <w:tcBorders>
              <w:top w:val="nil"/>
              <w:left w:val="nil"/>
              <w:bottom w:val="single" w:sz="4" w:space="0" w:color="auto"/>
              <w:right w:val="single" w:sz="4" w:space="0" w:color="auto"/>
            </w:tcBorders>
            <w:shd w:val="clear" w:color="auto" w:fill="auto"/>
            <w:noWrap/>
            <w:vAlign w:val="bottom"/>
            <w:hideMark/>
          </w:tcPr>
          <w:p w14:paraId="7D4D982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1.798297</w:t>
            </w:r>
          </w:p>
        </w:tc>
      </w:tr>
      <w:tr w:rsidR="002027D2" w:rsidRPr="008D1712" w14:paraId="6D11F8B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6726D5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57D58A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-2.59752</w:t>
            </w:r>
          </w:p>
        </w:tc>
        <w:tc>
          <w:tcPr>
            <w:tcW w:w="1189" w:type="dxa"/>
            <w:tcBorders>
              <w:top w:val="nil"/>
              <w:left w:val="nil"/>
              <w:bottom w:val="single" w:sz="4" w:space="0" w:color="auto"/>
              <w:right w:val="single" w:sz="4" w:space="0" w:color="auto"/>
            </w:tcBorders>
            <w:shd w:val="clear" w:color="auto" w:fill="auto"/>
            <w:noWrap/>
            <w:vAlign w:val="bottom"/>
            <w:hideMark/>
          </w:tcPr>
          <w:p w14:paraId="362BCE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-4.03856</w:t>
            </w:r>
          </w:p>
        </w:tc>
        <w:tc>
          <w:tcPr>
            <w:tcW w:w="1189" w:type="dxa"/>
            <w:tcBorders>
              <w:top w:val="nil"/>
              <w:left w:val="nil"/>
              <w:bottom w:val="single" w:sz="4" w:space="0" w:color="auto"/>
              <w:right w:val="single" w:sz="4" w:space="0" w:color="auto"/>
            </w:tcBorders>
            <w:shd w:val="clear" w:color="auto" w:fill="auto"/>
            <w:noWrap/>
            <w:vAlign w:val="bottom"/>
            <w:hideMark/>
          </w:tcPr>
          <w:p w14:paraId="49A2292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1.154768</w:t>
            </w:r>
          </w:p>
        </w:tc>
      </w:tr>
      <w:tr w:rsidR="002027D2" w:rsidRPr="008D1712" w14:paraId="3663A843"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657F50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6049F9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-3.66888</w:t>
            </w:r>
          </w:p>
        </w:tc>
        <w:tc>
          <w:tcPr>
            <w:tcW w:w="1189" w:type="dxa"/>
            <w:tcBorders>
              <w:top w:val="nil"/>
              <w:left w:val="nil"/>
              <w:bottom w:val="single" w:sz="4" w:space="0" w:color="auto"/>
              <w:right w:val="single" w:sz="4" w:space="0" w:color="auto"/>
            </w:tcBorders>
            <w:shd w:val="clear" w:color="auto" w:fill="auto"/>
            <w:noWrap/>
            <w:vAlign w:val="bottom"/>
            <w:hideMark/>
          </w:tcPr>
          <w:p w14:paraId="10E306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-5.48594</w:t>
            </w:r>
          </w:p>
        </w:tc>
        <w:tc>
          <w:tcPr>
            <w:tcW w:w="1189" w:type="dxa"/>
            <w:tcBorders>
              <w:top w:val="nil"/>
              <w:left w:val="nil"/>
              <w:bottom w:val="single" w:sz="4" w:space="0" w:color="auto"/>
              <w:right w:val="single" w:sz="4" w:space="0" w:color="auto"/>
            </w:tcBorders>
            <w:shd w:val="clear" w:color="auto" w:fill="auto"/>
            <w:noWrap/>
            <w:vAlign w:val="bottom"/>
            <w:hideMark/>
          </w:tcPr>
          <w:p w14:paraId="708842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1.01127</w:t>
            </w:r>
          </w:p>
        </w:tc>
      </w:tr>
      <w:tr w:rsidR="002027D2" w:rsidRPr="008D1712" w14:paraId="40AB2C22"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83ADF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75A088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-3.62147</w:t>
            </w:r>
          </w:p>
        </w:tc>
        <w:tc>
          <w:tcPr>
            <w:tcW w:w="1189" w:type="dxa"/>
            <w:tcBorders>
              <w:top w:val="nil"/>
              <w:left w:val="nil"/>
              <w:bottom w:val="single" w:sz="4" w:space="0" w:color="auto"/>
              <w:right w:val="single" w:sz="4" w:space="0" w:color="auto"/>
            </w:tcBorders>
            <w:shd w:val="clear" w:color="auto" w:fill="auto"/>
            <w:noWrap/>
            <w:vAlign w:val="bottom"/>
            <w:hideMark/>
          </w:tcPr>
          <w:p w14:paraId="2A92755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-4.22324</w:t>
            </w:r>
          </w:p>
        </w:tc>
        <w:tc>
          <w:tcPr>
            <w:tcW w:w="1189" w:type="dxa"/>
            <w:tcBorders>
              <w:top w:val="nil"/>
              <w:left w:val="nil"/>
              <w:bottom w:val="single" w:sz="4" w:space="0" w:color="auto"/>
              <w:right w:val="single" w:sz="4" w:space="0" w:color="auto"/>
            </w:tcBorders>
            <w:shd w:val="clear" w:color="auto" w:fill="auto"/>
            <w:noWrap/>
            <w:vAlign w:val="bottom"/>
            <w:hideMark/>
          </w:tcPr>
          <w:p w14:paraId="4FAD26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-2.38947</w:t>
            </w:r>
          </w:p>
        </w:tc>
      </w:tr>
      <w:tr w:rsidR="002027D2" w:rsidRPr="008D1712" w14:paraId="4BE1FFB8"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1C8E5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130DAEF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-3.03448</w:t>
            </w:r>
          </w:p>
        </w:tc>
        <w:tc>
          <w:tcPr>
            <w:tcW w:w="1189" w:type="dxa"/>
            <w:tcBorders>
              <w:top w:val="nil"/>
              <w:left w:val="nil"/>
              <w:bottom w:val="single" w:sz="4" w:space="0" w:color="auto"/>
              <w:right w:val="single" w:sz="4" w:space="0" w:color="auto"/>
            </w:tcBorders>
            <w:shd w:val="clear" w:color="auto" w:fill="auto"/>
            <w:noWrap/>
            <w:vAlign w:val="bottom"/>
            <w:hideMark/>
          </w:tcPr>
          <w:p w14:paraId="0EFF1B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-5.47417</w:t>
            </w:r>
          </w:p>
        </w:tc>
        <w:tc>
          <w:tcPr>
            <w:tcW w:w="1189" w:type="dxa"/>
            <w:tcBorders>
              <w:top w:val="nil"/>
              <w:left w:val="nil"/>
              <w:bottom w:val="single" w:sz="4" w:space="0" w:color="auto"/>
              <w:right w:val="single" w:sz="4" w:space="0" w:color="auto"/>
            </w:tcBorders>
            <w:shd w:val="clear" w:color="auto" w:fill="auto"/>
            <w:noWrap/>
            <w:vAlign w:val="bottom"/>
            <w:hideMark/>
          </w:tcPr>
          <w:p w14:paraId="6BCDA93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-1.24936</w:t>
            </w:r>
          </w:p>
        </w:tc>
      </w:tr>
      <w:tr w:rsidR="002027D2" w:rsidRPr="008D1712" w14:paraId="7C9EFFB5"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381C14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189" w:type="dxa"/>
            <w:tcBorders>
              <w:top w:val="nil"/>
              <w:left w:val="nil"/>
              <w:bottom w:val="single" w:sz="4" w:space="0" w:color="auto"/>
              <w:right w:val="single" w:sz="4" w:space="0" w:color="auto"/>
            </w:tcBorders>
            <w:shd w:val="clear" w:color="auto" w:fill="auto"/>
            <w:noWrap/>
            <w:vAlign w:val="bottom"/>
            <w:hideMark/>
          </w:tcPr>
          <w:p w14:paraId="283EF67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-2.22252</w:t>
            </w:r>
          </w:p>
        </w:tc>
        <w:tc>
          <w:tcPr>
            <w:tcW w:w="1189" w:type="dxa"/>
            <w:tcBorders>
              <w:top w:val="nil"/>
              <w:left w:val="nil"/>
              <w:bottom w:val="single" w:sz="4" w:space="0" w:color="auto"/>
              <w:right w:val="single" w:sz="4" w:space="0" w:color="auto"/>
            </w:tcBorders>
            <w:shd w:val="clear" w:color="auto" w:fill="auto"/>
            <w:noWrap/>
            <w:vAlign w:val="bottom"/>
            <w:hideMark/>
          </w:tcPr>
          <w:p w14:paraId="1282E1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-3.84857</w:t>
            </w:r>
          </w:p>
        </w:tc>
        <w:tc>
          <w:tcPr>
            <w:tcW w:w="1189" w:type="dxa"/>
            <w:tcBorders>
              <w:top w:val="nil"/>
              <w:left w:val="nil"/>
              <w:bottom w:val="single" w:sz="4" w:space="0" w:color="auto"/>
              <w:right w:val="single" w:sz="4" w:space="0" w:color="auto"/>
            </w:tcBorders>
            <w:shd w:val="clear" w:color="auto" w:fill="auto"/>
            <w:noWrap/>
            <w:vAlign w:val="bottom"/>
            <w:hideMark/>
          </w:tcPr>
          <w:p w14:paraId="421A0E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-1.31483</w:t>
            </w:r>
          </w:p>
        </w:tc>
      </w:tr>
      <w:tr w:rsidR="002027D2" w:rsidRPr="008D1712" w14:paraId="0049DBF3"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AC4AC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6616C9C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1.689209</w:t>
            </w:r>
          </w:p>
        </w:tc>
        <w:tc>
          <w:tcPr>
            <w:tcW w:w="1189" w:type="dxa"/>
            <w:tcBorders>
              <w:top w:val="nil"/>
              <w:left w:val="nil"/>
              <w:bottom w:val="single" w:sz="4" w:space="0" w:color="auto"/>
              <w:right w:val="single" w:sz="4" w:space="0" w:color="auto"/>
            </w:tcBorders>
            <w:shd w:val="clear" w:color="auto" w:fill="auto"/>
            <w:noWrap/>
            <w:vAlign w:val="bottom"/>
            <w:hideMark/>
          </w:tcPr>
          <w:p w14:paraId="1346BE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-1.72054</w:t>
            </w:r>
          </w:p>
        </w:tc>
        <w:tc>
          <w:tcPr>
            <w:tcW w:w="1189" w:type="dxa"/>
            <w:tcBorders>
              <w:top w:val="nil"/>
              <w:left w:val="nil"/>
              <w:bottom w:val="single" w:sz="4" w:space="0" w:color="auto"/>
              <w:right w:val="single" w:sz="4" w:space="0" w:color="auto"/>
            </w:tcBorders>
            <w:shd w:val="clear" w:color="auto" w:fill="auto"/>
            <w:noWrap/>
            <w:vAlign w:val="bottom"/>
            <w:hideMark/>
          </w:tcPr>
          <w:p w14:paraId="1C18D9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-1.26297</w:t>
            </w:r>
          </w:p>
        </w:tc>
      </w:tr>
      <w:tr w:rsidR="002027D2" w:rsidRPr="008D1712" w14:paraId="2069367A"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C87B1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6CC190D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2.625595</w:t>
            </w:r>
          </w:p>
        </w:tc>
        <w:tc>
          <w:tcPr>
            <w:tcW w:w="1189" w:type="dxa"/>
            <w:tcBorders>
              <w:top w:val="nil"/>
              <w:left w:val="nil"/>
              <w:bottom w:val="single" w:sz="4" w:space="0" w:color="auto"/>
              <w:right w:val="single" w:sz="4" w:space="0" w:color="auto"/>
            </w:tcBorders>
            <w:shd w:val="clear" w:color="auto" w:fill="auto"/>
            <w:noWrap/>
            <w:vAlign w:val="bottom"/>
            <w:hideMark/>
          </w:tcPr>
          <w:p w14:paraId="58DF46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2.133233</w:t>
            </w:r>
          </w:p>
        </w:tc>
        <w:tc>
          <w:tcPr>
            <w:tcW w:w="1189" w:type="dxa"/>
            <w:tcBorders>
              <w:top w:val="nil"/>
              <w:left w:val="nil"/>
              <w:bottom w:val="single" w:sz="4" w:space="0" w:color="auto"/>
              <w:right w:val="single" w:sz="4" w:space="0" w:color="auto"/>
            </w:tcBorders>
            <w:shd w:val="clear" w:color="auto" w:fill="auto"/>
            <w:noWrap/>
            <w:vAlign w:val="bottom"/>
            <w:hideMark/>
          </w:tcPr>
          <w:p w14:paraId="0896E8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-2.41511</w:t>
            </w:r>
          </w:p>
        </w:tc>
      </w:tr>
      <w:tr w:rsidR="002027D2" w:rsidRPr="008D1712" w14:paraId="5D277522"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F5BA2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7986A9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3.196175</w:t>
            </w:r>
          </w:p>
        </w:tc>
        <w:tc>
          <w:tcPr>
            <w:tcW w:w="1189" w:type="dxa"/>
            <w:tcBorders>
              <w:top w:val="nil"/>
              <w:left w:val="nil"/>
              <w:bottom w:val="single" w:sz="4" w:space="0" w:color="auto"/>
              <w:right w:val="single" w:sz="4" w:space="0" w:color="auto"/>
            </w:tcBorders>
            <w:shd w:val="clear" w:color="auto" w:fill="auto"/>
            <w:noWrap/>
            <w:vAlign w:val="bottom"/>
            <w:hideMark/>
          </w:tcPr>
          <w:p w14:paraId="3E0E60B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3.313112</w:t>
            </w:r>
          </w:p>
        </w:tc>
        <w:tc>
          <w:tcPr>
            <w:tcW w:w="1189" w:type="dxa"/>
            <w:tcBorders>
              <w:top w:val="nil"/>
              <w:left w:val="nil"/>
              <w:bottom w:val="single" w:sz="4" w:space="0" w:color="auto"/>
              <w:right w:val="single" w:sz="4" w:space="0" w:color="auto"/>
            </w:tcBorders>
            <w:shd w:val="clear" w:color="auto" w:fill="auto"/>
            <w:noWrap/>
            <w:vAlign w:val="bottom"/>
            <w:hideMark/>
          </w:tcPr>
          <w:p w14:paraId="48A0D5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-1.20129</w:t>
            </w:r>
          </w:p>
        </w:tc>
      </w:tr>
      <w:tr w:rsidR="002027D2" w:rsidRPr="008D1712" w14:paraId="33C1BF97"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4DC573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2AE6B0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1.73984</w:t>
            </w:r>
          </w:p>
        </w:tc>
        <w:tc>
          <w:tcPr>
            <w:tcW w:w="1189" w:type="dxa"/>
            <w:tcBorders>
              <w:top w:val="nil"/>
              <w:left w:val="nil"/>
              <w:bottom w:val="single" w:sz="4" w:space="0" w:color="auto"/>
              <w:right w:val="single" w:sz="4" w:space="0" w:color="auto"/>
            </w:tcBorders>
            <w:shd w:val="clear" w:color="auto" w:fill="auto"/>
            <w:noWrap/>
            <w:vAlign w:val="bottom"/>
            <w:hideMark/>
          </w:tcPr>
          <w:p w14:paraId="6F02FF2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2.351384</w:t>
            </w:r>
          </w:p>
        </w:tc>
        <w:tc>
          <w:tcPr>
            <w:tcW w:w="1189" w:type="dxa"/>
            <w:tcBorders>
              <w:top w:val="nil"/>
              <w:left w:val="nil"/>
              <w:bottom w:val="single" w:sz="4" w:space="0" w:color="auto"/>
              <w:right w:val="single" w:sz="4" w:space="0" w:color="auto"/>
            </w:tcBorders>
            <w:shd w:val="clear" w:color="auto" w:fill="auto"/>
            <w:noWrap/>
            <w:vAlign w:val="bottom"/>
            <w:hideMark/>
          </w:tcPr>
          <w:p w14:paraId="610263F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-0.86465</w:t>
            </w:r>
          </w:p>
        </w:tc>
      </w:tr>
      <w:tr w:rsidR="002027D2" w:rsidRPr="008D1712" w14:paraId="7D4BCA5D"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ADFDA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68DE6C1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4.369235</w:t>
            </w:r>
          </w:p>
        </w:tc>
        <w:tc>
          <w:tcPr>
            <w:tcW w:w="1189" w:type="dxa"/>
            <w:tcBorders>
              <w:top w:val="nil"/>
              <w:left w:val="nil"/>
              <w:bottom w:val="single" w:sz="4" w:space="0" w:color="auto"/>
              <w:right w:val="single" w:sz="4" w:space="0" w:color="auto"/>
            </w:tcBorders>
            <w:shd w:val="clear" w:color="auto" w:fill="auto"/>
            <w:noWrap/>
            <w:vAlign w:val="bottom"/>
            <w:hideMark/>
          </w:tcPr>
          <w:p w14:paraId="37E6B9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0.731994</w:t>
            </w:r>
          </w:p>
        </w:tc>
        <w:tc>
          <w:tcPr>
            <w:tcW w:w="1189" w:type="dxa"/>
            <w:tcBorders>
              <w:top w:val="nil"/>
              <w:left w:val="nil"/>
              <w:bottom w:val="single" w:sz="4" w:space="0" w:color="auto"/>
              <w:right w:val="single" w:sz="4" w:space="0" w:color="auto"/>
            </w:tcBorders>
            <w:shd w:val="clear" w:color="auto" w:fill="auto"/>
            <w:noWrap/>
            <w:vAlign w:val="bottom"/>
            <w:hideMark/>
          </w:tcPr>
          <w:p w14:paraId="296E089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1.346863</w:t>
            </w:r>
          </w:p>
        </w:tc>
      </w:tr>
      <w:tr w:rsidR="002027D2" w:rsidRPr="008D1712" w14:paraId="4BBD0747"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F9F3F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7B4A88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2.740791</w:t>
            </w:r>
          </w:p>
        </w:tc>
        <w:tc>
          <w:tcPr>
            <w:tcW w:w="1189" w:type="dxa"/>
            <w:tcBorders>
              <w:top w:val="nil"/>
              <w:left w:val="nil"/>
              <w:bottom w:val="single" w:sz="4" w:space="0" w:color="auto"/>
              <w:right w:val="single" w:sz="4" w:space="0" w:color="auto"/>
            </w:tcBorders>
            <w:shd w:val="clear" w:color="auto" w:fill="auto"/>
            <w:noWrap/>
            <w:vAlign w:val="bottom"/>
            <w:hideMark/>
          </w:tcPr>
          <w:p w14:paraId="75762C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1.522057</w:t>
            </w:r>
          </w:p>
        </w:tc>
        <w:tc>
          <w:tcPr>
            <w:tcW w:w="1189" w:type="dxa"/>
            <w:tcBorders>
              <w:top w:val="nil"/>
              <w:left w:val="nil"/>
              <w:bottom w:val="single" w:sz="4" w:space="0" w:color="auto"/>
              <w:right w:val="single" w:sz="4" w:space="0" w:color="auto"/>
            </w:tcBorders>
            <w:shd w:val="clear" w:color="auto" w:fill="auto"/>
            <w:noWrap/>
            <w:vAlign w:val="bottom"/>
            <w:hideMark/>
          </w:tcPr>
          <w:p w14:paraId="519E94B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1.326674</w:t>
            </w:r>
          </w:p>
        </w:tc>
      </w:tr>
      <w:tr w:rsidR="002027D2" w:rsidRPr="008D1712" w14:paraId="2C540F10"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DCD08D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2DD9A0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4.220578</w:t>
            </w:r>
          </w:p>
        </w:tc>
        <w:tc>
          <w:tcPr>
            <w:tcW w:w="1189" w:type="dxa"/>
            <w:tcBorders>
              <w:top w:val="nil"/>
              <w:left w:val="nil"/>
              <w:bottom w:val="single" w:sz="4" w:space="0" w:color="auto"/>
              <w:right w:val="single" w:sz="4" w:space="0" w:color="auto"/>
            </w:tcBorders>
            <w:shd w:val="clear" w:color="auto" w:fill="auto"/>
            <w:noWrap/>
            <w:vAlign w:val="bottom"/>
            <w:hideMark/>
          </w:tcPr>
          <w:p w14:paraId="10E12BB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2.480987</w:t>
            </w:r>
          </w:p>
        </w:tc>
        <w:tc>
          <w:tcPr>
            <w:tcW w:w="1189" w:type="dxa"/>
            <w:tcBorders>
              <w:top w:val="nil"/>
              <w:left w:val="nil"/>
              <w:bottom w:val="single" w:sz="4" w:space="0" w:color="auto"/>
              <w:right w:val="single" w:sz="4" w:space="0" w:color="auto"/>
            </w:tcBorders>
            <w:shd w:val="clear" w:color="auto" w:fill="auto"/>
            <w:noWrap/>
            <w:vAlign w:val="bottom"/>
            <w:hideMark/>
          </w:tcPr>
          <w:p w14:paraId="2957E7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1.033553</w:t>
            </w:r>
          </w:p>
        </w:tc>
      </w:tr>
      <w:tr w:rsidR="002027D2" w:rsidRPr="008D1712" w14:paraId="1E652135"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FD2B3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4144C08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4.51714</w:t>
            </w:r>
          </w:p>
        </w:tc>
        <w:tc>
          <w:tcPr>
            <w:tcW w:w="1189" w:type="dxa"/>
            <w:tcBorders>
              <w:top w:val="nil"/>
              <w:left w:val="nil"/>
              <w:bottom w:val="single" w:sz="4" w:space="0" w:color="auto"/>
              <w:right w:val="single" w:sz="4" w:space="0" w:color="auto"/>
            </w:tcBorders>
            <w:shd w:val="clear" w:color="auto" w:fill="auto"/>
            <w:noWrap/>
            <w:vAlign w:val="bottom"/>
            <w:hideMark/>
          </w:tcPr>
          <w:p w14:paraId="059AE7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-2.60032</w:t>
            </w:r>
          </w:p>
        </w:tc>
        <w:tc>
          <w:tcPr>
            <w:tcW w:w="1189" w:type="dxa"/>
            <w:tcBorders>
              <w:top w:val="nil"/>
              <w:left w:val="nil"/>
              <w:bottom w:val="single" w:sz="4" w:space="0" w:color="auto"/>
              <w:right w:val="single" w:sz="4" w:space="0" w:color="auto"/>
            </w:tcBorders>
            <w:shd w:val="clear" w:color="auto" w:fill="auto"/>
            <w:noWrap/>
            <w:vAlign w:val="bottom"/>
            <w:hideMark/>
          </w:tcPr>
          <w:p w14:paraId="22AE93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-2.71249</w:t>
            </w:r>
          </w:p>
        </w:tc>
      </w:tr>
      <w:tr w:rsidR="002027D2" w:rsidRPr="008D1712" w14:paraId="7184E6F2"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8B7A6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2873AC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3.279727</w:t>
            </w:r>
          </w:p>
        </w:tc>
        <w:tc>
          <w:tcPr>
            <w:tcW w:w="1189" w:type="dxa"/>
            <w:tcBorders>
              <w:top w:val="nil"/>
              <w:left w:val="nil"/>
              <w:bottom w:val="single" w:sz="4" w:space="0" w:color="auto"/>
              <w:right w:val="single" w:sz="4" w:space="0" w:color="auto"/>
            </w:tcBorders>
            <w:shd w:val="clear" w:color="auto" w:fill="auto"/>
            <w:noWrap/>
            <w:vAlign w:val="bottom"/>
            <w:hideMark/>
          </w:tcPr>
          <w:p w14:paraId="78B5D3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-2.78009</w:t>
            </w:r>
          </w:p>
        </w:tc>
        <w:tc>
          <w:tcPr>
            <w:tcW w:w="1189" w:type="dxa"/>
            <w:tcBorders>
              <w:top w:val="nil"/>
              <w:left w:val="nil"/>
              <w:bottom w:val="single" w:sz="4" w:space="0" w:color="auto"/>
              <w:right w:val="single" w:sz="4" w:space="0" w:color="auto"/>
            </w:tcBorders>
            <w:shd w:val="clear" w:color="auto" w:fill="auto"/>
            <w:noWrap/>
            <w:vAlign w:val="bottom"/>
            <w:hideMark/>
          </w:tcPr>
          <w:p w14:paraId="726D98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-1.45747</w:t>
            </w:r>
          </w:p>
        </w:tc>
      </w:tr>
      <w:tr w:rsidR="002027D2" w:rsidRPr="008D1712" w14:paraId="57CB787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129CD4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258BD6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6.331752</w:t>
            </w:r>
          </w:p>
        </w:tc>
        <w:tc>
          <w:tcPr>
            <w:tcW w:w="1189" w:type="dxa"/>
            <w:tcBorders>
              <w:top w:val="nil"/>
              <w:left w:val="nil"/>
              <w:bottom w:val="single" w:sz="4" w:space="0" w:color="auto"/>
              <w:right w:val="single" w:sz="4" w:space="0" w:color="auto"/>
            </w:tcBorders>
            <w:shd w:val="clear" w:color="auto" w:fill="auto"/>
            <w:noWrap/>
            <w:vAlign w:val="bottom"/>
            <w:hideMark/>
          </w:tcPr>
          <w:p w14:paraId="00BAF5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-2.6438</w:t>
            </w:r>
          </w:p>
        </w:tc>
        <w:tc>
          <w:tcPr>
            <w:tcW w:w="1189" w:type="dxa"/>
            <w:tcBorders>
              <w:top w:val="nil"/>
              <w:left w:val="nil"/>
              <w:bottom w:val="single" w:sz="4" w:space="0" w:color="auto"/>
              <w:right w:val="single" w:sz="4" w:space="0" w:color="auto"/>
            </w:tcBorders>
            <w:shd w:val="clear" w:color="auto" w:fill="auto"/>
            <w:noWrap/>
            <w:vAlign w:val="bottom"/>
            <w:hideMark/>
          </w:tcPr>
          <w:p w14:paraId="1F56962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-1.05144</w:t>
            </w:r>
          </w:p>
        </w:tc>
      </w:tr>
      <w:tr w:rsidR="002027D2" w:rsidRPr="008D1712" w14:paraId="3472E4A1"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33D93CD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2FFFF0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5.308875</w:t>
            </w:r>
          </w:p>
        </w:tc>
        <w:tc>
          <w:tcPr>
            <w:tcW w:w="1189" w:type="dxa"/>
            <w:tcBorders>
              <w:top w:val="nil"/>
              <w:left w:val="nil"/>
              <w:bottom w:val="single" w:sz="4" w:space="0" w:color="auto"/>
              <w:right w:val="single" w:sz="4" w:space="0" w:color="auto"/>
            </w:tcBorders>
            <w:shd w:val="clear" w:color="auto" w:fill="auto"/>
            <w:noWrap/>
            <w:vAlign w:val="bottom"/>
            <w:hideMark/>
          </w:tcPr>
          <w:p w14:paraId="08C99D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-4.08436</w:t>
            </w:r>
          </w:p>
        </w:tc>
        <w:tc>
          <w:tcPr>
            <w:tcW w:w="1189" w:type="dxa"/>
            <w:tcBorders>
              <w:top w:val="nil"/>
              <w:left w:val="nil"/>
              <w:bottom w:val="single" w:sz="4" w:space="0" w:color="auto"/>
              <w:right w:val="single" w:sz="4" w:space="0" w:color="auto"/>
            </w:tcBorders>
            <w:shd w:val="clear" w:color="auto" w:fill="auto"/>
            <w:noWrap/>
            <w:vAlign w:val="bottom"/>
            <w:hideMark/>
          </w:tcPr>
          <w:p w14:paraId="39BA203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-0.90328</w:t>
            </w:r>
          </w:p>
        </w:tc>
      </w:tr>
      <w:tr w:rsidR="002027D2" w:rsidRPr="008D1712" w14:paraId="0C2AA479"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36B9B7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0DC645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4.309902</w:t>
            </w:r>
          </w:p>
        </w:tc>
        <w:tc>
          <w:tcPr>
            <w:tcW w:w="1189" w:type="dxa"/>
            <w:tcBorders>
              <w:top w:val="nil"/>
              <w:left w:val="nil"/>
              <w:bottom w:val="single" w:sz="4" w:space="0" w:color="auto"/>
              <w:right w:val="single" w:sz="4" w:space="0" w:color="auto"/>
            </w:tcBorders>
            <w:shd w:val="clear" w:color="auto" w:fill="auto"/>
            <w:noWrap/>
            <w:vAlign w:val="bottom"/>
            <w:hideMark/>
          </w:tcPr>
          <w:p w14:paraId="0A603BF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-3.32619</w:t>
            </w:r>
          </w:p>
        </w:tc>
        <w:tc>
          <w:tcPr>
            <w:tcW w:w="1189" w:type="dxa"/>
            <w:tcBorders>
              <w:top w:val="nil"/>
              <w:left w:val="nil"/>
              <w:bottom w:val="single" w:sz="4" w:space="0" w:color="auto"/>
              <w:right w:val="single" w:sz="4" w:space="0" w:color="auto"/>
            </w:tcBorders>
            <w:shd w:val="clear" w:color="auto" w:fill="auto"/>
            <w:noWrap/>
            <w:vAlign w:val="bottom"/>
            <w:hideMark/>
          </w:tcPr>
          <w:p w14:paraId="28E8F5C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1.167035</w:t>
            </w:r>
          </w:p>
        </w:tc>
      </w:tr>
      <w:tr w:rsidR="002027D2" w:rsidRPr="008D1712" w14:paraId="18D1CF97"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5AF4781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6FB0FFA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4.724225</w:t>
            </w:r>
          </w:p>
        </w:tc>
        <w:tc>
          <w:tcPr>
            <w:tcW w:w="1189" w:type="dxa"/>
            <w:tcBorders>
              <w:top w:val="nil"/>
              <w:left w:val="nil"/>
              <w:bottom w:val="single" w:sz="4" w:space="0" w:color="auto"/>
              <w:right w:val="single" w:sz="4" w:space="0" w:color="auto"/>
            </w:tcBorders>
            <w:shd w:val="clear" w:color="auto" w:fill="auto"/>
            <w:noWrap/>
            <w:vAlign w:val="bottom"/>
            <w:hideMark/>
          </w:tcPr>
          <w:p w14:paraId="744C5A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-1.61987</w:t>
            </w:r>
          </w:p>
        </w:tc>
        <w:tc>
          <w:tcPr>
            <w:tcW w:w="1189" w:type="dxa"/>
            <w:tcBorders>
              <w:top w:val="nil"/>
              <w:left w:val="nil"/>
              <w:bottom w:val="single" w:sz="4" w:space="0" w:color="auto"/>
              <w:right w:val="single" w:sz="4" w:space="0" w:color="auto"/>
            </w:tcBorders>
            <w:shd w:val="clear" w:color="auto" w:fill="auto"/>
            <w:noWrap/>
            <w:vAlign w:val="bottom"/>
            <w:hideMark/>
          </w:tcPr>
          <w:p w14:paraId="303C6A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0.849543</w:t>
            </w:r>
          </w:p>
        </w:tc>
      </w:tr>
      <w:tr w:rsidR="002027D2" w:rsidRPr="008D1712" w14:paraId="3FD8481E"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4415983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0B7C5C7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6.844493</w:t>
            </w:r>
          </w:p>
        </w:tc>
        <w:tc>
          <w:tcPr>
            <w:tcW w:w="1189" w:type="dxa"/>
            <w:tcBorders>
              <w:top w:val="nil"/>
              <w:left w:val="nil"/>
              <w:bottom w:val="single" w:sz="4" w:space="0" w:color="auto"/>
              <w:right w:val="single" w:sz="4" w:space="0" w:color="auto"/>
            </w:tcBorders>
            <w:shd w:val="clear" w:color="auto" w:fill="auto"/>
            <w:noWrap/>
            <w:vAlign w:val="bottom"/>
            <w:hideMark/>
          </w:tcPr>
          <w:p w14:paraId="3CF3A1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-0.71904</w:t>
            </w:r>
          </w:p>
        </w:tc>
        <w:tc>
          <w:tcPr>
            <w:tcW w:w="1189" w:type="dxa"/>
            <w:tcBorders>
              <w:top w:val="nil"/>
              <w:left w:val="nil"/>
              <w:bottom w:val="single" w:sz="4" w:space="0" w:color="auto"/>
              <w:right w:val="single" w:sz="4" w:space="0" w:color="auto"/>
            </w:tcBorders>
            <w:shd w:val="clear" w:color="auto" w:fill="auto"/>
            <w:noWrap/>
            <w:vAlign w:val="bottom"/>
            <w:hideMark/>
          </w:tcPr>
          <w:p w14:paraId="6974C5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1.44953</w:t>
            </w:r>
          </w:p>
        </w:tc>
      </w:tr>
      <w:tr w:rsidR="002027D2" w:rsidRPr="008D1712" w14:paraId="76919825"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675378A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084832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7.687471</w:t>
            </w:r>
          </w:p>
        </w:tc>
        <w:tc>
          <w:tcPr>
            <w:tcW w:w="1189" w:type="dxa"/>
            <w:tcBorders>
              <w:top w:val="nil"/>
              <w:left w:val="nil"/>
              <w:bottom w:val="single" w:sz="4" w:space="0" w:color="auto"/>
              <w:right w:val="single" w:sz="4" w:space="0" w:color="auto"/>
            </w:tcBorders>
            <w:shd w:val="clear" w:color="auto" w:fill="auto"/>
            <w:noWrap/>
            <w:vAlign w:val="bottom"/>
            <w:hideMark/>
          </w:tcPr>
          <w:p w14:paraId="54BE7E1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-1.83657</w:t>
            </w:r>
          </w:p>
        </w:tc>
        <w:tc>
          <w:tcPr>
            <w:tcW w:w="1189" w:type="dxa"/>
            <w:tcBorders>
              <w:top w:val="nil"/>
              <w:left w:val="nil"/>
              <w:bottom w:val="single" w:sz="4" w:space="0" w:color="auto"/>
              <w:right w:val="single" w:sz="4" w:space="0" w:color="auto"/>
            </w:tcBorders>
            <w:shd w:val="clear" w:color="auto" w:fill="auto"/>
            <w:noWrap/>
            <w:vAlign w:val="bottom"/>
            <w:hideMark/>
          </w:tcPr>
          <w:p w14:paraId="2AF791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0.32375</w:t>
            </w:r>
          </w:p>
        </w:tc>
      </w:tr>
      <w:tr w:rsidR="002027D2" w:rsidRPr="008D1712" w14:paraId="4711C60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4A86B6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2D041A2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8.151024</w:t>
            </w:r>
          </w:p>
        </w:tc>
        <w:tc>
          <w:tcPr>
            <w:tcW w:w="1189" w:type="dxa"/>
            <w:tcBorders>
              <w:top w:val="nil"/>
              <w:left w:val="nil"/>
              <w:bottom w:val="single" w:sz="4" w:space="0" w:color="auto"/>
              <w:right w:val="single" w:sz="4" w:space="0" w:color="auto"/>
            </w:tcBorders>
            <w:shd w:val="clear" w:color="auto" w:fill="auto"/>
            <w:noWrap/>
            <w:vAlign w:val="bottom"/>
            <w:hideMark/>
          </w:tcPr>
          <w:p w14:paraId="116CDBF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-1.80104</w:t>
            </w:r>
          </w:p>
        </w:tc>
        <w:tc>
          <w:tcPr>
            <w:tcW w:w="1189" w:type="dxa"/>
            <w:tcBorders>
              <w:top w:val="nil"/>
              <w:left w:val="nil"/>
              <w:bottom w:val="single" w:sz="4" w:space="0" w:color="auto"/>
              <w:right w:val="single" w:sz="4" w:space="0" w:color="auto"/>
            </w:tcBorders>
            <w:shd w:val="clear" w:color="auto" w:fill="auto"/>
            <w:noWrap/>
            <w:vAlign w:val="bottom"/>
            <w:hideMark/>
          </w:tcPr>
          <w:p w14:paraId="183F14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2.059661</w:t>
            </w:r>
          </w:p>
        </w:tc>
      </w:tr>
      <w:tr w:rsidR="002027D2" w:rsidRPr="008D1712" w14:paraId="4D3F0DCA"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FE6A1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1DCBDD3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5.343866</w:t>
            </w:r>
          </w:p>
        </w:tc>
        <w:tc>
          <w:tcPr>
            <w:tcW w:w="1189" w:type="dxa"/>
            <w:tcBorders>
              <w:top w:val="nil"/>
              <w:left w:val="nil"/>
              <w:bottom w:val="single" w:sz="4" w:space="0" w:color="auto"/>
              <w:right w:val="single" w:sz="4" w:space="0" w:color="auto"/>
            </w:tcBorders>
            <w:shd w:val="clear" w:color="auto" w:fill="auto"/>
            <w:noWrap/>
            <w:vAlign w:val="bottom"/>
            <w:hideMark/>
          </w:tcPr>
          <w:p w14:paraId="30F2622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-1.58739</w:t>
            </w:r>
          </w:p>
        </w:tc>
        <w:tc>
          <w:tcPr>
            <w:tcW w:w="1189" w:type="dxa"/>
            <w:tcBorders>
              <w:top w:val="nil"/>
              <w:left w:val="nil"/>
              <w:bottom w:val="single" w:sz="4" w:space="0" w:color="auto"/>
              <w:right w:val="single" w:sz="4" w:space="0" w:color="auto"/>
            </w:tcBorders>
            <w:shd w:val="clear" w:color="auto" w:fill="auto"/>
            <w:noWrap/>
            <w:vAlign w:val="bottom"/>
            <w:hideMark/>
          </w:tcPr>
          <w:p w14:paraId="5DACE7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3.167555</w:t>
            </w:r>
          </w:p>
        </w:tc>
      </w:tr>
      <w:tr w:rsidR="002027D2" w:rsidRPr="008D1712" w14:paraId="7BCD153F"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700D35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45B8FC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6.684713</w:t>
            </w:r>
          </w:p>
        </w:tc>
        <w:tc>
          <w:tcPr>
            <w:tcW w:w="1189" w:type="dxa"/>
            <w:tcBorders>
              <w:top w:val="nil"/>
              <w:left w:val="nil"/>
              <w:bottom w:val="single" w:sz="4" w:space="0" w:color="auto"/>
              <w:right w:val="single" w:sz="4" w:space="0" w:color="auto"/>
            </w:tcBorders>
            <w:shd w:val="clear" w:color="auto" w:fill="auto"/>
            <w:noWrap/>
            <w:vAlign w:val="bottom"/>
            <w:hideMark/>
          </w:tcPr>
          <w:p w14:paraId="64C683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-2.63437</w:t>
            </w:r>
          </w:p>
        </w:tc>
        <w:tc>
          <w:tcPr>
            <w:tcW w:w="1189" w:type="dxa"/>
            <w:tcBorders>
              <w:top w:val="nil"/>
              <w:left w:val="nil"/>
              <w:bottom w:val="single" w:sz="4" w:space="0" w:color="auto"/>
              <w:right w:val="single" w:sz="4" w:space="0" w:color="auto"/>
            </w:tcBorders>
            <w:shd w:val="clear" w:color="auto" w:fill="auto"/>
            <w:noWrap/>
            <w:vAlign w:val="bottom"/>
            <w:hideMark/>
          </w:tcPr>
          <w:p w14:paraId="2EB89F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3.761667</w:t>
            </w:r>
          </w:p>
        </w:tc>
      </w:tr>
      <w:tr w:rsidR="002027D2" w:rsidRPr="008D1712" w14:paraId="289A25D0"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5B500D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0BEEABD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5.094836</w:t>
            </w:r>
          </w:p>
        </w:tc>
        <w:tc>
          <w:tcPr>
            <w:tcW w:w="1189" w:type="dxa"/>
            <w:tcBorders>
              <w:top w:val="nil"/>
              <w:left w:val="nil"/>
              <w:bottom w:val="single" w:sz="4" w:space="0" w:color="auto"/>
              <w:right w:val="single" w:sz="4" w:space="0" w:color="auto"/>
            </w:tcBorders>
            <w:shd w:val="clear" w:color="auto" w:fill="auto"/>
            <w:noWrap/>
            <w:vAlign w:val="bottom"/>
            <w:hideMark/>
          </w:tcPr>
          <w:p w14:paraId="5E4378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-3.36534</w:t>
            </w:r>
          </w:p>
        </w:tc>
        <w:tc>
          <w:tcPr>
            <w:tcW w:w="1189" w:type="dxa"/>
            <w:tcBorders>
              <w:top w:val="nil"/>
              <w:left w:val="nil"/>
              <w:bottom w:val="single" w:sz="4" w:space="0" w:color="auto"/>
              <w:right w:val="single" w:sz="4" w:space="0" w:color="auto"/>
            </w:tcBorders>
            <w:shd w:val="clear" w:color="auto" w:fill="auto"/>
            <w:noWrap/>
            <w:vAlign w:val="bottom"/>
            <w:hideMark/>
          </w:tcPr>
          <w:p w14:paraId="5D83E9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3.334914</w:t>
            </w:r>
          </w:p>
        </w:tc>
      </w:tr>
      <w:tr w:rsidR="002027D2" w:rsidRPr="008D1712" w14:paraId="52660282"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3CA953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46E91B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7.332457</w:t>
            </w:r>
          </w:p>
        </w:tc>
        <w:tc>
          <w:tcPr>
            <w:tcW w:w="1189" w:type="dxa"/>
            <w:tcBorders>
              <w:top w:val="nil"/>
              <w:left w:val="nil"/>
              <w:bottom w:val="single" w:sz="4" w:space="0" w:color="auto"/>
              <w:right w:val="single" w:sz="4" w:space="0" w:color="auto"/>
            </w:tcBorders>
            <w:shd w:val="clear" w:color="auto" w:fill="auto"/>
            <w:noWrap/>
            <w:vAlign w:val="bottom"/>
            <w:hideMark/>
          </w:tcPr>
          <w:p w14:paraId="77DF26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-4.26435</w:t>
            </w:r>
          </w:p>
        </w:tc>
        <w:tc>
          <w:tcPr>
            <w:tcW w:w="1189" w:type="dxa"/>
            <w:tcBorders>
              <w:top w:val="nil"/>
              <w:left w:val="nil"/>
              <w:bottom w:val="single" w:sz="4" w:space="0" w:color="auto"/>
              <w:right w:val="single" w:sz="4" w:space="0" w:color="auto"/>
            </w:tcBorders>
            <w:shd w:val="clear" w:color="auto" w:fill="auto"/>
            <w:noWrap/>
            <w:vAlign w:val="bottom"/>
            <w:hideMark/>
          </w:tcPr>
          <w:p w14:paraId="46C6C45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0.531685</w:t>
            </w:r>
          </w:p>
        </w:tc>
      </w:tr>
      <w:tr w:rsidR="002027D2" w:rsidRPr="008D1712" w14:paraId="791A6B56"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2E7B201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448A53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6.164261</w:t>
            </w:r>
          </w:p>
        </w:tc>
        <w:tc>
          <w:tcPr>
            <w:tcW w:w="1189" w:type="dxa"/>
            <w:tcBorders>
              <w:top w:val="nil"/>
              <w:left w:val="nil"/>
              <w:bottom w:val="single" w:sz="4" w:space="0" w:color="auto"/>
              <w:right w:val="single" w:sz="4" w:space="0" w:color="auto"/>
            </w:tcBorders>
            <w:shd w:val="clear" w:color="auto" w:fill="auto"/>
            <w:noWrap/>
            <w:vAlign w:val="bottom"/>
            <w:hideMark/>
          </w:tcPr>
          <w:p w14:paraId="09B1D36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-4.90414</w:t>
            </w:r>
          </w:p>
        </w:tc>
        <w:tc>
          <w:tcPr>
            <w:tcW w:w="1189" w:type="dxa"/>
            <w:tcBorders>
              <w:top w:val="nil"/>
              <w:left w:val="nil"/>
              <w:bottom w:val="single" w:sz="4" w:space="0" w:color="auto"/>
              <w:right w:val="single" w:sz="4" w:space="0" w:color="auto"/>
            </w:tcBorders>
            <w:shd w:val="clear" w:color="auto" w:fill="auto"/>
            <w:noWrap/>
            <w:vAlign w:val="bottom"/>
            <w:hideMark/>
          </w:tcPr>
          <w:p w14:paraId="0607EC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1.746946</w:t>
            </w:r>
          </w:p>
        </w:tc>
      </w:tr>
      <w:tr w:rsidR="002027D2" w:rsidRPr="008D1712" w14:paraId="7BD4682B"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0594B7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3550B40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7.740587</w:t>
            </w:r>
          </w:p>
        </w:tc>
        <w:tc>
          <w:tcPr>
            <w:tcW w:w="1189" w:type="dxa"/>
            <w:tcBorders>
              <w:top w:val="nil"/>
              <w:left w:val="nil"/>
              <w:bottom w:val="single" w:sz="4" w:space="0" w:color="auto"/>
              <w:right w:val="single" w:sz="4" w:space="0" w:color="auto"/>
            </w:tcBorders>
            <w:shd w:val="clear" w:color="auto" w:fill="auto"/>
            <w:noWrap/>
            <w:vAlign w:val="bottom"/>
            <w:hideMark/>
          </w:tcPr>
          <w:p w14:paraId="7417DE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-4.21727</w:t>
            </w:r>
          </w:p>
        </w:tc>
        <w:tc>
          <w:tcPr>
            <w:tcW w:w="1189" w:type="dxa"/>
            <w:tcBorders>
              <w:top w:val="nil"/>
              <w:left w:val="nil"/>
              <w:bottom w:val="single" w:sz="4" w:space="0" w:color="auto"/>
              <w:right w:val="single" w:sz="4" w:space="0" w:color="auto"/>
            </w:tcBorders>
            <w:shd w:val="clear" w:color="auto" w:fill="auto"/>
            <w:noWrap/>
            <w:vAlign w:val="bottom"/>
            <w:hideMark/>
          </w:tcPr>
          <w:p w14:paraId="52B4C4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2.282621</w:t>
            </w:r>
          </w:p>
        </w:tc>
      </w:tr>
      <w:tr w:rsidR="002027D2" w:rsidRPr="008D1712" w14:paraId="41A1E1C8"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1EAD3F7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7767BBC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5.748183</w:t>
            </w:r>
          </w:p>
        </w:tc>
        <w:tc>
          <w:tcPr>
            <w:tcW w:w="1189" w:type="dxa"/>
            <w:tcBorders>
              <w:top w:val="nil"/>
              <w:left w:val="nil"/>
              <w:bottom w:val="single" w:sz="4" w:space="0" w:color="auto"/>
              <w:right w:val="single" w:sz="4" w:space="0" w:color="auto"/>
            </w:tcBorders>
            <w:shd w:val="clear" w:color="auto" w:fill="auto"/>
            <w:noWrap/>
            <w:vAlign w:val="bottom"/>
            <w:hideMark/>
          </w:tcPr>
          <w:p w14:paraId="619B80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3.263622</w:t>
            </w:r>
          </w:p>
        </w:tc>
        <w:tc>
          <w:tcPr>
            <w:tcW w:w="1189" w:type="dxa"/>
            <w:tcBorders>
              <w:top w:val="nil"/>
              <w:left w:val="nil"/>
              <w:bottom w:val="single" w:sz="4" w:space="0" w:color="auto"/>
              <w:right w:val="single" w:sz="4" w:space="0" w:color="auto"/>
            </w:tcBorders>
            <w:shd w:val="clear" w:color="auto" w:fill="auto"/>
            <w:noWrap/>
            <w:vAlign w:val="bottom"/>
            <w:hideMark/>
          </w:tcPr>
          <w:p w14:paraId="258D87D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-1.07217</w:t>
            </w:r>
          </w:p>
        </w:tc>
      </w:tr>
      <w:tr w:rsidR="002027D2" w:rsidRPr="008D1712" w14:paraId="00A20C45"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7A5F8DD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3ED18F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6.68263</w:t>
            </w:r>
          </w:p>
        </w:tc>
        <w:tc>
          <w:tcPr>
            <w:tcW w:w="1189" w:type="dxa"/>
            <w:tcBorders>
              <w:top w:val="nil"/>
              <w:left w:val="nil"/>
              <w:bottom w:val="single" w:sz="4" w:space="0" w:color="auto"/>
              <w:right w:val="single" w:sz="4" w:space="0" w:color="auto"/>
            </w:tcBorders>
            <w:shd w:val="clear" w:color="auto" w:fill="auto"/>
            <w:noWrap/>
            <w:vAlign w:val="bottom"/>
            <w:hideMark/>
          </w:tcPr>
          <w:p w14:paraId="0880E0F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-1.33112</w:t>
            </w:r>
          </w:p>
        </w:tc>
        <w:tc>
          <w:tcPr>
            <w:tcW w:w="1189" w:type="dxa"/>
            <w:tcBorders>
              <w:top w:val="nil"/>
              <w:left w:val="nil"/>
              <w:bottom w:val="single" w:sz="4" w:space="0" w:color="auto"/>
              <w:right w:val="single" w:sz="4" w:space="0" w:color="auto"/>
            </w:tcBorders>
            <w:shd w:val="clear" w:color="auto" w:fill="auto"/>
            <w:noWrap/>
            <w:vAlign w:val="bottom"/>
            <w:hideMark/>
          </w:tcPr>
          <w:p w14:paraId="53445C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-2.91187</w:t>
            </w:r>
          </w:p>
        </w:tc>
      </w:tr>
      <w:tr w:rsidR="002027D2" w:rsidRPr="008D1712" w14:paraId="0FE46460" w14:textId="77777777" w:rsidTr="00323CC4">
        <w:trPr>
          <w:trHeight w:val="300"/>
          <w:jc w:val="center"/>
        </w:trPr>
        <w:tc>
          <w:tcPr>
            <w:tcW w:w="273" w:type="dxa"/>
            <w:tcBorders>
              <w:top w:val="nil"/>
              <w:left w:val="single" w:sz="4" w:space="0" w:color="auto"/>
              <w:bottom w:val="single" w:sz="4" w:space="0" w:color="auto"/>
              <w:right w:val="single" w:sz="4" w:space="0" w:color="auto"/>
            </w:tcBorders>
            <w:shd w:val="clear" w:color="auto" w:fill="auto"/>
            <w:noWrap/>
            <w:vAlign w:val="center"/>
            <w:hideMark/>
          </w:tcPr>
          <w:p w14:paraId="63BD51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89" w:type="dxa"/>
            <w:tcBorders>
              <w:top w:val="nil"/>
              <w:left w:val="nil"/>
              <w:bottom w:val="single" w:sz="4" w:space="0" w:color="auto"/>
              <w:right w:val="single" w:sz="4" w:space="0" w:color="auto"/>
            </w:tcBorders>
            <w:shd w:val="clear" w:color="auto" w:fill="auto"/>
            <w:noWrap/>
            <w:vAlign w:val="bottom"/>
            <w:hideMark/>
          </w:tcPr>
          <w:p w14:paraId="70F1B8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8.361778</w:t>
            </w:r>
          </w:p>
        </w:tc>
        <w:tc>
          <w:tcPr>
            <w:tcW w:w="1189" w:type="dxa"/>
            <w:tcBorders>
              <w:top w:val="nil"/>
              <w:left w:val="nil"/>
              <w:bottom w:val="single" w:sz="4" w:space="0" w:color="auto"/>
              <w:right w:val="single" w:sz="4" w:space="0" w:color="auto"/>
            </w:tcBorders>
            <w:shd w:val="clear" w:color="auto" w:fill="auto"/>
            <w:noWrap/>
            <w:vAlign w:val="bottom"/>
            <w:hideMark/>
          </w:tcPr>
          <w:p w14:paraId="043652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0.499135</w:t>
            </w:r>
          </w:p>
        </w:tc>
        <w:tc>
          <w:tcPr>
            <w:tcW w:w="1189" w:type="dxa"/>
            <w:tcBorders>
              <w:top w:val="nil"/>
              <w:left w:val="nil"/>
              <w:bottom w:val="single" w:sz="4" w:space="0" w:color="auto"/>
              <w:right w:val="single" w:sz="4" w:space="0" w:color="auto"/>
            </w:tcBorders>
            <w:shd w:val="clear" w:color="auto" w:fill="auto"/>
            <w:noWrap/>
            <w:vAlign w:val="bottom"/>
            <w:hideMark/>
          </w:tcPr>
          <w:p w14:paraId="331A38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-3.14363</w:t>
            </w:r>
          </w:p>
        </w:tc>
      </w:tr>
    </w:tbl>
    <w:p w14:paraId="47EB65B4" w14:textId="77777777" w:rsidR="002027D2" w:rsidRPr="008D1712" w:rsidRDefault="002027D2" w:rsidP="008D1712">
      <w:pPr>
        <w:jc w:val="center"/>
        <w:rPr>
          <w:rFonts w:ascii="Arial" w:hAnsi="Arial" w:cs="Arial"/>
          <w:sz w:val="24"/>
          <w:szCs w:val="24"/>
        </w:rPr>
      </w:pPr>
    </w:p>
    <w:p w14:paraId="2CA99863"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lastRenderedPageBreak/>
        <w:t>Figure</w:t>
      </w:r>
      <w:r w:rsidRPr="008D1712">
        <w:rPr>
          <w:rFonts w:ascii="Arial" w:hAnsi="Arial" w:cs="Arial"/>
          <w:b/>
          <w:bCs/>
          <w:sz w:val="24"/>
          <w:szCs w:val="24"/>
        </w:rPr>
        <w:t xml:space="preserve"> S2.46</w:t>
      </w:r>
      <w:r w:rsidRPr="000452A8">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Coordinates (Angstroms) and energy (a.u.) of</w:t>
      </w:r>
      <w:r w:rsidRPr="008D1712">
        <w:rPr>
          <w:rFonts w:ascii="Arial" w:eastAsia="Times New Roman" w:hAnsi="Arial" w:cs="Arial"/>
          <w:b/>
          <w:bCs/>
          <w:color w:val="000000"/>
          <w:sz w:val="24"/>
          <w:szCs w:val="24"/>
        </w:rPr>
        <w:t xml:space="preserve"> SQ Cl</w:t>
      </w:r>
      <w:r w:rsidRPr="008D1712">
        <w:rPr>
          <w:rFonts w:ascii="Arial" w:hAnsi="Arial" w:cs="Arial"/>
          <w:sz w:val="24"/>
          <w:szCs w:val="24"/>
        </w:rPr>
        <w:t>. Geometries were optimized using PBE functional and 6-31+G* basis set.</w:t>
      </w:r>
    </w:p>
    <w:p w14:paraId="3C8F32C9" w14:textId="77777777" w:rsidR="002027D2" w:rsidRPr="008D1712" w:rsidRDefault="002027D2" w:rsidP="005556B5">
      <w:pPr>
        <w:rPr>
          <w:rFonts w:ascii="Arial" w:hAnsi="Arial" w:cs="Arial"/>
          <w:sz w:val="24"/>
          <w:szCs w:val="24"/>
        </w:rPr>
      </w:pPr>
    </w:p>
    <w:tbl>
      <w:tblPr>
        <w:tblW w:w="3840" w:type="dxa"/>
        <w:jc w:val="center"/>
        <w:tblLook w:val="04A0" w:firstRow="1" w:lastRow="0" w:firstColumn="1" w:lastColumn="0" w:noHBand="0" w:noVBand="1"/>
      </w:tblPr>
      <w:tblGrid>
        <w:gridCol w:w="456"/>
        <w:gridCol w:w="1218"/>
        <w:gridCol w:w="1218"/>
        <w:gridCol w:w="1218"/>
      </w:tblGrid>
      <w:tr w:rsidR="002027D2" w:rsidRPr="008D1712" w14:paraId="6ECF5996" w14:textId="77777777" w:rsidTr="00323CC4">
        <w:trPr>
          <w:trHeight w:val="300"/>
          <w:jc w:val="center"/>
        </w:trPr>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C2F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b/>
                <w:bCs/>
                <w:color w:val="000000"/>
                <w:sz w:val="24"/>
                <w:szCs w:val="24"/>
              </w:rPr>
              <w:t>SQ Br</w:t>
            </w:r>
          </w:p>
        </w:tc>
      </w:tr>
      <w:tr w:rsidR="002027D2" w:rsidRPr="008D1712" w14:paraId="375B14D4" w14:textId="77777777" w:rsidTr="00323CC4">
        <w:trPr>
          <w:trHeight w:val="300"/>
          <w:jc w:val="center"/>
        </w:trPr>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CCDA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-6991.71406768331 a.u.</w:t>
            </w:r>
          </w:p>
        </w:tc>
      </w:tr>
      <w:tr w:rsidR="002027D2" w:rsidRPr="008D1712" w14:paraId="54BDAC75"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C3ADE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979E4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0.761226</w:t>
            </w:r>
          </w:p>
        </w:tc>
        <w:tc>
          <w:tcPr>
            <w:tcW w:w="1177" w:type="dxa"/>
            <w:tcBorders>
              <w:top w:val="nil"/>
              <w:left w:val="nil"/>
              <w:bottom w:val="single" w:sz="4" w:space="0" w:color="auto"/>
              <w:right w:val="single" w:sz="4" w:space="0" w:color="auto"/>
            </w:tcBorders>
            <w:shd w:val="clear" w:color="auto" w:fill="auto"/>
            <w:noWrap/>
            <w:vAlign w:val="bottom"/>
            <w:hideMark/>
          </w:tcPr>
          <w:p w14:paraId="1443C6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-0.53212</w:t>
            </w:r>
          </w:p>
        </w:tc>
        <w:tc>
          <w:tcPr>
            <w:tcW w:w="1177" w:type="dxa"/>
            <w:tcBorders>
              <w:top w:val="nil"/>
              <w:left w:val="nil"/>
              <w:bottom w:val="single" w:sz="4" w:space="0" w:color="auto"/>
              <w:right w:val="single" w:sz="4" w:space="0" w:color="auto"/>
            </w:tcBorders>
            <w:shd w:val="clear" w:color="auto" w:fill="auto"/>
            <w:noWrap/>
            <w:vAlign w:val="bottom"/>
            <w:hideMark/>
          </w:tcPr>
          <w:p w14:paraId="0711E6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-0.18521</w:t>
            </w:r>
          </w:p>
        </w:tc>
      </w:tr>
      <w:tr w:rsidR="002027D2" w:rsidRPr="008D1712" w14:paraId="38499A83"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B8DE8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5E0D56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0.264818</w:t>
            </w:r>
          </w:p>
        </w:tc>
        <w:tc>
          <w:tcPr>
            <w:tcW w:w="1177" w:type="dxa"/>
            <w:tcBorders>
              <w:top w:val="nil"/>
              <w:left w:val="nil"/>
              <w:bottom w:val="single" w:sz="4" w:space="0" w:color="auto"/>
              <w:right w:val="single" w:sz="4" w:space="0" w:color="auto"/>
            </w:tcBorders>
            <w:shd w:val="clear" w:color="auto" w:fill="auto"/>
            <w:noWrap/>
            <w:vAlign w:val="bottom"/>
            <w:hideMark/>
          </w:tcPr>
          <w:p w14:paraId="40C8DD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0.578136</w:t>
            </w:r>
          </w:p>
        </w:tc>
        <w:tc>
          <w:tcPr>
            <w:tcW w:w="1177" w:type="dxa"/>
            <w:tcBorders>
              <w:top w:val="nil"/>
              <w:left w:val="nil"/>
              <w:bottom w:val="single" w:sz="4" w:space="0" w:color="auto"/>
              <w:right w:val="single" w:sz="4" w:space="0" w:color="auto"/>
            </w:tcBorders>
            <w:shd w:val="clear" w:color="auto" w:fill="auto"/>
            <w:noWrap/>
            <w:vAlign w:val="bottom"/>
            <w:hideMark/>
          </w:tcPr>
          <w:p w14:paraId="74F00DA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0.670301</w:t>
            </w:r>
          </w:p>
        </w:tc>
      </w:tr>
      <w:tr w:rsidR="002027D2" w:rsidRPr="008D1712" w14:paraId="326ED2D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AB966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599B2C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-1.14104</w:t>
            </w:r>
          </w:p>
        </w:tc>
        <w:tc>
          <w:tcPr>
            <w:tcW w:w="1177" w:type="dxa"/>
            <w:tcBorders>
              <w:top w:val="nil"/>
              <w:left w:val="nil"/>
              <w:bottom w:val="single" w:sz="4" w:space="0" w:color="auto"/>
              <w:right w:val="single" w:sz="4" w:space="0" w:color="auto"/>
            </w:tcBorders>
            <w:shd w:val="clear" w:color="auto" w:fill="auto"/>
            <w:noWrap/>
            <w:vAlign w:val="bottom"/>
            <w:hideMark/>
          </w:tcPr>
          <w:p w14:paraId="646CCC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0.164822</w:t>
            </w:r>
          </w:p>
        </w:tc>
        <w:tc>
          <w:tcPr>
            <w:tcW w:w="1177" w:type="dxa"/>
            <w:tcBorders>
              <w:top w:val="nil"/>
              <w:left w:val="nil"/>
              <w:bottom w:val="single" w:sz="4" w:space="0" w:color="auto"/>
              <w:right w:val="single" w:sz="4" w:space="0" w:color="auto"/>
            </w:tcBorders>
            <w:shd w:val="clear" w:color="auto" w:fill="auto"/>
            <w:noWrap/>
            <w:vAlign w:val="bottom"/>
            <w:hideMark/>
          </w:tcPr>
          <w:p w14:paraId="3CEEDBB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0.40015</w:t>
            </w:r>
          </w:p>
        </w:tc>
      </w:tr>
      <w:tr w:rsidR="002027D2" w:rsidRPr="008D1712" w14:paraId="4D26FEB3"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09A7A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215F89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-0.62344</w:t>
            </w:r>
          </w:p>
        </w:tc>
        <w:tc>
          <w:tcPr>
            <w:tcW w:w="1177" w:type="dxa"/>
            <w:tcBorders>
              <w:top w:val="nil"/>
              <w:left w:val="nil"/>
              <w:bottom w:val="single" w:sz="4" w:space="0" w:color="auto"/>
              <w:right w:val="single" w:sz="4" w:space="0" w:color="auto"/>
            </w:tcBorders>
            <w:shd w:val="clear" w:color="auto" w:fill="auto"/>
            <w:noWrap/>
            <w:vAlign w:val="bottom"/>
            <w:hideMark/>
          </w:tcPr>
          <w:p w14:paraId="69299AA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-1.02335</w:t>
            </w:r>
          </w:p>
        </w:tc>
        <w:tc>
          <w:tcPr>
            <w:tcW w:w="1177" w:type="dxa"/>
            <w:tcBorders>
              <w:top w:val="nil"/>
              <w:left w:val="nil"/>
              <w:bottom w:val="single" w:sz="4" w:space="0" w:color="auto"/>
              <w:right w:val="single" w:sz="4" w:space="0" w:color="auto"/>
            </w:tcBorders>
            <w:shd w:val="clear" w:color="auto" w:fill="auto"/>
            <w:noWrap/>
            <w:vAlign w:val="bottom"/>
            <w:hideMark/>
          </w:tcPr>
          <w:p w14:paraId="7C1F05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-0.32112</w:t>
            </w:r>
          </w:p>
        </w:tc>
      </w:tr>
      <w:tr w:rsidR="002027D2" w:rsidRPr="008D1712" w14:paraId="0D3DF41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C05E8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9B092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-2.26252</w:t>
            </w:r>
          </w:p>
        </w:tc>
        <w:tc>
          <w:tcPr>
            <w:tcW w:w="1177" w:type="dxa"/>
            <w:tcBorders>
              <w:top w:val="nil"/>
              <w:left w:val="nil"/>
              <w:bottom w:val="single" w:sz="4" w:space="0" w:color="auto"/>
              <w:right w:val="single" w:sz="4" w:space="0" w:color="auto"/>
            </w:tcBorders>
            <w:shd w:val="clear" w:color="auto" w:fill="auto"/>
            <w:noWrap/>
            <w:vAlign w:val="bottom"/>
            <w:hideMark/>
          </w:tcPr>
          <w:p w14:paraId="45EE3A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0.870472</w:t>
            </w:r>
          </w:p>
        </w:tc>
        <w:tc>
          <w:tcPr>
            <w:tcW w:w="1177" w:type="dxa"/>
            <w:tcBorders>
              <w:top w:val="nil"/>
              <w:left w:val="nil"/>
              <w:bottom w:val="single" w:sz="4" w:space="0" w:color="auto"/>
              <w:right w:val="single" w:sz="4" w:space="0" w:color="auto"/>
            </w:tcBorders>
            <w:shd w:val="clear" w:color="auto" w:fill="auto"/>
            <w:noWrap/>
            <w:vAlign w:val="bottom"/>
            <w:hideMark/>
          </w:tcPr>
          <w:p w14:paraId="5F4C4D4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0.858817</w:t>
            </w:r>
          </w:p>
        </w:tc>
      </w:tr>
      <w:tr w:rsidR="002027D2" w:rsidRPr="008D1712" w14:paraId="732F425C"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CC8DE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60FAB90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-3.63596</w:t>
            </w:r>
          </w:p>
        </w:tc>
        <w:tc>
          <w:tcPr>
            <w:tcW w:w="1177" w:type="dxa"/>
            <w:tcBorders>
              <w:top w:val="nil"/>
              <w:left w:val="nil"/>
              <w:bottom w:val="single" w:sz="4" w:space="0" w:color="auto"/>
              <w:right w:val="single" w:sz="4" w:space="0" w:color="auto"/>
            </w:tcBorders>
            <w:shd w:val="clear" w:color="auto" w:fill="auto"/>
            <w:noWrap/>
            <w:vAlign w:val="bottom"/>
            <w:hideMark/>
          </w:tcPr>
          <w:p w14:paraId="0D9990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0.937862</w:t>
            </w:r>
          </w:p>
        </w:tc>
        <w:tc>
          <w:tcPr>
            <w:tcW w:w="1177" w:type="dxa"/>
            <w:tcBorders>
              <w:top w:val="nil"/>
              <w:left w:val="nil"/>
              <w:bottom w:val="single" w:sz="4" w:space="0" w:color="auto"/>
              <w:right w:val="single" w:sz="4" w:space="0" w:color="auto"/>
            </w:tcBorders>
            <w:shd w:val="clear" w:color="auto" w:fill="auto"/>
            <w:noWrap/>
            <w:vAlign w:val="bottom"/>
            <w:hideMark/>
          </w:tcPr>
          <w:p w14:paraId="573DA6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0.594804</w:t>
            </w:r>
          </w:p>
        </w:tc>
      </w:tr>
      <w:tr w:rsidR="002027D2" w:rsidRPr="008D1712" w14:paraId="27FE5787"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711C0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F17A80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-4.55282</w:t>
            </w:r>
          </w:p>
        </w:tc>
        <w:tc>
          <w:tcPr>
            <w:tcW w:w="1177" w:type="dxa"/>
            <w:tcBorders>
              <w:top w:val="nil"/>
              <w:left w:val="nil"/>
              <w:bottom w:val="single" w:sz="4" w:space="0" w:color="auto"/>
              <w:right w:val="single" w:sz="4" w:space="0" w:color="auto"/>
            </w:tcBorders>
            <w:shd w:val="clear" w:color="auto" w:fill="auto"/>
            <w:noWrap/>
            <w:vAlign w:val="bottom"/>
            <w:hideMark/>
          </w:tcPr>
          <w:p w14:paraId="499699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1.843957</w:t>
            </w:r>
          </w:p>
        </w:tc>
        <w:tc>
          <w:tcPr>
            <w:tcW w:w="1177" w:type="dxa"/>
            <w:tcBorders>
              <w:top w:val="nil"/>
              <w:left w:val="nil"/>
              <w:bottom w:val="single" w:sz="4" w:space="0" w:color="auto"/>
              <w:right w:val="single" w:sz="4" w:space="0" w:color="auto"/>
            </w:tcBorders>
            <w:shd w:val="clear" w:color="auto" w:fill="auto"/>
            <w:noWrap/>
            <w:vAlign w:val="bottom"/>
            <w:hideMark/>
          </w:tcPr>
          <w:p w14:paraId="3197CF7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1.441069</w:t>
            </w:r>
          </w:p>
        </w:tc>
      </w:tr>
      <w:tr w:rsidR="002027D2" w:rsidRPr="008D1712" w14:paraId="61FE1987"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370AD5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4B6872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-5.89109</w:t>
            </w:r>
          </w:p>
        </w:tc>
        <w:tc>
          <w:tcPr>
            <w:tcW w:w="1177" w:type="dxa"/>
            <w:tcBorders>
              <w:top w:val="nil"/>
              <w:left w:val="nil"/>
              <w:bottom w:val="single" w:sz="4" w:space="0" w:color="auto"/>
              <w:right w:val="single" w:sz="4" w:space="0" w:color="auto"/>
            </w:tcBorders>
            <w:shd w:val="clear" w:color="auto" w:fill="auto"/>
            <w:noWrap/>
            <w:vAlign w:val="bottom"/>
            <w:hideMark/>
          </w:tcPr>
          <w:p w14:paraId="196C6F0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1.670947</w:t>
            </w:r>
          </w:p>
        </w:tc>
        <w:tc>
          <w:tcPr>
            <w:tcW w:w="1177" w:type="dxa"/>
            <w:tcBorders>
              <w:top w:val="nil"/>
              <w:left w:val="nil"/>
              <w:bottom w:val="single" w:sz="4" w:space="0" w:color="auto"/>
              <w:right w:val="single" w:sz="4" w:space="0" w:color="auto"/>
            </w:tcBorders>
            <w:shd w:val="clear" w:color="auto" w:fill="auto"/>
            <w:noWrap/>
            <w:vAlign w:val="bottom"/>
            <w:hideMark/>
          </w:tcPr>
          <w:p w14:paraId="6FEC943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0.749489</w:t>
            </w:r>
          </w:p>
        </w:tc>
      </w:tr>
      <w:tr w:rsidR="002027D2" w:rsidRPr="008D1712" w14:paraId="107A808A"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C2648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13B660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-5.73484</w:t>
            </w:r>
          </w:p>
        </w:tc>
        <w:tc>
          <w:tcPr>
            <w:tcW w:w="1177" w:type="dxa"/>
            <w:tcBorders>
              <w:top w:val="nil"/>
              <w:left w:val="nil"/>
              <w:bottom w:val="single" w:sz="4" w:space="0" w:color="auto"/>
              <w:right w:val="single" w:sz="4" w:space="0" w:color="auto"/>
            </w:tcBorders>
            <w:shd w:val="clear" w:color="auto" w:fill="auto"/>
            <w:noWrap/>
            <w:vAlign w:val="bottom"/>
            <w:hideMark/>
          </w:tcPr>
          <w:p w14:paraId="568E0CD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0.805388</w:t>
            </w:r>
          </w:p>
        </w:tc>
        <w:tc>
          <w:tcPr>
            <w:tcW w:w="1177" w:type="dxa"/>
            <w:tcBorders>
              <w:top w:val="nil"/>
              <w:left w:val="nil"/>
              <w:bottom w:val="single" w:sz="4" w:space="0" w:color="auto"/>
              <w:right w:val="single" w:sz="4" w:space="0" w:color="auto"/>
            </w:tcBorders>
            <w:shd w:val="clear" w:color="auto" w:fill="auto"/>
            <w:noWrap/>
            <w:vAlign w:val="bottom"/>
            <w:hideMark/>
          </w:tcPr>
          <w:p w14:paraId="22902F7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-0.3459</w:t>
            </w:r>
          </w:p>
        </w:tc>
      </w:tr>
      <w:tr w:rsidR="002027D2" w:rsidRPr="008D1712" w14:paraId="6A4233D7"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6A1F5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77" w:type="dxa"/>
            <w:tcBorders>
              <w:top w:val="nil"/>
              <w:left w:val="nil"/>
              <w:bottom w:val="single" w:sz="4" w:space="0" w:color="auto"/>
              <w:right w:val="single" w:sz="4" w:space="0" w:color="auto"/>
            </w:tcBorders>
            <w:shd w:val="clear" w:color="auto" w:fill="auto"/>
            <w:noWrap/>
            <w:vAlign w:val="bottom"/>
            <w:hideMark/>
          </w:tcPr>
          <w:p w14:paraId="4E52AD1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-4.38773</w:t>
            </w:r>
          </w:p>
        </w:tc>
        <w:tc>
          <w:tcPr>
            <w:tcW w:w="1177" w:type="dxa"/>
            <w:tcBorders>
              <w:top w:val="nil"/>
              <w:left w:val="nil"/>
              <w:bottom w:val="single" w:sz="4" w:space="0" w:color="auto"/>
              <w:right w:val="single" w:sz="4" w:space="0" w:color="auto"/>
            </w:tcBorders>
            <w:shd w:val="clear" w:color="auto" w:fill="auto"/>
            <w:noWrap/>
            <w:vAlign w:val="bottom"/>
            <w:hideMark/>
          </w:tcPr>
          <w:p w14:paraId="54C679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0.358044</w:t>
            </w:r>
          </w:p>
        </w:tc>
        <w:tc>
          <w:tcPr>
            <w:tcW w:w="1177" w:type="dxa"/>
            <w:tcBorders>
              <w:top w:val="nil"/>
              <w:left w:val="nil"/>
              <w:bottom w:val="single" w:sz="4" w:space="0" w:color="auto"/>
              <w:right w:val="single" w:sz="4" w:space="0" w:color="auto"/>
            </w:tcBorders>
            <w:shd w:val="clear" w:color="auto" w:fill="auto"/>
            <w:noWrap/>
            <w:vAlign w:val="bottom"/>
            <w:hideMark/>
          </w:tcPr>
          <w:p w14:paraId="5D2B89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-0.39788</w:t>
            </w:r>
          </w:p>
        </w:tc>
      </w:tr>
      <w:tr w:rsidR="002027D2" w:rsidRPr="008D1712" w14:paraId="0A58C7D6"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8CBA4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177" w:type="dxa"/>
            <w:tcBorders>
              <w:top w:val="nil"/>
              <w:left w:val="nil"/>
              <w:bottom w:val="single" w:sz="4" w:space="0" w:color="auto"/>
              <w:right w:val="single" w:sz="4" w:space="0" w:color="auto"/>
            </w:tcBorders>
            <w:shd w:val="clear" w:color="auto" w:fill="auto"/>
            <w:noWrap/>
            <w:vAlign w:val="bottom"/>
            <w:hideMark/>
          </w:tcPr>
          <w:p w14:paraId="0777B9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-1.12283</w:t>
            </w:r>
          </w:p>
        </w:tc>
        <w:tc>
          <w:tcPr>
            <w:tcW w:w="1177" w:type="dxa"/>
            <w:tcBorders>
              <w:top w:val="nil"/>
              <w:left w:val="nil"/>
              <w:bottom w:val="single" w:sz="4" w:space="0" w:color="auto"/>
              <w:right w:val="single" w:sz="4" w:space="0" w:color="auto"/>
            </w:tcBorders>
            <w:shd w:val="clear" w:color="auto" w:fill="auto"/>
            <w:noWrap/>
            <w:vAlign w:val="bottom"/>
            <w:hideMark/>
          </w:tcPr>
          <w:p w14:paraId="1710D3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-2.05863</w:t>
            </w:r>
          </w:p>
        </w:tc>
        <w:tc>
          <w:tcPr>
            <w:tcW w:w="1177" w:type="dxa"/>
            <w:tcBorders>
              <w:top w:val="nil"/>
              <w:left w:val="nil"/>
              <w:bottom w:val="single" w:sz="4" w:space="0" w:color="auto"/>
              <w:right w:val="single" w:sz="4" w:space="0" w:color="auto"/>
            </w:tcBorders>
            <w:shd w:val="clear" w:color="auto" w:fill="auto"/>
            <w:noWrap/>
            <w:vAlign w:val="bottom"/>
            <w:hideMark/>
          </w:tcPr>
          <w:p w14:paraId="7B9B27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-0.82927</w:t>
            </w:r>
          </w:p>
        </w:tc>
      </w:tr>
      <w:tr w:rsidR="002027D2" w:rsidRPr="008D1712" w14:paraId="66CF245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AF70A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177" w:type="dxa"/>
            <w:tcBorders>
              <w:top w:val="nil"/>
              <w:left w:val="nil"/>
              <w:bottom w:val="single" w:sz="4" w:space="0" w:color="auto"/>
              <w:right w:val="single" w:sz="4" w:space="0" w:color="auto"/>
            </w:tcBorders>
            <w:shd w:val="clear" w:color="auto" w:fill="auto"/>
            <w:noWrap/>
            <w:vAlign w:val="bottom"/>
            <w:hideMark/>
          </w:tcPr>
          <w:p w14:paraId="425B8FD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0.747226</w:t>
            </w:r>
          </w:p>
        </w:tc>
        <w:tc>
          <w:tcPr>
            <w:tcW w:w="1177" w:type="dxa"/>
            <w:tcBorders>
              <w:top w:val="nil"/>
              <w:left w:val="nil"/>
              <w:bottom w:val="single" w:sz="4" w:space="0" w:color="auto"/>
              <w:right w:val="single" w:sz="4" w:space="0" w:color="auto"/>
            </w:tcBorders>
            <w:shd w:val="clear" w:color="auto" w:fill="auto"/>
            <w:noWrap/>
            <w:vAlign w:val="bottom"/>
            <w:hideMark/>
          </w:tcPr>
          <w:p w14:paraId="4DAA31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1.490052</w:t>
            </w:r>
          </w:p>
        </w:tc>
        <w:tc>
          <w:tcPr>
            <w:tcW w:w="1177" w:type="dxa"/>
            <w:tcBorders>
              <w:top w:val="nil"/>
              <w:left w:val="nil"/>
              <w:bottom w:val="single" w:sz="4" w:space="0" w:color="auto"/>
              <w:right w:val="single" w:sz="4" w:space="0" w:color="auto"/>
            </w:tcBorders>
            <w:shd w:val="clear" w:color="auto" w:fill="auto"/>
            <w:noWrap/>
            <w:vAlign w:val="bottom"/>
            <w:hideMark/>
          </w:tcPr>
          <w:p w14:paraId="152C7D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1.351127</w:t>
            </w:r>
          </w:p>
        </w:tc>
      </w:tr>
      <w:tr w:rsidR="002027D2" w:rsidRPr="008D1712" w14:paraId="6989CBE3"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3B33BF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E1011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-4.09233</w:t>
            </w:r>
          </w:p>
        </w:tc>
        <w:tc>
          <w:tcPr>
            <w:tcW w:w="1177" w:type="dxa"/>
            <w:tcBorders>
              <w:top w:val="nil"/>
              <w:left w:val="nil"/>
              <w:bottom w:val="single" w:sz="4" w:space="0" w:color="auto"/>
              <w:right w:val="single" w:sz="4" w:space="0" w:color="auto"/>
            </w:tcBorders>
            <w:shd w:val="clear" w:color="auto" w:fill="auto"/>
            <w:noWrap/>
            <w:vAlign w:val="bottom"/>
            <w:hideMark/>
          </w:tcPr>
          <w:p w14:paraId="498E73D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3.323615</w:t>
            </w:r>
          </w:p>
        </w:tc>
        <w:tc>
          <w:tcPr>
            <w:tcW w:w="1177" w:type="dxa"/>
            <w:tcBorders>
              <w:top w:val="nil"/>
              <w:left w:val="nil"/>
              <w:bottom w:val="single" w:sz="4" w:space="0" w:color="auto"/>
              <w:right w:val="single" w:sz="4" w:space="0" w:color="auto"/>
            </w:tcBorders>
            <w:shd w:val="clear" w:color="auto" w:fill="auto"/>
            <w:noWrap/>
            <w:vAlign w:val="bottom"/>
            <w:hideMark/>
          </w:tcPr>
          <w:p w14:paraId="78FEFF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1.374439</w:t>
            </w:r>
          </w:p>
        </w:tc>
      </w:tr>
      <w:tr w:rsidR="002027D2" w:rsidRPr="008D1712" w14:paraId="6526B4F3"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65FAD7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F8F6F1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-4.59329</w:t>
            </w:r>
          </w:p>
        </w:tc>
        <w:tc>
          <w:tcPr>
            <w:tcW w:w="1177" w:type="dxa"/>
            <w:tcBorders>
              <w:top w:val="nil"/>
              <w:left w:val="nil"/>
              <w:bottom w:val="single" w:sz="4" w:space="0" w:color="auto"/>
              <w:right w:val="single" w:sz="4" w:space="0" w:color="auto"/>
            </w:tcBorders>
            <w:shd w:val="clear" w:color="auto" w:fill="auto"/>
            <w:noWrap/>
            <w:vAlign w:val="bottom"/>
            <w:hideMark/>
          </w:tcPr>
          <w:p w14:paraId="3CA4FD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1.363085</w:t>
            </w:r>
          </w:p>
        </w:tc>
        <w:tc>
          <w:tcPr>
            <w:tcW w:w="1177" w:type="dxa"/>
            <w:tcBorders>
              <w:top w:val="nil"/>
              <w:left w:val="nil"/>
              <w:bottom w:val="single" w:sz="4" w:space="0" w:color="auto"/>
              <w:right w:val="single" w:sz="4" w:space="0" w:color="auto"/>
            </w:tcBorders>
            <w:shd w:val="clear" w:color="auto" w:fill="auto"/>
            <w:noWrap/>
            <w:vAlign w:val="bottom"/>
            <w:hideMark/>
          </w:tcPr>
          <w:p w14:paraId="209DEA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2.913572</w:t>
            </w:r>
          </w:p>
        </w:tc>
      </w:tr>
      <w:tr w:rsidR="002027D2" w:rsidRPr="008D1712" w14:paraId="4797BA9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8F8BB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194D36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-7.12768</w:t>
            </w:r>
          </w:p>
        </w:tc>
        <w:tc>
          <w:tcPr>
            <w:tcW w:w="1177" w:type="dxa"/>
            <w:tcBorders>
              <w:top w:val="nil"/>
              <w:left w:val="nil"/>
              <w:bottom w:val="single" w:sz="4" w:space="0" w:color="auto"/>
              <w:right w:val="single" w:sz="4" w:space="0" w:color="auto"/>
            </w:tcBorders>
            <w:shd w:val="clear" w:color="auto" w:fill="auto"/>
            <w:noWrap/>
            <w:vAlign w:val="bottom"/>
            <w:hideMark/>
          </w:tcPr>
          <w:p w14:paraId="422DE5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2.25634</w:t>
            </w:r>
          </w:p>
        </w:tc>
        <w:tc>
          <w:tcPr>
            <w:tcW w:w="1177" w:type="dxa"/>
            <w:tcBorders>
              <w:top w:val="nil"/>
              <w:left w:val="nil"/>
              <w:bottom w:val="single" w:sz="4" w:space="0" w:color="auto"/>
              <w:right w:val="single" w:sz="4" w:space="0" w:color="auto"/>
            </w:tcBorders>
            <w:shd w:val="clear" w:color="auto" w:fill="auto"/>
            <w:noWrap/>
            <w:vAlign w:val="bottom"/>
            <w:hideMark/>
          </w:tcPr>
          <w:p w14:paraId="75CCA9B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1.013943</w:t>
            </w:r>
          </w:p>
        </w:tc>
      </w:tr>
      <w:tr w:rsidR="002027D2" w:rsidRPr="008D1712" w14:paraId="026FF035"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2DEA0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51B2DB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-6.79072</w:t>
            </w:r>
          </w:p>
        </w:tc>
        <w:tc>
          <w:tcPr>
            <w:tcW w:w="1177" w:type="dxa"/>
            <w:tcBorders>
              <w:top w:val="nil"/>
              <w:left w:val="nil"/>
              <w:bottom w:val="single" w:sz="4" w:space="0" w:color="auto"/>
              <w:right w:val="single" w:sz="4" w:space="0" w:color="auto"/>
            </w:tcBorders>
            <w:shd w:val="clear" w:color="auto" w:fill="auto"/>
            <w:noWrap/>
            <w:vAlign w:val="bottom"/>
            <w:hideMark/>
          </w:tcPr>
          <w:p w14:paraId="55A7F77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0.521288</w:t>
            </w:r>
          </w:p>
        </w:tc>
        <w:tc>
          <w:tcPr>
            <w:tcW w:w="1177" w:type="dxa"/>
            <w:tcBorders>
              <w:top w:val="nil"/>
              <w:left w:val="nil"/>
              <w:bottom w:val="single" w:sz="4" w:space="0" w:color="auto"/>
              <w:right w:val="single" w:sz="4" w:space="0" w:color="auto"/>
            </w:tcBorders>
            <w:shd w:val="clear" w:color="auto" w:fill="auto"/>
            <w:noWrap/>
            <w:vAlign w:val="bottom"/>
            <w:hideMark/>
          </w:tcPr>
          <w:p w14:paraId="27CD1A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-1.22166</w:t>
            </w:r>
          </w:p>
        </w:tc>
      </w:tr>
      <w:tr w:rsidR="002027D2" w:rsidRPr="008D1712" w14:paraId="275F1BA2"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B5EC5A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1DD215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-8.03724</w:t>
            </w:r>
          </w:p>
        </w:tc>
        <w:tc>
          <w:tcPr>
            <w:tcW w:w="1177" w:type="dxa"/>
            <w:tcBorders>
              <w:top w:val="nil"/>
              <w:left w:val="nil"/>
              <w:bottom w:val="single" w:sz="4" w:space="0" w:color="auto"/>
              <w:right w:val="single" w:sz="4" w:space="0" w:color="auto"/>
            </w:tcBorders>
            <w:shd w:val="clear" w:color="auto" w:fill="auto"/>
            <w:noWrap/>
            <w:vAlign w:val="bottom"/>
            <w:hideMark/>
          </w:tcPr>
          <w:p w14:paraId="1F9395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1.114688</w:t>
            </w:r>
          </w:p>
        </w:tc>
        <w:tc>
          <w:tcPr>
            <w:tcW w:w="1177" w:type="dxa"/>
            <w:tcBorders>
              <w:top w:val="nil"/>
              <w:left w:val="nil"/>
              <w:bottom w:val="single" w:sz="4" w:space="0" w:color="auto"/>
              <w:right w:val="single" w:sz="4" w:space="0" w:color="auto"/>
            </w:tcBorders>
            <w:shd w:val="clear" w:color="auto" w:fill="auto"/>
            <w:noWrap/>
            <w:vAlign w:val="bottom"/>
            <w:hideMark/>
          </w:tcPr>
          <w:p w14:paraId="7BE1FAC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-0.95894</w:t>
            </w:r>
          </w:p>
        </w:tc>
      </w:tr>
      <w:tr w:rsidR="002027D2" w:rsidRPr="008D1712" w14:paraId="0FDDE757"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6B3E04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DAF05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-8.20227</w:t>
            </w:r>
          </w:p>
        </w:tc>
        <w:tc>
          <w:tcPr>
            <w:tcW w:w="1177" w:type="dxa"/>
            <w:tcBorders>
              <w:top w:val="nil"/>
              <w:left w:val="nil"/>
              <w:bottom w:val="single" w:sz="4" w:space="0" w:color="auto"/>
              <w:right w:val="single" w:sz="4" w:space="0" w:color="auto"/>
            </w:tcBorders>
            <w:shd w:val="clear" w:color="auto" w:fill="auto"/>
            <w:noWrap/>
            <w:vAlign w:val="bottom"/>
            <w:hideMark/>
          </w:tcPr>
          <w:p w14:paraId="7E7736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1.962277</w:t>
            </w:r>
          </w:p>
        </w:tc>
        <w:tc>
          <w:tcPr>
            <w:tcW w:w="1177" w:type="dxa"/>
            <w:tcBorders>
              <w:top w:val="nil"/>
              <w:left w:val="nil"/>
              <w:bottom w:val="single" w:sz="4" w:space="0" w:color="auto"/>
              <w:right w:val="single" w:sz="4" w:space="0" w:color="auto"/>
            </w:tcBorders>
            <w:shd w:val="clear" w:color="auto" w:fill="auto"/>
            <w:noWrap/>
            <w:vAlign w:val="bottom"/>
            <w:hideMark/>
          </w:tcPr>
          <w:p w14:paraId="3E6DA84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0.150793</w:t>
            </w:r>
          </w:p>
        </w:tc>
      </w:tr>
      <w:tr w:rsidR="002027D2" w:rsidRPr="008D1712" w14:paraId="7A9471FA"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F00C0E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6AF474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-3.89737</w:t>
            </w:r>
          </w:p>
        </w:tc>
        <w:tc>
          <w:tcPr>
            <w:tcW w:w="1177" w:type="dxa"/>
            <w:tcBorders>
              <w:top w:val="nil"/>
              <w:left w:val="nil"/>
              <w:bottom w:val="single" w:sz="4" w:space="0" w:color="auto"/>
              <w:right w:val="single" w:sz="4" w:space="0" w:color="auto"/>
            </w:tcBorders>
            <w:shd w:val="clear" w:color="auto" w:fill="auto"/>
            <w:noWrap/>
            <w:vAlign w:val="bottom"/>
            <w:hideMark/>
          </w:tcPr>
          <w:p w14:paraId="3F25F02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-0.46476</w:t>
            </w:r>
          </w:p>
        </w:tc>
        <w:tc>
          <w:tcPr>
            <w:tcW w:w="1177" w:type="dxa"/>
            <w:tcBorders>
              <w:top w:val="nil"/>
              <w:left w:val="nil"/>
              <w:bottom w:val="single" w:sz="4" w:space="0" w:color="auto"/>
              <w:right w:val="single" w:sz="4" w:space="0" w:color="auto"/>
            </w:tcBorders>
            <w:shd w:val="clear" w:color="auto" w:fill="auto"/>
            <w:noWrap/>
            <w:vAlign w:val="bottom"/>
            <w:hideMark/>
          </w:tcPr>
          <w:p w14:paraId="2D7B9F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-1.5018</w:t>
            </w:r>
          </w:p>
        </w:tc>
      </w:tr>
      <w:tr w:rsidR="002027D2" w:rsidRPr="008D1712" w14:paraId="7B61909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BE57E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1E31F5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-4.3911</w:t>
            </w:r>
          </w:p>
        </w:tc>
        <w:tc>
          <w:tcPr>
            <w:tcW w:w="1177" w:type="dxa"/>
            <w:tcBorders>
              <w:top w:val="nil"/>
              <w:left w:val="nil"/>
              <w:bottom w:val="single" w:sz="4" w:space="0" w:color="auto"/>
              <w:right w:val="single" w:sz="4" w:space="0" w:color="auto"/>
            </w:tcBorders>
            <w:shd w:val="clear" w:color="auto" w:fill="auto"/>
            <w:noWrap/>
            <w:vAlign w:val="bottom"/>
            <w:hideMark/>
          </w:tcPr>
          <w:p w14:paraId="7DA3E78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-1.93005</w:t>
            </w:r>
          </w:p>
        </w:tc>
        <w:tc>
          <w:tcPr>
            <w:tcW w:w="1177" w:type="dxa"/>
            <w:tcBorders>
              <w:top w:val="nil"/>
              <w:left w:val="nil"/>
              <w:bottom w:val="single" w:sz="4" w:space="0" w:color="auto"/>
              <w:right w:val="single" w:sz="4" w:space="0" w:color="auto"/>
            </w:tcBorders>
            <w:shd w:val="clear" w:color="auto" w:fill="auto"/>
            <w:noWrap/>
            <w:vAlign w:val="bottom"/>
            <w:hideMark/>
          </w:tcPr>
          <w:p w14:paraId="13F6BA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-1.47894</w:t>
            </w:r>
          </w:p>
        </w:tc>
      </w:tr>
      <w:tr w:rsidR="002027D2" w:rsidRPr="008D1712" w14:paraId="742DC946"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8F3F6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24CEE5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-4.03512</w:t>
            </w:r>
          </w:p>
        </w:tc>
        <w:tc>
          <w:tcPr>
            <w:tcW w:w="1177" w:type="dxa"/>
            <w:tcBorders>
              <w:top w:val="nil"/>
              <w:left w:val="nil"/>
              <w:bottom w:val="single" w:sz="4" w:space="0" w:color="auto"/>
              <w:right w:val="single" w:sz="4" w:space="0" w:color="auto"/>
            </w:tcBorders>
            <w:shd w:val="clear" w:color="auto" w:fill="auto"/>
            <w:noWrap/>
            <w:vAlign w:val="bottom"/>
            <w:hideMark/>
          </w:tcPr>
          <w:p w14:paraId="0C60AFB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-2.60152</w:t>
            </w:r>
          </w:p>
        </w:tc>
        <w:tc>
          <w:tcPr>
            <w:tcW w:w="1177" w:type="dxa"/>
            <w:tcBorders>
              <w:top w:val="nil"/>
              <w:left w:val="nil"/>
              <w:bottom w:val="single" w:sz="4" w:space="0" w:color="auto"/>
              <w:right w:val="single" w:sz="4" w:space="0" w:color="auto"/>
            </w:tcBorders>
            <w:shd w:val="clear" w:color="auto" w:fill="auto"/>
            <w:noWrap/>
            <w:vAlign w:val="bottom"/>
            <w:hideMark/>
          </w:tcPr>
          <w:p w14:paraId="7440C7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-0.15338</w:t>
            </w:r>
          </w:p>
        </w:tc>
      </w:tr>
      <w:tr w:rsidR="002027D2" w:rsidRPr="008D1712" w14:paraId="16A3AB80"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B8F78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77" w:type="dxa"/>
            <w:tcBorders>
              <w:top w:val="nil"/>
              <w:left w:val="nil"/>
              <w:bottom w:val="single" w:sz="4" w:space="0" w:color="auto"/>
              <w:right w:val="single" w:sz="4" w:space="0" w:color="auto"/>
            </w:tcBorders>
            <w:shd w:val="clear" w:color="auto" w:fill="auto"/>
            <w:noWrap/>
            <w:vAlign w:val="bottom"/>
            <w:hideMark/>
          </w:tcPr>
          <w:p w14:paraId="6A00E4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-4.08995</w:t>
            </w:r>
          </w:p>
        </w:tc>
        <w:tc>
          <w:tcPr>
            <w:tcW w:w="1177" w:type="dxa"/>
            <w:tcBorders>
              <w:top w:val="nil"/>
              <w:left w:val="nil"/>
              <w:bottom w:val="single" w:sz="4" w:space="0" w:color="auto"/>
              <w:right w:val="single" w:sz="4" w:space="0" w:color="auto"/>
            </w:tcBorders>
            <w:shd w:val="clear" w:color="auto" w:fill="auto"/>
            <w:noWrap/>
            <w:vAlign w:val="bottom"/>
            <w:hideMark/>
          </w:tcPr>
          <w:p w14:paraId="3F52AF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-4.13331</w:t>
            </w:r>
          </w:p>
        </w:tc>
        <w:tc>
          <w:tcPr>
            <w:tcW w:w="1177" w:type="dxa"/>
            <w:tcBorders>
              <w:top w:val="nil"/>
              <w:left w:val="nil"/>
              <w:bottom w:val="single" w:sz="4" w:space="0" w:color="auto"/>
              <w:right w:val="single" w:sz="4" w:space="0" w:color="auto"/>
            </w:tcBorders>
            <w:shd w:val="clear" w:color="auto" w:fill="auto"/>
            <w:noWrap/>
            <w:vAlign w:val="bottom"/>
            <w:hideMark/>
          </w:tcPr>
          <w:p w14:paraId="6219E6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-0.15345</w:t>
            </w:r>
          </w:p>
        </w:tc>
      </w:tr>
      <w:tr w:rsidR="002027D2" w:rsidRPr="008D1712" w14:paraId="7D60610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FF71D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6631975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-5.48961</w:t>
            </w:r>
          </w:p>
        </w:tc>
        <w:tc>
          <w:tcPr>
            <w:tcW w:w="1177" w:type="dxa"/>
            <w:tcBorders>
              <w:top w:val="nil"/>
              <w:left w:val="nil"/>
              <w:bottom w:val="single" w:sz="4" w:space="0" w:color="auto"/>
              <w:right w:val="single" w:sz="4" w:space="0" w:color="auto"/>
            </w:tcBorders>
            <w:shd w:val="clear" w:color="auto" w:fill="auto"/>
            <w:noWrap/>
            <w:vAlign w:val="bottom"/>
            <w:hideMark/>
          </w:tcPr>
          <w:p w14:paraId="178811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-4.63457</w:t>
            </w:r>
          </w:p>
        </w:tc>
        <w:tc>
          <w:tcPr>
            <w:tcW w:w="1177" w:type="dxa"/>
            <w:tcBorders>
              <w:top w:val="nil"/>
              <w:left w:val="nil"/>
              <w:bottom w:val="single" w:sz="4" w:space="0" w:color="auto"/>
              <w:right w:val="single" w:sz="4" w:space="0" w:color="auto"/>
            </w:tcBorders>
            <w:shd w:val="clear" w:color="auto" w:fill="auto"/>
            <w:noWrap/>
            <w:vAlign w:val="bottom"/>
            <w:hideMark/>
          </w:tcPr>
          <w:p w14:paraId="5A189D8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-0.40146</w:t>
            </w:r>
          </w:p>
        </w:tc>
      </w:tr>
      <w:tr w:rsidR="002027D2" w:rsidRPr="008D1712" w14:paraId="11AECDB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576C4E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C</w:t>
            </w:r>
          </w:p>
        </w:tc>
        <w:tc>
          <w:tcPr>
            <w:tcW w:w="1177" w:type="dxa"/>
            <w:tcBorders>
              <w:top w:val="nil"/>
              <w:left w:val="nil"/>
              <w:bottom w:val="single" w:sz="4" w:space="0" w:color="auto"/>
              <w:right w:val="single" w:sz="4" w:space="0" w:color="auto"/>
            </w:tcBorders>
            <w:shd w:val="clear" w:color="auto" w:fill="auto"/>
            <w:noWrap/>
            <w:vAlign w:val="bottom"/>
            <w:hideMark/>
          </w:tcPr>
          <w:p w14:paraId="686C7B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-3.63391</w:t>
            </w:r>
          </w:p>
        </w:tc>
        <w:tc>
          <w:tcPr>
            <w:tcW w:w="1177" w:type="dxa"/>
            <w:tcBorders>
              <w:top w:val="nil"/>
              <w:left w:val="nil"/>
              <w:bottom w:val="single" w:sz="4" w:space="0" w:color="auto"/>
              <w:right w:val="single" w:sz="4" w:space="0" w:color="auto"/>
            </w:tcBorders>
            <w:shd w:val="clear" w:color="auto" w:fill="auto"/>
            <w:noWrap/>
            <w:vAlign w:val="bottom"/>
            <w:hideMark/>
          </w:tcPr>
          <w:p w14:paraId="24CAD68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-4.59545</w:t>
            </w:r>
          </w:p>
        </w:tc>
        <w:tc>
          <w:tcPr>
            <w:tcW w:w="1177" w:type="dxa"/>
            <w:tcBorders>
              <w:top w:val="nil"/>
              <w:left w:val="nil"/>
              <w:bottom w:val="single" w:sz="4" w:space="0" w:color="auto"/>
              <w:right w:val="single" w:sz="4" w:space="0" w:color="auto"/>
            </w:tcBorders>
            <w:shd w:val="clear" w:color="auto" w:fill="auto"/>
            <w:noWrap/>
            <w:vAlign w:val="bottom"/>
            <w:hideMark/>
          </w:tcPr>
          <w:p w14:paraId="149420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1.209591</w:t>
            </w:r>
          </w:p>
        </w:tc>
      </w:tr>
      <w:tr w:rsidR="002027D2" w:rsidRPr="008D1712" w14:paraId="6F647A7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A161C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D55F73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-3.14533</w:t>
            </w:r>
          </w:p>
        </w:tc>
        <w:tc>
          <w:tcPr>
            <w:tcW w:w="1177" w:type="dxa"/>
            <w:tcBorders>
              <w:top w:val="nil"/>
              <w:left w:val="nil"/>
              <w:bottom w:val="single" w:sz="4" w:space="0" w:color="auto"/>
              <w:right w:val="single" w:sz="4" w:space="0" w:color="auto"/>
            </w:tcBorders>
            <w:shd w:val="clear" w:color="auto" w:fill="auto"/>
            <w:noWrap/>
            <w:vAlign w:val="bottom"/>
            <w:hideMark/>
          </w:tcPr>
          <w:p w14:paraId="25FA4D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-4.70277</w:t>
            </w:r>
          </w:p>
        </w:tc>
        <w:tc>
          <w:tcPr>
            <w:tcW w:w="1177" w:type="dxa"/>
            <w:tcBorders>
              <w:top w:val="nil"/>
              <w:left w:val="nil"/>
              <w:bottom w:val="single" w:sz="4" w:space="0" w:color="auto"/>
              <w:right w:val="single" w:sz="4" w:space="0" w:color="auto"/>
            </w:tcBorders>
            <w:shd w:val="clear" w:color="auto" w:fill="auto"/>
            <w:noWrap/>
            <w:vAlign w:val="bottom"/>
            <w:hideMark/>
          </w:tcPr>
          <w:p w14:paraId="0E83BF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-1.18992</w:t>
            </w:r>
          </w:p>
        </w:tc>
      </w:tr>
      <w:tr w:rsidR="002027D2" w:rsidRPr="008D1712" w14:paraId="652F7A69"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CBA363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0EBF9F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1.926878</w:t>
            </w:r>
          </w:p>
        </w:tc>
        <w:tc>
          <w:tcPr>
            <w:tcW w:w="1177" w:type="dxa"/>
            <w:tcBorders>
              <w:top w:val="nil"/>
              <w:left w:val="nil"/>
              <w:bottom w:val="single" w:sz="4" w:space="0" w:color="auto"/>
              <w:right w:val="single" w:sz="4" w:space="0" w:color="auto"/>
            </w:tcBorders>
            <w:shd w:val="clear" w:color="auto" w:fill="auto"/>
            <w:noWrap/>
            <w:vAlign w:val="bottom"/>
            <w:hideMark/>
          </w:tcPr>
          <w:p w14:paraId="684EF80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-1.07322</w:t>
            </w:r>
          </w:p>
        </w:tc>
        <w:tc>
          <w:tcPr>
            <w:tcW w:w="1177" w:type="dxa"/>
            <w:tcBorders>
              <w:top w:val="nil"/>
              <w:left w:val="nil"/>
              <w:bottom w:val="single" w:sz="4" w:space="0" w:color="auto"/>
              <w:right w:val="single" w:sz="4" w:space="0" w:color="auto"/>
            </w:tcBorders>
            <w:shd w:val="clear" w:color="auto" w:fill="auto"/>
            <w:noWrap/>
            <w:vAlign w:val="bottom"/>
            <w:hideMark/>
          </w:tcPr>
          <w:p w14:paraId="388F1B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-0.76522</w:t>
            </w:r>
          </w:p>
        </w:tc>
      </w:tr>
      <w:tr w:rsidR="002027D2" w:rsidRPr="008D1712" w14:paraId="17330C7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977FF2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B83B84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3.202724</w:t>
            </w:r>
          </w:p>
        </w:tc>
        <w:tc>
          <w:tcPr>
            <w:tcW w:w="1177" w:type="dxa"/>
            <w:tcBorders>
              <w:top w:val="nil"/>
              <w:left w:val="nil"/>
              <w:bottom w:val="single" w:sz="4" w:space="0" w:color="auto"/>
              <w:right w:val="single" w:sz="4" w:space="0" w:color="auto"/>
            </w:tcBorders>
            <w:shd w:val="clear" w:color="auto" w:fill="auto"/>
            <w:noWrap/>
            <w:vAlign w:val="bottom"/>
            <w:hideMark/>
          </w:tcPr>
          <w:p w14:paraId="47408D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-0.5376</w:t>
            </w:r>
          </w:p>
        </w:tc>
        <w:tc>
          <w:tcPr>
            <w:tcW w:w="1177" w:type="dxa"/>
            <w:tcBorders>
              <w:top w:val="nil"/>
              <w:left w:val="nil"/>
              <w:bottom w:val="single" w:sz="4" w:space="0" w:color="auto"/>
              <w:right w:val="single" w:sz="4" w:space="0" w:color="auto"/>
            </w:tcBorders>
            <w:shd w:val="clear" w:color="auto" w:fill="auto"/>
            <w:noWrap/>
            <w:vAlign w:val="bottom"/>
            <w:hideMark/>
          </w:tcPr>
          <w:p w14:paraId="129272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-0.937</w:t>
            </w:r>
          </w:p>
        </w:tc>
      </w:tr>
      <w:tr w:rsidR="002027D2" w:rsidRPr="008D1712" w14:paraId="388A09A0"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C718B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4AFD5F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3.727409</w:t>
            </w:r>
          </w:p>
        </w:tc>
        <w:tc>
          <w:tcPr>
            <w:tcW w:w="1177" w:type="dxa"/>
            <w:tcBorders>
              <w:top w:val="nil"/>
              <w:left w:val="nil"/>
              <w:bottom w:val="single" w:sz="4" w:space="0" w:color="auto"/>
              <w:right w:val="single" w:sz="4" w:space="0" w:color="auto"/>
            </w:tcBorders>
            <w:shd w:val="clear" w:color="auto" w:fill="auto"/>
            <w:noWrap/>
            <w:vAlign w:val="bottom"/>
            <w:hideMark/>
          </w:tcPr>
          <w:p w14:paraId="7548B25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0.877632</w:t>
            </w:r>
          </w:p>
        </w:tc>
        <w:tc>
          <w:tcPr>
            <w:tcW w:w="1177" w:type="dxa"/>
            <w:tcBorders>
              <w:top w:val="nil"/>
              <w:left w:val="nil"/>
              <w:bottom w:val="single" w:sz="4" w:space="0" w:color="auto"/>
              <w:right w:val="single" w:sz="4" w:space="0" w:color="auto"/>
            </w:tcBorders>
            <w:shd w:val="clear" w:color="auto" w:fill="auto"/>
            <w:noWrap/>
            <w:vAlign w:val="bottom"/>
            <w:hideMark/>
          </w:tcPr>
          <w:p w14:paraId="00EDA97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-0.61929</w:t>
            </w:r>
          </w:p>
        </w:tc>
      </w:tr>
      <w:tr w:rsidR="002027D2" w:rsidRPr="008D1712" w14:paraId="5B3C3142"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2A014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77" w:type="dxa"/>
            <w:tcBorders>
              <w:top w:val="nil"/>
              <w:left w:val="nil"/>
              <w:bottom w:val="single" w:sz="4" w:space="0" w:color="auto"/>
              <w:right w:val="single" w:sz="4" w:space="0" w:color="auto"/>
            </w:tcBorders>
            <w:shd w:val="clear" w:color="auto" w:fill="auto"/>
            <w:noWrap/>
            <w:vAlign w:val="bottom"/>
            <w:hideMark/>
          </w:tcPr>
          <w:p w14:paraId="722FC14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4.22958</w:t>
            </w:r>
          </w:p>
        </w:tc>
        <w:tc>
          <w:tcPr>
            <w:tcW w:w="1177" w:type="dxa"/>
            <w:tcBorders>
              <w:top w:val="nil"/>
              <w:left w:val="nil"/>
              <w:bottom w:val="single" w:sz="4" w:space="0" w:color="auto"/>
              <w:right w:val="single" w:sz="4" w:space="0" w:color="auto"/>
            </w:tcBorders>
            <w:shd w:val="clear" w:color="auto" w:fill="auto"/>
            <w:noWrap/>
            <w:vAlign w:val="bottom"/>
            <w:hideMark/>
          </w:tcPr>
          <w:p w14:paraId="2D166B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-1.24834</w:t>
            </w:r>
          </w:p>
        </w:tc>
        <w:tc>
          <w:tcPr>
            <w:tcW w:w="1177" w:type="dxa"/>
            <w:tcBorders>
              <w:top w:val="nil"/>
              <w:left w:val="nil"/>
              <w:bottom w:val="single" w:sz="4" w:space="0" w:color="auto"/>
              <w:right w:val="single" w:sz="4" w:space="0" w:color="auto"/>
            </w:tcBorders>
            <w:shd w:val="clear" w:color="auto" w:fill="auto"/>
            <w:noWrap/>
            <w:vAlign w:val="bottom"/>
            <w:hideMark/>
          </w:tcPr>
          <w:p w14:paraId="50189C9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-1.55691</w:t>
            </w:r>
          </w:p>
        </w:tc>
      </w:tr>
      <w:tr w:rsidR="002027D2" w:rsidRPr="008D1712" w14:paraId="5FC83979"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F3A9A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636AB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5.350371</w:t>
            </w:r>
          </w:p>
        </w:tc>
        <w:tc>
          <w:tcPr>
            <w:tcW w:w="1177" w:type="dxa"/>
            <w:tcBorders>
              <w:top w:val="nil"/>
              <w:left w:val="nil"/>
              <w:bottom w:val="single" w:sz="4" w:space="0" w:color="auto"/>
              <w:right w:val="single" w:sz="4" w:space="0" w:color="auto"/>
            </w:tcBorders>
            <w:shd w:val="clear" w:color="auto" w:fill="auto"/>
            <w:noWrap/>
            <w:vAlign w:val="bottom"/>
            <w:hideMark/>
          </w:tcPr>
          <w:p w14:paraId="2A5339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-0.42193</w:t>
            </w:r>
          </w:p>
        </w:tc>
        <w:tc>
          <w:tcPr>
            <w:tcW w:w="1177" w:type="dxa"/>
            <w:tcBorders>
              <w:top w:val="nil"/>
              <w:left w:val="nil"/>
              <w:bottom w:val="single" w:sz="4" w:space="0" w:color="auto"/>
              <w:right w:val="single" w:sz="4" w:space="0" w:color="auto"/>
            </w:tcBorders>
            <w:shd w:val="clear" w:color="auto" w:fill="auto"/>
            <w:noWrap/>
            <w:vAlign w:val="bottom"/>
            <w:hideMark/>
          </w:tcPr>
          <w:p w14:paraId="55D823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-1.80445</w:t>
            </w:r>
          </w:p>
        </w:tc>
      </w:tr>
      <w:tr w:rsidR="002027D2" w:rsidRPr="008D1712" w14:paraId="2B16E5D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F51AF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1BBED6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5.109258</w:t>
            </w:r>
          </w:p>
        </w:tc>
        <w:tc>
          <w:tcPr>
            <w:tcW w:w="1177" w:type="dxa"/>
            <w:tcBorders>
              <w:top w:val="nil"/>
              <w:left w:val="nil"/>
              <w:bottom w:val="single" w:sz="4" w:space="0" w:color="auto"/>
              <w:right w:val="single" w:sz="4" w:space="0" w:color="auto"/>
            </w:tcBorders>
            <w:shd w:val="clear" w:color="auto" w:fill="auto"/>
            <w:noWrap/>
            <w:vAlign w:val="bottom"/>
            <w:hideMark/>
          </w:tcPr>
          <w:p w14:paraId="0332B33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0.846562</w:t>
            </w:r>
          </w:p>
        </w:tc>
        <w:tc>
          <w:tcPr>
            <w:tcW w:w="1177" w:type="dxa"/>
            <w:tcBorders>
              <w:top w:val="nil"/>
              <w:left w:val="nil"/>
              <w:bottom w:val="single" w:sz="4" w:space="0" w:color="auto"/>
              <w:right w:val="single" w:sz="4" w:space="0" w:color="auto"/>
            </w:tcBorders>
            <w:shd w:val="clear" w:color="auto" w:fill="auto"/>
            <w:noWrap/>
            <w:vAlign w:val="bottom"/>
            <w:hideMark/>
          </w:tcPr>
          <w:p w14:paraId="4B12CB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-1.25232</w:t>
            </w:r>
          </w:p>
        </w:tc>
      </w:tr>
      <w:tr w:rsidR="002027D2" w:rsidRPr="008D1712" w14:paraId="3D75150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87D4EB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6A4281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2.857274</w:t>
            </w:r>
          </w:p>
        </w:tc>
        <w:tc>
          <w:tcPr>
            <w:tcW w:w="1177" w:type="dxa"/>
            <w:tcBorders>
              <w:top w:val="nil"/>
              <w:left w:val="nil"/>
              <w:bottom w:val="single" w:sz="4" w:space="0" w:color="auto"/>
              <w:right w:val="single" w:sz="4" w:space="0" w:color="auto"/>
            </w:tcBorders>
            <w:shd w:val="clear" w:color="auto" w:fill="auto"/>
            <w:noWrap/>
            <w:vAlign w:val="bottom"/>
            <w:hideMark/>
          </w:tcPr>
          <w:p w14:paraId="146A1C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1.984979</w:t>
            </w:r>
          </w:p>
        </w:tc>
        <w:tc>
          <w:tcPr>
            <w:tcW w:w="1177" w:type="dxa"/>
            <w:tcBorders>
              <w:top w:val="nil"/>
              <w:left w:val="nil"/>
              <w:bottom w:val="single" w:sz="4" w:space="0" w:color="auto"/>
              <w:right w:val="single" w:sz="4" w:space="0" w:color="auto"/>
            </w:tcBorders>
            <w:shd w:val="clear" w:color="auto" w:fill="auto"/>
            <w:noWrap/>
            <w:vAlign w:val="bottom"/>
            <w:hideMark/>
          </w:tcPr>
          <w:p w14:paraId="45C54F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-1.26159</w:t>
            </w:r>
          </w:p>
        </w:tc>
      </w:tr>
      <w:tr w:rsidR="002027D2" w:rsidRPr="008D1712" w14:paraId="51095FF5"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FB5BA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09C6D9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3.846765</w:t>
            </w:r>
          </w:p>
        </w:tc>
        <w:tc>
          <w:tcPr>
            <w:tcW w:w="1177" w:type="dxa"/>
            <w:tcBorders>
              <w:top w:val="nil"/>
              <w:left w:val="nil"/>
              <w:bottom w:val="single" w:sz="4" w:space="0" w:color="auto"/>
              <w:right w:val="single" w:sz="4" w:space="0" w:color="auto"/>
            </w:tcBorders>
            <w:shd w:val="clear" w:color="auto" w:fill="auto"/>
            <w:noWrap/>
            <w:vAlign w:val="bottom"/>
            <w:hideMark/>
          </w:tcPr>
          <w:p w14:paraId="2CA284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1.095672</w:t>
            </w:r>
          </w:p>
        </w:tc>
        <w:tc>
          <w:tcPr>
            <w:tcW w:w="1177" w:type="dxa"/>
            <w:tcBorders>
              <w:top w:val="nil"/>
              <w:left w:val="nil"/>
              <w:bottom w:val="single" w:sz="4" w:space="0" w:color="auto"/>
              <w:right w:val="single" w:sz="4" w:space="0" w:color="auto"/>
            </w:tcBorders>
            <w:shd w:val="clear" w:color="auto" w:fill="auto"/>
            <w:noWrap/>
            <w:vAlign w:val="bottom"/>
            <w:hideMark/>
          </w:tcPr>
          <w:p w14:paraId="71BF400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0.914258</w:t>
            </w:r>
          </w:p>
        </w:tc>
      </w:tr>
      <w:tr w:rsidR="002027D2" w:rsidRPr="008D1712" w14:paraId="42FC0D1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FB3120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43C81A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4.276438</w:t>
            </w:r>
          </w:p>
        </w:tc>
        <w:tc>
          <w:tcPr>
            <w:tcW w:w="1177" w:type="dxa"/>
            <w:tcBorders>
              <w:top w:val="nil"/>
              <w:left w:val="nil"/>
              <w:bottom w:val="single" w:sz="4" w:space="0" w:color="auto"/>
              <w:right w:val="single" w:sz="4" w:space="0" w:color="auto"/>
            </w:tcBorders>
            <w:shd w:val="clear" w:color="auto" w:fill="auto"/>
            <w:noWrap/>
            <w:vAlign w:val="bottom"/>
            <w:hideMark/>
          </w:tcPr>
          <w:p w14:paraId="6EA3AC3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-2.68565</w:t>
            </w:r>
          </w:p>
        </w:tc>
        <w:tc>
          <w:tcPr>
            <w:tcW w:w="1177" w:type="dxa"/>
            <w:tcBorders>
              <w:top w:val="nil"/>
              <w:left w:val="nil"/>
              <w:bottom w:val="single" w:sz="4" w:space="0" w:color="auto"/>
              <w:right w:val="single" w:sz="4" w:space="0" w:color="auto"/>
            </w:tcBorders>
            <w:shd w:val="clear" w:color="auto" w:fill="auto"/>
            <w:noWrap/>
            <w:vAlign w:val="bottom"/>
            <w:hideMark/>
          </w:tcPr>
          <w:p w14:paraId="181399B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-1.79043</w:t>
            </w:r>
          </w:p>
        </w:tc>
      </w:tr>
      <w:tr w:rsidR="002027D2" w:rsidRPr="008D1712" w14:paraId="2AEFF965"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A900E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6383F7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5.305751</w:t>
            </w:r>
          </w:p>
        </w:tc>
        <w:tc>
          <w:tcPr>
            <w:tcW w:w="1177" w:type="dxa"/>
            <w:tcBorders>
              <w:top w:val="nil"/>
              <w:left w:val="nil"/>
              <w:bottom w:val="single" w:sz="4" w:space="0" w:color="auto"/>
              <w:right w:val="single" w:sz="4" w:space="0" w:color="auto"/>
            </w:tcBorders>
            <w:shd w:val="clear" w:color="auto" w:fill="auto"/>
            <w:noWrap/>
            <w:vAlign w:val="bottom"/>
            <w:hideMark/>
          </w:tcPr>
          <w:p w14:paraId="58AD66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-3.40002</w:t>
            </w:r>
          </w:p>
        </w:tc>
        <w:tc>
          <w:tcPr>
            <w:tcW w:w="1177" w:type="dxa"/>
            <w:tcBorders>
              <w:top w:val="nil"/>
              <w:left w:val="nil"/>
              <w:bottom w:val="single" w:sz="4" w:space="0" w:color="auto"/>
              <w:right w:val="single" w:sz="4" w:space="0" w:color="auto"/>
            </w:tcBorders>
            <w:shd w:val="clear" w:color="auto" w:fill="auto"/>
            <w:noWrap/>
            <w:vAlign w:val="bottom"/>
            <w:hideMark/>
          </w:tcPr>
          <w:p w14:paraId="0F36232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-0.87079</w:t>
            </w:r>
          </w:p>
        </w:tc>
      </w:tr>
      <w:tr w:rsidR="002027D2" w:rsidRPr="008D1712" w14:paraId="493B449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33F6A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42D98C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5.018919</w:t>
            </w:r>
          </w:p>
        </w:tc>
        <w:tc>
          <w:tcPr>
            <w:tcW w:w="1177" w:type="dxa"/>
            <w:tcBorders>
              <w:top w:val="nil"/>
              <w:left w:val="nil"/>
              <w:bottom w:val="single" w:sz="4" w:space="0" w:color="auto"/>
              <w:right w:val="single" w:sz="4" w:space="0" w:color="auto"/>
            </w:tcBorders>
            <w:shd w:val="clear" w:color="auto" w:fill="auto"/>
            <w:noWrap/>
            <w:vAlign w:val="bottom"/>
            <w:hideMark/>
          </w:tcPr>
          <w:p w14:paraId="2EF98F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-3.13934</w:t>
            </w:r>
          </w:p>
        </w:tc>
        <w:tc>
          <w:tcPr>
            <w:tcW w:w="1177" w:type="dxa"/>
            <w:tcBorders>
              <w:top w:val="nil"/>
              <w:left w:val="nil"/>
              <w:bottom w:val="single" w:sz="4" w:space="0" w:color="auto"/>
              <w:right w:val="single" w:sz="4" w:space="0" w:color="auto"/>
            </w:tcBorders>
            <w:shd w:val="clear" w:color="auto" w:fill="auto"/>
            <w:noWrap/>
            <w:vAlign w:val="bottom"/>
            <w:hideMark/>
          </w:tcPr>
          <w:p w14:paraId="36FDFF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0.610624</w:t>
            </w:r>
          </w:p>
        </w:tc>
      </w:tr>
      <w:tr w:rsidR="002027D2" w:rsidRPr="008D1712" w14:paraId="17A7B5C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1C253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77" w:type="dxa"/>
            <w:tcBorders>
              <w:top w:val="nil"/>
              <w:left w:val="nil"/>
              <w:bottom w:val="single" w:sz="4" w:space="0" w:color="auto"/>
              <w:right w:val="single" w:sz="4" w:space="0" w:color="auto"/>
            </w:tcBorders>
            <w:shd w:val="clear" w:color="auto" w:fill="auto"/>
            <w:noWrap/>
            <w:vAlign w:val="bottom"/>
            <w:hideMark/>
          </w:tcPr>
          <w:p w14:paraId="16FA0F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6.225617</w:t>
            </w:r>
          </w:p>
        </w:tc>
        <w:tc>
          <w:tcPr>
            <w:tcW w:w="1177" w:type="dxa"/>
            <w:tcBorders>
              <w:top w:val="nil"/>
              <w:left w:val="nil"/>
              <w:bottom w:val="single" w:sz="4" w:space="0" w:color="auto"/>
              <w:right w:val="single" w:sz="4" w:space="0" w:color="auto"/>
            </w:tcBorders>
            <w:shd w:val="clear" w:color="auto" w:fill="auto"/>
            <w:noWrap/>
            <w:vAlign w:val="bottom"/>
            <w:hideMark/>
          </w:tcPr>
          <w:p w14:paraId="122D43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-3.28592</w:t>
            </w:r>
          </w:p>
        </w:tc>
        <w:tc>
          <w:tcPr>
            <w:tcW w:w="1177" w:type="dxa"/>
            <w:tcBorders>
              <w:top w:val="nil"/>
              <w:left w:val="nil"/>
              <w:bottom w:val="single" w:sz="4" w:space="0" w:color="auto"/>
              <w:right w:val="single" w:sz="4" w:space="0" w:color="auto"/>
            </w:tcBorders>
            <w:shd w:val="clear" w:color="auto" w:fill="auto"/>
            <w:noWrap/>
            <w:vAlign w:val="bottom"/>
            <w:hideMark/>
          </w:tcPr>
          <w:p w14:paraId="6D7409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1.551108</w:t>
            </w:r>
          </w:p>
        </w:tc>
      </w:tr>
      <w:tr w:rsidR="002027D2" w:rsidRPr="008D1712" w14:paraId="2A4902F3"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7F5DD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4E4041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7.249382</w:t>
            </w:r>
          </w:p>
        </w:tc>
        <w:tc>
          <w:tcPr>
            <w:tcW w:w="1177" w:type="dxa"/>
            <w:tcBorders>
              <w:top w:val="nil"/>
              <w:left w:val="nil"/>
              <w:bottom w:val="single" w:sz="4" w:space="0" w:color="auto"/>
              <w:right w:val="single" w:sz="4" w:space="0" w:color="auto"/>
            </w:tcBorders>
            <w:shd w:val="clear" w:color="auto" w:fill="auto"/>
            <w:noWrap/>
            <w:vAlign w:val="bottom"/>
            <w:hideMark/>
          </w:tcPr>
          <w:p w14:paraId="120BCA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-2.20246</w:t>
            </w:r>
          </w:p>
        </w:tc>
        <w:tc>
          <w:tcPr>
            <w:tcW w:w="1177" w:type="dxa"/>
            <w:tcBorders>
              <w:top w:val="nil"/>
              <w:left w:val="nil"/>
              <w:bottom w:val="single" w:sz="4" w:space="0" w:color="auto"/>
              <w:right w:val="single" w:sz="4" w:space="0" w:color="auto"/>
            </w:tcBorders>
            <w:shd w:val="clear" w:color="auto" w:fill="auto"/>
            <w:noWrap/>
            <w:vAlign w:val="bottom"/>
            <w:hideMark/>
          </w:tcPr>
          <w:p w14:paraId="6966DD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1.293975</w:t>
            </w:r>
          </w:p>
        </w:tc>
      </w:tr>
      <w:tr w:rsidR="002027D2" w:rsidRPr="008D1712" w14:paraId="5198E76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E02FD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63B638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5.729782</w:t>
            </w:r>
          </w:p>
        </w:tc>
        <w:tc>
          <w:tcPr>
            <w:tcW w:w="1177" w:type="dxa"/>
            <w:tcBorders>
              <w:top w:val="nil"/>
              <w:left w:val="nil"/>
              <w:bottom w:val="single" w:sz="4" w:space="0" w:color="auto"/>
              <w:right w:val="single" w:sz="4" w:space="0" w:color="auto"/>
            </w:tcBorders>
            <w:shd w:val="clear" w:color="auto" w:fill="auto"/>
            <w:noWrap/>
            <w:vAlign w:val="bottom"/>
            <w:hideMark/>
          </w:tcPr>
          <w:p w14:paraId="6098D7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-3.14335</w:t>
            </w:r>
          </w:p>
        </w:tc>
        <w:tc>
          <w:tcPr>
            <w:tcW w:w="1177" w:type="dxa"/>
            <w:tcBorders>
              <w:top w:val="nil"/>
              <w:left w:val="nil"/>
              <w:bottom w:val="single" w:sz="4" w:space="0" w:color="auto"/>
              <w:right w:val="single" w:sz="4" w:space="0" w:color="auto"/>
            </w:tcBorders>
            <w:shd w:val="clear" w:color="auto" w:fill="auto"/>
            <w:noWrap/>
            <w:vAlign w:val="bottom"/>
            <w:hideMark/>
          </w:tcPr>
          <w:p w14:paraId="629D8F8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2.972551</w:t>
            </w:r>
          </w:p>
        </w:tc>
      </w:tr>
      <w:tr w:rsidR="002027D2" w:rsidRPr="008D1712" w14:paraId="6A16D72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1F1D8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661E77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6.866647</w:t>
            </w:r>
          </w:p>
        </w:tc>
        <w:tc>
          <w:tcPr>
            <w:tcW w:w="1177" w:type="dxa"/>
            <w:tcBorders>
              <w:top w:val="nil"/>
              <w:left w:val="nil"/>
              <w:bottom w:val="single" w:sz="4" w:space="0" w:color="auto"/>
              <w:right w:val="single" w:sz="4" w:space="0" w:color="auto"/>
            </w:tcBorders>
            <w:shd w:val="clear" w:color="auto" w:fill="auto"/>
            <w:noWrap/>
            <w:vAlign w:val="bottom"/>
            <w:hideMark/>
          </w:tcPr>
          <w:p w14:paraId="39CE7F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-4.64215</w:t>
            </w:r>
          </w:p>
        </w:tc>
        <w:tc>
          <w:tcPr>
            <w:tcW w:w="1177" w:type="dxa"/>
            <w:tcBorders>
              <w:top w:val="nil"/>
              <w:left w:val="nil"/>
              <w:bottom w:val="single" w:sz="4" w:space="0" w:color="auto"/>
              <w:right w:val="single" w:sz="4" w:space="0" w:color="auto"/>
            </w:tcBorders>
            <w:shd w:val="clear" w:color="auto" w:fill="auto"/>
            <w:noWrap/>
            <w:vAlign w:val="bottom"/>
            <w:hideMark/>
          </w:tcPr>
          <w:p w14:paraId="420C39E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1.388298</w:t>
            </w:r>
          </w:p>
        </w:tc>
      </w:tr>
      <w:tr w:rsidR="002027D2" w:rsidRPr="008D1712" w14:paraId="26FC2DD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9487A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C7F86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6.074633</w:t>
            </w:r>
          </w:p>
        </w:tc>
        <w:tc>
          <w:tcPr>
            <w:tcW w:w="1177" w:type="dxa"/>
            <w:tcBorders>
              <w:top w:val="nil"/>
              <w:left w:val="nil"/>
              <w:bottom w:val="single" w:sz="4" w:space="0" w:color="auto"/>
              <w:right w:val="single" w:sz="4" w:space="0" w:color="auto"/>
            </w:tcBorders>
            <w:shd w:val="clear" w:color="auto" w:fill="auto"/>
            <w:noWrap/>
            <w:vAlign w:val="bottom"/>
            <w:hideMark/>
          </w:tcPr>
          <w:p w14:paraId="035A18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1.847934</w:t>
            </w:r>
          </w:p>
        </w:tc>
        <w:tc>
          <w:tcPr>
            <w:tcW w:w="1177" w:type="dxa"/>
            <w:tcBorders>
              <w:top w:val="nil"/>
              <w:left w:val="nil"/>
              <w:bottom w:val="single" w:sz="4" w:space="0" w:color="auto"/>
              <w:right w:val="single" w:sz="4" w:space="0" w:color="auto"/>
            </w:tcBorders>
            <w:shd w:val="clear" w:color="auto" w:fill="auto"/>
            <w:noWrap/>
            <w:vAlign w:val="bottom"/>
            <w:hideMark/>
          </w:tcPr>
          <w:p w14:paraId="3269FC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-1.34484</w:t>
            </w:r>
          </w:p>
        </w:tc>
      </w:tr>
      <w:tr w:rsidR="002027D2" w:rsidRPr="008D1712" w14:paraId="63846C5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377E6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19CFC27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6.534</w:t>
            </w:r>
          </w:p>
        </w:tc>
        <w:tc>
          <w:tcPr>
            <w:tcW w:w="1177" w:type="dxa"/>
            <w:tcBorders>
              <w:top w:val="nil"/>
              <w:left w:val="nil"/>
              <w:bottom w:val="single" w:sz="4" w:space="0" w:color="auto"/>
              <w:right w:val="single" w:sz="4" w:space="0" w:color="auto"/>
            </w:tcBorders>
            <w:shd w:val="clear" w:color="auto" w:fill="auto"/>
            <w:noWrap/>
            <w:vAlign w:val="bottom"/>
            <w:hideMark/>
          </w:tcPr>
          <w:p w14:paraId="5263DAB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-0.71677</w:t>
            </w:r>
          </w:p>
        </w:tc>
        <w:tc>
          <w:tcPr>
            <w:tcW w:w="1177" w:type="dxa"/>
            <w:tcBorders>
              <w:top w:val="nil"/>
              <w:left w:val="nil"/>
              <w:bottom w:val="single" w:sz="4" w:space="0" w:color="auto"/>
              <w:right w:val="single" w:sz="4" w:space="0" w:color="auto"/>
            </w:tcBorders>
            <w:shd w:val="clear" w:color="auto" w:fill="auto"/>
            <w:noWrap/>
            <w:vAlign w:val="bottom"/>
            <w:hideMark/>
          </w:tcPr>
          <w:p w14:paraId="5BC9B0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-2.49741</w:t>
            </w:r>
          </w:p>
        </w:tc>
      </w:tr>
      <w:tr w:rsidR="002027D2" w:rsidRPr="008D1712" w14:paraId="3DC78C5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A3E64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6B0186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7.505885</w:t>
            </w:r>
          </w:p>
        </w:tc>
        <w:tc>
          <w:tcPr>
            <w:tcW w:w="1177" w:type="dxa"/>
            <w:tcBorders>
              <w:top w:val="nil"/>
              <w:left w:val="nil"/>
              <w:bottom w:val="single" w:sz="4" w:space="0" w:color="auto"/>
              <w:right w:val="single" w:sz="4" w:space="0" w:color="auto"/>
            </w:tcBorders>
            <w:shd w:val="clear" w:color="auto" w:fill="auto"/>
            <w:noWrap/>
            <w:vAlign w:val="bottom"/>
            <w:hideMark/>
          </w:tcPr>
          <w:p w14:paraId="5CA5D28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0.295196</w:t>
            </w:r>
          </w:p>
        </w:tc>
        <w:tc>
          <w:tcPr>
            <w:tcW w:w="1177" w:type="dxa"/>
            <w:tcBorders>
              <w:top w:val="nil"/>
              <w:left w:val="nil"/>
              <w:bottom w:val="single" w:sz="4" w:space="0" w:color="auto"/>
              <w:right w:val="single" w:sz="4" w:space="0" w:color="auto"/>
            </w:tcBorders>
            <w:shd w:val="clear" w:color="auto" w:fill="auto"/>
            <w:noWrap/>
            <w:vAlign w:val="bottom"/>
            <w:hideMark/>
          </w:tcPr>
          <w:p w14:paraId="608A897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-2.59685</w:t>
            </w:r>
          </w:p>
        </w:tc>
      </w:tr>
      <w:tr w:rsidR="002027D2" w:rsidRPr="008D1712" w14:paraId="7FE523EA"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B5ED83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09999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7.280528</w:t>
            </w:r>
          </w:p>
        </w:tc>
        <w:tc>
          <w:tcPr>
            <w:tcW w:w="1177" w:type="dxa"/>
            <w:tcBorders>
              <w:top w:val="nil"/>
              <w:left w:val="nil"/>
              <w:bottom w:val="single" w:sz="4" w:space="0" w:color="auto"/>
              <w:right w:val="single" w:sz="4" w:space="0" w:color="auto"/>
            </w:tcBorders>
            <w:shd w:val="clear" w:color="auto" w:fill="auto"/>
            <w:noWrap/>
            <w:vAlign w:val="bottom"/>
            <w:hideMark/>
          </w:tcPr>
          <w:p w14:paraId="4F968C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1.554247</w:t>
            </w:r>
          </w:p>
        </w:tc>
        <w:tc>
          <w:tcPr>
            <w:tcW w:w="1177" w:type="dxa"/>
            <w:tcBorders>
              <w:top w:val="nil"/>
              <w:left w:val="nil"/>
              <w:bottom w:val="single" w:sz="4" w:space="0" w:color="auto"/>
              <w:right w:val="single" w:sz="4" w:space="0" w:color="auto"/>
            </w:tcBorders>
            <w:shd w:val="clear" w:color="auto" w:fill="auto"/>
            <w:noWrap/>
            <w:vAlign w:val="bottom"/>
            <w:hideMark/>
          </w:tcPr>
          <w:p w14:paraId="5DA437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-2.01324</w:t>
            </w:r>
          </w:p>
        </w:tc>
      </w:tr>
      <w:tr w:rsidR="002027D2" w:rsidRPr="008D1712" w14:paraId="21B6AC95"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49FCA2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Br</w:t>
            </w:r>
          </w:p>
        </w:tc>
        <w:tc>
          <w:tcPr>
            <w:tcW w:w="1177" w:type="dxa"/>
            <w:tcBorders>
              <w:top w:val="nil"/>
              <w:left w:val="nil"/>
              <w:bottom w:val="single" w:sz="4" w:space="0" w:color="auto"/>
              <w:right w:val="single" w:sz="4" w:space="0" w:color="auto"/>
            </w:tcBorders>
            <w:shd w:val="clear" w:color="auto" w:fill="auto"/>
            <w:noWrap/>
            <w:vAlign w:val="bottom"/>
            <w:hideMark/>
          </w:tcPr>
          <w:p w14:paraId="511B4E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8.626895</w:t>
            </w:r>
          </w:p>
        </w:tc>
        <w:tc>
          <w:tcPr>
            <w:tcW w:w="1177" w:type="dxa"/>
            <w:tcBorders>
              <w:top w:val="nil"/>
              <w:left w:val="nil"/>
              <w:bottom w:val="single" w:sz="4" w:space="0" w:color="auto"/>
              <w:right w:val="single" w:sz="4" w:space="0" w:color="auto"/>
            </w:tcBorders>
            <w:shd w:val="clear" w:color="auto" w:fill="auto"/>
            <w:noWrap/>
            <w:vAlign w:val="bottom"/>
            <w:hideMark/>
          </w:tcPr>
          <w:p w14:paraId="1F8C3E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2.895853</w:t>
            </w:r>
          </w:p>
        </w:tc>
        <w:tc>
          <w:tcPr>
            <w:tcW w:w="1177" w:type="dxa"/>
            <w:tcBorders>
              <w:top w:val="nil"/>
              <w:left w:val="nil"/>
              <w:bottom w:val="single" w:sz="4" w:space="0" w:color="auto"/>
              <w:right w:val="single" w:sz="4" w:space="0" w:color="auto"/>
            </w:tcBorders>
            <w:shd w:val="clear" w:color="auto" w:fill="auto"/>
            <w:noWrap/>
            <w:vAlign w:val="bottom"/>
            <w:hideMark/>
          </w:tcPr>
          <w:p w14:paraId="623EE3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-2.12774</w:t>
            </w:r>
          </w:p>
        </w:tc>
      </w:tr>
      <w:tr w:rsidR="002027D2" w:rsidRPr="008D1712" w14:paraId="2484D13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80799E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Br</w:t>
            </w:r>
          </w:p>
        </w:tc>
        <w:tc>
          <w:tcPr>
            <w:tcW w:w="1177" w:type="dxa"/>
            <w:tcBorders>
              <w:top w:val="nil"/>
              <w:left w:val="nil"/>
              <w:bottom w:val="single" w:sz="4" w:space="0" w:color="auto"/>
              <w:right w:val="single" w:sz="4" w:space="0" w:color="auto"/>
            </w:tcBorders>
            <w:shd w:val="clear" w:color="auto" w:fill="auto"/>
            <w:noWrap/>
            <w:vAlign w:val="bottom"/>
            <w:hideMark/>
          </w:tcPr>
          <w:p w14:paraId="56A93C7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-9.89709</w:t>
            </w:r>
          </w:p>
        </w:tc>
        <w:tc>
          <w:tcPr>
            <w:tcW w:w="1177" w:type="dxa"/>
            <w:tcBorders>
              <w:top w:val="nil"/>
              <w:left w:val="nil"/>
              <w:bottom w:val="single" w:sz="4" w:space="0" w:color="auto"/>
              <w:right w:val="single" w:sz="4" w:space="0" w:color="auto"/>
            </w:tcBorders>
            <w:shd w:val="clear" w:color="auto" w:fill="auto"/>
            <w:noWrap/>
            <w:vAlign w:val="bottom"/>
            <w:hideMark/>
          </w:tcPr>
          <w:p w14:paraId="358093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2.753659</w:t>
            </w:r>
          </w:p>
        </w:tc>
        <w:tc>
          <w:tcPr>
            <w:tcW w:w="1177" w:type="dxa"/>
            <w:tcBorders>
              <w:top w:val="nil"/>
              <w:left w:val="nil"/>
              <w:bottom w:val="single" w:sz="4" w:space="0" w:color="auto"/>
              <w:right w:val="single" w:sz="4" w:space="0" w:color="auto"/>
            </w:tcBorders>
            <w:shd w:val="clear" w:color="auto" w:fill="auto"/>
            <w:noWrap/>
            <w:vAlign w:val="bottom"/>
            <w:hideMark/>
          </w:tcPr>
          <w:p w14:paraId="20BA420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0.476669</w:t>
            </w:r>
          </w:p>
        </w:tc>
      </w:tr>
      <w:tr w:rsidR="002027D2" w:rsidRPr="008D1712" w14:paraId="5CB2A508"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65A81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92B80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-1.95305</w:t>
            </w:r>
          </w:p>
        </w:tc>
        <w:tc>
          <w:tcPr>
            <w:tcW w:w="1177" w:type="dxa"/>
            <w:tcBorders>
              <w:top w:val="nil"/>
              <w:left w:val="nil"/>
              <w:bottom w:val="single" w:sz="4" w:space="0" w:color="auto"/>
              <w:right w:val="single" w:sz="4" w:space="0" w:color="auto"/>
            </w:tcBorders>
            <w:shd w:val="clear" w:color="auto" w:fill="auto"/>
            <w:noWrap/>
            <w:vAlign w:val="bottom"/>
            <w:hideMark/>
          </w:tcPr>
          <w:p w14:paraId="04EA19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1.631643</w:t>
            </w:r>
          </w:p>
        </w:tc>
        <w:tc>
          <w:tcPr>
            <w:tcW w:w="1177" w:type="dxa"/>
            <w:tcBorders>
              <w:top w:val="nil"/>
              <w:left w:val="nil"/>
              <w:bottom w:val="single" w:sz="4" w:space="0" w:color="auto"/>
              <w:right w:val="single" w:sz="4" w:space="0" w:color="auto"/>
            </w:tcBorders>
            <w:shd w:val="clear" w:color="auto" w:fill="auto"/>
            <w:noWrap/>
            <w:vAlign w:val="bottom"/>
            <w:hideMark/>
          </w:tcPr>
          <w:p w14:paraId="23D5D0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1.591366</w:t>
            </w:r>
          </w:p>
        </w:tc>
      </w:tr>
      <w:tr w:rsidR="002027D2" w:rsidRPr="008D1712" w14:paraId="738ECAC5"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C7202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4CCCD2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-4.02856</w:t>
            </w:r>
          </w:p>
        </w:tc>
        <w:tc>
          <w:tcPr>
            <w:tcW w:w="1177" w:type="dxa"/>
            <w:tcBorders>
              <w:top w:val="nil"/>
              <w:left w:val="nil"/>
              <w:bottom w:val="single" w:sz="4" w:space="0" w:color="auto"/>
              <w:right w:val="single" w:sz="4" w:space="0" w:color="auto"/>
            </w:tcBorders>
            <w:shd w:val="clear" w:color="auto" w:fill="auto"/>
            <w:noWrap/>
            <w:vAlign w:val="bottom"/>
            <w:hideMark/>
          </w:tcPr>
          <w:p w14:paraId="68AC9C4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3.679758</w:t>
            </w:r>
          </w:p>
        </w:tc>
        <w:tc>
          <w:tcPr>
            <w:tcW w:w="1177" w:type="dxa"/>
            <w:tcBorders>
              <w:top w:val="nil"/>
              <w:left w:val="nil"/>
              <w:bottom w:val="single" w:sz="4" w:space="0" w:color="auto"/>
              <w:right w:val="single" w:sz="4" w:space="0" w:color="auto"/>
            </w:tcBorders>
            <w:shd w:val="clear" w:color="auto" w:fill="auto"/>
            <w:noWrap/>
            <w:vAlign w:val="bottom"/>
            <w:hideMark/>
          </w:tcPr>
          <w:p w14:paraId="40F4347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0.333074</w:t>
            </w:r>
          </w:p>
        </w:tc>
      </w:tr>
      <w:tr w:rsidR="002027D2" w:rsidRPr="008D1712" w14:paraId="5C022FD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805D1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238095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-3.10614</w:t>
            </w:r>
          </w:p>
        </w:tc>
        <w:tc>
          <w:tcPr>
            <w:tcW w:w="1177" w:type="dxa"/>
            <w:tcBorders>
              <w:top w:val="nil"/>
              <w:left w:val="nil"/>
              <w:bottom w:val="single" w:sz="4" w:space="0" w:color="auto"/>
              <w:right w:val="single" w:sz="4" w:space="0" w:color="auto"/>
            </w:tcBorders>
            <w:shd w:val="clear" w:color="auto" w:fill="auto"/>
            <w:noWrap/>
            <w:vAlign w:val="bottom"/>
            <w:hideMark/>
          </w:tcPr>
          <w:p w14:paraId="5ACA36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3.456367</w:t>
            </w:r>
          </w:p>
        </w:tc>
        <w:tc>
          <w:tcPr>
            <w:tcW w:w="1177" w:type="dxa"/>
            <w:tcBorders>
              <w:top w:val="nil"/>
              <w:left w:val="nil"/>
              <w:bottom w:val="single" w:sz="4" w:space="0" w:color="auto"/>
              <w:right w:val="single" w:sz="4" w:space="0" w:color="auto"/>
            </w:tcBorders>
            <w:shd w:val="clear" w:color="auto" w:fill="auto"/>
            <w:noWrap/>
            <w:vAlign w:val="bottom"/>
            <w:hideMark/>
          </w:tcPr>
          <w:p w14:paraId="1A8E31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1.850209</w:t>
            </w:r>
          </w:p>
        </w:tc>
      </w:tr>
      <w:tr w:rsidR="002027D2" w:rsidRPr="008D1712" w14:paraId="081ED85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AF336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3F7651C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-4.81655</w:t>
            </w:r>
          </w:p>
        </w:tc>
        <w:tc>
          <w:tcPr>
            <w:tcW w:w="1177" w:type="dxa"/>
            <w:tcBorders>
              <w:top w:val="nil"/>
              <w:left w:val="nil"/>
              <w:bottom w:val="single" w:sz="4" w:space="0" w:color="auto"/>
              <w:right w:val="single" w:sz="4" w:space="0" w:color="auto"/>
            </w:tcBorders>
            <w:shd w:val="clear" w:color="auto" w:fill="auto"/>
            <w:noWrap/>
            <w:vAlign w:val="bottom"/>
            <w:hideMark/>
          </w:tcPr>
          <w:p w14:paraId="392D2A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3.959282</w:t>
            </w:r>
          </w:p>
        </w:tc>
        <w:tc>
          <w:tcPr>
            <w:tcW w:w="1177" w:type="dxa"/>
            <w:tcBorders>
              <w:top w:val="nil"/>
              <w:left w:val="nil"/>
              <w:bottom w:val="single" w:sz="4" w:space="0" w:color="auto"/>
              <w:right w:val="single" w:sz="4" w:space="0" w:color="auto"/>
            </w:tcBorders>
            <w:shd w:val="clear" w:color="auto" w:fill="auto"/>
            <w:noWrap/>
            <w:vAlign w:val="bottom"/>
            <w:hideMark/>
          </w:tcPr>
          <w:p w14:paraId="14B1E8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1.911012</w:t>
            </w:r>
          </w:p>
        </w:tc>
      </w:tr>
      <w:tr w:rsidR="002027D2" w:rsidRPr="008D1712" w14:paraId="0651D52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25F4B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177" w:type="dxa"/>
            <w:tcBorders>
              <w:top w:val="nil"/>
              <w:left w:val="nil"/>
              <w:bottom w:val="single" w:sz="4" w:space="0" w:color="auto"/>
              <w:right w:val="single" w:sz="4" w:space="0" w:color="auto"/>
            </w:tcBorders>
            <w:shd w:val="clear" w:color="auto" w:fill="auto"/>
            <w:noWrap/>
            <w:vAlign w:val="bottom"/>
            <w:hideMark/>
          </w:tcPr>
          <w:p w14:paraId="3CE977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-4.94742</w:t>
            </w:r>
          </w:p>
        </w:tc>
        <w:tc>
          <w:tcPr>
            <w:tcW w:w="1177" w:type="dxa"/>
            <w:tcBorders>
              <w:top w:val="nil"/>
              <w:left w:val="nil"/>
              <w:bottom w:val="single" w:sz="4" w:space="0" w:color="auto"/>
              <w:right w:val="single" w:sz="4" w:space="0" w:color="auto"/>
            </w:tcBorders>
            <w:shd w:val="clear" w:color="auto" w:fill="auto"/>
            <w:noWrap/>
            <w:vAlign w:val="bottom"/>
            <w:hideMark/>
          </w:tcPr>
          <w:p w14:paraId="63940AB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0.320762</w:t>
            </w:r>
          </w:p>
        </w:tc>
        <w:tc>
          <w:tcPr>
            <w:tcW w:w="1177" w:type="dxa"/>
            <w:tcBorders>
              <w:top w:val="nil"/>
              <w:left w:val="nil"/>
              <w:bottom w:val="single" w:sz="4" w:space="0" w:color="auto"/>
              <w:right w:val="single" w:sz="4" w:space="0" w:color="auto"/>
            </w:tcBorders>
            <w:shd w:val="clear" w:color="auto" w:fill="auto"/>
            <w:noWrap/>
            <w:vAlign w:val="bottom"/>
            <w:hideMark/>
          </w:tcPr>
          <w:p w14:paraId="416CCF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2.990722</w:t>
            </w:r>
          </w:p>
        </w:tc>
      </w:tr>
      <w:tr w:rsidR="002027D2" w:rsidRPr="008D1712" w14:paraId="186413D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C6A7E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6C83C5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-5.28029</w:t>
            </w:r>
          </w:p>
        </w:tc>
        <w:tc>
          <w:tcPr>
            <w:tcW w:w="1177" w:type="dxa"/>
            <w:tcBorders>
              <w:top w:val="nil"/>
              <w:left w:val="nil"/>
              <w:bottom w:val="single" w:sz="4" w:space="0" w:color="auto"/>
              <w:right w:val="single" w:sz="4" w:space="0" w:color="auto"/>
            </w:tcBorders>
            <w:shd w:val="clear" w:color="auto" w:fill="auto"/>
            <w:noWrap/>
            <w:vAlign w:val="bottom"/>
            <w:hideMark/>
          </w:tcPr>
          <w:p w14:paraId="164520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2.000075</w:t>
            </w:r>
          </w:p>
        </w:tc>
        <w:tc>
          <w:tcPr>
            <w:tcW w:w="1177" w:type="dxa"/>
            <w:tcBorders>
              <w:top w:val="nil"/>
              <w:left w:val="nil"/>
              <w:bottom w:val="single" w:sz="4" w:space="0" w:color="auto"/>
              <w:right w:val="single" w:sz="4" w:space="0" w:color="auto"/>
            </w:tcBorders>
            <w:shd w:val="clear" w:color="auto" w:fill="auto"/>
            <w:noWrap/>
            <w:vAlign w:val="bottom"/>
            <w:hideMark/>
          </w:tcPr>
          <w:p w14:paraId="74EF38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3.496077</w:t>
            </w:r>
          </w:p>
        </w:tc>
      </w:tr>
      <w:tr w:rsidR="002027D2" w:rsidRPr="008D1712" w14:paraId="3EE6053A"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25A6F5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726DE1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-3.59347</w:t>
            </w:r>
          </w:p>
        </w:tc>
        <w:tc>
          <w:tcPr>
            <w:tcW w:w="1177" w:type="dxa"/>
            <w:tcBorders>
              <w:top w:val="nil"/>
              <w:left w:val="nil"/>
              <w:bottom w:val="single" w:sz="4" w:space="0" w:color="auto"/>
              <w:right w:val="single" w:sz="4" w:space="0" w:color="auto"/>
            </w:tcBorders>
            <w:shd w:val="clear" w:color="auto" w:fill="auto"/>
            <w:noWrap/>
            <w:vAlign w:val="bottom"/>
            <w:hideMark/>
          </w:tcPr>
          <w:p w14:paraId="7C67382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1.426464</w:t>
            </w:r>
          </w:p>
        </w:tc>
        <w:tc>
          <w:tcPr>
            <w:tcW w:w="1177" w:type="dxa"/>
            <w:tcBorders>
              <w:top w:val="nil"/>
              <w:left w:val="nil"/>
              <w:bottom w:val="single" w:sz="4" w:space="0" w:color="auto"/>
              <w:right w:val="single" w:sz="4" w:space="0" w:color="auto"/>
            </w:tcBorders>
            <w:shd w:val="clear" w:color="auto" w:fill="auto"/>
            <w:noWrap/>
            <w:vAlign w:val="bottom"/>
            <w:hideMark/>
          </w:tcPr>
          <w:p w14:paraId="1EE128C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3.37511</w:t>
            </w:r>
          </w:p>
        </w:tc>
      </w:tr>
      <w:tr w:rsidR="002027D2" w:rsidRPr="008D1712" w14:paraId="2DCF950D"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9635E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143FA6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-7.26972</w:t>
            </w:r>
          </w:p>
        </w:tc>
        <w:tc>
          <w:tcPr>
            <w:tcW w:w="1177" w:type="dxa"/>
            <w:tcBorders>
              <w:top w:val="nil"/>
              <w:left w:val="nil"/>
              <w:bottom w:val="single" w:sz="4" w:space="0" w:color="auto"/>
              <w:right w:val="single" w:sz="4" w:space="0" w:color="auto"/>
            </w:tcBorders>
            <w:shd w:val="clear" w:color="auto" w:fill="auto"/>
            <w:noWrap/>
            <w:vAlign w:val="bottom"/>
            <w:hideMark/>
          </w:tcPr>
          <w:p w14:paraId="68D0B15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2.941463</w:t>
            </w:r>
          </w:p>
        </w:tc>
        <w:tc>
          <w:tcPr>
            <w:tcW w:w="1177" w:type="dxa"/>
            <w:tcBorders>
              <w:top w:val="nil"/>
              <w:left w:val="nil"/>
              <w:bottom w:val="single" w:sz="4" w:space="0" w:color="auto"/>
              <w:right w:val="single" w:sz="4" w:space="0" w:color="auto"/>
            </w:tcBorders>
            <w:shd w:val="clear" w:color="auto" w:fill="auto"/>
            <w:noWrap/>
            <w:vAlign w:val="bottom"/>
            <w:hideMark/>
          </w:tcPr>
          <w:p w14:paraId="292FE7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1.855185</w:t>
            </w:r>
          </w:p>
        </w:tc>
      </w:tr>
      <w:tr w:rsidR="002027D2" w:rsidRPr="008D1712" w14:paraId="132B4CF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F95DE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039418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-6.67356</w:t>
            </w:r>
          </w:p>
        </w:tc>
        <w:tc>
          <w:tcPr>
            <w:tcW w:w="1177" w:type="dxa"/>
            <w:tcBorders>
              <w:top w:val="nil"/>
              <w:left w:val="nil"/>
              <w:bottom w:val="single" w:sz="4" w:space="0" w:color="auto"/>
              <w:right w:val="single" w:sz="4" w:space="0" w:color="auto"/>
            </w:tcBorders>
            <w:shd w:val="clear" w:color="auto" w:fill="auto"/>
            <w:noWrap/>
            <w:vAlign w:val="bottom"/>
            <w:hideMark/>
          </w:tcPr>
          <w:p w14:paraId="637650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-0.11254</w:t>
            </w:r>
          </w:p>
        </w:tc>
        <w:tc>
          <w:tcPr>
            <w:tcW w:w="1177" w:type="dxa"/>
            <w:tcBorders>
              <w:top w:val="nil"/>
              <w:left w:val="nil"/>
              <w:bottom w:val="single" w:sz="4" w:space="0" w:color="auto"/>
              <w:right w:val="single" w:sz="4" w:space="0" w:color="auto"/>
            </w:tcBorders>
            <w:shd w:val="clear" w:color="auto" w:fill="auto"/>
            <w:noWrap/>
            <w:vAlign w:val="bottom"/>
            <w:hideMark/>
          </w:tcPr>
          <w:p w14:paraId="4CF5F7A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-2.10514</w:t>
            </w:r>
          </w:p>
        </w:tc>
      </w:tr>
      <w:tr w:rsidR="002027D2" w:rsidRPr="008D1712" w14:paraId="3A919092"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F3369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72691D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-8.88104</w:t>
            </w:r>
          </w:p>
        </w:tc>
        <w:tc>
          <w:tcPr>
            <w:tcW w:w="1177" w:type="dxa"/>
            <w:tcBorders>
              <w:top w:val="nil"/>
              <w:left w:val="nil"/>
              <w:bottom w:val="single" w:sz="4" w:space="0" w:color="auto"/>
              <w:right w:val="single" w:sz="4" w:space="0" w:color="auto"/>
            </w:tcBorders>
            <w:shd w:val="clear" w:color="auto" w:fill="auto"/>
            <w:noWrap/>
            <w:vAlign w:val="bottom"/>
            <w:hideMark/>
          </w:tcPr>
          <w:p w14:paraId="458BB5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0.922393</w:t>
            </w:r>
          </w:p>
        </w:tc>
        <w:tc>
          <w:tcPr>
            <w:tcW w:w="1177" w:type="dxa"/>
            <w:tcBorders>
              <w:top w:val="nil"/>
              <w:left w:val="nil"/>
              <w:bottom w:val="single" w:sz="4" w:space="0" w:color="auto"/>
              <w:right w:val="single" w:sz="4" w:space="0" w:color="auto"/>
            </w:tcBorders>
            <w:shd w:val="clear" w:color="auto" w:fill="auto"/>
            <w:noWrap/>
            <w:vAlign w:val="bottom"/>
            <w:hideMark/>
          </w:tcPr>
          <w:p w14:paraId="1BB99B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-1.62691</w:t>
            </w:r>
          </w:p>
        </w:tc>
      </w:tr>
      <w:tr w:rsidR="002027D2" w:rsidRPr="008D1712" w14:paraId="2B9216F2"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D63FF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0058BE8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-2.79911</w:t>
            </w:r>
          </w:p>
        </w:tc>
        <w:tc>
          <w:tcPr>
            <w:tcW w:w="1177" w:type="dxa"/>
            <w:tcBorders>
              <w:top w:val="nil"/>
              <w:left w:val="nil"/>
              <w:bottom w:val="single" w:sz="4" w:space="0" w:color="auto"/>
              <w:right w:val="single" w:sz="4" w:space="0" w:color="auto"/>
            </w:tcBorders>
            <w:shd w:val="clear" w:color="auto" w:fill="auto"/>
            <w:noWrap/>
            <w:vAlign w:val="bottom"/>
            <w:hideMark/>
          </w:tcPr>
          <w:p w14:paraId="6792FCD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-0.45313</w:t>
            </w:r>
          </w:p>
        </w:tc>
        <w:tc>
          <w:tcPr>
            <w:tcW w:w="1177" w:type="dxa"/>
            <w:tcBorders>
              <w:top w:val="nil"/>
              <w:left w:val="nil"/>
              <w:bottom w:val="single" w:sz="4" w:space="0" w:color="auto"/>
              <w:right w:val="single" w:sz="4" w:space="0" w:color="auto"/>
            </w:tcBorders>
            <w:shd w:val="clear" w:color="auto" w:fill="auto"/>
            <w:noWrap/>
            <w:vAlign w:val="bottom"/>
            <w:hideMark/>
          </w:tcPr>
          <w:p w14:paraId="0CFB9BB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-1.47947</w:t>
            </w:r>
          </w:p>
        </w:tc>
      </w:tr>
      <w:tr w:rsidR="002027D2" w:rsidRPr="008D1712" w14:paraId="2F978E10"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E871CB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4065EB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-4.22457</w:t>
            </w:r>
          </w:p>
        </w:tc>
        <w:tc>
          <w:tcPr>
            <w:tcW w:w="1177" w:type="dxa"/>
            <w:tcBorders>
              <w:top w:val="nil"/>
              <w:left w:val="nil"/>
              <w:bottom w:val="single" w:sz="4" w:space="0" w:color="auto"/>
              <w:right w:val="single" w:sz="4" w:space="0" w:color="auto"/>
            </w:tcBorders>
            <w:shd w:val="clear" w:color="auto" w:fill="auto"/>
            <w:noWrap/>
            <w:vAlign w:val="bottom"/>
            <w:hideMark/>
          </w:tcPr>
          <w:p w14:paraId="20F934F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0.003657</w:t>
            </w:r>
          </w:p>
        </w:tc>
        <w:tc>
          <w:tcPr>
            <w:tcW w:w="1177" w:type="dxa"/>
            <w:tcBorders>
              <w:top w:val="nil"/>
              <w:left w:val="nil"/>
              <w:bottom w:val="single" w:sz="4" w:space="0" w:color="auto"/>
              <w:right w:val="single" w:sz="4" w:space="0" w:color="auto"/>
            </w:tcBorders>
            <w:shd w:val="clear" w:color="auto" w:fill="auto"/>
            <w:noWrap/>
            <w:vAlign w:val="bottom"/>
            <w:hideMark/>
          </w:tcPr>
          <w:p w14:paraId="1372A1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-2.44809</w:t>
            </w:r>
          </w:p>
        </w:tc>
      </w:tr>
      <w:tr w:rsidR="002027D2" w:rsidRPr="008D1712" w14:paraId="1BC5DC19"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431C87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64E450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-3.87212</w:t>
            </w:r>
          </w:p>
        </w:tc>
        <w:tc>
          <w:tcPr>
            <w:tcW w:w="1177" w:type="dxa"/>
            <w:tcBorders>
              <w:top w:val="nil"/>
              <w:left w:val="nil"/>
              <w:bottom w:val="single" w:sz="4" w:space="0" w:color="auto"/>
              <w:right w:val="single" w:sz="4" w:space="0" w:color="auto"/>
            </w:tcBorders>
            <w:shd w:val="clear" w:color="auto" w:fill="auto"/>
            <w:noWrap/>
            <w:vAlign w:val="bottom"/>
            <w:hideMark/>
          </w:tcPr>
          <w:p w14:paraId="25E1CB3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-2.41882</w:t>
            </w:r>
          </w:p>
        </w:tc>
        <w:tc>
          <w:tcPr>
            <w:tcW w:w="1177" w:type="dxa"/>
            <w:tcBorders>
              <w:top w:val="nil"/>
              <w:left w:val="nil"/>
              <w:bottom w:val="single" w:sz="4" w:space="0" w:color="auto"/>
              <w:right w:val="single" w:sz="4" w:space="0" w:color="auto"/>
            </w:tcBorders>
            <w:shd w:val="clear" w:color="auto" w:fill="auto"/>
            <w:noWrap/>
            <w:vAlign w:val="bottom"/>
            <w:hideMark/>
          </w:tcPr>
          <w:p w14:paraId="623EBC2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-2.32114</w:t>
            </w:r>
          </w:p>
        </w:tc>
      </w:tr>
      <w:tr w:rsidR="002027D2" w:rsidRPr="008D1712" w14:paraId="249F3B8C"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09965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67C77A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-5.47552</w:t>
            </w:r>
          </w:p>
        </w:tc>
        <w:tc>
          <w:tcPr>
            <w:tcW w:w="1177" w:type="dxa"/>
            <w:tcBorders>
              <w:top w:val="nil"/>
              <w:left w:val="nil"/>
              <w:bottom w:val="single" w:sz="4" w:space="0" w:color="auto"/>
              <w:right w:val="single" w:sz="4" w:space="0" w:color="auto"/>
            </w:tcBorders>
            <w:shd w:val="clear" w:color="auto" w:fill="auto"/>
            <w:noWrap/>
            <w:vAlign w:val="bottom"/>
            <w:hideMark/>
          </w:tcPr>
          <w:p w14:paraId="6AAE5A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-1.97856</w:t>
            </w:r>
          </w:p>
        </w:tc>
        <w:tc>
          <w:tcPr>
            <w:tcW w:w="1177" w:type="dxa"/>
            <w:tcBorders>
              <w:top w:val="nil"/>
              <w:left w:val="nil"/>
              <w:bottom w:val="single" w:sz="4" w:space="0" w:color="auto"/>
              <w:right w:val="single" w:sz="4" w:space="0" w:color="auto"/>
            </w:tcBorders>
            <w:shd w:val="clear" w:color="auto" w:fill="auto"/>
            <w:noWrap/>
            <w:vAlign w:val="bottom"/>
            <w:hideMark/>
          </w:tcPr>
          <w:p w14:paraId="3DD80E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-1.67523</w:t>
            </w:r>
          </w:p>
        </w:tc>
      </w:tr>
      <w:tr w:rsidR="002027D2" w:rsidRPr="008D1712" w14:paraId="5B3DE5DC"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BBC40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4FF9C1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-4.70988</w:t>
            </w:r>
          </w:p>
        </w:tc>
        <w:tc>
          <w:tcPr>
            <w:tcW w:w="1177" w:type="dxa"/>
            <w:tcBorders>
              <w:top w:val="nil"/>
              <w:left w:val="nil"/>
              <w:bottom w:val="single" w:sz="4" w:space="0" w:color="auto"/>
              <w:right w:val="single" w:sz="4" w:space="0" w:color="auto"/>
            </w:tcBorders>
            <w:shd w:val="clear" w:color="auto" w:fill="auto"/>
            <w:noWrap/>
            <w:vAlign w:val="bottom"/>
            <w:hideMark/>
          </w:tcPr>
          <w:p w14:paraId="3B86D47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-2.28153</w:t>
            </w:r>
          </w:p>
        </w:tc>
        <w:tc>
          <w:tcPr>
            <w:tcW w:w="1177" w:type="dxa"/>
            <w:tcBorders>
              <w:top w:val="nil"/>
              <w:left w:val="nil"/>
              <w:bottom w:val="single" w:sz="4" w:space="0" w:color="auto"/>
              <w:right w:val="single" w:sz="4" w:space="0" w:color="auto"/>
            </w:tcBorders>
            <w:shd w:val="clear" w:color="auto" w:fill="auto"/>
            <w:noWrap/>
            <w:vAlign w:val="bottom"/>
            <w:hideMark/>
          </w:tcPr>
          <w:p w14:paraId="3E90FC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0.657623</w:t>
            </w:r>
          </w:p>
        </w:tc>
      </w:tr>
      <w:tr w:rsidR="002027D2" w:rsidRPr="008D1712" w14:paraId="37F9370C"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0A8100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7A7B8D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-2.98798</w:t>
            </w:r>
          </w:p>
        </w:tc>
        <w:tc>
          <w:tcPr>
            <w:tcW w:w="1177" w:type="dxa"/>
            <w:tcBorders>
              <w:top w:val="nil"/>
              <w:left w:val="nil"/>
              <w:bottom w:val="single" w:sz="4" w:space="0" w:color="auto"/>
              <w:right w:val="single" w:sz="4" w:space="0" w:color="auto"/>
            </w:tcBorders>
            <w:shd w:val="clear" w:color="auto" w:fill="auto"/>
            <w:noWrap/>
            <w:vAlign w:val="bottom"/>
            <w:hideMark/>
          </w:tcPr>
          <w:p w14:paraId="70F4E5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-2.35724</w:t>
            </w:r>
          </w:p>
        </w:tc>
        <w:tc>
          <w:tcPr>
            <w:tcW w:w="1177" w:type="dxa"/>
            <w:tcBorders>
              <w:top w:val="nil"/>
              <w:left w:val="nil"/>
              <w:bottom w:val="single" w:sz="4" w:space="0" w:color="auto"/>
              <w:right w:val="single" w:sz="4" w:space="0" w:color="auto"/>
            </w:tcBorders>
            <w:shd w:val="clear" w:color="auto" w:fill="auto"/>
            <w:noWrap/>
            <w:vAlign w:val="bottom"/>
            <w:hideMark/>
          </w:tcPr>
          <w:p w14:paraId="7E1CF5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0.095653</w:t>
            </w:r>
          </w:p>
        </w:tc>
      </w:tr>
      <w:tr w:rsidR="002027D2" w:rsidRPr="008D1712" w14:paraId="4A1D312C"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EC194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135809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-6.15731</w:t>
            </w:r>
          </w:p>
        </w:tc>
        <w:tc>
          <w:tcPr>
            <w:tcW w:w="1177" w:type="dxa"/>
            <w:tcBorders>
              <w:top w:val="nil"/>
              <w:left w:val="nil"/>
              <w:bottom w:val="single" w:sz="4" w:space="0" w:color="auto"/>
              <w:right w:val="single" w:sz="4" w:space="0" w:color="auto"/>
            </w:tcBorders>
            <w:shd w:val="clear" w:color="auto" w:fill="auto"/>
            <w:noWrap/>
            <w:vAlign w:val="bottom"/>
            <w:hideMark/>
          </w:tcPr>
          <w:p w14:paraId="3382F85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-4.2321</w:t>
            </w:r>
          </w:p>
        </w:tc>
        <w:tc>
          <w:tcPr>
            <w:tcW w:w="1177" w:type="dxa"/>
            <w:tcBorders>
              <w:top w:val="nil"/>
              <w:left w:val="nil"/>
              <w:bottom w:val="single" w:sz="4" w:space="0" w:color="auto"/>
              <w:right w:val="single" w:sz="4" w:space="0" w:color="auto"/>
            </w:tcBorders>
            <w:shd w:val="clear" w:color="auto" w:fill="auto"/>
            <w:noWrap/>
            <w:vAlign w:val="bottom"/>
            <w:hideMark/>
          </w:tcPr>
          <w:p w14:paraId="427CD5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0.37471</w:t>
            </w:r>
          </w:p>
        </w:tc>
      </w:tr>
      <w:tr w:rsidR="002027D2" w:rsidRPr="008D1712" w14:paraId="57D418D3"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CF4461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231C9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-5.48799</w:t>
            </w:r>
          </w:p>
        </w:tc>
        <w:tc>
          <w:tcPr>
            <w:tcW w:w="1177" w:type="dxa"/>
            <w:tcBorders>
              <w:top w:val="nil"/>
              <w:left w:val="nil"/>
              <w:bottom w:val="single" w:sz="4" w:space="0" w:color="auto"/>
              <w:right w:val="single" w:sz="4" w:space="0" w:color="auto"/>
            </w:tcBorders>
            <w:shd w:val="clear" w:color="auto" w:fill="auto"/>
            <w:noWrap/>
            <w:vAlign w:val="bottom"/>
            <w:hideMark/>
          </w:tcPr>
          <w:p w14:paraId="6B16C6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-5.73414</w:t>
            </w:r>
          </w:p>
        </w:tc>
        <w:tc>
          <w:tcPr>
            <w:tcW w:w="1177" w:type="dxa"/>
            <w:tcBorders>
              <w:top w:val="nil"/>
              <w:left w:val="nil"/>
              <w:bottom w:val="single" w:sz="4" w:space="0" w:color="auto"/>
              <w:right w:val="single" w:sz="4" w:space="0" w:color="auto"/>
            </w:tcBorders>
            <w:shd w:val="clear" w:color="auto" w:fill="auto"/>
            <w:noWrap/>
            <w:vAlign w:val="bottom"/>
            <w:hideMark/>
          </w:tcPr>
          <w:p w14:paraId="63DAB1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-0.36169</w:t>
            </w:r>
          </w:p>
        </w:tc>
      </w:tr>
      <w:tr w:rsidR="002027D2" w:rsidRPr="008D1712" w14:paraId="2FF4709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EC94C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0B7AD3B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-5.82353</w:t>
            </w:r>
          </w:p>
        </w:tc>
        <w:tc>
          <w:tcPr>
            <w:tcW w:w="1177" w:type="dxa"/>
            <w:tcBorders>
              <w:top w:val="nil"/>
              <w:left w:val="nil"/>
              <w:bottom w:val="single" w:sz="4" w:space="0" w:color="auto"/>
              <w:right w:val="single" w:sz="4" w:space="0" w:color="auto"/>
            </w:tcBorders>
            <w:shd w:val="clear" w:color="auto" w:fill="auto"/>
            <w:noWrap/>
            <w:vAlign w:val="bottom"/>
            <w:hideMark/>
          </w:tcPr>
          <w:p w14:paraId="0219478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-4.30322</w:t>
            </w:r>
          </w:p>
        </w:tc>
        <w:tc>
          <w:tcPr>
            <w:tcW w:w="1177" w:type="dxa"/>
            <w:tcBorders>
              <w:top w:val="nil"/>
              <w:left w:val="nil"/>
              <w:bottom w:val="single" w:sz="4" w:space="0" w:color="auto"/>
              <w:right w:val="single" w:sz="4" w:space="0" w:color="auto"/>
            </w:tcBorders>
            <w:shd w:val="clear" w:color="auto" w:fill="auto"/>
            <w:noWrap/>
            <w:vAlign w:val="bottom"/>
            <w:hideMark/>
          </w:tcPr>
          <w:p w14:paraId="1EDA18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-1.39419</w:t>
            </w:r>
          </w:p>
        </w:tc>
      </w:tr>
      <w:tr w:rsidR="002027D2" w:rsidRPr="008D1712" w14:paraId="7AD380D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F9139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11516D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-4.29286</w:t>
            </w:r>
          </w:p>
        </w:tc>
        <w:tc>
          <w:tcPr>
            <w:tcW w:w="1177" w:type="dxa"/>
            <w:tcBorders>
              <w:top w:val="nil"/>
              <w:left w:val="nil"/>
              <w:bottom w:val="single" w:sz="4" w:space="0" w:color="auto"/>
              <w:right w:val="single" w:sz="4" w:space="0" w:color="auto"/>
            </w:tcBorders>
            <w:shd w:val="clear" w:color="auto" w:fill="auto"/>
            <w:noWrap/>
            <w:vAlign w:val="bottom"/>
            <w:hideMark/>
          </w:tcPr>
          <w:p w14:paraId="7BD789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-4.15928</w:t>
            </w:r>
          </w:p>
        </w:tc>
        <w:tc>
          <w:tcPr>
            <w:tcW w:w="1177" w:type="dxa"/>
            <w:tcBorders>
              <w:top w:val="nil"/>
              <w:left w:val="nil"/>
              <w:bottom w:val="single" w:sz="4" w:space="0" w:color="auto"/>
              <w:right w:val="single" w:sz="4" w:space="0" w:color="auto"/>
            </w:tcBorders>
            <w:shd w:val="clear" w:color="auto" w:fill="auto"/>
            <w:noWrap/>
            <w:vAlign w:val="bottom"/>
            <w:hideMark/>
          </w:tcPr>
          <w:p w14:paraId="16CABD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1.974224</w:t>
            </w:r>
          </w:p>
        </w:tc>
      </w:tr>
      <w:tr w:rsidR="002027D2" w:rsidRPr="008D1712" w14:paraId="15D4832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F0235D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32D901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-2.59981</w:t>
            </w:r>
          </w:p>
        </w:tc>
        <w:tc>
          <w:tcPr>
            <w:tcW w:w="1177" w:type="dxa"/>
            <w:tcBorders>
              <w:top w:val="nil"/>
              <w:left w:val="nil"/>
              <w:bottom w:val="single" w:sz="4" w:space="0" w:color="auto"/>
              <w:right w:val="single" w:sz="4" w:space="0" w:color="auto"/>
            </w:tcBorders>
            <w:shd w:val="clear" w:color="auto" w:fill="auto"/>
            <w:noWrap/>
            <w:vAlign w:val="bottom"/>
            <w:hideMark/>
          </w:tcPr>
          <w:p w14:paraId="4A2231F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-4.25493</w:t>
            </w:r>
          </w:p>
        </w:tc>
        <w:tc>
          <w:tcPr>
            <w:tcW w:w="1177" w:type="dxa"/>
            <w:tcBorders>
              <w:top w:val="nil"/>
              <w:left w:val="nil"/>
              <w:bottom w:val="single" w:sz="4" w:space="0" w:color="auto"/>
              <w:right w:val="single" w:sz="4" w:space="0" w:color="auto"/>
            </w:tcBorders>
            <w:shd w:val="clear" w:color="auto" w:fill="auto"/>
            <w:noWrap/>
            <w:vAlign w:val="bottom"/>
            <w:hideMark/>
          </w:tcPr>
          <w:p w14:paraId="1CE4EF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1.362302</w:t>
            </w:r>
          </w:p>
        </w:tc>
      </w:tr>
      <w:tr w:rsidR="002027D2" w:rsidRPr="008D1712" w14:paraId="00726F29"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4B944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28FF0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-3.68693</w:t>
            </w:r>
          </w:p>
        </w:tc>
        <w:tc>
          <w:tcPr>
            <w:tcW w:w="1177" w:type="dxa"/>
            <w:tcBorders>
              <w:top w:val="nil"/>
              <w:left w:val="nil"/>
              <w:bottom w:val="single" w:sz="4" w:space="0" w:color="auto"/>
              <w:right w:val="single" w:sz="4" w:space="0" w:color="auto"/>
            </w:tcBorders>
            <w:shd w:val="clear" w:color="auto" w:fill="auto"/>
            <w:noWrap/>
            <w:vAlign w:val="bottom"/>
            <w:hideMark/>
          </w:tcPr>
          <w:p w14:paraId="07182A1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-5.69305</w:t>
            </w:r>
          </w:p>
        </w:tc>
        <w:tc>
          <w:tcPr>
            <w:tcW w:w="1177" w:type="dxa"/>
            <w:tcBorders>
              <w:top w:val="nil"/>
              <w:left w:val="nil"/>
              <w:bottom w:val="single" w:sz="4" w:space="0" w:color="auto"/>
              <w:right w:val="single" w:sz="4" w:space="0" w:color="auto"/>
            </w:tcBorders>
            <w:shd w:val="clear" w:color="auto" w:fill="auto"/>
            <w:noWrap/>
            <w:vAlign w:val="bottom"/>
            <w:hideMark/>
          </w:tcPr>
          <w:p w14:paraId="4512E1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1.249874</w:t>
            </w:r>
          </w:p>
        </w:tc>
      </w:tr>
      <w:tr w:rsidR="002027D2" w:rsidRPr="008D1712" w14:paraId="1AFA314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11F297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6387D06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-3.57567</w:t>
            </w:r>
          </w:p>
        </w:tc>
        <w:tc>
          <w:tcPr>
            <w:tcW w:w="1177" w:type="dxa"/>
            <w:tcBorders>
              <w:top w:val="nil"/>
              <w:left w:val="nil"/>
              <w:bottom w:val="single" w:sz="4" w:space="0" w:color="auto"/>
              <w:right w:val="single" w:sz="4" w:space="0" w:color="auto"/>
            </w:tcBorders>
            <w:shd w:val="clear" w:color="auto" w:fill="auto"/>
            <w:noWrap/>
            <w:vAlign w:val="bottom"/>
            <w:hideMark/>
          </w:tcPr>
          <w:p w14:paraId="6C5371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-4.56273</w:t>
            </w:r>
          </w:p>
        </w:tc>
        <w:tc>
          <w:tcPr>
            <w:tcW w:w="1177" w:type="dxa"/>
            <w:tcBorders>
              <w:top w:val="nil"/>
              <w:left w:val="nil"/>
              <w:bottom w:val="single" w:sz="4" w:space="0" w:color="auto"/>
              <w:right w:val="single" w:sz="4" w:space="0" w:color="auto"/>
            </w:tcBorders>
            <w:shd w:val="clear" w:color="auto" w:fill="auto"/>
            <w:noWrap/>
            <w:vAlign w:val="bottom"/>
            <w:hideMark/>
          </w:tcPr>
          <w:p w14:paraId="583C43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-2.19019</w:t>
            </w:r>
          </w:p>
        </w:tc>
      </w:tr>
      <w:tr w:rsidR="002027D2" w:rsidRPr="008D1712" w14:paraId="63534B69"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B4246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089068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-3.02669</w:t>
            </w:r>
          </w:p>
        </w:tc>
        <w:tc>
          <w:tcPr>
            <w:tcW w:w="1177" w:type="dxa"/>
            <w:tcBorders>
              <w:top w:val="nil"/>
              <w:left w:val="nil"/>
              <w:bottom w:val="single" w:sz="4" w:space="0" w:color="auto"/>
              <w:right w:val="single" w:sz="4" w:space="0" w:color="auto"/>
            </w:tcBorders>
            <w:shd w:val="clear" w:color="auto" w:fill="auto"/>
            <w:noWrap/>
            <w:vAlign w:val="bottom"/>
            <w:hideMark/>
          </w:tcPr>
          <w:p w14:paraId="26F726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-5.77874</w:t>
            </w:r>
          </w:p>
        </w:tc>
        <w:tc>
          <w:tcPr>
            <w:tcW w:w="1177" w:type="dxa"/>
            <w:tcBorders>
              <w:top w:val="nil"/>
              <w:left w:val="nil"/>
              <w:bottom w:val="single" w:sz="4" w:space="0" w:color="auto"/>
              <w:right w:val="single" w:sz="4" w:space="0" w:color="auto"/>
            </w:tcBorders>
            <w:shd w:val="clear" w:color="auto" w:fill="auto"/>
            <w:noWrap/>
            <w:vAlign w:val="bottom"/>
            <w:hideMark/>
          </w:tcPr>
          <w:p w14:paraId="729899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-0.9944</w:t>
            </w:r>
          </w:p>
        </w:tc>
      </w:tr>
      <w:tr w:rsidR="002027D2" w:rsidRPr="008D1712" w14:paraId="4007956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D80E7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54BF8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-2.18393</w:t>
            </w:r>
          </w:p>
        </w:tc>
        <w:tc>
          <w:tcPr>
            <w:tcW w:w="1177" w:type="dxa"/>
            <w:tcBorders>
              <w:top w:val="nil"/>
              <w:left w:val="nil"/>
              <w:bottom w:val="single" w:sz="4" w:space="0" w:color="auto"/>
              <w:right w:val="single" w:sz="4" w:space="0" w:color="auto"/>
            </w:tcBorders>
            <w:shd w:val="clear" w:color="auto" w:fill="auto"/>
            <w:noWrap/>
            <w:vAlign w:val="bottom"/>
            <w:hideMark/>
          </w:tcPr>
          <w:p w14:paraId="6E8E0F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-4.17195</w:t>
            </w:r>
          </w:p>
        </w:tc>
        <w:tc>
          <w:tcPr>
            <w:tcW w:w="1177" w:type="dxa"/>
            <w:tcBorders>
              <w:top w:val="nil"/>
              <w:left w:val="nil"/>
              <w:bottom w:val="single" w:sz="4" w:space="0" w:color="auto"/>
              <w:right w:val="single" w:sz="4" w:space="0" w:color="auto"/>
            </w:tcBorders>
            <w:shd w:val="clear" w:color="auto" w:fill="auto"/>
            <w:noWrap/>
            <w:vAlign w:val="bottom"/>
            <w:hideMark/>
          </w:tcPr>
          <w:p w14:paraId="5AE937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-1.113</w:t>
            </w:r>
          </w:p>
        </w:tc>
      </w:tr>
      <w:tr w:rsidR="002027D2" w:rsidRPr="008D1712" w14:paraId="7EF3A56A"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DFC0E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49CDBB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1.7296</w:t>
            </w:r>
          </w:p>
        </w:tc>
        <w:tc>
          <w:tcPr>
            <w:tcW w:w="1177" w:type="dxa"/>
            <w:tcBorders>
              <w:top w:val="nil"/>
              <w:left w:val="nil"/>
              <w:bottom w:val="single" w:sz="4" w:space="0" w:color="auto"/>
              <w:right w:val="single" w:sz="4" w:space="0" w:color="auto"/>
            </w:tcBorders>
            <w:shd w:val="clear" w:color="auto" w:fill="auto"/>
            <w:noWrap/>
            <w:vAlign w:val="bottom"/>
            <w:hideMark/>
          </w:tcPr>
          <w:p w14:paraId="74A9A2C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-2.04262</w:t>
            </w:r>
          </w:p>
        </w:tc>
        <w:tc>
          <w:tcPr>
            <w:tcW w:w="1177" w:type="dxa"/>
            <w:tcBorders>
              <w:top w:val="nil"/>
              <w:left w:val="nil"/>
              <w:bottom w:val="single" w:sz="4" w:space="0" w:color="auto"/>
              <w:right w:val="single" w:sz="4" w:space="0" w:color="auto"/>
            </w:tcBorders>
            <w:shd w:val="clear" w:color="auto" w:fill="auto"/>
            <w:noWrap/>
            <w:vAlign w:val="bottom"/>
            <w:hideMark/>
          </w:tcPr>
          <w:p w14:paraId="2AD66B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-1.24497</w:t>
            </w:r>
          </w:p>
        </w:tc>
      </w:tr>
      <w:tr w:rsidR="002027D2" w:rsidRPr="008D1712" w14:paraId="3490EBC2"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41DC7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658C73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2.744545</w:t>
            </w:r>
          </w:p>
        </w:tc>
        <w:tc>
          <w:tcPr>
            <w:tcW w:w="1177" w:type="dxa"/>
            <w:tcBorders>
              <w:top w:val="nil"/>
              <w:left w:val="nil"/>
              <w:bottom w:val="single" w:sz="4" w:space="0" w:color="auto"/>
              <w:right w:val="single" w:sz="4" w:space="0" w:color="auto"/>
            </w:tcBorders>
            <w:shd w:val="clear" w:color="auto" w:fill="auto"/>
            <w:noWrap/>
            <w:vAlign w:val="bottom"/>
            <w:hideMark/>
          </w:tcPr>
          <w:p w14:paraId="582DF3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1.822262</w:t>
            </w:r>
          </w:p>
        </w:tc>
        <w:tc>
          <w:tcPr>
            <w:tcW w:w="1177" w:type="dxa"/>
            <w:tcBorders>
              <w:top w:val="nil"/>
              <w:left w:val="nil"/>
              <w:bottom w:val="single" w:sz="4" w:space="0" w:color="auto"/>
              <w:right w:val="single" w:sz="4" w:space="0" w:color="auto"/>
            </w:tcBorders>
            <w:shd w:val="clear" w:color="auto" w:fill="auto"/>
            <w:noWrap/>
            <w:vAlign w:val="bottom"/>
            <w:hideMark/>
          </w:tcPr>
          <w:p w14:paraId="75EA32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-2.34622</w:t>
            </w:r>
          </w:p>
        </w:tc>
      </w:tr>
      <w:tr w:rsidR="002027D2" w:rsidRPr="008D1712" w14:paraId="60A2297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6B142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496142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3.341981</w:t>
            </w:r>
          </w:p>
        </w:tc>
        <w:tc>
          <w:tcPr>
            <w:tcW w:w="1177" w:type="dxa"/>
            <w:tcBorders>
              <w:top w:val="nil"/>
              <w:left w:val="nil"/>
              <w:bottom w:val="single" w:sz="4" w:space="0" w:color="auto"/>
              <w:right w:val="single" w:sz="4" w:space="0" w:color="auto"/>
            </w:tcBorders>
            <w:shd w:val="clear" w:color="auto" w:fill="auto"/>
            <w:noWrap/>
            <w:vAlign w:val="bottom"/>
            <w:hideMark/>
          </w:tcPr>
          <w:p w14:paraId="334428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2.964162</w:t>
            </w:r>
          </w:p>
        </w:tc>
        <w:tc>
          <w:tcPr>
            <w:tcW w:w="1177" w:type="dxa"/>
            <w:tcBorders>
              <w:top w:val="nil"/>
              <w:left w:val="nil"/>
              <w:bottom w:val="single" w:sz="4" w:space="0" w:color="auto"/>
              <w:right w:val="single" w:sz="4" w:space="0" w:color="auto"/>
            </w:tcBorders>
            <w:shd w:val="clear" w:color="auto" w:fill="auto"/>
            <w:noWrap/>
            <w:vAlign w:val="bottom"/>
            <w:hideMark/>
          </w:tcPr>
          <w:p w14:paraId="58DAE5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-1.10974</w:t>
            </w:r>
          </w:p>
        </w:tc>
      </w:tr>
      <w:tr w:rsidR="002027D2" w:rsidRPr="008D1712" w14:paraId="3979BDF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81EE5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645621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1.865233</w:t>
            </w:r>
          </w:p>
        </w:tc>
        <w:tc>
          <w:tcPr>
            <w:tcW w:w="1177" w:type="dxa"/>
            <w:tcBorders>
              <w:top w:val="nil"/>
              <w:left w:val="nil"/>
              <w:bottom w:val="single" w:sz="4" w:space="0" w:color="auto"/>
              <w:right w:val="single" w:sz="4" w:space="0" w:color="auto"/>
            </w:tcBorders>
            <w:shd w:val="clear" w:color="auto" w:fill="auto"/>
            <w:noWrap/>
            <w:vAlign w:val="bottom"/>
            <w:hideMark/>
          </w:tcPr>
          <w:p w14:paraId="575DB2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2.027975</w:t>
            </w:r>
          </w:p>
        </w:tc>
        <w:tc>
          <w:tcPr>
            <w:tcW w:w="1177" w:type="dxa"/>
            <w:tcBorders>
              <w:top w:val="nil"/>
              <w:left w:val="nil"/>
              <w:bottom w:val="single" w:sz="4" w:space="0" w:color="auto"/>
              <w:right w:val="single" w:sz="4" w:space="0" w:color="auto"/>
            </w:tcBorders>
            <w:shd w:val="clear" w:color="auto" w:fill="auto"/>
            <w:noWrap/>
            <w:vAlign w:val="bottom"/>
            <w:hideMark/>
          </w:tcPr>
          <w:p w14:paraId="409BF1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-0.78975</w:t>
            </w:r>
          </w:p>
        </w:tc>
      </w:tr>
      <w:tr w:rsidR="002027D2" w:rsidRPr="008D1712" w14:paraId="1FFCE21C"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E7A21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7E5F15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4.462944</w:t>
            </w:r>
          </w:p>
        </w:tc>
        <w:tc>
          <w:tcPr>
            <w:tcW w:w="1177" w:type="dxa"/>
            <w:tcBorders>
              <w:top w:val="nil"/>
              <w:left w:val="nil"/>
              <w:bottom w:val="single" w:sz="4" w:space="0" w:color="auto"/>
              <w:right w:val="single" w:sz="4" w:space="0" w:color="auto"/>
            </w:tcBorders>
            <w:shd w:val="clear" w:color="auto" w:fill="auto"/>
            <w:noWrap/>
            <w:vAlign w:val="bottom"/>
            <w:hideMark/>
          </w:tcPr>
          <w:p w14:paraId="20C991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0.304084</w:t>
            </w:r>
          </w:p>
        </w:tc>
        <w:tc>
          <w:tcPr>
            <w:tcW w:w="1177" w:type="dxa"/>
            <w:tcBorders>
              <w:top w:val="nil"/>
              <w:left w:val="nil"/>
              <w:bottom w:val="single" w:sz="4" w:space="0" w:color="auto"/>
              <w:right w:val="single" w:sz="4" w:space="0" w:color="auto"/>
            </w:tcBorders>
            <w:shd w:val="clear" w:color="auto" w:fill="auto"/>
            <w:noWrap/>
            <w:vAlign w:val="bottom"/>
            <w:hideMark/>
          </w:tcPr>
          <w:p w14:paraId="6FE42F7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1.382135</w:t>
            </w:r>
          </w:p>
        </w:tc>
      </w:tr>
      <w:tr w:rsidR="002027D2" w:rsidRPr="008D1712" w14:paraId="0B50570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37B20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65AA9B8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2.848821</w:t>
            </w:r>
          </w:p>
        </w:tc>
        <w:tc>
          <w:tcPr>
            <w:tcW w:w="1177" w:type="dxa"/>
            <w:tcBorders>
              <w:top w:val="nil"/>
              <w:left w:val="nil"/>
              <w:bottom w:val="single" w:sz="4" w:space="0" w:color="auto"/>
              <w:right w:val="single" w:sz="4" w:space="0" w:color="auto"/>
            </w:tcBorders>
            <w:shd w:val="clear" w:color="auto" w:fill="auto"/>
            <w:noWrap/>
            <w:vAlign w:val="bottom"/>
            <w:hideMark/>
          </w:tcPr>
          <w:p w14:paraId="5D1E7B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1.124626</w:t>
            </w:r>
          </w:p>
        </w:tc>
        <w:tc>
          <w:tcPr>
            <w:tcW w:w="1177" w:type="dxa"/>
            <w:tcBorders>
              <w:top w:val="nil"/>
              <w:left w:val="nil"/>
              <w:bottom w:val="single" w:sz="4" w:space="0" w:color="auto"/>
              <w:right w:val="single" w:sz="4" w:space="0" w:color="auto"/>
            </w:tcBorders>
            <w:shd w:val="clear" w:color="auto" w:fill="auto"/>
            <w:noWrap/>
            <w:vAlign w:val="bottom"/>
            <w:hideMark/>
          </w:tcPr>
          <w:p w14:paraId="757B03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1.382416</w:t>
            </w:r>
          </w:p>
        </w:tc>
      </w:tr>
      <w:tr w:rsidR="002027D2" w:rsidRPr="008D1712" w14:paraId="0F71332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42894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177" w:type="dxa"/>
            <w:tcBorders>
              <w:top w:val="nil"/>
              <w:left w:val="nil"/>
              <w:bottom w:val="single" w:sz="4" w:space="0" w:color="auto"/>
              <w:right w:val="single" w:sz="4" w:space="0" w:color="auto"/>
            </w:tcBorders>
            <w:shd w:val="clear" w:color="auto" w:fill="auto"/>
            <w:noWrap/>
            <w:vAlign w:val="bottom"/>
            <w:hideMark/>
          </w:tcPr>
          <w:p w14:paraId="43CB03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4.344371</w:t>
            </w:r>
          </w:p>
        </w:tc>
        <w:tc>
          <w:tcPr>
            <w:tcW w:w="1177" w:type="dxa"/>
            <w:tcBorders>
              <w:top w:val="nil"/>
              <w:left w:val="nil"/>
              <w:bottom w:val="single" w:sz="4" w:space="0" w:color="auto"/>
              <w:right w:val="single" w:sz="4" w:space="0" w:color="auto"/>
            </w:tcBorders>
            <w:shd w:val="clear" w:color="auto" w:fill="auto"/>
            <w:noWrap/>
            <w:vAlign w:val="bottom"/>
            <w:hideMark/>
          </w:tcPr>
          <w:p w14:paraId="5E61B3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2.061725</w:t>
            </w:r>
          </w:p>
        </w:tc>
        <w:tc>
          <w:tcPr>
            <w:tcW w:w="1177" w:type="dxa"/>
            <w:tcBorders>
              <w:top w:val="nil"/>
              <w:left w:val="nil"/>
              <w:bottom w:val="single" w:sz="4" w:space="0" w:color="auto"/>
              <w:right w:val="single" w:sz="4" w:space="0" w:color="auto"/>
            </w:tcBorders>
            <w:shd w:val="clear" w:color="auto" w:fill="auto"/>
            <w:noWrap/>
            <w:vAlign w:val="bottom"/>
            <w:hideMark/>
          </w:tcPr>
          <w:p w14:paraId="653A7A4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1.1082</w:t>
            </w:r>
          </w:p>
        </w:tc>
      </w:tr>
      <w:tr w:rsidR="002027D2" w:rsidRPr="008D1712" w14:paraId="7E3E715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4C559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20981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4.549161</w:t>
            </w:r>
          </w:p>
        </w:tc>
        <w:tc>
          <w:tcPr>
            <w:tcW w:w="1177" w:type="dxa"/>
            <w:tcBorders>
              <w:top w:val="nil"/>
              <w:left w:val="nil"/>
              <w:bottom w:val="single" w:sz="4" w:space="0" w:color="auto"/>
              <w:right w:val="single" w:sz="4" w:space="0" w:color="auto"/>
            </w:tcBorders>
            <w:shd w:val="clear" w:color="auto" w:fill="auto"/>
            <w:noWrap/>
            <w:vAlign w:val="bottom"/>
            <w:hideMark/>
          </w:tcPr>
          <w:p w14:paraId="61B4B2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-2.88077</w:t>
            </w:r>
          </w:p>
        </w:tc>
        <w:tc>
          <w:tcPr>
            <w:tcW w:w="1177" w:type="dxa"/>
            <w:tcBorders>
              <w:top w:val="nil"/>
              <w:left w:val="nil"/>
              <w:bottom w:val="single" w:sz="4" w:space="0" w:color="auto"/>
              <w:right w:val="single" w:sz="4" w:space="0" w:color="auto"/>
            </w:tcBorders>
            <w:shd w:val="clear" w:color="auto" w:fill="auto"/>
            <w:noWrap/>
            <w:vAlign w:val="bottom"/>
            <w:hideMark/>
          </w:tcPr>
          <w:p w14:paraId="6C2C65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-2.84286</w:t>
            </w:r>
          </w:p>
        </w:tc>
      </w:tr>
      <w:tr w:rsidR="002027D2" w:rsidRPr="008D1712" w14:paraId="26584467"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C8EACB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48848C1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3.271882</w:t>
            </w:r>
          </w:p>
        </w:tc>
        <w:tc>
          <w:tcPr>
            <w:tcW w:w="1177" w:type="dxa"/>
            <w:tcBorders>
              <w:top w:val="nil"/>
              <w:left w:val="nil"/>
              <w:bottom w:val="single" w:sz="4" w:space="0" w:color="auto"/>
              <w:right w:val="single" w:sz="4" w:space="0" w:color="auto"/>
            </w:tcBorders>
            <w:shd w:val="clear" w:color="auto" w:fill="auto"/>
            <w:noWrap/>
            <w:vAlign w:val="bottom"/>
            <w:hideMark/>
          </w:tcPr>
          <w:p w14:paraId="1FFE731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-3.10446</w:t>
            </w:r>
          </w:p>
        </w:tc>
        <w:tc>
          <w:tcPr>
            <w:tcW w:w="1177" w:type="dxa"/>
            <w:tcBorders>
              <w:top w:val="nil"/>
              <w:left w:val="nil"/>
              <w:bottom w:val="single" w:sz="4" w:space="0" w:color="auto"/>
              <w:right w:val="single" w:sz="4" w:space="0" w:color="auto"/>
            </w:tcBorders>
            <w:shd w:val="clear" w:color="auto" w:fill="auto"/>
            <w:noWrap/>
            <w:vAlign w:val="bottom"/>
            <w:hideMark/>
          </w:tcPr>
          <w:p w14:paraId="7F9230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-1.63843</w:t>
            </w:r>
          </w:p>
        </w:tc>
      </w:tr>
      <w:tr w:rsidR="002027D2" w:rsidRPr="008D1712" w14:paraId="2346445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344DA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37EDAA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6.313429</w:t>
            </w:r>
          </w:p>
        </w:tc>
        <w:tc>
          <w:tcPr>
            <w:tcW w:w="1177" w:type="dxa"/>
            <w:tcBorders>
              <w:top w:val="nil"/>
              <w:left w:val="nil"/>
              <w:bottom w:val="single" w:sz="4" w:space="0" w:color="auto"/>
              <w:right w:val="single" w:sz="4" w:space="0" w:color="auto"/>
            </w:tcBorders>
            <w:shd w:val="clear" w:color="auto" w:fill="auto"/>
            <w:noWrap/>
            <w:vAlign w:val="bottom"/>
            <w:hideMark/>
          </w:tcPr>
          <w:p w14:paraId="549732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-3.04594</w:t>
            </w:r>
          </w:p>
        </w:tc>
        <w:tc>
          <w:tcPr>
            <w:tcW w:w="1177" w:type="dxa"/>
            <w:tcBorders>
              <w:top w:val="nil"/>
              <w:left w:val="nil"/>
              <w:bottom w:val="single" w:sz="4" w:space="0" w:color="auto"/>
              <w:right w:val="single" w:sz="4" w:space="0" w:color="auto"/>
            </w:tcBorders>
            <w:shd w:val="clear" w:color="auto" w:fill="auto"/>
            <w:noWrap/>
            <w:vAlign w:val="bottom"/>
            <w:hideMark/>
          </w:tcPr>
          <w:p w14:paraId="47765FC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-1.14571</w:t>
            </w:r>
          </w:p>
        </w:tc>
      </w:tr>
      <w:tr w:rsidR="002027D2" w:rsidRPr="008D1712" w14:paraId="6420914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9B99E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41031C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5.270083</w:t>
            </w:r>
          </w:p>
        </w:tc>
        <w:tc>
          <w:tcPr>
            <w:tcW w:w="1177" w:type="dxa"/>
            <w:tcBorders>
              <w:top w:val="nil"/>
              <w:left w:val="nil"/>
              <w:bottom w:val="single" w:sz="4" w:space="0" w:color="auto"/>
              <w:right w:val="single" w:sz="4" w:space="0" w:color="auto"/>
            </w:tcBorders>
            <w:shd w:val="clear" w:color="auto" w:fill="auto"/>
            <w:noWrap/>
            <w:vAlign w:val="bottom"/>
            <w:hideMark/>
          </w:tcPr>
          <w:p w14:paraId="2F56E5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-4.47931</w:t>
            </w:r>
          </w:p>
        </w:tc>
        <w:tc>
          <w:tcPr>
            <w:tcW w:w="1177" w:type="dxa"/>
            <w:tcBorders>
              <w:top w:val="nil"/>
              <w:left w:val="nil"/>
              <w:bottom w:val="single" w:sz="4" w:space="0" w:color="auto"/>
              <w:right w:val="single" w:sz="4" w:space="0" w:color="auto"/>
            </w:tcBorders>
            <w:shd w:val="clear" w:color="auto" w:fill="auto"/>
            <w:noWrap/>
            <w:vAlign w:val="bottom"/>
            <w:hideMark/>
          </w:tcPr>
          <w:p w14:paraId="33AF38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-1.09988</w:t>
            </w:r>
          </w:p>
        </w:tc>
      </w:tr>
      <w:tr w:rsidR="002027D2" w:rsidRPr="008D1712" w14:paraId="5C163060"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0737E0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79B7D0A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4.255118</w:t>
            </w:r>
          </w:p>
        </w:tc>
        <w:tc>
          <w:tcPr>
            <w:tcW w:w="1177" w:type="dxa"/>
            <w:tcBorders>
              <w:top w:val="nil"/>
              <w:left w:val="nil"/>
              <w:bottom w:val="single" w:sz="4" w:space="0" w:color="auto"/>
              <w:right w:val="single" w:sz="4" w:space="0" w:color="auto"/>
            </w:tcBorders>
            <w:shd w:val="clear" w:color="auto" w:fill="auto"/>
            <w:noWrap/>
            <w:vAlign w:val="bottom"/>
            <w:hideMark/>
          </w:tcPr>
          <w:p w14:paraId="1BCD64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-3.83383</w:t>
            </w:r>
          </w:p>
        </w:tc>
        <w:tc>
          <w:tcPr>
            <w:tcW w:w="1177" w:type="dxa"/>
            <w:tcBorders>
              <w:top w:val="nil"/>
              <w:left w:val="nil"/>
              <w:bottom w:val="single" w:sz="4" w:space="0" w:color="auto"/>
              <w:right w:val="single" w:sz="4" w:space="0" w:color="auto"/>
            </w:tcBorders>
            <w:shd w:val="clear" w:color="auto" w:fill="auto"/>
            <w:noWrap/>
            <w:vAlign w:val="bottom"/>
            <w:hideMark/>
          </w:tcPr>
          <w:p w14:paraId="319FD7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0.998423</w:t>
            </w:r>
          </w:p>
        </w:tc>
      </w:tr>
      <w:tr w:rsidR="002027D2" w:rsidRPr="008D1712" w14:paraId="222065E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A4ABD0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00435D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4.653844</w:t>
            </w:r>
          </w:p>
        </w:tc>
        <w:tc>
          <w:tcPr>
            <w:tcW w:w="1177" w:type="dxa"/>
            <w:tcBorders>
              <w:top w:val="nil"/>
              <w:left w:val="nil"/>
              <w:bottom w:val="single" w:sz="4" w:space="0" w:color="auto"/>
              <w:right w:val="single" w:sz="4" w:space="0" w:color="auto"/>
            </w:tcBorders>
            <w:shd w:val="clear" w:color="auto" w:fill="auto"/>
            <w:noWrap/>
            <w:vAlign w:val="bottom"/>
            <w:hideMark/>
          </w:tcPr>
          <w:p w14:paraId="33786F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-2.1102</w:t>
            </w:r>
          </w:p>
        </w:tc>
        <w:tc>
          <w:tcPr>
            <w:tcW w:w="1177" w:type="dxa"/>
            <w:tcBorders>
              <w:top w:val="nil"/>
              <w:left w:val="nil"/>
              <w:bottom w:val="single" w:sz="4" w:space="0" w:color="auto"/>
              <w:right w:val="single" w:sz="4" w:space="0" w:color="auto"/>
            </w:tcBorders>
            <w:shd w:val="clear" w:color="auto" w:fill="auto"/>
            <w:noWrap/>
            <w:vAlign w:val="bottom"/>
            <w:hideMark/>
          </w:tcPr>
          <w:p w14:paraId="2E62DF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0.765888</w:t>
            </w:r>
          </w:p>
        </w:tc>
      </w:tr>
      <w:tr w:rsidR="002027D2" w:rsidRPr="008D1712" w14:paraId="251C9FB6"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FF31F3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3D00A2C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6.77658</w:t>
            </w:r>
          </w:p>
        </w:tc>
        <w:tc>
          <w:tcPr>
            <w:tcW w:w="1177" w:type="dxa"/>
            <w:tcBorders>
              <w:top w:val="nil"/>
              <w:left w:val="nil"/>
              <w:bottom w:val="single" w:sz="4" w:space="0" w:color="auto"/>
              <w:right w:val="single" w:sz="4" w:space="0" w:color="auto"/>
            </w:tcBorders>
            <w:shd w:val="clear" w:color="auto" w:fill="auto"/>
            <w:noWrap/>
            <w:vAlign w:val="bottom"/>
            <w:hideMark/>
          </w:tcPr>
          <w:p w14:paraId="5C7239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-1.22126</w:t>
            </w:r>
          </w:p>
        </w:tc>
        <w:tc>
          <w:tcPr>
            <w:tcW w:w="1177" w:type="dxa"/>
            <w:tcBorders>
              <w:top w:val="nil"/>
              <w:left w:val="nil"/>
              <w:bottom w:val="single" w:sz="4" w:space="0" w:color="auto"/>
              <w:right w:val="single" w:sz="4" w:space="0" w:color="auto"/>
            </w:tcBorders>
            <w:shd w:val="clear" w:color="auto" w:fill="auto"/>
            <w:noWrap/>
            <w:vAlign w:val="bottom"/>
            <w:hideMark/>
          </w:tcPr>
          <w:p w14:paraId="2518024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1.446079</w:t>
            </w:r>
          </w:p>
        </w:tc>
      </w:tr>
      <w:tr w:rsidR="002027D2" w:rsidRPr="008D1712" w14:paraId="364B7307"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627BFE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4DF95F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7.624432</w:t>
            </w:r>
          </w:p>
        </w:tc>
        <w:tc>
          <w:tcPr>
            <w:tcW w:w="1177" w:type="dxa"/>
            <w:tcBorders>
              <w:top w:val="nil"/>
              <w:left w:val="nil"/>
              <w:bottom w:val="single" w:sz="4" w:space="0" w:color="auto"/>
              <w:right w:val="single" w:sz="4" w:space="0" w:color="auto"/>
            </w:tcBorders>
            <w:shd w:val="clear" w:color="auto" w:fill="auto"/>
            <w:noWrap/>
            <w:vAlign w:val="bottom"/>
            <w:hideMark/>
          </w:tcPr>
          <w:p w14:paraId="72C60B6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-2.27892</w:t>
            </w:r>
          </w:p>
        </w:tc>
        <w:tc>
          <w:tcPr>
            <w:tcW w:w="1177" w:type="dxa"/>
            <w:tcBorders>
              <w:top w:val="nil"/>
              <w:left w:val="nil"/>
              <w:bottom w:val="single" w:sz="4" w:space="0" w:color="auto"/>
              <w:right w:val="single" w:sz="4" w:space="0" w:color="auto"/>
            </w:tcBorders>
            <w:shd w:val="clear" w:color="auto" w:fill="auto"/>
            <w:noWrap/>
            <w:vAlign w:val="bottom"/>
            <w:hideMark/>
          </w:tcPr>
          <w:p w14:paraId="32B073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0.265102</w:t>
            </w:r>
          </w:p>
        </w:tc>
      </w:tr>
      <w:tr w:rsidR="002027D2" w:rsidRPr="008D1712" w14:paraId="65CECFD0"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788AD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178F9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8.08104</w:t>
            </w:r>
          </w:p>
        </w:tc>
        <w:tc>
          <w:tcPr>
            <w:tcW w:w="1177" w:type="dxa"/>
            <w:tcBorders>
              <w:top w:val="nil"/>
              <w:left w:val="nil"/>
              <w:bottom w:val="single" w:sz="4" w:space="0" w:color="auto"/>
              <w:right w:val="single" w:sz="4" w:space="0" w:color="auto"/>
            </w:tcBorders>
            <w:shd w:val="clear" w:color="auto" w:fill="auto"/>
            <w:noWrap/>
            <w:vAlign w:val="bottom"/>
            <w:hideMark/>
          </w:tcPr>
          <w:p w14:paraId="391746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-2.33285</w:t>
            </w:r>
          </w:p>
        </w:tc>
        <w:tc>
          <w:tcPr>
            <w:tcW w:w="1177" w:type="dxa"/>
            <w:tcBorders>
              <w:top w:val="nil"/>
              <w:left w:val="nil"/>
              <w:bottom w:val="single" w:sz="4" w:space="0" w:color="auto"/>
              <w:right w:val="single" w:sz="4" w:space="0" w:color="auto"/>
            </w:tcBorders>
            <w:shd w:val="clear" w:color="auto" w:fill="auto"/>
            <w:noWrap/>
            <w:vAlign w:val="bottom"/>
            <w:hideMark/>
          </w:tcPr>
          <w:p w14:paraId="4CF81F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2.001926</w:t>
            </w:r>
          </w:p>
        </w:tc>
      </w:tr>
      <w:tr w:rsidR="002027D2" w:rsidRPr="008D1712" w14:paraId="3D1692F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A0739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1233D7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5.242917</w:t>
            </w:r>
          </w:p>
        </w:tc>
        <w:tc>
          <w:tcPr>
            <w:tcW w:w="1177" w:type="dxa"/>
            <w:tcBorders>
              <w:top w:val="nil"/>
              <w:left w:val="nil"/>
              <w:bottom w:val="single" w:sz="4" w:space="0" w:color="auto"/>
              <w:right w:val="single" w:sz="4" w:space="0" w:color="auto"/>
            </w:tcBorders>
            <w:shd w:val="clear" w:color="auto" w:fill="auto"/>
            <w:noWrap/>
            <w:vAlign w:val="bottom"/>
            <w:hideMark/>
          </w:tcPr>
          <w:p w14:paraId="69D6AB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-2.16334</w:t>
            </w:r>
          </w:p>
        </w:tc>
        <w:tc>
          <w:tcPr>
            <w:tcW w:w="1177" w:type="dxa"/>
            <w:tcBorders>
              <w:top w:val="nil"/>
              <w:left w:val="nil"/>
              <w:bottom w:val="single" w:sz="4" w:space="0" w:color="auto"/>
              <w:right w:val="single" w:sz="4" w:space="0" w:color="auto"/>
            </w:tcBorders>
            <w:shd w:val="clear" w:color="auto" w:fill="auto"/>
            <w:noWrap/>
            <w:vAlign w:val="bottom"/>
            <w:hideMark/>
          </w:tcPr>
          <w:p w14:paraId="6B7330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3.083478</w:t>
            </w:r>
          </w:p>
        </w:tc>
      </w:tr>
      <w:tr w:rsidR="002027D2" w:rsidRPr="008D1712" w14:paraId="42750CF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61079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61039C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6.586708</w:t>
            </w:r>
          </w:p>
        </w:tc>
        <w:tc>
          <w:tcPr>
            <w:tcW w:w="1177" w:type="dxa"/>
            <w:tcBorders>
              <w:top w:val="nil"/>
              <w:left w:val="nil"/>
              <w:bottom w:val="single" w:sz="4" w:space="0" w:color="auto"/>
              <w:right w:val="single" w:sz="4" w:space="0" w:color="auto"/>
            </w:tcBorders>
            <w:shd w:val="clear" w:color="auto" w:fill="auto"/>
            <w:noWrap/>
            <w:vAlign w:val="bottom"/>
            <w:hideMark/>
          </w:tcPr>
          <w:p w14:paraId="629175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-3.21751</w:t>
            </w:r>
          </w:p>
        </w:tc>
        <w:tc>
          <w:tcPr>
            <w:tcW w:w="1177" w:type="dxa"/>
            <w:tcBorders>
              <w:top w:val="nil"/>
              <w:left w:val="nil"/>
              <w:bottom w:val="single" w:sz="4" w:space="0" w:color="auto"/>
              <w:right w:val="single" w:sz="4" w:space="0" w:color="auto"/>
            </w:tcBorders>
            <w:shd w:val="clear" w:color="auto" w:fill="auto"/>
            <w:noWrap/>
            <w:vAlign w:val="bottom"/>
            <w:hideMark/>
          </w:tcPr>
          <w:p w14:paraId="015C069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3.657983</w:t>
            </w:r>
          </w:p>
        </w:tc>
      </w:tr>
      <w:tr w:rsidR="002027D2" w:rsidRPr="008D1712" w14:paraId="71B0B13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F8053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18FFED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5.011214</w:t>
            </w:r>
          </w:p>
        </w:tc>
        <w:tc>
          <w:tcPr>
            <w:tcW w:w="1177" w:type="dxa"/>
            <w:tcBorders>
              <w:top w:val="nil"/>
              <w:left w:val="nil"/>
              <w:bottom w:val="single" w:sz="4" w:space="0" w:color="auto"/>
              <w:right w:val="single" w:sz="4" w:space="0" w:color="auto"/>
            </w:tcBorders>
            <w:shd w:val="clear" w:color="auto" w:fill="auto"/>
            <w:noWrap/>
            <w:vAlign w:val="bottom"/>
            <w:hideMark/>
          </w:tcPr>
          <w:p w14:paraId="2D3F5D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-3.94872</w:t>
            </w:r>
          </w:p>
        </w:tc>
        <w:tc>
          <w:tcPr>
            <w:tcW w:w="1177" w:type="dxa"/>
            <w:tcBorders>
              <w:top w:val="nil"/>
              <w:left w:val="nil"/>
              <w:bottom w:val="single" w:sz="4" w:space="0" w:color="auto"/>
              <w:right w:val="single" w:sz="4" w:space="0" w:color="auto"/>
            </w:tcBorders>
            <w:shd w:val="clear" w:color="auto" w:fill="auto"/>
            <w:noWrap/>
            <w:vAlign w:val="bottom"/>
            <w:hideMark/>
          </w:tcPr>
          <w:p w14:paraId="7303BE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3.183084</w:t>
            </w:r>
          </w:p>
        </w:tc>
      </w:tr>
      <w:tr w:rsidR="002027D2" w:rsidRPr="008D1712" w14:paraId="1C5C75CD"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28C18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738928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7.287576</w:t>
            </w:r>
          </w:p>
        </w:tc>
        <w:tc>
          <w:tcPr>
            <w:tcW w:w="1177" w:type="dxa"/>
            <w:tcBorders>
              <w:top w:val="nil"/>
              <w:left w:val="nil"/>
              <w:bottom w:val="single" w:sz="4" w:space="0" w:color="auto"/>
              <w:right w:val="single" w:sz="4" w:space="0" w:color="auto"/>
            </w:tcBorders>
            <w:shd w:val="clear" w:color="auto" w:fill="auto"/>
            <w:noWrap/>
            <w:vAlign w:val="bottom"/>
            <w:hideMark/>
          </w:tcPr>
          <w:p w14:paraId="6FE0DD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-4.72494</w:t>
            </w:r>
          </w:p>
        </w:tc>
        <w:tc>
          <w:tcPr>
            <w:tcW w:w="1177" w:type="dxa"/>
            <w:tcBorders>
              <w:top w:val="nil"/>
              <w:left w:val="nil"/>
              <w:bottom w:val="single" w:sz="4" w:space="0" w:color="auto"/>
              <w:right w:val="single" w:sz="4" w:space="0" w:color="auto"/>
            </w:tcBorders>
            <w:shd w:val="clear" w:color="auto" w:fill="auto"/>
            <w:noWrap/>
            <w:vAlign w:val="bottom"/>
            <w:hideMark/>
          </w:tcPr>
          <w:p w14:paraId="20ACB3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0.377333</w:t>
            </w:r>
          </w:p>
        </w:tc>
      </w:tr>
      <w:tr w:rsidR="002027D2" w:rsidRPr="008D1712" w14:paraId="3ACA920D"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21FE8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3D2E1F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6.101798</w:t>
            </w:r>
          </w:p>
        </w:tc>
        <w:tc>
          <w:tcPr>
            <w:tcW w:w="1177" w:type="dxa"/>
            <w:tcBorders>
              <w:top w:val="nil"/>
              <w:left w:val="nil"/>
              <w:bottom w:val="single" w:sz="4" w:space="0" w:color="auto"/>
              <w:right w:val="single" w:sz="4" w:space="0" w:color="auto"/>
            </w:tcBorders>
            <w:shd w:val="clear" w:color="auto" w:fill="auto"/>
            <w:noWrap/>
            <w:vAlign w:val="bottom"/>
            <w:hideMark/>
          </w:tcPr>
          <w:p w14:paraId="2D746A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-5.41676</w:t>
            </w:r>
          </w:p>
        </w:tc>
        <w:tc>
          <w:tcPr>
            <w:tcW w:w="1177" w:type="dxa"/>
            <w:tcBorders>
              <w:top w:val="nil"/>
              <w:left w:val="nil"/>
              <w:bottom w:val="single" w:sz="4" w:space="0" w:color="auto"/>
              <w:right w:val="single" w:sz="4" w:space="0" w:color="auto"/>
            </w:tcBorders>
            <w:shd w:val="clear" w:color="auto" w:fill="auto"/>
            <w:noWrap/>
            <w:vAlign w:val="bottom"/>
            <w:hideMark/>
          </w:tcPr>
          <w:p w14:paraId="6635D8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1.546396</w:t>
            </w:r>
          </w:p>
        </w:tc>
      </w:tr>
      <w:tr w:rsidR="002027D2" w:rsidRPr="008D1712" w14:paraId="5025C83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851E0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4816D32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7.666666</w:t>
            </w:r>
          </w:p>
        </w:tc>
        <w:tc>
          <w:tcPr>
            <w:tcW w:w="1177" w:type="dxa"/>
            <w:tcBorders>
              <w:top w:val="nil"/>
              <w:left w:val="nil"/>
              <w:bottom w:val="single" w:sz="4" w:space="0" w:color="auto"/>
              <w:right w:val="single" w:sz="4" w:space="0" w:color="auto"/>
            </w:tcBorders>
            <w:shd w:val="clear" w:color="auto" w:fill="auto"/>
            <w:noWrap/>
            <w:vAlign w:val="bottom"/>
            <w:hideMark/>
          </w:tcPr>
          <w:p w14:paraId="2EB019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-4.74787</w:t>
            </w:r>
          </w:p>
        </w:tc>
        <w:tc>
          <w:tcPr>
            <w:tcW w:w="1177" w:type="dxa"/>
            <w:tcBorders>
              <w:top w:val="nil"/>
              <w:left w:val="nil"/>
              <w:bottom w:val="single" w:sz="4" w:space="0" w:color="auto"/>
              <w:right w:val="single" w:sz="4" w:space="0" w:color="auto"/>
            </w:tcBorders>
            <w:shd w:val="clear" w:color="auto" w:fill="auto"/>
            <w:noWrap/>
            <w:vAlign w:val="bottom"/>
            <w:hideMark/>
          </w:tcPr>
          <w:p w14:paraId="34D7A6C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2.13506</w:t>
            </w:r>
          </w:p>
        </w:tc>
      </w:tr>
      <w:tr w:rsidR="002027D2" w:rsidRPr="008D1712" w14:paraId="3F476EC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47F52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337F90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5.908155</w:t>
            </w:r>
          </w:p>
        </w:tc>
        <w:tc>
          <w:tcPr>
            <w:tcW w:w="1177" w:type="dxa"/>
            <w:tcBorders>
              <w:top w:val="nil"/>
              <w:left w:val="nil"/>
              <w:bottom w:val="single" w:sz="4" w:space="0" w:color="auto"/>
              <w:right w:val="single" w:sz="4" w:space="0" w:color="auto"/>
            </w:tcBorders>
            <w:shd w:val="clear" w:color="auto" w:fill="auto"/>
            <w:noWrap/>
            <w:vAlign w:val="bottom"/>
            <w:hideMark/>
          </w:tcPr>
          <w:p w14:paraId="3FD307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2.843977</w:t>
            </w:r>
          </w:p>
        </w:tc>
        <w:tc>
          <w:tcPr>
            <w:tcW w:w="1177" w:type="dxa"/>
            <w:tcBorders>
              <w:top w:val="nil"/>
              <w:left w:val="nil"/>
              <w:bottom w:val="single" w:sz="4" w:space="0" w:color="auto"/>
              <w:right w:val="single" w:sz="4" w:space="0" w:color="auto"/>
            </w:tcBorders>
            <w:shd w:val="clear" w:color="auto" w:fill="auto"/>
            <w:noWrap/>
            <w:vAlign w:val="bottom"/>
            <w:hideMark/>
          </w:tcPr>
          <w:p w14:paraId="1DC8E6B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-0.92263</w:t>
            </w:r>
          </w:p>
        </w:tc>
      </w:tr>
      <w:tr w:rsidR="002027D2" w:rsidRPr="008D1712" w14:paraId="1F3F9AB2"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2722E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6176516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6.703561</w:t>
            </w:r>
          </w:p>
        </w:tc>
        <w:tc>
          <w:tcPr>
            <w:tcW w:w="1177" w:type="dxa"/>
            <w:tcBorders>
              <w:top w:val="nil"/>
              <w:left w:val="nil"/>
              <w:bottom w:val="single" w:sz="4" w:space="0" w:color="auto"/>
              <w:right w:val="single" w:sz="4" w:space="0" w:color="auto"/>
            </w:tcBorders>
            <w:shd w:val="clear" w:color="auto" w:fill="auto"/>
            <w:noWrap/>
            <w:vAlign w:val="bottom"/>
            <w:hideMark/>
          </w:tcPr>
          <w:p w14:paraId="131DEE7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-1.67844</w:t>
            </w:r>
          </w:p>
        </w:tc>
        <w:tc>
          <w:tcPr>
            <w:tcW w:w="1177" w:type="dxa"/>
            <w:tcBorders>
              <w:top w:val="nil"/>
              <w:left w:val="nil"/>
              <w:bottom w:val="single" w:sz="4" w:space="0" w:color="auto"/>
              <w:right w:val="single" w:sz="4" w:space="0" w:color="auto"/>
            </w:tcBorders>
            <w:shd w:val="clear" w:color="auto" w:fill="auto"/>
            <w:noWrap/>
            <w:vAlign w:val="bottom"/>
            <w:hideMark/>
          </w:tcPr>
          <w:p w14:paraId="7E51B2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-2.99315</w:t>
            </w:r>
          </w:p>
        </w:tc>
      </w:tr>
      <w:tr w:rsidR="002027D2" w:rsidRPr="008D1712" w14:paraId="382BF28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61E53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34647F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8.435025</w:t>
            </w:r>
          </w:p>
        </w:tc>
        <w:tc>
          <w:tcPr>
            <w:tcW w:w="1177" w:type="dxa"/>
            <w:tcBorders>
              <w:top w:val="nil"/>
              <w:left w:val="nil"/>
              <w:bottom w:val="single" w:sz="4" w:space="0" w:color="auto"/>
              <w:right w:val="single" w:sz="4" w:space="0" w:color="auto"/>
            </w:tcBorders>
            <w:shd w:val="clear" w:color="auto" w:fill="auto"/>
            <w:noWrap/>
            <w:vAlign w:val="bottom"/>
            <w:hideMark/>
          </w:tcPr>
          <w:p w14:paraId="0E7095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0.105557</w:t>
            </w:r>
          </w:p>
        </w:tc>
        <w:tc>
          <w:tcPr>
            <w:tcW w:w="1177" w:type="dxa"/>
            <w:tcBorders>
              <w:top w:val="nil"/>
              <w:left w:val="nil"/>
              <w:bottom w:val="single" w:sz="4" w:space="0" w:color="auto"/>
              <w:right w:val="single" w:sz="4" w:space="0" w:color="auto"/>
            </w:tcBorders>
            <w:shd w:val="clear" w:color="auto" w:fill="auto"/>
            <w:noWrap/>
            <w:vAlign w:val="bottom"/>
            <w:hideMark/>
          </w:tcPr>
          <w:p w14:paraId="1030B8B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-3.14153</w:t>
            </w:r>
          </w:p>
        </w:tc>
      </w:tr>
    </w:tbl>
    <w:p w14:paraId="69334F9D"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S2.47</w:t>
      </w:r>
      <w:r w:rsidRPr="000452A8">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 xml:space="preserve">Coordinates (Angstroms) and energy (a.u.) of </w:t>
      </w:r>
      <w:r w:rsidRPr="008D1712">
        <w:rPr>
          <w:rFonts w:ascii="Arial" w:eastAsia="Times New Roman" w:hAnsi="Arial" w:cs="Arial"/>
          <w:b/>
          <w:bCs/>
          <w:color w:val="000000"/>
          <w:sz w:val="24"/>
          <w:szCs w:val="24"/>
        </w:rPr>
        <w:t>SQ Br</w:t>
      </w:r>
      <w:r w:rsidRPr="008D1712">
        <w:rPr>
          <w:rFonts w:ascii="Arial" w:hAnsi="Arial" w:cs="Arial"/>
          <w:sz w:val="24"/>
          <w:szCs w:val="24"/>
        </w:rPr>
        <w:t>. Geometries were optimized using PBE functional and 6-31+G* basis set.</w:t>
      </w:r>
    </w:p>
    <w:p w14:paraId="4B4992A3" w14:textId="77777777" w:rsidR="002027D2" w:rsidRPr="008D1712" w:rsidRDefault="002027D2" w:rsidP="005556B5">
      <w:pPr>
        <w:rPr>
          <w:rFonts w:ascii="Arial" w:hAnsi="Arial" w:cs="Arial"/>
          <w:sz w:val="24"/>
          <w:szCs w:val="24"/>
        </w:rPr>
      </w:pPr>
    </w:p>
    <w:tbl>
      <w:tblPr>
        <w:tblW w:w="3840" w:type="dxa"/>
        <w:jc w:val="center"/>
        <w:tblLook w:val="04A0" w:firstRow="1" w:lastRow="0" w:firstColumn="1" w:lastColumn="0" w:noHBand="0" w:noVBand="1"/>
      </w:tblPr>
      <w:tblGrid>
        <w:gridCol w:w="456"/>
        <w:gridCol w:w="1218"/>
        <w:gridCol w:w="1218"/>
        <w:gridCol w:w="1218"/>
      </w:tblGrid>
      <w:tr w:rsidR="002027D2" w:rsidRPr="008D1712" w14:paraId="5ED6338C" w14:textId="77777777" w:rsidTr="00323CC4">
        <w:trPr>
          <w:trHeight w:val="300"/>
          <w:jc w:val="center"/>
        </w:trPr>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B66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b/>
                <w:bCs/>
                <w:color w:val="000000"/>
                <w:sz w:val="24"/>
                <w:szCs w:val="24"/>
              </w:rPr>
              <w:t>SQ Br no TMAB</w:t>
            </w:r>
          </w:p>
        </w:tc>
      </w:tr>
      <w:tr w:rsidR="002027D2" w:rsidRPr="008D1712" w14:paraId="223A79A6" w14:textId="77777777" w:rsidTr="00323CC4">
        <w:trPr>
          <w:trHeight w:val="300"/>
          <w:jc w:val="center"/>
        </w:trPr>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458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-6487.89765783118 a.u.</w:t>
            </w:r>
          </w:p>
        </w:tc>
      </w:tr>
      <w:tr w:rsidR="002027D2" w:rsidRPr="008D1712" w14:paraId="3785E59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859AC7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633974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1.211363</w:t>
            </w:r>
          </w:p>
        </w:tc>
        <w:tc>
          <w:tcPr>
            <w:tcW w:w="1177" w:type="dxa"/>
            <w:tcBorders>
              <w:top w:val="nil"/>
              <w:left w:val="nil"/>
              <w:bottom w:val="single" w:sz="4" w:space="0" w:color="auto"/>
              <w:right w:val="single" w:sz="4" w:space="0" w:color="auto"/>
            </w:tcBorders>
            <w:shd w:val="clear" w:color="auto" w:fill="auto"/>
            <w:noWrap/>
            <w:vAlign w:val="bottom"/>
            <w:hideMark/>
          </w:tcPr>
          <w:p w14:paraId="2E417DD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0.200423</w:t>
            </w:r>
          </w:p>
        </w:tc>
        <w:tc>
          <w:tcPr>
            <w:tcW w:w="1177" w:type="dxa"/>
            <w:tcBorders>
              <w:top w:val="nil"/>
              <w:left w:val="nil"/>
              <w:bottom w:val="single" w:sz="4" w:space="0" w:color="auto"/>
              <w:right w:val="single" w:sz="4" w:space="0" w:color="auto"/>
            </w:tcBorders>
            <w:shd w:val="clear" w:color="auto" w:fill="auto"/>
            <w:noWrap/>
            <w:vAlign w:val="bottom"/>
            <w:hideMark/>
          </w:tcPr>
          <w:p w14:paraId="218648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0.004303</w:t>
            </w:r>
          </w:p>
        </w:tc>
      </w:tr>
      <w:tr w:rsidR="002027D2" w:rsidRPr="008D1712" w14:paraId="065510A2"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6C6DD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6312D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0.46697</w:t>
            </w:r>
          </w:p>
        </w:tc>
        <w:tc>
          <w:tcPr>
            <w:tcW w:w="1177" w:type="dxa"/>
            <w:tcBorders>
              <w:top w:val="nil"/>
              <w:left w:val="nil"/>
              <w:bottom w:val="single" w:sz="4" w:space="0" w:color="auto"/>
              <w:right w:val="single" w:sz="4" w:space="0" w:color="auto"/>
            </w:tcBorders>
            <w:shd w:val="clear" w:color="auto" w:fill="auto"/>
            <w:noWrap/>
            <w:vAlign w:val="bottom"/>
            <w:hideMark/>
          </w:tcPr>
          <w:p w14:paraId="17A3A5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-0.79695</w:t>
            </w:r>
          </w:p>
        </w:tc>
        <w:tc>
          <w:tcPr>
            <w:tcW w:w="1177" w:type="dxa"/>
            <w:tcBorders>
              <w:top w:val="nil"/>
              <w:left w:val="nil"/>
              <w:bottom w:val="single" w:sz="4" w:space="0" w:color="auto"/>
              <w:right w:val="single" w:sz="4" w:space="0" w:color="auto"/>
            </w:tcBorders>
            <w:shd w:val="clear" w:color="auto" w:fill="auto"/>
            <w:noWrap/>
            <w:vAlign w:val="bottom"/>
            <w:hideMark/>
          </w:tcPr>
          <w:p w14:paraId="7C05D1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0.814386</w:t>
            </w:r>
          </w:p>
        </w:tc>
      </w:tr>
      <w:tr w:rsidR="002027D2" w:rsidRPr="008D1712" w14:paraId="3A9AC26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86BBB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2815E30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-0.56456</w:t>
            </w:r>
          </w:p>
        </w:tc>
        <w:tc>
          <w:tcPr>
            <w:tcW w:w="1177" w:type="dxa"/>
            <w:tcBorders>
              <w:top w:val="nil"/>
              <w:left w:val="nil"/>
              <w:bottom w:val="single" w:sz="4" w:space="0" w:color="auto"/>
              <w:right w:val="single" w:sz="4" w:space="0" w:color="auto"/>
            </w:tcBorders>
            <w:shd w:val="clear" w:color="auto" w:fill="auto"/>
            <w:noWrap/>
            <w:vAlign w:val="bottom"/>
            <w:hideMark/>
          </w:tcPr>
          <w:p w14:paraId="6AB301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-0.9063</w:t>
            </w:r>
          </w:p>
        </w:tc>
        <w:tc>
          <w:tcPr>
            <w:tcW w:w="1177" w:type="dxa"/>
            <w:tcBorders>
              <w:top w:val="nil"/>
              <w:left w:val="nil"/>
              <w:bottom w:val="single" w:sz="4" w:space="0" w:color="auto"/>
              <w:right w:val="single" w:sz="4" w:space="0" w:color="auto"/>
            </w:tcBorders>
            <w:shd w:val="clear" w:color="auto" w:fill="auto"/>
            <w:noWrap/>
            <w:vAlign w:val="bottom"/>
            <w:hideMark/>
          </w:tcPr>
          <w:p w14:paraId="7059A8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-0.24581</w:t>
            </w:r>
          </w:p>
        </w:tc>
      </w:tr>
      <w:tr w:rsidR="002027D2" w:rsidRPr="008D1712" w14:paraId="11457BC9"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E21C6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50D4CC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0.174906</w:t>
            </w:r>
          </w:p>
        </w:tc>
        <w:tc>
          <w:tcPr>
            <w:tcW w:w="1177" w:type="dxa"/>
            <w:tcBorders>
              <w:top w:val="nil"/>
              <w:left w:val="nil"/>
              <w:bottom w:val="single" w:sz="4" w:space="0" w:color="auto"/>
              <w:right w:val="single" w:sz="4" w:space="0" w:color="auto"/>
            </w:tcBorders>
            <w:shd w:val="clear" w:color="auto" w:fill="auto"/>
            <w:noWrap/>
            <w:vAlign w:val="bottom"/>
            <w:hideMark/>
          </w:tcPr>
          <w:p w14:paraId="0EBC6A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0.109057</w:t>
            </w:r>
          </w:p>
        </w:tc>
        <w:tc>
          <w:tcPr>
            <w:tcW w:w="1177" w:type="dxa"/>
            <w:tcBorders>
              <w:top w:val="nil"/>
              <w:left w:val="nil"/>
              <w:bottom w:val="single" w:sz="4" w:space="0" w:color="auto"/>
              <w:right w:val="single" w:sz="4" w:space="0" w:color="auto"/>
            </w:tcBorders>
            <w:shd w:val="clear" w:color="auto" w:fill="auto"/>
            <w:noWrap/>
            <w:vAlign w:val="bottom"/>
            <w:hideMark/>
          </w:tcPr>
          <w:p w14:paraId="6D5FDA4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-1.05014</w:t>
            </w:r>
          </w:p>
        </w:tc>
      </w:tr>
      <w:tr w:rsidR="002027D2" w:rsidRPr="008D1712" w14:paraId="5C2D620A"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1AA851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C</w:t>
            </w:r>
          </w:p>
        </w:tc>
        <w:tc>
          <w:tcPr>
            <w:tcW w:w="1177" w:type="dxa"/>
            <w:tcBorders>
              <w:top w:val="nil"/>
              <w:left w:val="nil"/>
              <w:bottom w:val="single" w:sz="4" w:space="0" w:color="auto"/>
              <w:right w:val="single" w:sz="4" w:space="0" w:color="auto"/>
            </w:tcBorders>
            <w:shd w:val="clear" w:color="auto" w:fill="auto"/>
            <w:noWrap/>
            <w:vAlign w:val="bottom"/>
            <w:hideMark/>
          </w:tcPr>
          <w:p w14:paraId="75C0B0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-1.73404</w:t>
            </w:r>
          </w:p>
        </w:tc>
        <w:tc>
          <w:tcPr>
            <w:tcW w:w="1177" w:type="dxa"/>
            <w:tcBorders>
              <w:top w:val="nil"/>
              <w:left w:val="nil"/>
              <w:bottom w:val="single" w:sz="4" w:space="0" w:color="auto"/>
              <w:right w:val="single" w:sz="4" w:space="0" w:color="auto"/>
            </w:tcBorders>
            <w:shd w:val="clear" w:color="auto" w:fill="auto"/>
            <w:noWrap/>
            <w:vAlign w:val="bottom"/>
            <w:hideMark/>
          </w:tcPr>
          <w:p w14:paraId="7C43D7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-1.67467</w:t>
            </w:r>
          </w:p>
        </w:tc>
        <w:tc>
          <w:tcPr>
            <w:tcW w:w="1177" w:type="dxa"/>
            <w:tcBorders>
              <w:top w:val="nil"/>
              <w:left w:val="nil"/>
              <w:bottom w:val="single" w:sz="4" w:space="0" w:color="auto"/>
              <w:right w:val="single" w:sz="4" w:space="0" w:color="auto"/>
            </w:tcBorders>
            <w:shd w:val="clear" w:color="auto" w:fill="auto"/>
            <w:noWrap/>
            <w:vAlign w:val="bottom"/>
            <w:hideMark/>
          </w:tcPr>
          <w:p w14:paraId="51A904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-0.12345</w:t>
            </w:r>
          </w:p>
        </w:tc>
      </w:tr>
      <w:tr w:rsidR="002027D2" w:rsidRPr="008D1712" w14:paraId="1EA95192"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416F0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0F229F2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-2.82697</w:t>
            </w:r>
          </w:p>
        </w:tc>
        <w:tc>
          <w:tcPr>
            <w:tcW w:w="1177" w:type="dxa"/>
            <w:tcBorders>
              <w:top w:val="nil"/>
              <w:left w:val="nil"/>
              <w:bottom w:val="single" w:sz="4" w:space="0" w:color="auto"/>
              <w:right w:val="single" w:sz="4" w:space="0" w:color="auto"/>
            </w:tcBorders>
            <w:shd w:val="clear" w:color="auto" w:fill="auto"/>
            <w:noWrap/>
            <w:vAlign w:val="bottom"/>
            <w:hideMark/>
          </w:tcPr>
          <w:p w14:paraId="3E4091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-1.98913</w:t>
            </w:r>
          </w:p>
        </w:tc>
        <w:tc>
          <w:tcPr>
            <w:tcW w:w="1177" w:type="dxa"/>
            <w:tcBorders>
              <w:top w:val="nil"/>
              <w:left w:val="nil"/>
              <w:bottom w:val="single" w:sz="4" w:space="0" w:color="auto"/>
              <w:right w:val="single" w:sz="4" w:space="0" w:color="auto"/>
            </w:tcBorders>
            <w:shd w:val="clear" w:color="auto" w:fill="auto"/>
            <w:noWrap/>
            <w:vAlign w:val="bottom"/>
            <w:hideMark/>
          </w:tcPr>
          <w:p w14:paraId="4E228D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-0.93082</w:t>
            </w:r>
          </w:p>
        </w:tc>
      </w:tr>
      <w:tr w:rsidR="002027D2" w:rsidRPr="008D1712" w14:paraId="78C91A1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0AB12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1DE9D9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-4.06989</w:t>
            </w:r>
          </w:p>
        </w:tc>
        <w:tc>
          <w:tcPr>
            <w:tcW w:w="1177" w:type="dxa"/>
            <w:tcBorders>
              <w:top w:val="nil"/>
              <w:left w:val="nil"/>
              <w:bottom w:val="single" w:sz="4" w:space="0" w:color="auto"/>
              <w:right w:val="single" w:sz="4" w:space="0" w:color="auto"/>
            </w:tcBorders>
            <w:shd w:val="clear" w:color="auto" w:fill="auto"/>
            <w:noWrap/>
            <w:vAlign w:val="bottom"/>
            <w:hideMark/>
          </w:tcPr>
          <w:p w14:paraId="2F4FD9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-2.69914</w:t>
            </w:r>
          </w:p>
        </w:tc>
        <w:tc>
          <w:tcPr>
            <w:tcW w:w="1177" w:type="dxa"/>
            <w:tcBorders>
              <w:top w:val="nil"/>
              <w:left w:val="nil"/>
              <w:bottom w:val="single" w:sz="4" w:space="0" w:color="auto"/>
              <w:right w:val="single" w:sz="4" w:space="0" w:color="auto"/>
            </w:tcBorders>
            <w:shd w:val="clear" w:color="auto" w:fill="auto"/>
            <w:noWrap/>
            <w:vAlign w:val="bottom"/>
            <w:hideMark/>
          </w:tcPr>
          <w:p w14:paraId="254590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-0.36072</w:t>
            </w:r>
          </w:p>
        </w:tc>
      </w:tr>
      <w:tr w:rsidR="002027D2" w:rsidRPr="008D1712" w14:paraId="691BFD06"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5FBD7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97D90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-4.93222</w:t>
            </w:r>
          </w:p>
        </w:tc>
        <w:tc>
          <w:tcPr>
            <w:tcW w:w="1177" w:type="dxa"/>
            <w:tcBorders>
              <w:top w:val="nil"/>
              <w:left w:val="nil"/>
              <w:bottom w:val="single" w:sz="4" w:space="0" w:color="auto"/>
              <w:right w:val="single" w:sz="4" w:space="0" w:color="auto"/>
            </w:tcBorders>
            <w:shd w:val="clear" w:color="auto" w:fill="auto"/>
            <w:noWrap/>
            <w:vAlign w:val="bottom"/>
            <w:hideMark/>
          </w:tcPr>
          <w:p w14:paraId="212C17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-2.84975</w:t>
            </w:r>
          </w:p>
        </w:tc>
        <w:tc>
          <w:tcPr>
            <w:tcW w:w="1177" w:type="dxa"/>
            <w:tcBorders>
              <w:top w:val="nil"/>
              <w:left w:val="nil"/>
              <w:bottom w:val="single" w:sz="4" w:space="0" w:color="auto"/>
              <w:right w:val="single" w:sz="4" w:space="0" w:color="auto"/>
            </w:tcBorders>
            <w:shd w:val="clear" w:color="auto" w:fill="auto"/>
            <w:noWrap/>
            <w:vAlign w:val="bottom"/>
            <w:hideMark/>
          </w:tcPr>
          <w:p w14:paraId="3397FE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-1.59946</w:t>
            </w:r>
          </w:p>
        </w:tc>
      </w:tr>
      <w:tr w:rsidR="002027D2" w:rsidRPr="008D1712" w14:paraId="74FB6D99"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1C6C61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1AA44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-4.25357</w:t>
            </w:r>
          </w:p>
        </w:tc>
        <w:tc>
          <w:tcPr>
            <w:tcW w:w="1177" w:type="dxa"/>
            <w:tcBorders>
              <w:top w:val="nil"/>
              <w:left w:val="nil"/>
              <w:bottom w:val="single" w:sz="4" w:space="0" w:color="auto"/>
              <w:right w:val="single" w:sz="4" w:space="0" w:color="auto"/>
            </w:tcBorders>
            <w:shd w:val="clear" w:color="auto" w:fill="auto"/>
            <w:noWrap/>
            <w:vAlign w:val="bottom"/>
            <w:hideMark/>
          </w:tcPr>
          <w:p w14:paraId="2C0B70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-2.2944</w:t>
            </w:r>
          </w:p>
        </w:tc>
        <w:tc>
          <w:tcPr>
            <w:tcW w:w="1177" w:type="dxa"/>
            <w:tcBorders>
              <w:top w:val="nil"/>
              <w:left w:val="nil"/>
              <w:bottom w:val="single" w:sz="4" w:space="0" w:color="auto"/>
              <w:right w:val="single" w:sz="4" w:space="0" w:color="auto"/>
            </w:tcBorders>
            <w:shd w:val="clear" w:color="auto" w:fill="auto"/>
            <w:noWrap/>
            <w:vAlign w:val="bottom"/>
            <w:hideMark/>
          </w:tcPr>
          <w:p w14:paraId="4DE8BF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-2.70102</w:t>
            </w:r>
          </w:p>
        </w:tc>
      </w:tr>
      <w:tr w:rsidR="002027D2" w:rsidRPr="008D1712" w14:paraId="305990AC"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CA88C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77" w:type="dxa"/>
            <w:tcBorders>
              <w:top w:val="nil"/>
              <w:left w:val="nil"/>
              <w:bottom w:val="single" w:sz="4" w:space="0" w:color="auto"/>
              <w:right w:val="single" w:sz="4" w:space="0" w:color="auto"/>
            </w:tcBorders>
            <w:shd w:val="clear" w:color="auto" w:fill="auto"/>
            <w:noWrap/>
            <w:vAlign w:val="bottom"/>
            <w:hideMark/>
          </w:tcPr>
          <w:p w14:paraId="1927D4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-3.01136</w:t>
            </w:r>
          </w:p>
        </w:tc>
        <w:tc>
          <w:tcPr>
            <w:tcW w:w="1177" w:type="dxa"/>
            <w:tcBorders>
              <w:top w:val="nil"/>
              <w:left w:val="nil"/>
              <w:bottom w:val="single" w:sz="4" w:space="0" w:color="auto"/>
              <w:right w:val="single" w:sz="4" w:space="0" w:color="auto"/>
            </w:tcBorders>
            <w:shd w:val="clear" w:color="auto" w:fill="auto"/>
            <w:noWrap/>
            <w:vAlign w:val="bottom"/>
            <w:hideMark/>
          </w:tcPr>
          <w:p w14:paraId="2816E91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-1.78142</w:t>
            </w:r>
          </w:p>
        </w:tc>
        <w:tc>
          <w:tcPr>
            <w:tcW w:w="1177" w:type="dxa"/>
            <w:tcBorders>
              <w:top w:val="nil"/>
              <w:left w:val="nil"/>
              <w:bottom w:val="single" w:sz="4" w:space="0" w:color="auto"/>
              <w:right w:val="single" w:sz="4" w:space="0" w:color="auto"/>
            </w:tcBorders>
            <w:shd w:val="clear" w:color="auto" w:fill="auto"/>
            <w:noWrap/>
            <w:vAlign w:val="bottom"/>
            <w:hideMark/>
          </w:tcPr>
          <w:p w14:paraId="11F99F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-2.27478</w:t>
            </w:r>
          </w:p>
        </w:tc>
      </w:tr>
      <w:tr w:rsidR="002027D2" w:rsidRPr="008D1712" w14:paraId="2D7DC68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70FE35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177" w:type="dxa"/>
            <w:tcBorders>
              <w:top w:val="nil"/>
              <w:left w:val="nil"/>
              <w:bottom w:val="single" w:sz="4" w:space="0" w:color="auto"/>
              <w:right w:val="single" w:sz="4" w:space="0" w:color="auto"/>
            </w:tcBorders>
            <w:shd w:val="clear" w:color="auto" w:fill="auto"/>
            <w:noWrap/>
            <w:vAlign w:val="bottom"/>
            <w:hideMark/>
          </w:tcPr>
          <w:p w14:paraId="379228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0.035477</w:t>
            </w:r>
          </w:p>
        </w:tc>
        <w:tc>
          <w:tcPr>
            <w:tcW w:w="1177" w:type="dxa"/>
            <w:tcBorders>
              <w:top w:val="nil"/>
              <w:left w:val="nil"/>
              <w:bottom w:val="single" w:sz="4" w:space="0" w:color="auto"/>
              <w:right w:val="single" w:sz="4" w:space="0" w:color="auto"/>
            </w:tcBorders>
            <w:shd w:val="clear" w:color="auto" w:fill="auto"/>
            <w:noWrap/>
            <w:vAlign w:val="bottom"/>
            <w:hideMark/>
          </w:tcPr>
          <w:p w14:paraId="7D1CF6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0.693365</w:t>
            </w:r>
          </w:p>
        </w:tc>
        <w:tc>
          <w:tcPr>
            <w:tcW w:w="1177" w:type="dxa"/>
            <w:tcBorders>
              <w:top w:val="nil"/>
              <w:left w:val="nil"/>
              <w:bottom w:val="single" w:sz="4" w:space="0" w:color="auto"/>
              <w:right w:val="single" w:sz="4" w:space="0" w:color="auto"/>
            </w:tcBorders>
            <w:shd w:val="clear" w:color="auto" w:fill="auto"/>
            <w:noWrap/>
            <w:vAlign w:val="bottom"/>
            <w:hideMark/>
          </w:tcPr>
          <w:p w14:paraId="5B1772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-2.13904</w:t>
            </w:r>
          </w:p>
        </w:tc>
      </w:tr>
      <w:tr w:rsidR="002027D2" w:rsidRPr="008D1712" w14:paraId="63EF73E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D357F3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O</w:t>
            </w:r>
          </w:p>
        </w:tc>
        <w:tc>
          <w:tcPr>
            <w:tcW w:w="1177" w:type="dxa"/>
            <w:tcBorders>
              <w:top w:val="nil"/>
              <w:left w:val="nil"/>
              <w:bottom w:val="single" w:sz="4" w:space="0" w:color="auto"/>
              <w:right w:val="single" w:sz="4" w:space="0" w:color="auto"/>
            </w:tcBorders>
            <w:shd w:val="clear" w:color="auto" w:fill="auto"/>
            <w:noWrap/>
            <w:vAlign w:val="bottom"/>
            <w:hideMark/>
          </w:tcPr>
          <w:p w14:paraId="185EED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0.586449</w:t>
            </w:r>
          </w:p>
        </w:tc>
        <w:tc>
          <w:tcPr>
            <w:tcW w:w="1177" w:type="dxa"/>
            <w:tcBorders>
              <w:top w:val="nil"/>
              <w:left w:val="nil"/>
              <w:bottom w:val="single" w:sz="4" w:space="0" w:color="auto"/>
              <w:right w:val="single" w:sz="4" w:space="0" w:color="auto"/>
            </w:tcBorders>
            <w:shd w:val="clear" w:color="auto" w:fill="auto"/>
            <w:noWrap/>
            <w:vAlign w:val="bottom"/>
            <w:hideMark/>
          </w:tcPr>
          <w:p w14:paraId="0CB6E8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-1.34414</w:t>
            </w:r>
          </w:p>
        </w:tc>
        <w:tc>
          <w:tcPr>
            <w:tcW w:w="1177" w:type="dxa"/>
            <w:tcBorders>
              <w:top w:val="nil"/>
              <w:left w:val="nil"/>
              <w:bottom w:val="single" w:sz="4" w:space="0" w:color="auto"/>
              <w:right w:val="single" w:sz="4" w:space="0" w:color="auto"/>
            </w:tcBorders>
            <w:shd w:val="clear" w:color="auto" w:fill="auto"/>
            <w:noWrap/>
            <w:vAlign w:val="bottom"/>
            <w:hideMark/>
          </w:tcPr>
          <w:p w14:paraId="5FFF65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1.923724</w:t>
            </w:r>
          </w:p>
        </w:tc>
      </w:tr>
      <w:tr w:rsidR="002027D2" w:rsidRPr="008D1712" w14:paraId="72E26D99"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43D65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27020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-4.762</w:t>
            </w:r>
          </w:p>
        </w:tc>
        <w:tc>
          <w:tcPr>
            <w:tcW w:w="1177" w:type="dxa"/>
            <w:tcBorders>
              <w:top w:val="nil"/>
              <w:left w:val="nil"/>
              <w:bottom w:val="single" w:sz="4" w:space="0" w:color="auto"/>
              <w:right w:val="single" w:sz="4" w:space="0" w:color="auto"/>
            </w:tcBorders>
            <w:shd w:val="clear" w:color="auto" w:fill="auto"/>
            <w:noWrap/>
            <w:vAlign w:val="bottom"/>
            <w:hideMark/>
          </w:tcPr>
          <w:p w14:paraId="52AC56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-1.81232</w:t>
            </w:r>
          </w:p>
        </w:tc>
        <w:tc>
          <w:tcPr>
            <w:tcW w:w="1177" w:type="dxa"/>
            <w:tcBorders>
              <w:top w:val="nil"/>
              <w:left w:val="nil"/>
              <w:bottom w:val="single" w:sz="4" w:space="0" w:color="auto"/>
              <w:right w:val="single" w:sz="4" w:space="0" w:color="auto"/>
            </w:tcBorders>
            <w:shd w:val="clear" w:color="auto" w:fill="auto"/>
            <w:noWrap/>
            <w:vAlign w:val="bottom"/>
            <w:hideMark/>
          </w:tcPr>
          <w:p w14:paraId="386E19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0.704154</w:t>
            </w:r>
          </w:p>
        </w:tc>
      </w:tr>
      <w:tr w:rsidR="002027D2" w:rsidRPr="008D1712" w14:paraId="5A15C9C8"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39389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E13D9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-3.71098</w:t>
            </w:r>
          </w:p>
        </w:tc>
        <w:tc>
          <w:tcPr>
            <w:tcW w:w="1177" w:type="dxa"/>
            <w:tcBorders>
              <w:top w:val="nil"/>
              <w:left w:val="nil"/>
              <w:bottom w:val="single" w:sz="4" w:space="0" w:color="auto"/>
              <w:right w:val="single" w:sz="4" w:space="0" w:color="auto"/>
            </w:tcBorders>
            <w:shd w:val="clear" w:color="auto" w:fill="auto"/>
            <w:noWrap/>
            <w:vAlign w:val="bottom"/>
            <w:hideMark/>
          </w:tcPr>
          <w:p w14:paraId="5A995D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-4.07799</w:t>
            </w:r>
          </w:p>
        </w:tc>
        <w:tc>
          <w:tcPr>
            <w:tcW w:w="1177" w:type="dxa"/>
            <w:tcBorders>
              <w:top w:val="nil"/>
              <w:left w:val="nil"/>
              <w:bottom w:val="single" w:sz="4" w:space="0" w:color="auto"/>
              <w:right w:val="single" w:sz="4" w:space="0" w:color="auto"/>
            </w:tcBorders>
            <w:shd w:val="clear" w:color="auto" w:fill="auto"/>
            <w:noWrap/>
            <w:vAlign w:val="bottom"/>
            <w:hideMark/>
          </w:tcPr>
          <w:p w14:paraId="48A417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0.244078</w:t>
            </w:r>
          </w:p>
        </w:tc>
      </w:tr>
      <w:tr w:rsidR="002027D2" w:rsidRPr="008D1712" w14:paraId="08B329C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0EAD8F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1C9372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-6.18848</w:t>
            </w:r>
          </w:p>
        </w:tc>
        <w:tc>
          <w:tcPr>
            <w:tcW w:w="1177" w:type="dxa"/>
            <w:tcBorders>
              <w:top w:val="nil"/>
              <w:left w:val="nil"/>
              <w:bottom w:val="single" w:sz="4" w:space="0" w:color="auto"/>
              <w:right w:val="single" w:sz="4" w:space="0" w:color="auto"/>
            </w:tcBorders>
            <w:shd w:val="clear" w:color="auto" w:fill="auto"/>
            <w:noWrap/>
            <w:vAlign w:val="bottom"/>
            <w:hideMark/>
          </w:tcPr>
          <w:p w14:paraId="5F91C8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-3.42876</w:t>
            </w:r>
          </w:p>
        </w:tc>
        <w:tc>
          <w:tcPr>
            <w:tcW w:w="1177" w:type="dxa"/>
            <w:tcBorders>
              <w:top w:val="nil"/>
              <w:left w:val="nil"/>
              <w:bottom w:val="single" w:sz="4" w:space="0" w:color="auto"/>
              <w:right w:val="single" w:sz="4" w:space="0" w:color="auto"/>
            </w:tcBorders>
            <w:shd w:val="clear" w:color="auto" w:fill="auto"/>
            <w:noWrap/>
            <w:vAlign w:val="bottom"/>
            <w:hideMark/>
          </w:tcPr>
          <w:p w14:paraId="76C1ED2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-1.7586</w:t>
            </w:r>
          </w:p>
        </w:tc>
      </w:tr>
      <w:tr w:rsidR="002027D2" w:rsidRPr="008D1712" w14:paraId="5D3EC690"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C55F3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687626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-4.81544</w:t>
            </w:r>
          </w:p>
        </w:tc>
        <w:tc>
          <w:tcPr>
            <w:tcW w:w="1177" w:type="dxa"/>
            <w:tcBorders>
              <w:top w:val="nil"/>
              <w:left w:val="nil"/>
              <w:bottom w:val="single" w:sz="4" w:space="0" w:color="auto"/>
              <w:right w:val="single" w:sz="4" w:space="0" w:color="auto"/>
            </w:tcBorders>
            <w:shd w:val="clear" w:color="auto" w:fill="auto"/>
            <w:noWrap/>
            <w:vAlign w:val="bottom"/>
            <w:hideMark/>
          </w:tcPr>
          <w:p w14:paraId="17B3F8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-2.30287</w:t>
            </w:r>
          </w:p>
        </w:tc>
        <w:tc>
          <w:tcPr>
            <w:tcW w:w="1177" w:type="dxa"/>
            <w:tcBorders>
              <w:top w:val="nil"/>
              <w:left w:val="nil"/>
              <w:bottom w:val="single" w:sz="4" w:space="0" w:color="auto"/>
              <w:right w:val="single" w:sz="4" w:space="0" w:color="auto"/>
            </w:tcBorders>
            <w:shd w:val="clear" w:color="auto" w:fill="auto"/>
            <w:noWrap/>
            <w:vAlign w:val="bottom"/>
            <w:hideMark/>
          </w:tcPr>
          <w:p w14:paraId="6E44B77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-3.98544</w:t>
            </w:r>
          </w:p>
        </w:tc>
      </w:tr>
      <w:tr w:rsidR="002027D2" w:rsidRPr="008D1712" w14:paraId="321CE349"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C5472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5EA7701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-6.08483</w:t>
            </w:r>
          </w:p>
        </w:tc>
        <w:tc>
          <w:tcPr>
            <w:tcW w:w="1177" w:type="dxa"/>
            <w:tcBorders>
              <w:top w:val="nil"/>
              <w:left w:val="nil"/>
              <w:bottom w:val="single" w:sz="4" w:space="0" w:color="auto"/>
              <w:right w:val="single" w:sz="4" w:space="0" w:color="auto"/>
            </w:tcBorders>
            <w:shd w:val="clear" w:color="auto" w:fill="auto"/>
            <w:noWrap/>
            <w:vAlign w:val="bottom"/>
            <w:hideMark/>
          </w:tcPr>
          <w:p w14:paraId="58837A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-2.88576</w:t>
            </w:r>
          </w:p>
        </w:tc>
        <w:tc>
          <w:tcPr>
            <w:tcW w:w="1177" w:type="dxa"/>
            <w:tcBorders>
              <w:top w:val="nil"/>
              <w:left w:val="nil"/>
              <w:bottom w:val="single" w:sz="4" w:space="0" w:color="auto"/>
              <w:right w:val="single" w:sz="4" w:space="0" w:color="auto"/>
            </w:tcBorders>
            <w:shd w:val="clear" w:color="auto" w:fill="auto"/>
            <w:noWrap/>
            <w:vAlign w:val="bottom"/>
            <w:hideMark/>
          </w:tcPr>
          <w:p w14:paraId="4701FB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-4.14814</w:t>
            </w:r>
          </w:p>
        </w:tc>
      </w:tr>
      <w:tr w:rsidR="002027D2" w:rsidRPr="008D1712" w14:paraId="32A8CD8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94839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02DDE52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-6.75582</w:t>
            </w:r>
          </w:p>
        </w:tc>
        <w:tc>
          <w:tcPr>
            <w:tcW w:w="1177" w:type="dxa"/>
            <w:tcBorders>
              <w:top w:val="nil"/>
              <w:left w:val="nil"/>
              <w:bottom w:val="single" w:sz="4" w:space="0" w:color="auto"/>
              <w:right w:val="single" w:sz="4" w:space="0" w:color="auto"/>
            </w:tcBorders>
            <w:shd w:val="clear" w:color="auto" w:fill="auto"/>
            <w:noWrap/>
            <w:vAlign w:val="bottom"/>
            <w:hideMark/>
          </w:tcPr>
          <w:p w14:paraId="15AD03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-3.43883</w:t>
            </w:r>
          </w:p>
        </w:tc>
        <w:tc>
          <w:tcPr>
            <w:tcW w:w="1177" w:type="dxa"/>
            <w:tcBorders>
              <w:top w:val="nil"/>
              <w:left w:val="nil"/>
              <w:bottom w:val="single" w:sz="4" w:space="0" w:color="auto"/>
              <w:right w:val="single" w:sz="4" w:space="0" w:color="auto"/>
            </w:tcBorders>
            <w:shd w:val="clear" w:color="auto" w:fill="auto"/>
            <w:noWrap/>
            <w:vAlign w:val="bottom"/>
            <w:hideMark/>
          </w:tcPr>
          <w:p w14:paraId="295EBD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-3.04707</w:t>
            </w:r>
          </w:p>
        </w:tc>
      </w:tr>
      <w:tr w:rsidR="002027D2" w:rsidRPr="008D1712" w14:paraId="6A136EE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0E219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4D0957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2.346385</w:t>
            </w:r>
          </w:p>
        </w:tc>
        <w:tc>
          <w:tcPr>
            <w:tcW w:w="1177" w:type="dxa"/>
            <w:tcBorders>
              <w:top w:val="nil"/>
              <w:left w:val="nil"/>
              <w:bottom w:val="single" w:sz="4" w:space="0" w:color="auto"/>
              <w:right w:val="single" w:sz="4" w:space="0" w:color="auto"/>
            </w:tcBorders>
            <w:shd w:val="clear" w:color="auto" w:fill="auto"/>
            <w:noWrap/>
            <w:vAlign w:val="bottom"/>
            <w:hideMark/>
          </w:tcPr>
          <w:p w14:paraId="7A5DE2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1.027498</w:t>
            </w:r>
          </w:p>
        </w:tc>
        <w:tc>
          <w:tcPr>
            <w:tcW w:w="1177" w:type="dxa"/>
            <w:tcBorders>
              <w:top w:val="nil"/>
              <w:left w:val="nil"/>
              <w:bottom w:val="single" w:sz="4" w:space="0" w:color="auto"/>
              <w:right w:val="single" w:sz="4" w:space="0" w:color="auto"/>
            </w:tcBorders>
            <w:shd w:val="clear" w:color="auto" w:fill="auto"/>
            <w:noWrap/>
            <w:vAlign w:val="bottom"/>
            <w:hideMark/>
          </w:tcPr>
          <w:p w14:paraId="7ED91BF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-0.03105</w:t>
            </w:r>
          </w:p>
        </w:tc>
      </w:tr>
      <w:tr w:rsidR="002027D2" w:rsidRPr="008D1712" w14:paraId="476FBAF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6939F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6853AD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3.394914</w:t>
            </w:r>
          </w:p>
        </w:tc>
        <w:tc>
          <w:tcPr>
            <w:tcW w:w="1177" w:type="dxa"/>
            <w:tcBorders>
              <w:top w:val="nil"/>
              <w:left w:val="nil"/>
              <w:bottom w:val="single" w:sz="4" w:space="0" w:color="auto"/>
              <w:right w:val="single" w:sz="4" w:space="0" w:color="auto"/>
            </w:tcBorders>
            <w:shd w:val="clear" w:color="auto" w:fill="auto"/>
            <w:noWrap/>
            <w:vAlign w:val="bottom"/>
            <w:hideMark/>
          </w:tcPr>
          <w:p w14:paraId="6D3DC25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1.200034</w:t>
            </w:r>
          </w:p>
        </w:tc>
        <w:tc>
          <w:tcPr>
            <w:tcW w:w="1177" w:type="dxa"/>
            <w:tcBorders>
              <w:top w:val="nil"/>
              <w:left w:val="nil"/>
              <w:bottom w:val="single" w:sz="4" w:space="0" w:color="auto"/>
              <w:right w:val="single" w:sz="4" w:space="0" w:color="auto"/>
            </w:tcBorders>
            <w:shd w:val="clear" w:color="auto" w:fill="auto"/>
            <w:noWrap/>
            <w:vAlign w:val="bottom"/>
            <w:hideMark/>
          </w:tcPr>
          <w:p w14:paraId="75548B4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0.870393</w:t>
            </w:r>
          </w:p>
        </w:tc>
      </w:tr>
      <w:tr w:rsidR="002027D2" w:rsidRPr="008D1712" w14:paraId="5E5FB44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46595E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683409B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3.667615</w:t>
            </w:r>
          </w:p>
        </w:tc>
        <w:tc>
          <w:tcPr>
            <w:tcW w:w="1177" w:type="dxa"/>
            <w:tcBorders>
              <w:top w:val="nil"/>
              <w:left w:val="nil"/>
              <w:bottom w:val="single" w:sz="4" w:space="0" w:color="auto"/>
              <w:right w:val="single" w:sz="4" w:space="0" w:color="auto"/>
            </w:tcBorders>
            <w:shd w:val="clear" w:color="auto" w:fill="auto"/>
            <w:noWrap/>
            <w:vAlign w:val="bottom"/>
            <w:hideMark/>
          </w:tcPr>
          <w:p w14:paraId="2F65B3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0.52872</w:t>
            </w:r>
          </w:p>
        </w:tc>
        <w:tc>
          <w:tcPr>
            <w:tcW w:w="1177" w:type="dxa"/>
            <w:tcBorders>
              <w:top w:val="nil"/>
              <w:left w:val="nil"/>
              <w:bottom w:val="single" w:sz="4" w:space="0" w:color="auto"/>
              <w:right w:val="single" w:sz="4" w:space="0" w:color="auto"/>
            </w:tcBorders>
            <w:shd w:val="clear" w:color="auto" w:fill="auto"/>
            <w:noWrap/>
            <w:vAlign w:val="bottom"/>
            <w:hideMark/>
          </w:tcPr>
          <w:p w14:paraId="6B9215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2.225107</w:t>
            </w:r>
          </w:p>
        </w:tc>
      </w:tr>
      <w:tr w:rsidR="002027D2" w:rsidRPr="008D1712" w14:paraId="4B57C1B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8950FB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177" w:type="dxa"/>
            <w:tcBorders>
              <w:top w:val="nil"/>
              <w:left w:val="nil"/>
              <w:bottom w:val="single" w:sz="4" w:space="0" w:color="auto"/>
              <w:right w:val="single" w:sz="4" w:space="0" w:color="auto"/>
            </w:tcBorders>
            <w:shd w:val="clear" w:color="auto" w:fill="auto"/>
            <w:noWrap/>
            <w:vAlign w:val="bottom"/>
            <w:hideMark/>
          </w:tcPr>
          <w:p w14:paraId="2989CC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4.422975</w:t>
            </w:r>
          </w:p>
        </w:tc>
        <w:tc>
          <w:tcPr>
            <w:tcW w:w="1177" w:type="dxa"/>
            <w:tcBorders>
              <w:top w:val="nil"/>
              <w:left w:val="nil"/>
              <w:bottom w:val="single" w:sz="4" w:space="0" w:color="auto"/>
              <w:right w:val="single" w:sz="4" w:space="0" w:color="auto"/>
            </w:tcBorders>
            <w:shd w:val="clear" w:color="auto" w:fill="auto"/>
            <w:noWrap/>
            <w:vAlign w:val="bottom"/>
            <w:hideMark/>
          </w:tcPr>
          <w:p w14:paraId="2667163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2.086357</w:t>
            </w:r>
          </w:p>
        </w:tc>
        <w:tc>
          <w:tcPr>
            <w:tcW w:w="1177" w:type="dxa"/>
            <w:tcBorders>
              <w:top w:val="nil"/>
              <w:left w:val="nil"/>
              <w:bottom w:val="single" w:sz="4" w:space="0" w:color="auto"/>
              <w:right w:val="single" w:sz="4" w:space="0" w:color="auto"/>
            </w:tcBorders>
            <w:shd w:val="clear" w:color="auto" w:fill="auto"/>
            <w:noWrap/>
            <w:vAlign w:val="bottom"/>
            <w:hideMark/>
          </w:tcPr>
          <w:p w14:paraId="5BCC655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0.603336</w:t>
            </w:r>
          </w:p>
        </w:tc>
      </w:tr>
      <w:tr w:rsidR="002027D2" w:rsidRPr="008D1712" w14:paraId="414F69E5"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0B096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11941FD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5.376255</w:t>
            </w:r>
          </w:p>
        </w:tc>
        <w:tc>
          <w:tcPr>
            <w:tcW w:w="1177" w:type="dxa"/>
            <w:tcBorders>
              <w:top w:val="nil"/>
              <w:left w:val="nil"/>
              <w:bottom w:val="single" w:sz="4" w:space="0" w:color="auto"/>
              <w:right w:val="single" w:sz="4" w:space="0" w:color="auto"/>
            </w:tcBorders>
            <w:shd w:val="clear" w:color="auto" w:fill="auto"/>
            <w:noWrap/>
            <w:vAlign w:val="bottom"/>
            <w:hideMark/>
          </w:tcPr>
          <w:p w14:paraId="7A9637A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2.100852</w:t>
            </w:r>
          </w:p>
        </w:tc>
        <w:tc>
          <w:tcPr>
            <w:tcW w:w="1177" w:type="dxa"/>
            <w:tcBorders>
              <w:top w:val="nil"/>
              <w:left w:val="nil"/>
              <w:bottom w:val="single" w:sz="4" w:space="0" w:color="auto"/>
              <w:right w:val="single" w:sz="4" w:space="0" w:color="auto"/>
            </w:tcBorders>
            <w:shd w:val="clear" w:color="auto" w:fill="auto"/>
            <w:noWrap/>
            <w:vAlign w:val="bottom"/>
            <w:hideMark/>
          </w:tcPr>
          <w:p w14:paraId="6FE1B7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1.637021</w:t>
            </w:r>
          </w:p>
        </w:tc>
      </w:tr>
      <w:tr w:rsidR="002027D2" w:rsidRPr="008D1712" w14:paraId="22B629C4"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E9E43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882AA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4.977282</w:t>
            </w:r>
          </w:p>
        </w:tc>
        <w:tc>
          <w:tcPr>
            <w:tcW w:w="1177" w:type="dxa"/>
            <w:tcBorders>
              <w:top w:val="nil"/>
              <w:left w:val="nil"/>
              <w:bottom w:val="single" w:sz="4" w:space="0" w:color="auto"/>
              <w:right w:val="single" w:sz="4" w:space="0" w:color="auto"/>
            </w:tcBorders>
            <w:shd w:val="clear" w:color="auto" w:fill="auto"/>
            <w:noWrap/>
            <w:vAlign w:val="bottom"/>
            <w:hideMark/>
          </w:tcPr>
          <w:p w14:paraId="07E025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1.18602</w:t>
            </w:r>
          </w:p>
        </w:tc>
        <w:tc>
          <w:tcPr>
            <w:tcW w:w="1177" w:type="dxa"/>
            <w:tcBorders>
              <w:top w:val="nil"/>
              <w:left w:val="nil"/>
              <w:bottom w:val="single" w:sz="4" w:space="0" w:color="auto"/>
              <w:right w:val="single" w:sz="4" w:space="0" w:color="auto"/>
            </w:tcBorders>
            <w:shd w:val="clear" w:color="auto" w:fill="auto"/>
            <w:noWrap/>
            <w:vAlign w:val="bottom"/>
            <w:hideMark/>
          </w:tcPr>
          <w:p w14:paraId="3D1D28E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2.629213</w:t>
            </w:r>
          </w:p>
        </w:tc>
      </w:tr>
      <w:tr w:rsidR="002027D2" w:rsidRPr="008D1712" w14:paraId="479AC6D0"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16CF8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0C863E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2.554033</w:t>
            </w:r>
          </w:p>
        </w:tc>
        <w:tc>
          <w:tcPr>
            <w:tcW w:w="1177" w:type="dxa"/>
            <w:tcBorders>
              <w:top w:val="nil"/>
              <w:left w:val="nil"/>
              <w:bottom w:val="single" w:sz="4" w:space="0" w:color="auto"/>
              <w:right w:val="single" w:sz="4" w:space="0" w:color="auto"/>
            </w:tcBorders>
            <w:shd w:val="clear" w:color="auto" w:fill="auto"/>
            <w:noWrap/>
            <w:vAlign w:val="bottom"/>
            <w:hideMark/>
          </w:tcPr>
          <w:p w14:paraId="1517074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0.847882</w:t>
            </w:r>
          </w:p>
        </w:tc>
        <w:tc>
          <w:tcPr>
            <w:tcW w:w="1177" w:type="dxa"/>
            <w:tcBorders>
              <w:top w:val="nil"/>
              <w:left w:val="nil"/>
              <w:bottom w:val="single" w:sz="4" w:space="0" w:color="auto"/>
              <w:right w:val="single" w:sz="4" w:space="0" w:color="auto"/>
            </w:tcBorders>
            <w:shd w:val="clear" w:color="auto" w:fill="auto"/>
            <w:noWrap/>
            <w:vAlign w:val="bottom"/>
            <w:hideMark/>
          </w:tcPr>
          <w:p w14:paraId="2F7F743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3.25606</w:t>
            </w:r>
          </w:p>
        </w:tc>
      </w:tr>
      <w:tr w:rsidR="002027D2" w:rsidRPr="008D1712" w14:paraId="02CE5DD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7C9E9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7FED9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3.848501</w:t>
            </w:r>
          </w:p>
        </w:tc>
        <w:tc>
          <w:tcPr>
            <w:tcW w:w="1177" w:type="dxa"/>
            <w:tcBorders>
              <w:top w:val="nil"/>
              <w:left w:val="nil"/>
              <w:bottom w:val="single" w:sz="4" w:space="0" w:color="auto"/>
              <w:right w:val="single" w:sz="4" w:space="0" w:color="auto"/>
            </w:tcBorders>
            <w:shd w:val="clear" w:color="auto" w:fill="auto"/>
            <w:noWrap/>
            <w:vAlign w:val="bottom"/>
            <w:hideMark/>
          </w:tcPr>
          <w:p w14:paraId="46FB9E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-1.00307</w:t>
            </w:r>
          </w:p>
        </w:tc>
        <w:tc>
          <w:tcPr>
            <w:tcW w:w="1177" w:type="dxa"/>
            <w:tcBorders>
              <w:top w:val="nil"/>
              <w:left w:val="nil"/>
              <w:bottom w:val="single" w:sz="4" w:space="0" w:color="auto"/>
              <w:right w:val="single" w:sz="4" w:space="0" w:color="auto"/>
            </w:tcBorders>
            <w:shd w:val="clear" w:color="auto" w:fill="auto"/>
            <w:noWrap/>
            <w:vAlign w:val="bottom"/>
            <w:hideMark/>
          </w:tcPr>
          <w:p w14:paraId="3E0938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2.07187</w:t>
            </w:r>
          </w:p>
        </w:tc>
      </w:tr>
      <w:tr w:rsidR="002027D2" w:rsidRPr="008D1712" w14:paraId="0FE118CD"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1F3DE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43A2E7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4.514423</w:t>
            </w:r>
          </w:p>
        </w:tc>
        <w:tc>
          <w:tcPr>
            <w:tcW w:w="1177" w:type="dxa"/>
            <w:tcBorders>
              <w:top w:val="nil"/>
              <w:left w:val="nil"/>
              <w:bottom w:val="single" w:sz="4" w:space="0" w:color="auto"/>
              <w:right w:val="single" w:sz="4" w:space="0" w:color="auto"/>
            </w:tcBorders>
            <w:shd w:val="clear" w:color="auto" w:fill="auto"/>
            <w:noWrap/>
            <w:vAlign w:val="bottom"/>
            <w:hideMark/>
          </w:tcPr>
          <w:p w14:paraId="5BAACD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2.891807</w:t>
            </w:r>
          </w:p>
        </w:tc>
        <w:tc>
          <w:tcPr>
            <w:tcW w:w="1177" w:type="dxa"/>
            <w:tcBorders>
              <w:top w:val="nil"/>
              <w:left w:val="nil"/>
              <w:bottom w:val="single" w:sz="4" w:space="0" w:color="auto"/>
              <w:right w:val="single" w:sz="4" w:space="0" w:color="auto"/>
            </w:tcBorders>
            <w:shd w:val="clear" w:color="auto" w:fill="auto"/>
            <w:noWrap/>
            <w:vAlign w:val="bottom"/>
            <w:hideMark/>
          </w:tcPr>
          <w:p w14:paraId="429958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-0.60386</w:t>
            </w:r>
          </w:p>
        </w:tc>
      </w:tr>
      <w:tr w:rsidR="002027D2" w:rsidRPr="008D1712" w14:paraId="61F8B5A0"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98118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89526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5.756182</w:t>
            </w:r>
          </w:p>
        </w:tc>
        <w:tc>
          <w:tcPr>
            <w:tcW w:w="1177" w:type="dxa"/>
            <w:tcBorders>
              <w:top w:val="nil"/>
              <w:left w:val="nil"/>
              <w:bottom w:val="single" w:sz="4" w:space="0" w:color="auto"/>
              <w:right w:val="single" w:sz="4" w:space="0" w:color="auto"/>
            </w:tcBorders>
            <w:shd w:val="clear" w:color="auto" w:fill="auto"/>
            <w:noWrap/>
            <w:vAlign w:val="bottom"/>
            <w:hideMark/>
          </w:tcPr>
          <w:p w14:paraId="0CFBE4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0.996356</w:t>
            </w:r>
          </w:p>
        </w:tc>
        <w:tc>
          <w:tcPr>
            <w:tcW w:w="1177" w:type="dxa"/>
            <w:tcBorders>
              <w:top w:val="nil"/>
              <w:left w:val="nil"/>
              <w:bottom w:val="single" w:sz="4" w:space="0" w:color="auto"/>
              <w:right w:val="single" w:sz="4" w:space="0" w:color="auto"/>
            </w:tcBorders>
            <w:shd w:val="clear" w:color="auto" w:fill="auto"/>
            <w:noWrap/>
            <w:vAlign w:val="bottom"/>
            <w:hideMark/>
          </w:tcPr>
          <w:p w14:paraId="3675D8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3.767775</w:t>
            </w:r>
          </w:p>
        </w:tc>
      </w:tr>
      <w:tr w:rsidR="002027D2" w:rsidRPr="008D1712" w14:paraId="6DD8F596"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D5CB4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087D235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6.554678</w:t>
            </w:r>
          </w:p>
        </w:tc>
        <w:tc>
          <w:tcPr>
            <w:tcW w:w="1177" w:type="dxa"/>
            <w:tcBorders>
              <w:top w:val="nil"/>
              <w:left w:val="nil"/>
              <w:bottom w:val="single" w:sz="4" w:space="0" w:color="auto"/>
              <w:right w:val="single" w:sz="4" w:space="0" w:color="auto"/>
            </w:tcBorders>
            <w:shd w:val="clear" w:color="auto" w:fill="auto"/>
            <w:noWrap/>
            <w:vAlign w:val="bottom"/>
            <w:hideMark/>
          </w:tcPr>
          <w:p w14:paraId="43C1C4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2.850942</w:t>
            </w:r>
          </w:p>
        </w:tc>
        <w:tc>
          <w:tcPr>
            <w:tcW w:w="1177" w:type="dxa"/>
            <w:tcBorders>
              <w:top w:val="nil"/>
              <w:left w:val="nil"/>
              <w:bottom w:val="single" w:sz="4" w:space="0" w:color="auto"/>
              <w:right w:val="single" w:sz="4" w:space="0" w:color="auto"/>
            </w:tcBorders>
            <w:shd w:val="clear" w:color="auto" w:fill="auto"/>
            <w:noWrap/>
            <w:vAlign w:val="bottom"/>
            <w:hideMark/>
          </w:tcPr>
          <w:p w14:paraId="7B8D112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1.759136</w:t>
            </w:r>
          </w:p>
        </w:tc>
      </w:tr>
      <w:tr w:rsidR="002027D2" w:rsidRPr="008D1712" w14:paraId="3273BF93"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75280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731DE4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7.341335</w:t>
            </w:r>
          </w:p>
        </w:tc>
        <w:tc>
          <w:tcPr>
            <w:tcW w:w="1177" w:type="dxa"/>
            <w:tcBorders>
              <w:top w:val="nil"/>
              <w:left w:val="nil"/>
              <w:bottom w:val="single" w:sz="4" w:space="0" w:color="auto"/>
              <w:right w:val="single" w:sz="4" w:space="0" w:color="auto"/>
            </w:tcBorders>
            <w:shd w:val="clear" w:color="auto" w:fill="auto"/>
            <w:noWrap/>
            <w:vAlign w:val="bottom"/>
            <w:hideMark/>
          </w:tcPr>
          <w:p w14:paraId="5CE242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2.660869</w:t>
            </w:r>
          </w:p>
        </w:tc>
        <w:tc>
          <w:tcPr>
            <w:tcW w:w="1177" w:type="dxa"/>
            <w:tcBorders>
              <w:top w:val="nil"/>
              <w:left w:val="nil"/>
              <w:bottom w:val="single" w:sz="4" w:space="0" w:color="auto"/>
              <w:right w:val="single" w:sz="4" w:space="0" w:color="auto"/>
            </w:tcBorders>
            <w:shd w:val="clear" w:color="auto" w:fill="auto"/>
            <w:noWrap/>
            <w:vAlign w:val="bottom"/>
            <w:hideMark/>
          </w:tcPr>
          <w:p w14:paraId="6F15CD5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2.909171</w:t>
            </w:r>
          </w:p>
        </w:tc>
      </w:tr>
      <w:tr w:rsidR="002027D2" w:rsidRPr="008D1712" w14:paraId="4745B68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D8948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36A149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6.942326</w:t>
            </w:r>
          </w:p>
        </w:tc>
        <w:tc>
          <w:tcPr>
            <w:tcW w:w="1177" w:type="dxa"/>
            <w:tcBorders>
              <w:top w:val="nil"/>
              <w:left w:val="nil"/>
              <w:bottom w:val="single" w:sz="4" w:space="0" w:color="auto"/>
              <w:right w:val="single" w:sz="4" w:space="0" w:color="auto"/>
            </w:tcBorders>
            <w:shd w:val="clear" w:color="auto" w:fill="auto"/>
            <w:noWrap/>
            <w:vAlign w:val="bottom"/>
            <w:hideMark/>
          </w:tcPr>
          <w:p w14:paraId="648C69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1.744306</w:t>
            </w:r>
          </w:p>
        </w:tc>
        <w:tc>
          <w:tcPr>
            <w:tcW w:w="1177" w:type="dxa"/>
            <w:tcBorders>
              <w:top w:val="nil"/>
              <w:left w:val="nil"/>
              <w:bottom w:val="single" w:sz="4" w:space="0" w:color="auto"/>
              <w:right w:val="single" w:sz="4" w:space="0" w:color="auto"/>
            </w:tcBorders>
            <w:shd w:val="clear" w:color="auto" w:fill="auto"/>
            <w:noWrap/>
            <w:vAlign w:val="bottom"/>
            <w:hideMark/>
          </w:tcPr>
          <w:p w14:paraId="79C64B5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3.893367</w:t>
            </w:r>
          </w:p>
        </w:tc>
      </w:tr>
      <w:tr w:rsidR="002027D2" w:rsidRPr="008D1712" w14:paraId="551CB6E9"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87741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Br</w:t>
            </w:r>
          </w:p>
        </w:tc>
        <w:tc>
          <w:tcPr>
            <w:tcW w:w="1177" w:type="dxa"/>
            <w:tcBorders>
              <w:top w:val="nil"/>
              <w:left w:val="nil"/>
              <w:bottom w:val="single" w:sz="4" w:space="0" w:color="auto"/>
              <w:right w:val="single" w:sz="4" w:space="0" w:color="auto"/>
            </w:tcBorders>
            <w:shd w:val="clear" w:color="auto" w:fill="auto"/>
            <w:noWrap/>
            <w:vAlign w:val="bottom"/>
            <w:hideMark/>
          </w:tcPr>
          <w:p w14:paraId="721CFA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8.033198</w:t>
            </w:r>
          </w:p>
        </w:tc>
        <w:tc>
          <w:tcPr>
            <w:tcW w:w="1177" w:type="dxa"/>
            <w:tcBorders>
              <w:top w:val="nil"/>
              <w:left w:val="nil"/>
              <w:bottom w:val="single" w:sz="4" w:space="0" w:color="auto"/>
              <w:right w:val="single" w:sz="4" w:space="0" w:color="auto"/>
            </w:tcBorders>
            <w:shd w:val="clear" w:color="auto" w:fill="auto"/>
            <w:noWrap/>
            <w:vAlign w:val="bottom"/>
            <w:hideMark/>
          </w:tcPr>
          <w:p w14:paraId="5CB772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1.495761</w:t>
            </w:r>
          </w:p>
        </w:tc>
        <w:tc>
          <w:tcPr>
            <w:tcW w:w="1177" w:type="dxa"/>
            <w:tcBorders>
              <w:top w:val="nil"/>
              <w:left w:val="nil"/>
              <w:bottom w:val="single" w:sz="4" w:space="0" w:color="auto"/>
              <w:right w:val="single" w:sz="4" w:space="0" w:color="auto"/>
            </w:tcBorders>
            <w:shd w:val="clear" w:color="auto" w:fill="auto"/>
            <w:noWrap/>
            <w:vAlign w:val="bottom"/>
            <w:hideMark/>
          </w:tcPr>
          <w:p w14:paraId="04ABFD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5.446505</w:t>
            </w:r>
          </w:p>
        </w:tc>
      </w:tr>
      <w:tr w:rsidR="002027D2" w:rsidRPr="008D1712" w14:paraId="5CA8325C"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9A1E3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Br</w:t>
            </w:r>
          </w:p>
        </w:tc>
        <w:tc>
          <w:tcPr>
            <w:tcW w:w="1177" w:type="dxa"/>
            <w:tcBorders>
              <w:top w:val="nil"/>
              <w:left w:val="nil"/>
              <w:bottom w:val="single" w:sz="4" w:space="0" w:color="auto"/>
              <w:right w:val="single" w:sz="4" w:space="0" w:color="auto"/>
            </w:tcBorders>
            <w:shd w:val="clear" w:color="auto" w:fill="auto"/>
            <w:noWrap/>
            <w:vAlign w:val="bottom"/>
            <w:hideMark/>
          </w:tcPr>
          <w:p w14:paraId="629CFF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-8.47126</w:t>
            </w:r>
          </w:p>
        </w:tc>
        <w:tc>
          <w:tcPr>
            <w:tcW w:w="1177" w:type="dxa"/>
            <w:tcBorders>
              <w:top w:val="nil"/>
              <w:left w:val="nil"/>
              <w:bottom w:val="single" w:sz="4" w:space="0" w:color="auto"/>
              <w:right w:val="single" w:sz="4" w:space="0" w:color="auto"/>
            </w:tcBorders>
            <w:shd w:val="clear" w:color="auto" w:fill="auto"/>
            <w:noWrap/>
            <w:vAlign w:val="bottom"/>
            <w:hideMark/>
          </w:tcPr>
          <w:p w14:paraId="3BF5E2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-4.24295</w:t>
            </w:r>
          </w:p>
        </w:tc>
        <w:tc>
          <w:tcPr>
            <w:tcW w:w="1177" w:type="dxa"/>
            <w:tcBorders>
              <w:top w:val="nil"/>
              <w:left w:val="nil"/>
              <w:bottom w:val="single" w:sz="4" w:space="0" w:color="auto"/>
              <w:right w:val="single" w:sz="4" w:space="0" w:color="auto"/>
            </w:tcBorders>
            <w:shd w:val="clear" w:color="auto" w:fill="auto"/>
            <w:noWrap/>
            <w:vAlign w:val="bottom"/>
            <w:hideMark/>
          </w:tcPr>
          <w:p w14:paraId="630F4A7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-3.29411</w:t>
            </w:r>
          </w:p>
        </w:tc>
      </w:tr>
      <w:tr w:rsidR="002027D2" w:rsidRPr="008D1712" w14:paraId="2345210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BA0D4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40BE8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-1.80981</w:t>
            </w:r>
          </w:p>
        </w:tc>
        <w:tc>
          <w:tcPr>
            <w:tcW w:w="1177" w:type="dxa"/>
            <w:tcBorders>
              <w:top w:val="nil"/>
              <w:left w:val="nil"/>
              <w:bottom w:val="single" w:sz="4" w:space="0" w:color="auto"/>
              <w:right w:val="single" w:sz="4" w:space="0" w:color="auto"/>
            </w:tcBorders>
            <w:shd w:val="clear" w:color="auto" w:fill="auto"/>
            <w:noWrap/>
            <w:vAlign w:val="bottom"/>
            <w:hideMark/>
          </w:tcPr>
          <w:p w14:paraId="77D820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-2.10575</w:t>
            </w:r>
          </w:p>
        </w:tc>
        <w:tc>
          <w:tcPr>
            <w:tcW w:w="1177" w:type="dxa"/>
            <w:tcBorders>
              <w:top w:val="nil"/>
              <w:left w:val="nil"/>
              <w:bottom w:val="single" w:sz="4" w:space="0" w:color="auto"/>
              <w:right w:val="single" w:sz="4" w:space="0" w:color="auto"/>
            </w:tcBorders>
            <w:shd w:val="clear" w:color="auto" w:fill="auto"/>
            <w:noWrap/>
            <w:vAlign w:val="bottom"/>
            <w:hideMark/>
          </w:tcPr>
          <w:p w14:paraId="396999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0.887027</w:t>
            </w:r>
          </w:p>
        </w:tc>
      </w:tr>
      <w:tr w:rsidR="002027D2" w:rsidRPr="008D1712" w14:paraId="1B09AC5E"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E0FEF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34693C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-5.01284</w:t>
            </w:r>
          </w:p>
        </w:tc>
        <w:tc>
          <w:tcPr>
            <w:tcW w:w="1177" w:type="dxa"/>
            <w:tcBorders>
              <w:top w:val="nil"/>
              <w:left w:val="nil"/>
              <w:bottom w:val="single" w:sz="4" w:space="0" w:color="auto"/>
              <w:right w:val="single" w:sz="4" w:space="0" w:color="auto"/>
            </w:tcBorders>
            <w:shd w:val="clear" w:color="auto" w:fill="auto"/>
            <w:noWrap/>
            <w:vAlign w:val="bottom"/>
            <w:hideMark/>
          </w:tcPr>
          <w:p w14:paraId="4454E0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-0.8198</w:t>
            </w:r>
          </w:p>
        </w:tc>
        <w:tc>
          <w:tcPr>
            <w:tcW w:w="1177" w:type="dxa"/>
            <w:tcBorders>
              <w:top w:val="nil"/>
              <w:left w:val="nil"/>
              <w:bottom w:val="single" w:sz="4" w:space="0" w:color="auto"/>
              <w:right w:val="single" w:sz="4" w:space="0" w:color="auto"/>
            </w:tcBorders>
            <w:shd w:val="clear" w:color="auto" w:fill="auto"/>
            <w:noWrap/>
            <w:vAlign w:val="bottom"/>
            <w:hideMark/>
          </w:tcPr>
          <w:p w14:paraId="073518E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0.294237</w:t>
            </w:r>
          </w:p>
        </w:tc>
      </w:tr>
      <w:tr w:rsidR="002027D2" w:rsidRPr="008D1712" w14:paraId="2C18452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D2640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1F7526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-4.10381</w:t>
            </w:r>
          </w:p>
        </w:tc>
        <w:tc>
          <w:tcPr>
            <w:tcW w:w="1177" w:type="dxa"/>
            <w:tcBorders>
              <w:top w:val="nil"/>
              <w:left w:val="nil"/>
              <w:bottom w:val="single" w:sz="4" w:space="0" w:color="auto"/>
              <w:right w:val="single" w:sz="4" w:space="0" w:color="auto"/>
            </w:tcBorders>
            <w:shd w:val="clear" w:color="auto" w:fill="auto"/>
            <w:noWrap/>
            <w:vAlign w:val="bottom"/>
            <w:hideMark/>
          </w:tcPr>
          <w:p w14:paraId="6C4DBB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-1.6697</w:t>
            </w:r>
          </w:p>
        </w:tc>
        <w:tc>
          <w:tcPr>
            <w:tcW w:w="1177" w:type="dxa"/>
            <w:tcBorders>
              <w:top w:val="nil"/>
              <w:left w:val="nil"/>
              <w:bottom w:val="single" w:sz="4" w:space="0" w:color="auto"/>
              <w:right w:val="single" w:sz="4" w:space="0" w:color="auto"/>
            </w:tcBorders>
            <w:shd w:val="clear" w:color="auto" w:fill="auto"/>
            <w:noWrap/>
            <w:vAlign w:val="bottom"/>
            <w:hideMark/>
          </w:tcPr>
          <w:p w14:paraId="7D2268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1.578109</w:t>
            </w:r>
          </w:p>
        </w:tc>
      </w:tr>
      <w:tr w:rsidR="002027D2" w:rsidRPr="008D1712" w14:paraId="72E995CD"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A2252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51D1FD1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-5.69527</w:t>
            </w:r>
          </w:p>
        </w:tc>
        <w:tc>
          <w:tcPr>
            <w:tcW w:w="1177" w:type="dxa"/>
            <w:tcBorders>
              <w:top w:val="nil"/>
              <w:left w:val="nil"/>
              <w:bottom w:val="single" w:sz="4" w:space="0" w:color="auto"/>
              <w:right w:val="single" w:sz="4" w:space="0" w:color="auto"/>
            </w:tcBorders>
            <w:shd w:val="clear" w:color="auto" w:fill="auto"/>
            <w:noWrap/>
            <w:vAlign w:val="bottom"/>
            <w:hideMark/>
          </w:tcPr>
          <w:p w14:paraId="7FE751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-2.29338</w:t>
            </w:r>
          </w:p>
        </w:tc>
        <w:tc>
          <w:tcPr>
            <w:tcW w:w="1177" w:type="dxa"/>
            <w:tcBorders>
              <w:top w:val="nil"/>
              <w:left w:val="nil"/>
              <w:bottom w:val="single" w:sz="4" w:space="0" w:color="auto"/>
              <w:right w:val="single" w:sz="4" w:space="0" w:color="auto"/>
            </w:tcBorders>
            <w:shd w:val="clear" w:color="auto" w:fill="auto"/>
            <w:noWrap/>
            <w:vAlign w:val="bottom"/>
            <w:hideMark/>
          </w:tcPr>
          <w:p w14:paraId="682F1F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1.046172</w:t>
            </w:r>
          </w:p>
        </w:tc>
      </w:tr>
      <w:tr w:rsidR="002027D2" w:rsidRPr="008D1712" w14:paraId="280FEDD9"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624C23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4B3BDC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-3.21678</w:t>
            </w:r>
          </w:p>
        </w:tc>
        <w:tc>
          <w:tcPr>
            <w:tcW w:w="1177" w:type="dxa"/>
            <w:tcBorders>
              <w:top w:val="nil"/>
              <w:left w:val="nil"/>
              <w:bottom w:val="single" w:sz="4" w:space="0" w:color="auto"/>
              <w:right w:val="single" w:sz="4" w:space="0" w:color="auto"/>
            </w:tcBorders>
            <w:shd w:val="clear" w:color="auto" w:fill="auto"/>
            <w:noWrap/>
            <w:vAlign w:val="bottom"/>
            <w:hideMark/>
          </w:tcPr>
          <w:p w14:paraId="527976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-4.72566</w:t>
            </w:r>
          </w:p>
        </w:tc>
        <w:tc>
          <w:tcPr>
            <w:tcW w:w="1177" w:type="dxa"/>
            <w:tcBorders>
              <w:top w:val="nil"/>
              <w:left w:val="nil"/>
              <w:bottom w:val="single" w:sz="4" w:space="0" w:color="auto"/>
              <w:right w:val="single" w:sz="4" w:space="0" w:color="auto"/>
            </w:tcBorders>
            <w:shd w:val="clear" w:color="auto" w:fill="auto"/>
            <w:noWrap/>
            <w:vAlign w:val="bottom"/>
            <w:hideMark/>
          </w:tcPr>
          <w:p w14:paraId="18CA68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-0.49912</w:t>
            </w:r>
          </w:p>
        </w:tc>
      </w:tr>
      <w:tr w:rsidR="002027D2" w:rsidRPr="008D1712" w14:paraId="098720F2"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624673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3D976F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-4.62746</w:t>
            </w:r>
          </w:p>
        </w:tc>
        <w:tc>
          <w:tcPr>
            <w:tcW w:w="1177" w:type="dxa"/>
            <w:tcBorders>
              <w:top w:val="nil"/>
              <w:left w:val="nil"/>
              <w:bottom w:val="single" w:sz="4" w:space="0" w:color="auto"/>
              <w:right w:val="single" w:sz="4" w:space="0" w:color="auto"/>
            </w:tcBorders>
            <w:shd w:val="clear" w:color="auto" w:fill="auto"/>
            <w:noWrap/>
            <w:vAlign w:val="bottom"/>
            <w:hideMark/>
          </w:tcPr>
          <w:p w14:paraId="75A17E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-4.58659</w:t>
            </w:r>
          </w:p>
        </w:tc>
        <w:tc>
          <w:tcPr>
            <w:tcW w:w="1177" w:type="dxa"/>
            <w:tcBorders>
              <w:top w:val="nil"/>
              <w:left w:val="nil"/>
              <w:bottom w:val="single" w:sz="4" w:space="0" w:color="auto"/>
              <w:right w:val="single" w:sz="4" w:space="0" w:color="auto"/>
            </w:tcBorders>
            <w:shd w:val="clear" w:color="auto" w:fill="auto"/>
            <w:noWrap/>
            <w:vAlign w:val="bottom"/>
            <w:hideMark/>
          </w:tcPr>
          <w:p w14:paraId="4F91055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0.592081</w:t>
            </w:r>
          </w:p>
        </w:tc>
      </w:tr>
      <w:tr w:rsidR="002027D2" w:rsidRPr="008D1712" w14:paraId="357B2B25"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0078F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5D2556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-3.03675</w:t>
            </w:r>
          </w:p>
        </w:tc>
        <w:tc>
          <w:tcPr>
            <w:tcW w:w="1177" w:type="dxa"/>
            <w:tcBorders>
              <w:top w:val="nil"/>
              <w:left w:val="nil"/>
              <w:bottom w:val="single" w:sz="4" w:space="0" w:color="auto"/>
              <w:right w:val="single" w:sz="4" w:space="0" w:color="auto"/>
            </w:tcBorders>
            <w:shd w:val="clear" w:color="auto" w:fill="auto"/>
            <w:noWrap/>
            <w:vAlign w:val="bottom"/>
            <w:hideMark/>
          </w:tcPr>
          <w:p w14:paraId="7C6377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-3.96379</w:t>
            </w:r>
          </w:p>
        </w:tc>
        <w:tc>
          <w:tcPr>
            <w:tcW w:w="1177" w:type="dxa"/>
            <w:tcBorders>
              <w:top w:val="nil"/>
              <w:left w:val="nil"/>
              <w:bottom w:val="single" w:sz="4" w:space="0" w:color="auto"/>
              <w:right w:val="single" w:sz="4" w:space="0" w:color="auto"/>
            </w:tcBorders>
            <w:shd w:val="clear" w:color="auto" w:fill="auto"/>
            <w:noWrap/>
            <w:vAlign w:val="bottom"/>
            <w:hideMark/>
          </w:tcPr>
          <w:p w14:paraId="0EE9AC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1.109433</w:t>
            </w:r>
          </w:p>
        </w:tc>
      </w:tr>
      <w:tr w:rsidR="002027D2" w:rsidRPr="008D1712" w14:paraId="46B13778"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13306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D9CAB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-6.72554</w:t>
            </w:r>
          </w:p>
        </w:tc>
        <w:tc>
          <w:tcPr>
            <w:tcW w:w="1177" w:type="dxa"/>
            <w:tcBorders>
              <w:top w:val="nil"/>
              <w:left w:val="nil"/>
              <w:bottom w:val="single" w:sz="4" w:space="0" w:color="auto"/>
              <w:right w:val="single" w:sz="4" w:space="0" w:color="auto"/>
            </w:tcBorders>
            <w:shd w:val="clear" w:color="auto" w:fill="auto"/>
            <w:noWrap/>
            <w:vAlign w:val="bottom"/>
            <w:hideMark/>
          </w:tcPr>
          <w:p w14:paraId="6E648B9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-3.87031</w:t>
            </w:r>
          </w:p>
        </w:tc>
        <w:tc>
          <w:tcPr>
            <w:tcW w:w="1177" w:type="dxa"/>
            <w:tcBorders>
              <w:top w:val="nil"/>
              <w:left w:val="nil"/>
              <w:bottom w:val="single" w:sz="4" w:space="0" w:color="auto"/>
              <w:right w:val="single" w:sz="4" w:space="0" w:color="auto"/>
            </w:tcBorders>
            <w:shd w:val="clear" w:color="auto" w:fill="auto"/>
            <w:noWrap/>
            <w:vAlign w:val="bottom"/>
            <w:hideMark/>
          </w:tcPr>
          <w:p w14:paraId="224B88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-0.91377</w:t>
            </w:r>
          </w:p>
        </w:tc>
      </w:tr>
      <w:tr w:rsidR="002027D2" w:rsidRPr="008D1712" w14:paraId="3B1D636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7A9D1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68CDA2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-4.30292</w:t>
            </w:r>
          </w:p>
        </w:tc>
        <w:tc>
          <w:tcPr>
            <w:tcW w:w="1177" w:type="dxa"/>
            <w:tcBorders>
              <w:top w:val="nil"/>
              <w:left w:val="nil"/>
              <w:bottom w:val="single" w:sz="4" w:space="0" w:color="auto"/>
              <w:right w:val="single" w:sz="4" w:space="0" w:color="auto"/>
            </w:tcBorders>
            <w:shd w:val="clear" w:color="auto" w:fill="auto"/>
            <w:noWrap/>
            <w:vAlign w:val="bottom"/>
            <w:hideMark/>
          </w:tcPr>
          <w:p w14:paraId="33E2B3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-1.87705</w:t>
            </w:r>
          </w:p>
        </w:tc>
        <w:tc>
          <w:tcPr>
            <w:tcW w:w="1177" w:type="dxa"/>
            <w:tcBorders>
              <w:top w:val="nil"/>
              <w:left w:val="nil"/>
              <w:bottom w:val="single" w:sz="4" w:space="0" w:color="auto"/>
              <w:right w:val="single" w:sz="4" w:space="0" w:color="auto"/>
            </w:tcBorders>
            <w:shd w:val="clear" w:color="auto" w:fill="auto"/>
            <w:noWrap/>
            <w:vAlign w:val="bottom"/>
            <w:hideMark/>
          </w:tcPr>
          <w:p w14:paraId="1B1978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-4.85263</w:t>
            </w:r>
          </w:p>
        </w:tc>
      </w:tr>
      <w:tr w:rsidR="002027D2" w:rsidRPr="008D1712" w14:paraId="1944ABFA"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17A4F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7C51D4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-6.5485</w:t>
            </w:r>
          </w:p>
        </w:tc>
        <w:tc>
          <w:tcPr>
            <w:tcW w:w="1177" w:type="dxa"/>
            <w:tcBorders>
              <w:top w:val="nil"/>
              <w:left w:val="nil"/>
              <w:bottom w:val="single" w:sz="4" w:space="0" w:color="auto"/>
              <w:right w:val="single" w:sz="4" w:space="0" w:color="auto"/>
            </w:tcBorders>
            <w:shd w:val="clear" w:color="auto" w:fill="auto"/>
            <w:noWrap/>
            <w:vAlign w:val="bottom"/>
            <w:hideMark/>
          </w:tcPr>
          <w:p w14:paraId="6A5CF5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-2.90824</w:t>
            </w:r>
          </w:p>
        </w:tc>
        <w:tc>
          <w:tcPr>
            <w:tcW w:w="1177" w:type="dxa"/>
            <w:tcBorders>
              <w:top w:val="nil"/>
              <w:left w:val="nil"/>
              <w:bottom w:val="single" w:sz="4" w:space="0" w:color="auto"/>
              <w:right w:val="single" w:sz="4" w:space="0" w:color="auto"/>
            </w:tcBorders>
            <w:shd w:val="clear" w:color="auto" w:fill="auto"/>
            <w:noWrap/>
            <w:vAlign w:val="bottom"/>
            <w:hideMark/>
          </w:tcPr>
          <w:p w14:paraId="0B4962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-5.13826</w:t>
            </w:r>
          </w:p>
        </w:tc>
      </w:tr>
      <w:tr w:rsidR="002027D2" w:rsidRPr="008D1712" w14:paraId="44CCB6FD"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A8662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1076CF1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2.386101</w:t>
            </w:r>
          </w:p>
        </w:tc>
        <w:tc>
          <w:tcPr>
            <w:tcW w:w="1177" w:type="dxa"/>
            <w:tcBorders>
              <w:top w:val="nil"/>
              <w:left w:val="nil"/>
              <w:bottom w:val="single" w:sz="4" w:space="0" w:color="auto"/>
              <w:right w:val="single" w:sz="4" w:space="0" w:color="auto"/>
            </w:tcBorders>
            <w:shd w:val="clear" w:color="auto" w:fill="auto"/>
            <w:noWrap/>
            <w:vAlign w:val="bottom"/>
            <w:hideMark/>
          </w:tcPr>
          <w:p w14:paraId="38F35D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1.630126</w:t>
            </w:r>
          </w:p>
        </w:tc>
        <w:tc>
          <w:tcPr>
            <w:tcW w:w="1177" w:type="dxa"/>
            <w:tcBorders>
              <w:top w:val="nil"/>
              <w:left w:val="nil"/>
              <w:bottom w:val="single" w:sz="4" w:space="0" w:color="auto"/>
              <w:right w:val="single" w:sz="4" w:space="0" w:color="auto"/>
            </w:tcBorders>
            <w:shd w:val="clear" w:color="auto" w:fill="auto"/>
            <w:noWrap/>
            <w:vAlign w:val="bottom"/>
            <w:hideMark/>
          </w:tcPr>
          <w:p w14:paraId="6B44ADC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-0.94933</w:t>
            </w:r>
          </w:p>
        </w:tc>
      </w:tr>
      <w:tr w:rsidR="002027D2" w:rsidRPr="008D1712" w14:paraId="17E1BCD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C94EB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780F842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2.391823</w:t>
            </w:r>
          </w:p>
        </w:tc>
        <w:tc>
          <w:tcPr>
            <w:tcW w:w="1177" w:type="dxa"/>
            <w:tcBorders>
              <w:top w:val="nil"/>
              <w:left w:val="nil"/>
              <w:bottom w:val="single" w:sz="4" w:space="0" w:color="auto"/>
              <w:right w:val="single" w:sz="4" w:space="0" w:color="auto"/>
            </w:tcBorders>
            <w:shd w:val="clear" w:color="auto" w:fill="auto"/>
            <w:noWrap/>
            <w:vAlign w:val="bottom"/>
            <w:hideMark/>
          </w:tcPr>
          <w:p w14:paraId="064CAAD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1.93606</w:t>
            </w:r>
          </w:p>
        </w:tc>
        <w:tc>
          <w:tcPr>
            <w:tcW w:w="1177" w:type="dxa"/>
            <w:tcBorders>
              <w:top w:val="nil"/>
              <w:left w:val="nil"/>
              <w:bottom w:val="single" w:sz="4" w:space="0" w:color="auto"/>
              <w:right w:val="single" w:sz="4" w:space="0" w:color="auto"/>
            </w:tcBorders>
            <w:shd w:val="clear" w:color="auto" w:fill="auto"/>
            <w:noWrap/>
            <w:vAlign w:val="bottom"/>
            <w:hideMark/>
          </w:tcPr>
          <w:p w14:paraId="46431D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3.340738</w:t>
            </w:r>
          </w:p>
        </w:tc>
      </w:tr>
      <w:tr w:rsidR="002027D2" w:rsidRPr="008D1712" w14:paraId="4D5DF37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A154B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E0BF7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2.855762</w:t>
            </w:r>
          </w:p>
        </w:tc>
        <w:tc>
          <w:tcPr>
            <w:tcW w:w="1177" w:type="dxa"/>
            <w:tcBorders>
              <w:top w:val="nil"/>
              <w:left w:val="nil"/>
              <w:bottom w:val="single" w:sz="4" w:space="0" w:color="auto"/>
              <w:right w:val="single" w:sz="4" w:space="0" w:color="auto"/>
            </w:tcBorders>
            <w:shd w:val="clear" w:color="auto" w:fill="auto"/>
            <w:noWrap/>
            <w:vAlign w:val="bottom"/>
            <w:hideMark/>
          </w:tcPr>
          <w:p w14:paraId="1C28E5D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0.466273</w:t>
            </w:r>
          </w:p>
        </w:tc>
        <w:tc>
          <w:tcPr>
            <w:tcW w:w="1177" w:type="dxa"/>
            <w:tcBorders>
              <w:top w:val="nil"/>
              <w:left w:val="nil"/>
              <w:bottom w:val="single" w:sz="4" w:space="0" w:color="auto"/>
              <w:right w:val="single" w:sz="4" w:space="0" w:color="auto"/>
            </w:tcBorders>
            <w:shd w:val="clear" w:color="auto" w:fill="auto"/>
            <w:noWrap/>
            <w:vAlign w:val="bottom"/>
            <w:hideMark/>
          </w:tcPr>
          <w:p w14:paraId="68061B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4.247358</w:t>
            </w:r>
          </w:p>
        </w:tc>
      </w:tr>
      <w:tr w:rsidR="002027D2" w:rsidRPr="008D1712" w14:paraId="210020CB"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8529E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048F1F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1.616548</w:t>
            </w:r>
          </w:p>
        </w:tc>
        <w:tc>
          <w:tcPr>
            <w:tcW w:w="1177" w:type="dxa"/>
            <w:tcBorders>
              <w:top w:val="nil"/>
              <w:left w:val="nil"/>
              <w:bottom w:val="single" w:sz="4" w:space="0" w:color="auto"/>
              <w:right w:val="single" w:sz="4" w:space="0" w:color="auto"/>
            </w:tcBorders>
            <w:shd w:val="clear" w:color="auto" w:fill="auto"/>
            <w:noWrap/>
            <w:vAlign w:val="bottom"/>
            <w:hideMark/>
          </w:tcPr>
          <w:p w14:paraId="01C6A7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0.34507</w:t>
            </w:r>
          </w:p>
        </w:tc>
        <w:tc>
          <w:tcPr>
            <w:tcW w:w="1177" w:type="dxa"/>
            <w:tcBorders>
              <w:top w:val="nil"/>
              <w:left w:val="nil"/>
              <w:bottom w:val="single" w:sz="4" w:space="0" w:color="auto"/>
              <w:right w:val="single" w:sz="4" w:space="0" w:color="auto"/>
            </w:tcBorders>
            <w:shd w:val="clear" w:color="auto" w:fill="auto"/>
            <w:noWrap/>
            <w:vAlign w:val="bottom"/>
            <w:hideMark/>
          </w:tcPr>
          <w:p w14:paraId="3D1671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2.969556</w:t>
            </w:r>
          </w:p>
        </w:tc>
      </w:tr>
      <w:tr w:rsidR="002027D2" w:rsidRPr="008D1712" w14:paraId="13EE990C"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CF6CF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4388430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4.619933</w:t>
            </w:r>
          </w:p>
        </w:tc>
        <w:tc>
          <w:tcPr>
            <w:tcW w:w="1177" w:type="dxa"/>
            <w:tcBorders>
              <w:top w:val="nil"/>
              <w:left w:val="nil"/>
              <w:bottom w:val="single" w:sz="4" w:space="0" w:color="auto"/>
              <w:right w:val="single" w:sz="4" w:space="0" w:color="auto"/>
            </w:tcBorders>
            <w:shd w:val="clear" w:color="auto" w:fill="auto"/>
            <w:noWrap/>
            <w:vAlign w:val="bottom"/>
            <w:hideMark/>
          </w:tcPr>
          <w:p w14:paraId="5D815B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-1.237</w:t>
            </w:r>
          </w:p>
        </w:tc>
        <w:tc>
          <w:tcPr>
            <w:tcW w:w="1177" w:type="dxa"/>
            <w:tcBorders>
              <w:top w:val="nil"/>
              <w:left w:val="nil"/>
              <w:bottom w:val="single" w:sz="4" w:space="0" w:color="auto"/>
              <w:right w:val="single" w:sz="4" w:space="0" w:color="auto"/>
            </w:tcBorders>
            <w:shd w:val="clear" w:color="auto" w:fill="auto"/>
            <w:noWrap/>
            <w:vAlign w:val="bottom"/>
            <w:hideMark/>
          </w:tcPr>
          <w:p w14:paraId="46A71C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1.318679</w:t>
            </w:r>
          </w:p>
        </w:tc>
      </w:tr>
      <w:tr w:rsidR="002027D2" w:rsidRPr="008D1712" w14:paraId="545E779F"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37215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0AA766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2.893372</w:t>
            </w:r>
          </w:p>
        </w:tc>
        <w:tc>
          <w:tcPr>
            <w:tcW w:w="1177" w:type="dxa"/>
            <w:tcBorders>
              <w:top w:val="nil"/>
              <w:left w:val="nil"/>
              <w:bottom w:val="single" w:sz="4" w:space="0" w:color="auto"/>
              <w:right w:val="single" w:sz="4" w:space="0" w:color="auto"/>
            </w:tcBorders>
            <w:shd w:val="clear" w:color="auto" w:fill="auto"/>
            <w:noWrap/>
            <w:vAlign w:val="bottom"/>
            <w:hideMark/>
          </w:tcPr>
          <w:p w14:paraId="531962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-1.47439</w:t>
            </w:r>
          </w:p>
        </w:tc>
        <w:tc>
          <w:tcPr>
            <w:tcW w:w="1177" w:type="dxa"/>
            <w:tcBorders>
              <w:top w:val="nil"/>
              <w:left w:val="nil"/>
              <w:bottom w:val="single" w:sz="4" w:space="0" w:color="auto"/>
              <w:right w:val="single" w:sz="4" w:space="0" w:color="auto"/>
            </w:tcBorders>
            <w:shd w:val="clear" w:color="auto" w:fill="auto"/>
            <w:noWrap/>
            <w:vAlign w:val="bottom"/>
            <w:hideMark/>
          </w:tcPr>
          <w:p w14:paraId="0FDAB5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1.792961</w:t>
            </w:r>
          </w:p>
        </w:tc>
      </w:tr>
      <w:tr w:rsidR="002027D2" w:rsidRPr="008D1712" w14:paraId="5C0A5C05"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71FF8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308F721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4.167393</w:t>
            </w:r>
          </w:p>
        </w:tc>
        <w:tc>
          <w:tcPr>
            <w:tcW w:w="1177" w:type="dxa"/>
            <w:tcBorders>
              <w:top w:val="nil"/>
              <w:left w:val="nil"/>
              <w:bottom w:val="single" w:sz="4" w:space="0" w:color="auto"/>
              <w:right w:val="single" w:sz="4" w:space="0" w:color="auto"/>
            </w:tcBorders>
            <w:shd w:val="clear" w:color="auto" w:fill="auto"/>
            <w:noWrap/>
            <w:vAlign w:val="bottom"/>
            <w:hideMark/>
          </w:tcPr>
          <w:p w14:paraId="0A17FA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-1.43081</w:t>
            </w:r>
          </w:p>
        </w:tc>
        <w:tc>
          <w:tcPr>
            <w:tcW w:w="1177" w:type="dxa"/>
            <w:tcBorders>
              <w:top w:val="nil"/>
              <w:left w:val="nil"/>
              <w:bottom w:val="single" w:sz="4" w:space="0" w:color="auto"/>
              <w:right w:val="single" w:sz="4" w:space="0" w:color="auto"/>
            </w:tcBorders>
            <w:shd w:val="clear" w:color="auto" w:fill="auto"/>
            <w:noWrap/>
            <w:vAlign w:val="bottom"/>
            <w:hideMark/>
          </w:tcPr>
          <w:p w14:paraId="54F1D1C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3.038507</w:t>
            </w:r>
          </w:p>
        </w:tc>
      </w:tr>
      <w:tr w:rsidR="002027D2" w:rsidRPr="008D1712" w14:paraId="6CCD9036"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4790E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0333C0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5.45964</w:t>
            </w:r>
          </w:p>
        </w:tc>
        <w:tc>
          <w:tcPr>
            <w:tcW w:w="1177" w:type="dxa"/>
            <w:tcBorders>
              <w:top w:val="nil"/>
              <w:left w:val="nil"/>
              <w:bottom w:val="single" w:sz="4" w:space="0" w:color="auto"/>
              <w:right w:val="single" w:sz="4" w:space="0" w:color="auto"/>
            </w:tcBorders>
            <w:shd w:val="clear" w:color="auto" w:fill="auto"/>
            <w:noWrap/>
            <w:vAlign w:val="bottom"/>
            <w:hideMark/>
          </w:tcPr>
          <w:p w14:paraId="7360A8A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3.450818</w:t>
            </w:r>
          </w:p>
        </w:tc>
        <w:tc>
          <w:tcPr>
            <w:tcW w:w="1177" w:type="dxa"/>
            <w:tcBorders>
              <w:top w:val="nil"/>
              <w:left w:val="nil"/>
              <w:bottom w:val="single" w:sz="4" w:space="0" w:color="auto"/>
              <w:right w:val="single" w:sz="4" w:space="0" w:color="auto"/>
            </w:tcBorders>
            <w:shd w:val="clear" w:color="auto" w:fill="auto"/>
            <w:noWrap/>
            <w:vAlign w:val="bottom"/>
            <w:hideMark/>
          </w:tcPr>
          <w:p w14:paraId="5E3330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-0.59795</w:t>
            </w:r>
          </w:p>
        </w:tc>
      </w:tr>
      <w:tr w:rsidR="002027D2" w:rsidRPr="008D1712" w14:paraId="5D72D058"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522467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EF68E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3.676484</w:t>
            </w:r>
          </w:p>
        </w:tc>
        <w:tc>
          <w:tcPr>
            <w:tcW w:w="1177" w:type="dxa"/>
            <w:tcBorders>
              <w:top w:val="nil"/>
              <w:left w:val="nil"/>
              <w:bottom w:val="single" w:sz="4" w:space="0" w:color="auto"/>
              <w:right w:val="single" w:sz="4" w:space="0" w:color="auto"/>
            </w:tcBorders>
            <w:shd w:val="clear" w:color="auto" w:fill="auto"/>
            <w:noWrap/>
            <w:vAlign w:val="bottom"/>
            <w:hideMark/>
          </w:tcPr>
          <w:p w14:paraId="43CBC9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3.609169</w:t>
            </w:r>
          </w:p>
        </w:tc>
        <w:tc>
          <w:tcPr>
            <w:tcW w:w="1177" w:type="dxa"/>
            <w:tcBorders>
              <w:top w:val="nil"/>
              <w:left w:val="nil"/>
              <w:bottom w:val="single" w:sz="4" w:space="0" w:color="auto"/>
              <w:right w:val="single" w:sz="4" w:space="0" w:color="auto"/>
            </w:tcBorders>
            <w:shd w:val="clear" w:color="auto" w:fill="auto"/>
            <w:noWrap/>
            <w:vAlign w:val="bottom"/>
            <w:hideMark/>
          </w:tcPr>
          <w:p w14:paraId="7BF0BC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-0.66167</w:t>
            </w:r>
          </w:p>
        </w:tc>
      </w:tr>
      <w:tr w:rsidR="002027D2" w:rsidRPr="008D1712" w14:paraId="2EBD1241"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8AFAB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65E4CD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5.46297</w:t>
            </w:r>
          </w:p>
        </w:tc>
        <w:tc>
          <w:tcPr>
            <w:tcW w:w="1177" w:type="dxa"/>
            <w:tcBorders>
              <w:top w:val="nil"/>
              <w:left w:val="nil"/>
              <w:bottom w:val="single" w:sz="4" w:space="0" w:color="auto"/>
              <w:right w:val="single" w:sz="4" w:space="0" w:color="auto"/>
            </w:tcBorders>
            <w:shd w:val="clear" w:color="auto" w:fill="auto"/>
            <w:noWrap/>
            <w:vAlign w:val="bottom"/>
            <w:hideMark/>
          </w:tcPr>
          <w:p w14:paraId="0AB669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0.285774</w:t>
            </w:r>
          </w:p>
        </w:tc>
        <w:tc>
          <w:tcPr>
            <w:tcW w:w="1177" w:type="dxa"/>
            <w:tcBorders>
              <w:top w:val="nil"/>
              <w:left w:val="nil"/>
              <w:bottom w:val="single" w:sz="4" w:space="0" w:color="auto"/>
              <w:right w:val="single" w:sz="4" w:space="0" w:color="auto"/>
            </w:tcBorders>
            <w:shd w:val="clear" w:color="auto" w:fill="auto"/>
            <w:noWrap/>
            <w:vAlign w:val="bottom"/>
            <w:hideMark/>
          </w:tcPr>
          <w:p w14:paraId="12ED25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4.546747</w:t>
            </w:r>
          </w:p>
        </w:tc>
      </w:tr>
      <w:tr w:rsidR="002027D2" w:rsidRPr="008D1712" w14:paraId="2B641FDA"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67217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01F062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6.876769</w:t>
            </w:r>
          </w:p>
        </w:tc>
        <w:tc>
          <w:tcPr>
            <w:tcW w:w="1177" w:type="dxa"/>
            <w:tcBorders>
              <w:top w:val="nil"/>
              <w:left w:val="nil"/>
              <w:bottom w:val="single" w:sz="4" w:space="0" w:color="auto"/>
              <w:right w:val="single" w:sz="4" w:space="0" w:color="auto"/>
            </w:tcBorders>
            <w:shd w:val="clear" w:color="auto" w:fill="auto"/>
            <w:noWrap/>
            <w:vAlign w:val="bottom"/>
            <w:hideMark/>
          </w:tcPr>
          <w:p w14:paraId="7E00C9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3.56994</w:t>
            </w:r>
          </w:p>
        </w:tc>
        <w:tc>
          <w:tcPr>
            <w:tcW w:w="1177" w:type="dxa"/>
            <w:tcBorders>
              <w:top w:val="nil"/>
              <w:left w:val="nil"/>
              <w:bottom w:val="single" w:sz="4" w:space="0" w:color="auto"/>
              <w:right w:val="single" w:sz="4" w:space="0" w:color="auto"/>
            </w:tcBorders>
            <w:shd w:val="clear" w:color="auto" w:fill="auto"/>
            <w:noWrap/>
            <w:vAlign w:val="bottom"/>
            <w:hideMark/>
          </w:tcPr>
          <w:p w14:paraId="7F4F97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0.999675</w:t>
            </w:r>
          </w:p>
        </w:tc>
      </w:tr>
      <w:tr w:rsidR="002027D2" w:rsidRPr="008D1712" w14:paraId="3B5430D5"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B26C7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59C393B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8.266435</w:t>
            </w:r>
          </w:p>
        </w:tc>
        <w:tc>
          <w:tcPr>
            <w:tcW w:w="1177" w:type="dxa"/>
            <w:tcBorders>
              <w:top w:val="nil"/>
              <w:left w:val="nil"/>
              <w:bottom w:val="single" w:sz="4" w:space="0" w:color="auto"/>
              <w:right w:val="single" w:sz="4" w:space="0" w:color="auto"/>
            </w:tcBorders>
            <w:shd w:val="clear" w:color="auto" w:fill="auto"/>
            <w:noWrap/>
            <w:vAlign w:val="bottom"/>
            <w:hideMark/>
          </w:tcPr>
          <w:p w14:paraId="3F06C5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3.230013</w:t>
            </w:r>
          </w:p>
        </w:tc>
        <w:tc>
          <w:tcPr>
            <w:tcW w:w="1177" w:type="dxa"/>
            <w:tcBorders>
              <w:top w:val="nil"/>
              <w:left w:val="nil"/>
              <w:bottom w:val="single" w:sz="4" w:space="0" w:color="auto"/>
              <w:right w:val="single" w:sz="4" w:space="0" w:color="auto"/>
            </w:tcBorders>
            <w:shd w:val="clear" w:color="auto" w:fill="auto"/>
            <w:noWrap/>
            <w:vAlign w:val="bottom"/>
            <w:hideMark/>
          </w:tcPr>
          <w:p w14:paraId="01D74A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3.033611</w:t>
            </w:r>
          </w:p>
        </w:tc>
      </w:tr>
      <w:tr w:rsidR="002027D2" w:rsidRPr="008D1712" w14:paraId="5453BC77"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7E22F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2B5477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4.491984</w:t>
            </w:r>
          </w:p>
        </w:tc>
        <w:tc>
          <w:tcPr>
            <w:tcW w:w="1177" w:type="dxa"/>
            <w:tcBorders>
              <w:top w:val="nil"/>
              <w:left w:val="nil"/>
              <w:bottom w:val="single" w:sz="4" w:space="0" w:color="auto"/>
              <w:right w:val="single" w:sz="4" w:space="0" w:color="auto"/>
            </w:tcBorders>
            <w:shd w:val="clear" w:color="auto" w:fill="auto"/>
            <w:noWrap/>
            <w:vAlign w:val="bottom"/>
            <w:hideMark/>
          </w:tcPr>
          <w:p w14:paraId="626DC7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2.246455</w:t>
            </w:r>
          </w:p>
        </w:tc>
        <w:tc>
          <w:tcPr>
            <w:tcW w:w="1177" w:type="dxa"/>
            <w:tcBorders>
              <w:top w:val="nil"/>
              <w:left w:val="nil"/>
              <w:bottom w:val="single" w:sz="4" w:space="0" w:color="auto"/>
              <w:right w:val="single" w:sz="4" w:space="0" w:color="auto"/>
            </w:tcBorders>
            <w:shd w:val="clear" w:color="auto" w:fill="auto"/>
            <w:noWrap/>
            <w:vAlign w:val="bottom"/>
            <w:hideMark/>
          </w:tcPr>
          <w:p w14:paraId="289AC3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-1.49923</w:t>
            </w:r>
          </w:p>
        </w:tc>
      </w:tr>
      <w:tr w:rsidR="002027D2" w:rsidRPr="008D1712" w14:paraId="68056F32"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B7211C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177" w:type="dxa"/>
            <w:tcBorders>
              <w:top w:val="nil"/>
              <w:left w:val="nil"/>
              <w:bottom w:val="single" w:sz="4" w:space="0" w:color="auto"/>
              <w:right w:val="single" w:sz="4" w:space="0" w:color="auto"/>
            </w:tcBorders>
            <w:shd w:val="clear" w:color="auto" w:fill="auto"/>
            <w:noWrap/>
            <w:vAlign w:val="bottom"/>
            <w:hideMark/>
          </w:tcPr>
          <w:p w14:paraId="5220AC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-1.99729</w:t>
            </w:r>
          </w:p>
        </w:tc>
        <w:tc>
          <w:tcPr>
            <w:tcW w:w="1177" w:type="dxa"/>
            <w:tcBorders>
              <w:top w:val="nil"/>
              <w:left w:val="nil"/>
              <w:bottom w:val="single" w:sz="4" w:space="0" w:color="auto"/>
              <w:right w:val="single" w:sz="4" w:space="0" w:color="auto"/>
            </w:tcBorders>
            <w:shd w:val="clear" w:color="auto" w:fill="auto"/>
            <w:noWrap/>
            <w:vAlign w:val="bottom"/>
            <w:hideMark/>
          </w:tcPr>
          <w:p w14:paraId="4A744C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-1.26518</w:t>
            </w:r>
          </w:p>
        </w:tc>
        <w:tc>
          <w:tcPr>
            <w:tcW w:w="1177" w:type="dxa"/>
            <w:tcBorders>
              <w:top w:val="nil"/>
              <w:left w:val="nil"/>
              <w:bottom w:val="single" w:sz="4" w:space="0" w:color="auto"/>
              <w:right w:val="single" w:sz="4" w:space="0" w:color="auto"/>
            </w:tcBorders>
            <w:shd w:val="clear" w:color="auto" w:fill="auto"/>
            <w:noWrap/>
            <w:vAlign w:val="bottom"/>
            <w:hideMark/>
          </w:tcPr>
          <w:p w14:paraId="6AB620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-3.18561</w:t>
            </w:r>
          </w:p>
        </w:tc>
      </w:tr>
      <w:tr w:rsidR="002027D2" w:rsidRPr="008D1712" w14:paraId="1C488063"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387CD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7BDC9BC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-2.44434</w:t>
            </w:r>
          </w:p>
        </w:tc>
        <w:tc>
          <w:tcPr>
            <w:tcW w:w="1177" w:type="dxa"/>
            <w:tcBorders>
              <w:top w:val="nil"/>
              <w:left w:val="nil"/>
              <w:bottom w:val="single" w:sz="4" w:space="0" w:color="auto"/>
              <w:right w:val="single" w:sz="4" w:space="0" w:color="auto"/>
            </w:tcBorders>
            <w:shd w:val="clear" w:color="auto" w:fill="auto"/>
            <w:noWrap/>
            <w:vAlign w:val="bottom"/>
            <w:hideMark/>
          </w:tcPr>
          <w:p w14:paraId="5951FF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-1.11437</w:t>
            </w:r>
          </w:p>
        </w:tc>
        <w:tc>
          <w:tcPr>
            <w:tcW w:w="1177" w:type="dxa"/>
            <w:tcBorders>
              <w:top w:val="nil"/>
              <w:left w:val="nil"/>
              <w:bottom w:val="single" w:sz="4" w:space="0" w:color="auto"/>
              <w:right w:val="single" w:sz="4" w:space="0" w:color="auto"/>
            </w:tcBorders>
            <w:shd w:val="clear" w:color="auto" w:fill="auto"/>
            <w:noWrap/>
            <w:vAlign w:val="bottom"/>
            <w:hideMark/>
          </w:tcPr>
          <w:p w14:paraId="39C6D7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-4.17728</w:t>
            </w:r>
          </w:p>
        </w:tc>
      </w:tr>
      <w:tr w:rsidR="002027D2" w:rsidRPr="008D1712" w14:paraId="5A00FE35"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4721D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177" w:type="dxa"/>
            <w:tcBorders>
              <w:top w:val="nil"/>
              <w:left w:val="nil"/>
              <w:bottom w:val="single" w:sz="4" w:space="0" w:color="auto"/>
              <w:right w:val="single" w:sz="4" w:space="0" w:color="auto"/>
            </w:tcBorders>
            <w:shd w:val="clear" w:color="auto" w:fill="auto"/>
            <w:noWrap/>
            <w:vAlign w:val="bottom"/>
            <w:hideMark/>
          </w:tcPr>
          <w:p w14:paraId="48F4A24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-1.16785</w:t>
            </w:r>
          </w:p>
        </w:tc>
        <w:tc>
          <w:tcPr>
            <w:tcW w:w="1177" w:type="dxa"/>
            <w:tcBorders>
              <w:top w:val="nil"/>
              <w:left w:val="nil"/>
              <w:bottom w:val="single" w:sz="4" w:space="0" w:color="auto"/>
              <w:right w:val="single" w:sz="4" w:space="0" w:color="auto"/>
            </w:tcBorders>
            <w:shd w:val="clear" w:color="auto" w:fill="auto"/>
            <w:noWrap/>
            <w:vAlign w:val="bottom"/>
            <w:hideMark/>
          </w:tcPr>
          <w:p w14:paraId="6C02B9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-1.99127</w:t>
            </w:r>
          </w:p>
        </w:tc>
        <w:tc>
          <w:tcPr>
            <w:tcW w:w="1177" w:type="dxa"/>
            <w:tcBorders>
              <w:top w:val="nil"/>
              <w:left w:val="nil"/>
              <w:bottom w:val="single" w:sz="4" w:space="0" w:color="auto"/>
              <w:right w:val="single" w:sz="4" w:space="0" w:color="auto"/>
            </w:tcBorders>
            <w:shd w:val="clear" w:color="auto" w:fill="auto"/>
            <w:noWrap/>
            <w:vAlign w:val="bottom"/>
            <w:hideMark/>
          </w:tcPr>
          <w:p w14:paraId="3F988A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-3.27071</w:t>
            </w:r>
          </w:p>
        </w:tc>
      </w:tr>
      <w:tr w:rsidR="002027D2" w:rsidRPr="008D1712" w14:paraId="3559B2B0" w14:textId="77777777" w:rsidTr="00323CC4">
        <w:trPr>
          <w:trHeight w:val="300"/>
          <w:jc w:val="center"/>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3250A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177" w:type="dxa"/>
            <w:tcBorders>
              <w:top w:val="nil"/>
              <w:left w:val="nil"/>
              <w:bottom w:val="single" w:sz="4" w:space="0" w:color="auto"/>
              <w:right w:val="single" w:sz="4" w:space="0" w:color="auto"/>
            </w:tcBorders>
            <w:shd w:val="clear" w:color="auto" w:fill="auto"/>
            <w:noWrap/>
            <w:vAlign w:val="bottom"/>
            <w:hideMark/>
          </w:tcPr>
          <w:p w14:paraId="6F1942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-1.57436</w:t>
            </w:r>
          </w:p>
        </w:tc>
        <w:tc>
          <w:tcPr>
            <w:tcW w:w="1177" w:type="dxa"/>
            <w:tcBorders>
              <w:top w:val="nil"/>
              <w:left w:val="nil"/>
              <w:bottom w:val="single" w:sz="4" w:space="0" w:color="auto"/>
              <w:right w:val="single" w:sz="4" w:space="0" w:color="auto"/>
            </w:tcBorders>
            <w:shd w:val="clear" w:color="auto" w:fill="auto"/>
            <w:noWrap/>
            <w:vAlign w:val="bottom"/>
            <w:hideMark/>
          </w:tcPr>
          <w:p w14:paraId="371488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-0.30979</w:t>
            </w:r>
          </w:p>
        </w:tc>
        <w:tc>
          <w:tcPr>
            <w:tcW w:w="1177" w:type="dxa"/>
            <w:tcBorders>
              <w:top w:val="nil"/>
              <w:left w:val="nil"/>
              <w:bottom w:val="single" w:sz="4" w:space="0" w:color="auto"/>
              <w:right w:val="single" w:sz="4" w:space="0" w:color="auto"/>
            </w:tcBorders>
            <w:shd w:val="clear" w:color="auto" w:fill="auto"/>
            <w:noWrap/>
            <w:vAlign w:val="bottom"/>
            <w:hideMark/>
          </w:tcPr>
          <w:p w14:paraId="29B58F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-2.82935</w:t>
            </w:r>
          </w:p>
        </w:tc>
      </w:tr>
    </w:tbl>
    <w:p w14:paraId="35D68E08"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S2.48</w:t>
      </w:r>
      <w:r w:rsidRPr="000452A8">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 xml:space="preserve">Coordinates (Angstroms) and energy (a.u.) of </w:t>
      </w:r>
      <w:r w:rsidRPr="008D1712">
        <w:rPr>
          <w:rFonts w:ascii="Arial" w:eastAsia="Times New Roman" w:hAnsi="Arial" w:cs="Arial"/>
          <w:b/>
          <w:bCs/>
          <w:color w:val="000000"/>
          <w:sz w:val="24"/>
          <w:szCs w:val="24"/>
        </w:rPr>
        <w:t>SQ Br no TMAB</w:t>
      </w:r>
      <w:r w:rsidRPr="008D1712">
        <w:rPr>
          <w:rFonts w:ascii="Arial" w:hAnsi="Arial" w:cs="Arial"/>
          <w:sz w:val="24"/>
          <w:szCs w:val="24"/>
        </w:rPr>
        <w:t>. Geometries were optimized using PBE functional and 6-31+G* basis set.</w:t>
      </w:r>
    </w:p>
    <w:p w14:paraId="0313AC31" w14:textId="77777777" w:rsidR="002027D2" w:rsidRPr="008D1712" w:rsidRDefault="002027D2" w:rsidP="008D1712">
      <w:pPr>
        <w:jc w:val="center"/>
        <w:rPr>
          <w:rFonts w:ascii="Arial" w:hAnsi="Arial" w:cs="Arial"/>
          <w:b/>
          <w:bCs/>
          <w:sz w:val="24"/>
          <w:szCs w:val="24"/>
        </w:rPr>
      </w:pPr>
    </w:p>
    <w:tbl>
      <w:tblPr>
        <w:tblW w:w="3566" w:type="dxa"/>
        <w:jc w:val="center"/>
        <w:tblLook w:val="04A0" w:firstRow="1" w:lastRow="0" w:firstColumn="1" w:lastColumn="0" w:noHBand="0" w:noVBand="1"/>
      </w:tblPr>
      <w:tblGrid>
        <w:gridCol w:w="390"/>
        <w:gridCol w:w="1218"/>
        <w:gridCol w:w="1218"/>
        <w:gridCol w:w="1218"/>
      </w:tblGrid>
      <w:tr w:rsidR="002027D2" w:rsidRPr="008D1712" w14:paraId="2D8F7611" w14:textId="77777777" w:rsidTr="00323CC4">
        <w:trPr>
          <w:trHeight w:val="288"/>
          <w:jc w:val="center"/>
        </w:trPr>
        <w:tc>
          <w:tcPr>
            <w:tcW w:w="356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17AC4" w14:textId="77777777" w:rsidR="002027D2" w:rsidRPr="008D1712" w:rsidRDefault="002027D2" w:rsidP="008D1712">
            <w:pPr>
              <w:jc w:val="center"/>
              <w:rPr>
                <w:rFonts w:ascii="Arial" w:eastAsia="Times New Roman" w:hAnsi="Arial" w:cs="Arial"/>
                <w:b/>
                <w:bCs/>
                <w:color w:val="000000"/>
                <w:sz w:val="24"/>
                <w:szCs w:val="24"/>
              </w:rPr>
            </w:pPr>
            <w:r w:rsidRPr="008D1712">
              <w:rPr>
                <w:rFonts w:ascii="Arial" w:eastAsia="Times New Roman" w:hAnsi="Arial" w:cs="Arial"/>
                <w:b/>
                <w:bCs/>
                <w:color w:val="000000"/>
                <w:sz w:val="24"/>
                <w:szCs w:val="24"/>
              </w:rPr>
              <w:t>CY H</w:t>
            </w:r>
          </w:p>
        </w:tc>
      </w:tr>
      <w:tr w:rsidR="002027D2" w:rsidRPr="008D1712" w14:paraId="6FD37E6B" w14:textId="77777777" w:rsidTr="00323CC4">
        <w:trPr>
          <w:trHeight w:val="288"/>
          <w:jc w:val="center"/>
        </w:trPr>
        <w:tc>
          <w:tcPr>
            <w:tcW w:w="356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131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-1946.06983345369 a.u.</w:t>
            </w:r>
          </w:p>
        </w:tc>
      </w:tr>
      <w:tr w:rsidR="002027D2" w:rsidRPr="008D1712" w14:paraId="2F28977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FA5CE7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36EEDE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7.606934</w:t>
            </w:r>
          </w:p>
        </w:tc>
        <w:tc>
          <w:tcPr>
            <w:tcW w:w="1069" w:type="dxa"/>
            <w:tcBorders>
              <w:top w:val="nil"/>
              <w:left w:val="nil"/>
              <w:bottom w:val="single" w:sz="4" w:space="0" w:color="auto"/>
              <w:right w:val="single" w:sz="4" w:space="0" w:color="auto"/>
            </w:tcBorders>
            <w:shd w:val="clear" w:color="auto" w:fill="auto"/>
            <w:noWrap/>
            <w:vAlign w:val="bottom"/>
            <w:hideMark/>
          </w:tcPr>
          <w:p w14:paraId="04E1BA8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-1.78784</w:t>
            </w:r>
          </w:p>
        </w:tc>
        <w:tc>
          <w:tcPr>
            <w:tcW w:w="1069" w:type="dxa"/>
            <w:tcBorders>
              <w:top w:val="nil"/>
              <w:left w:val="nil"/>
              <w:bottom w:val="single" w:sz="4" w:space="0" w:color="auto"/>
              <w:right w:val="single" w:sz="4" w:space="0" w:color="auto"/>
            </w:tcBorders>
            <w:shd w:val="clear" w:color="auto" w:fill="auto"/>
            <w:noWrap/>
            <w:vAlign w:val="bottom"/>
            <w:hideMark/>
          </w:tcPr>
          <w:p w14:paraId="62BE073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0.404386</w:t>
            </w:r>
          </w:p>
        </w:tc>
      </w:tr>
      <w:tr w:rsidR="002027D2" w:rsidRPr="008D1712" w14:paraId="7D973AF2"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3475DB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23E2F2C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7.862877</w:t>
            </w:r>
          </w:p>
        </w:tc>
        <w:tc>
          <w:tcPr>
            <w:tcW w:w="1069" w:type="dxa"/>
            <w:tcBorders>
              <w:top w:val="nil"/>
              <w:left w:val="nil"/>
              <w:bottom w:val="single" w:sz="4" w:space="0" w:color="auto"/>
              <w:right w:val="single" w:sz="4" w:space="0" w:color="auto"/>
            </w:tcBorders>
            <w:shd w:val="clear" w:color="auto" w:fill="auto"/>
            <w:noWrap/>
            <w:vAlign w:val="bottom"/>
            <w:hideMark/>
          </w:tcPr>
          <w:p w14:paraId="54885F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-3.15193</w:t>
            </w:r>
          </w:p>
        </w:tc>
        <w:tc>
          <w:tcPr>
            <w:tcW w:w="1069" w:type="dxa"/>
            <w:tcBorders>
              <w:top w:val="nil"/>
              <w:left w:val="nil"/>
              <w:bottom w:val="single" w:sz="4" w:space="0" w:color="auto"/>
              <w:right w:val="single" w:sz="4" w:space="0" w:color="auto"/>
            </w:tcBorders>
            <w:shd w:val="clear" w:color="auto" w:fill="auto"/>
            <w:noWrap/>
            <w:vAlign w:val="bottom"/>
            <w:hideMark/>
          </w:tcPr>
          <w:p w14:paraId="0ECD85E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0.664722</w:t>
            </w:r>
          </w:p>
        </w:tc>
      </w:tr>
      <w:tr w:rsidR="002027D2" w:rsidRPr="008D1712" w14:paraId="1A9D366E"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DBD47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515BC8B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8.791519</w:t>
            </w:r>
          </w:p>
        </w:tc>
        <w:tc>
          <w:tcPr>
            <w:tcW w:w="1069" w:type="dxa"/>
            <w:tcBorders>
              <w:top w:val="nil"/>
              <w:left w:val="nil"/>
              <w:bottom w:val="single" w:sz="4" w:space="0" w:color="auto"/>
              <w:right w:val="single" w:sz="4" w:space="0" w:color="auto"/>
            </w:tcBorders>
            <w:shd w:val="clear" w:color="auto" w:fill="auto"/>
            <w:noWrap/>
            <w:vAlign w:val="bottom"/>
            <w:hideMark/>
          </w:tcPr>
          <w:p w14:paraId="492FEC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-5.35727</w:t>
            </w:r>
          </w:p>
        </w:tc>
        <w:tc>
          <w:tcPr>
            <w:tcW w:w="1069" w:type="dxa"/>
            <w:tcBorders>
              <w:top w:val="nil"/>
              <w:left w:val="nil"/>
              <w:bottom w:val="single" w:sz="4" w:space="0" w:color="auto"/>
              <w:right w:val="single" w:sz="4" w:space="0" w:color="auto"/>
            </w:tcBorders>
            <w:shd w:val="clear" w:color="auto" w:fill="auto"/>
            <w:noWrap/>
            <w:vAlign w:val="bottom"/>
            <w:hideMark/>
          </w:tcPr>
          <w:p w14:paraId="4E8335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0.050152</w:t>
            </w:r>
          </w:p>
        </w:tc>
      </w:tr>
      <w:tr w:rsidR="002027D2" w:rsidRPr="008D1712" w14:paraId="6FA3715C"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C3DDD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0C6077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9.904627</w:t>
            </w:r>
          </w:p>
        </w:tc>
        <w:tc>
          <w:tcPr>
            <w:tcW w:w="1069" w:type="dxa"/>
            <w:tcBorders>
              <w:top w:val="nil"/>
              <w:left w:val="nil"/>
              <w:bottom w:val="single" w:sz="4" w:space="0" w:color="auto"/>
              <w:right w:val="single" w:sz="4" w:space="0" w:color="auto"/>
            </w:tcBorders>
            <w:shd w:val="clear" w:color="auto" w:fill="auto"/>
            <w:noWrap/>
            <w:vAlign w:val="bottom"/>
            <w:hideMark/>
          </w:tcPr>
          <w:p w14:paraId="6BE63A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-6.21471</w:t>
            </w:r>
          </w:p>
        </w:tc>
        <w:tc>
          <w:tcPr>
            <w:tcW w:w="1069" w:type="dxa"/>
            <w:tcBorders>
              <w:top w:val="nil"/>
              <w:left w:val="nil"/>
              <w:bottom w:val="single" w:sz="4" w:space="0" w:color="auto"/>
              <w:right w:val="single" w:sz="4" w:space="0" w:color="auto"/>
            </w:tcBorders>
            <w:shd w:val="clear" w:color="auto" w:fill="auto"/>
            <w:noWrap/>
            <w:vAlign w:val="bottom"/>
            <w:hideMark/>
          </w:tcPr>
          <w:p w14:paraId="7A6429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-0.08194</w:t>
            </w:r>
          </w:p>
        </w:tc>
      </w:tr>
      <w:tr w:rsidR="002027D2" w:rsidRPr="008D1712" w14:paraId="2C4F0AC4"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C40CDE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0D2918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9.845745</w:t>
            </w:r>
          </w:p>
        </w:tc>
        <w:tc>
          <w:tcPr>
            <w:tcW w:w="1069" w:type="dxa"/>
            <w:tcBorders>
              <w:top w:val="nil"/>
              <w:left w:val="nil"/>
              <w:bottom w:val="single" w:sz="4" w:space="0" w:color="auto"/>
              <w:right w:val="single" w:sz="4" w:space="0" w:color="auto"/>
            </w:tcBorders>
            <w:shd w:val="clear" w:color="auto" w:fill="auto"/>
            <w:noWrap/>
            <w:vAlign w:val="bottom"/>
            <w:hideMark/>
          </w:tcPr>
          <w:p w14:paraId="7CAC152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-7.61959</w:t>
            </w:r>
          </w:p>
        </w:tc>
        <w:tc>
          <w:tcPr>
            <w:tcW w:w="1069" w:type="dxa"/>
            <w:tcBorders>
              <w:top w:val="nil"/>
              <w:left w:val="nil"/>
              <w:bottom w:val="single" w:sz="4" w:space="0" w:color="auto"/>
              <w:right w:val="single" w:sz="4" w:space="0" w:color="auto"/>
            </w:tcBorders>
            <w:shd w:val="clear" w:color="auto" w:fill="auto"/>
            <w:noWrap/>
            <w:vAlign w:val="bottom"/>
            <w:hideMark/>
          </w:tcPr>
          <w:p w14:paraId="70B35E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-0.13074</w:t>
            </w:r>
          </w:p>
        </w:tc>
      </w:tr>
      <w:tr w:rsidR="002027D2" w:rsidRPr="008D1712" w14:paraId="71E43D5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F5CBD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53D9B9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10.92123</w:t>
            </w:r>
          </w:p>
        </w:tc>
        <w:tc>
          <w:tcPr>
            <w:tcW w:w="1069" w:type="dxa"/>
            <w:tcBorders>
              <w:top w:val="nil"/>
              <w:left w:val="nil"/>
              <w:bottom w:val="single" w:sz="4" w:space="0" w:color="auto"/>
              <w:right w:val="single" w:sz="4" w:space="0" w:color="auto"/>
            </w:tcBorders>
            <w:shd w:val="clear" w:color="auto" w:fill="auto"/>
            <w:noWrap/>
            <w:vAlign w:val="bottom"/>
            <w:hideMark/>
          </w:tcPr>
          <w:p w14:paraId="62BCDA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-8.5321</w:t>
            </w:r>
          </w:p>
        </w:tc>
        <w:tc>
          <w:tcPr>
            <w:tcW w:w="1069" w:type="dxa"/>
            <w:tcBorders>
              <w:top w:val="nil"/>
              <w:left w:val="nil"/>
              <w:bottom w:val="single" w:sz="4" w:space="0" w:color="auto"/>
              <w:right w:val="single" w:sz="4" w:space="0" w:color="auto"/>
            </w:tcBorders>
            <w:shd w:val="clear" w:color="auto" w:fill="auto"/>
            <w:noWrap/>
            <w:vAlign w:val="bottom"/>
            <w:hideMark/>
          </w:tcPr>
          <w:p w14:paraId="0228CA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-0.06912</w:t>
            </w:r>
          </w:p>
        </w:tc>
      </w:tr>
      <w:tr w:rsidR="002027D2" w:rsidRPr="008D1712" w14:paraId="6B2C5D15"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5C11F3A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069" w:type="dxa"/>
            <w:tcBorders>
              <w:top w:val="nil"/>
              <w:left w:val="nil"/>
              <w:bottom w:val="single" w:sz="4" w:space="0" w:color="auto"/>
              <w:right w:val="single" w:sz="4" w:space="0" w:color="auto"/>
            </w:tcBorders>
            <w:shd w:val="clear" w:color="auto" w:fill="auto"/>
            <w:noWrap/>
            <w:vAlign w:val="bottom"/>
            <w:hideMark/>
          </w:tcPr>
          <w:p w14:paraId="37BCE4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10.7365</w:t>
            </w:r>
          </w:p>
        </w:tc>
        <w:tc>
          <w:tcPr>
            <w:tcW w:w="1069" w:type="dxa"/>
            <w:tcBorders>
              <w:top w:val="nil"/>
              <w:left w:val="nil"/>
              <w:bottom w:val="single" w:sz="4" w:space="0" w:color="auto"/>
              <w:right w:val="single" w:sz="4" w:space="0" w:color="auto"/>
            </w:tcBorders>
            <w:shd w:val="clear" w:color="auto" w:fill="auto"/>
            <w:noWrap/>
            <w:vAlign w:val="bottom"/>
            <w:hideMark/>
          </w:tcPr>
          <w:p w14:paraId="64A8EAB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-9.8773</w:t>
            </w:r>
          </w:p>
        </w:tc>
        <w:tc>
          <w:tcPr>
            <w:tcW w:w="1069" w:type="dxa"/>
            <w:tcBorders>
              <w:top w:val="nil"/>
              <w:left w:val="nil"/>
              <w:bottom w:val="single" w:sz="4" w:space="0" w:color="auto"/>
              <w:right w:val="single" w:sz="4" w:space="0" w:color="auto"/>
            </w:tcBorders>
            <w:shd w:val="clear" w:color="auto" w:fill="auto"/>
            <w:noWrap/>
            <w:vAlign w:val="bottom"/>
            <w:hideMark/>
          </w:tcPr>
          <w:p w14:paraId="3F423D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-0.1793</w:t>
            </w:r>
          </w:p>
        </w:tc>
      </w:tr>
      <w:tr w:rsidR="002027D2" w:rsidRPr="008D1712" w14:paraId="109780FE"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FFBCE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1A20EB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9.463441</w:t>
            </w:r>
          </w:p>
        </w:tc>
        <w:tc>
          <w:tcPr>
            <w:tcW w:w="1069" w:type="dxa"/>
            <w:tcBorders>
              <w:top w:val="nil"/>
              <w:left w:val="nil"/>
              <w:bottom w:val="single" w:sz="4" w:space="0" w:color="auto"/>
              <w:right w:val="single" w:sz="4" w:space="0" w:color="auto"/>
            </w:tcBorders>
            <w:shd w:val="clear" w:color="auto" w:fill="auto"/>
            <w:noWrap/>
            <w:vAlign w:val="bottom"/>
            <w:hideMark/>
          </w:tcPr>
          <w:p w14:paraId="7BF7DA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-10.5655</w:t>
            </w:r>
          </w:p>
        </w:tc>
        <w:tc>
          <w:tcPr>
            <w:tcW w:w="1069" w:type="dxa"/>
            <w:tcBorders>
              <w:top w:val="nil"/>
              <w:left w:val="nil"/>
              <w:bottom w:val="single" w:sz="4" w:space="0" w:color="auto"/>
              <w:right w:val="single" w:sz="4" w:space="0" w:color="auto"/>
            </w:tcBorders>
            <w:shd w:val="clear" w:color="auto" w:fill="auto"/>
            <w:noWrap/>
            <w:vAlign w:val="bottom"/>
            <w:hideMark/>
          </w:tcPr>
          <w:p w14:paraId="6E8C1F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-0.42967</w:t>
            </w:r>
          </w:p>
        </w:tc>
      </w:tr>
      <w:tr w:rsidR="002027D2" w:rsidRPr="008D1712" w14:paraId="06E32B7A"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F3C40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657BB4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8.707747</w:t>
            </w:r>
          </w:p>
        </w:tc>
        <w:tc>
          <w:tcPr>
            <w:tcW w:w="1069" w:type="dxa"/>
            <w:tcBorders>
              <w:top w:val="nil"/>
              <w:left w:val="nil"/>
              <w:bottom w:val="single" w:sz="4" w:space="0" w:color="auto"/>
              <w:right w:val="single" w:sz="4" w:space="0" w:color="auto"/>
            </w:tcBorders>
            <w:shd w:val="clear" w:color="auto" w:fill="auto"/>
            <w:noWrap/>
            <w:vAlign w:val="bottom"/>
            <w:hideMark/>
          </w:tcPr>
          <w:p w14:paraId="55C377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-10.9309</w:t>
            </w:r>
          </w:p>
        </w:tc>
        <w:tc>
          <w:tcPr>
            <w:tcW w:w="1069" w:type="dxa"/>
            <w:tcBorders>
              <w:top w:val="nil"/>
              <w:left w:val="nil"/>
              <w:bottom w:val="single" w:sz="4" w:space="0" w:color="auto"/>
              <w:right w:val="single" w:sz="4" w:space="0" w:color="auto"/>
            </w:tcBorders>
            <w:shd w:val="clear" w:color="auto" w:fill="auto"/>
            <w:noWrap/>
            <w:vAlign w:val="bottom"/>
            <w:hideMark/>
          </w:tcPr>
          <w:p w14:paraId="46D225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0.858506</w:t>
            </w:r>
          </w:p>
        </w:tc>
      </w:tr>
      <w:tr w:rsidR="002027D2" w:rsidRPr="008D1712" w14:paraId="3E86AB8F"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5407A8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44C71EE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7.365932</w:t>
            </w:r>
          </w:p>
        </w:tc>
        <w:tc>
          <w:tcPr>
            <w:tcW w:w="1069" w:type="dxa"/>
            <w:tcBorders>
              <w:top w:val="nil"/>
              <w:left w:val="nil"/>
              <w:bottom w:val="single" w:sz="4" w:space="0" w:color="auto"/>
              <w:right w:val="single" w:sz="4" w:space="0" w:color="auto"/>
            </w:tcBorders>
            <w:shd w:val="clear" w:color="auto" w:fill="auto"/>
            <w:noWrap/>
            <w:vAlign w:val="bottom"/>
            <w:hideMark/>
          </w:tcPr>
          <w:p w14:paraId="25F8E9B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-11.6206</w:t>
            </w:r>
          </w:p>
        </w:tc>
        <w:tc>
          <w:tcPr>
            <w:tcW w:w="1069" w:type="dxa"/>
            <w:tcBorders>
              <w:top w:val="nil"/>
              <w:left w:val="nil"/>
              <w:bottom w:val="single" w:sz="4" w:space="0" w:color="auto"/>
              <w:right w:val="single" w:sz="4" w:space="0" w:color="auto"/>
            </w:tcBorders>
            <w:shd w:val="clear" w:color="auto" w:fill="auto"/>
            <w:noWrap/>
            <w:vAlign w:val="bottom"/>
            <w:hideMark/>
          </w:tcPr>
          <w:p w14:paraId="592A15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0.565225</w:t>
            </w:r>
          </w:p>
        </w:tc>
      </w:tr>
      <w:tr w:rsidR="002027D2" w:rsidRPr="008D1712" w14:paraId="307A6A6F"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F7056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23ABC1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11.95003</w:t>
            </w:r>
          </w:p>
        </w:tc>
        <w:tc>
          <w:tcPr>
            <w:tcW w:w="1069" w:type="dxa"/>
            <w:tcBorders>
              <w:top w:val="nil"/>
              <w:left w:val="nil"/>
              <w:bottom w:val="single" w:sz="4" w:space="0" w:color="auto"/>
              <w:right w:val="single" w:sz="4" w:space="0" w:color="auto"/>
            </w:tcBorders>
            <w:shd w:val="clear" w:color="auto" w:fill="auto"/>
            <w:noWrap/>
            <w:vAlign w:val="bottom"/>
            <w:hideMark/>
          </w:tcPr>
          <w:p w14:paraId="0F2B638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-10.5896</w:t>
            </w:r>
          </w:p>
        </w:tc>
        <w:tc>
          <w:tcPr>
            <w:tcW w:w="1069" w:type="dxa"/>
            <w:tcBorders>
              <w:top w:val="nil"/>
              <w:left w:val="nil"/>
              <w:bottom w:val="single" w:sz="4" w:space="0" w:color="auto"/>
              <w:right w:val="single" w:sz="4" w:space="0" w:color="auto"/>
            </w:tcBorders>
            <w:shd w:val="clear" w:color="auto" w:fill="auto"/>
            <w:noWrap/>
            <w:vAlign w:val="bottom"/>
            <w:hideMark/>
          </w:tcPr>
          <w:p w14:paraId="0E9620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0.011228</w:t>
            </w:r>
          </w:p>
        </w:tc>
      </w:tr>
      <w:tr w:rsidR="002027D2" w:rsidRPr="008D1712" w14:paraId="6052BCB7"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351F6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5A6E0F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12.16445</w:t>
            </w:r>
          </w:p>
        </w:tc>
        <w:tc>
          <w:tcPr>
            <w:tcW w:w="1069" w:type="dxa"/>
            <w:tcBorders>
              <w:top w:val="nil"/>
              <w:left w:val="nil"/>
              <w:bottom w:val="single" w:sz="4" w:space="0" w:color="auto"/>
              <w:right w:val="single" w:sz="4" w:space="0" w:color="auto"/>
            </w:tcBorders>
            <w:shd w:val="clear" w:color="auto" w:fill="auto"/>
            <w:noWrap/>
            <w:vAlign w:val="bottom"/>
            <w:hideMark/>
          </w:tcPr>
          <w:p w14:paraId="4B6856E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-11.9731</w:t>
            </w:r>
          </w:p>
        </w:tc>
        <w:tc>
          <w:tcPr>
            <w:tcW w:w="1069" w:type="dxa"/>
            <w:tcBorders>
              <w:top w:val="nil"/>
              <w:left w:val="nil"/>
              <w:bottom w:val="single" w:sz="4" w:space="0" w:color="auto"/>
              <w:right w:val="single" w:sz="4" w:space="0" w:color="auto"/>
            </w:tcBorders>
            <w:shd w:val="clear" w:color="auto" w:fill="auto"/>
            <w:noWrap/>
            <w:vAlign w:val="bottom"/>
            <w:hideMark/>
          </w:tcPr>
          <w:p w14:paraId="7CDA5D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-1.8E-05</w:t>
            </w:r>
          </w:p>
        </w:tc>
      </w:tr>
      <w:tr w:rsidR="002027D2" w:rsidRPr="008D1712" w14:paraId="28EB41C7"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11EB4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71FEEA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13.48098</w:t>
            </w:r>
          </w:p>
        </w:tc>
        <w:tc>
          <w:tcPr>
            <w:tcW w:w="1069" w:type="dxa"/>
            <w:tcBorders>
              <w:top w:val="nil"/>
              <w:left w:val="nil"/>
              <w:bottom w:val="single" w:sz="4" w:space="0" w:color="auto"/>
              <w:right w:val="single" w:sz="4" w:space="0" w:color="auto"/>
            </w:tcBorders>
            <w:shd w:val="clear" w:color="auto" w:fill="auto"/>
            <w:noWrap/>
            <w:vAlign w:val="bottom"/>
            <w:hideMark/>
          </w:tcPr>
          <w:p w14:paraId="5B7697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-12.4149</w:t>
            </w:r>
          </w:p>
        </w:tc>
        <w:tc>
          <w:tcPr>
            <w:tcW w:w="1069" w:type="dxa"/>
            <w:tcBorders>
              <w:top w:val="nil"/>
              <w:left w:val="nil"/>
              <w:bottom w:val="single" w:sz="4" w:space="0" w:color="auto"/>
              <w:right w:val="single" w:sz="4" w:space="0" w:color="auto"/>
            </w:tcBorders>
            <w:shd w:val="clear" w:color="auto" w:fill="auto"/>
            <w:noWrap/>
            <w:vAlign w:val="bottom"/>
            <w:hideMark/>
          </w:tcPr>
          <w:p w14:paraId="6F9B03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0.213739</w:t>
            </w:r>
          </w:p>
        </w:tc>
      </w:tr>
      <w:tr w:rsidR="002027D2" w:rsidRPr="008D1712" w14:paraId="648B6FA8"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4473A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1B8E88E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14.5299</w:t>
            </w:r>
          </w:p>
        </w:tc>
        <w:tc>
          <w:tcPr>
            <w:tcW w:w="1069" w:type="dxa"/>
            <w:tcBorders>
              <w:top w:val="nil"/>
              <w:left w:val="nil"/>
              <w:bottom w:val="single" w:sz="4" w:space="0" w:color="auto"/>
              <w:right w:val="single" w:sz="4" w:space="0" w:color="auto"/>
            </w:tcBorders>
            <w:shd w:val="clear" w:color="auto" w:fill="auto"/>
            <w:noWrap/>
            <w:vAlign w:val="bottom"/>
            <w:hideMark/>
          </w:tcPr>
          <w:p w14:paraId="4626587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-11.5022</w:t>
            </w:r>
          </w:p>
        </w:tc>
        <w:tc>
          <w:tcPr>
            <w:tcW w:w="1069" w:type="dxa"/>
            <w:tcBorders>
              <w:top w:val="nil"/>
              <w:left w:val="nil"/>
              <w:bottom w:val="single" w:sz="4" w:space="0" w:color="auto"/>
              <w:right w:val="single" w:sz="4" w:space="0" w:color="auto"/>
            </w:tcBorders>
            <w:shd w:val="clear" w:color="auto" w:fill="auto"/>
            <w:noWrap/>
            <w:vAlign w:val="bottom"/>
            <w:hideMark/>
          </w:tcPr>
          <w:p w14:paraId="481B90B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0.425709</w:t>
            </w:r>
          </w:p>
        </w:tc>
      </w:tr>
      <w:tr w:rsidR="002027D2" w:rsidRPr="008D1712" w14:paraId="04977B4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54475C3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50A8ADA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14.2874</w:t>
            </w:r>
          </w:p>
        </w:tc>
        <w:tc>
          <w:tcPr>
            <w:tcW w:w="1069" w:type="dxa"/>
            <w:tcBorders>
              <w:top w:val="nil"/>
              <w:left w:val="nil"/>
              <w:bottom w:val="single" w:sz="4" w:space="0" w:color="auto"/>
              <w:right w:val="single" w:sz="4" w:space="0" w:color="auto"/>
            </w:tcBorders>
            <w:shd w:val="clear" w:color="auto" w:fill="auto"/>
            <w:noWrap/>
            <w:vAlign w:val="bottom"/>
            <w:hideMark/>
          </w:tcPr>
          <w:p w14:paraId="721B92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-10.1152</w:t>
            </w:r>
          </w:p>
        </w:tc>
        <w:tc>
          <w:tcPr>
            <w:tcW w:w="1069" w:type="dxa"/>
            <w:tcBorders>
              <w:top w:val="nil"/>
              <w:left w:val="nil"/>
              <w:bottom w:val="single" w:sz="4" w:space="0" w:color="auto"/>
              <w:right w:val="single" w:sz="4" w:space="0" w:color="auto"/>
            </w:tcBorders>
            <w:shd w:val="clear" w:color="auto" w:fill="auto"/>
            <w:noWrap/>
            <w:vAlign w:val="bottom"/>
            <w:hideMark/>
          </w:tcPr>
          <w:p w14:paraId="26D2EB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0.43062</w:t>
            </w:r>
          </w:p>
        </w:tc>
      </w:tr>
      <w:tr w:rsidR="002027D2" w:rsidRPr="008D1712" w14:paraId="3D2AA435"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260E6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1A74AD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12.98342</w:t>
            </w:r>
          </w:p>
        </w:tc>
        <w:tc>
          <w:tcPr>
            <w:tcW w:w="1069" w:type="dxa"/>
            <w:tcBorders>
              <w:top w:val="nil"/>
              <w:left w:val="nil"/>
              <w:bottom w:val="single" w:sz="4" w:space="0" w:color="auto"/>
              <w:right w:val="single" w:sz="4" w:space="0" w:color="auto"/>
            </w:tcBorders>
            <w:shd w:val="clear" w:color="auto" w:fill="auto"/>
            <w:noWrap/>
            <w:vAlign w:val="bottom"/>
            <w:hideMark/>
          </w:tcPr>
          <w:p w14:paraId="09389E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-9.66435</w:t>
            </w:r>
          </w:p>
        </w:tc>
        <w:tc>
          <w:tcPr>
            <w:tcW w:w="1069" w:type="dxa"/>
            <w:tcBorders>
              <w:top w:val="nil"/>
              <w:left w:val="nil"/>
              <w:bottom w:val="single" w:sz="4" w:space="0" w:color="auto"/>
              <w:right w:val="single" w:sz="4" w:space="0" w:color="auto"/>
            </w:tcBorders>
            <w:shd w:val="clear" w:color="auto" w:fill="auto"/>
            <w:noWrap/>
            <w:vAlign w:val="bottom"/>
            <w:hideMark/>
          </w:tcPr>
          <w:p w14:paraId="5C261C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0.224396</w:t>
            </w:r>
          </w:p>
        </w:tc>
      </w:tr>
      <w:tr w:rsidR="002027D2" w:rsidRPr="008D1712" w14:paraId="0107E652"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7EA5B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64CAB3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12.41911</w:t>
            </w:r>
          </w:p>
        </w:tc>
        <w:tc>
          <w:tcPr>
            <w:tcW w:w="1069" w:type="dxa"/>
            <w:tcBorders>
              <w:top w:val="nil"/>
              <w:left w:val="nil"/>
              <w:bottom w:val="single" w:sz="4" w:space="0" w:color="auto"/>
              <w:right w:val="single" w:sz="4" w:space="0" w:color="auto"/>
            </w:tcBorders>
            <w:shd w:val="clear" w:color="auto" w:fill="auto"/>
            <w:noWrap/>
            <w:vAlign w:val="bottom"/>
            <w:hideMark/>
          </w:tcPr>
          <w:p w14:paraId="4F4EE7B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-8.2553</w:t>
            </w:r>
          </w:p>
        </w:tc>
        <w:tc>
          <w:tcPr>
            <w:tcW w:w="1069" w:type="dxa"/>
            <w:tcBorders>
              <w:top w:val="nil"/>
              <w:left w:val="nil"/>
              <w:bottom w:val="single" w:sz="4" w:space="0" w:color="auto"/>
              <w:right w:val="single" w:sz="4" w:space="0" w:color="auto"/>
            </w:tcBorders>
            <w:shd w:val="clear" w:color="auto" w:fill="auto"/>
            <w:noWrap/>
            <w:vAlign w:val="bottom"/>
            <w:hideMark/>
          </w:tcPr>
          <w:p w14:paraId="211D6D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0.146232</w:t>
            </w:r>
          </w:p>
        </w:tc>
      </w:tr>
      <w:tr w:rsidR="002027D2" w:rsidRPr="008D1712" w14:paraId="41C553CF"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71B98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68B74A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12.69286</w:t>
            </w:r>
          </w:p>
        </w:tc>
        <w:tc>
          <w:tcPr>
            <w:tcW w:w="1069" w:type="dxa"/>
            <w:tcBorders>
              <w:top w:val="nil"/>
              <w:left w:val="nil"/>
              <w:bottom w:val="single" w:sz="4" w:space="0" w:color="auto"/>
              <w:right w:val="single" w:sz="4" w:space="0" w:color="auto"/>
            </w:tcBorders>
            <w:shd w:val="clear" w:color="auto" w:fill="auto"/>
            <w:noWrap/>
            <w:vAlign w:val="bottom"/>
            <w:hideMark/>
          </w:tcPr>
          <w:p w14:paraId="5AB15B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-7.47205</w:t>
            </w:r>
          </w:p>
        </w:tc>
        <w:tc>
          <w:tcPr>
            <w:tcW w:w="1069" w:type="dxa"/>
            <w:tcBorders>
              <w:top w:val="nil"/>
              <w:left w:val="nil"/>
              <w:bottom w:val="single" w:sz="4" w:space="0" w:color="auto"/>
              <w:right w:val="single" w:sz="4" w:space="0" w:color="auto"/>
            </w:tcBorders>
            <w:shd w:val="clear" w:color="auto" w:fill="auto"/>
            <w:noWrap/>
            <w:vAlign w:val="bottom"/>
            <w:hideMark/>
          </w:tcPr>
          <w:p w14:paraId="610CC3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1.452773</w:t>
            </w:r>
          </w:p>
        </w:tc>
      </w:tr>
      <w:tr w:rsidR="002027D2" w:rsidRPr="008D1712" w14:paraId="0381E4A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A2CF79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3A22B8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13.02478</w:t>
            </w:r>
          </w:p>
        </w:tc>
        <w:tc>
          <w:tcPr>
            <w:tcW w:w="1069" w:type="dxa"/>
            <w:tcBorders>
              <w:top w:val="nil"/>
              <w:left w:val="nil"/>
              <w:bottom w:val="single" w:sz="4" w:space="0" w:color="auto"/>
              <w:right w:val="single" w:sz="4" w:space="0" w:color="auto"/>
            </w:tcBorders>
            <w:shd w:val="clear" w:color="auto" w:fill="auto"/>
            <w:noWrap/>
            <w:vAlign w:val="bottom"/>
            <w:hideMark/>
          </w:tcPr>
          <w:p w14:paraId="6103D7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-7.53271</w:t>
            </w:r>
          </w:p>
        </w:tc>
        <w:tc>
          <w:tcPr>
            <w:tcW w:w="1069" w:type="dxa"/>
            <w:tcBorders>
              <w:top w:val="nil"/>
              <w:left w:val="nil"/>
              <w:bottom w:val="single" w:sz="4" w:space="0" w:color="auto"/>
              <w:right w:val="single" w:sz="4" w:space="0" w:color="auto"/>
            </w:tcBorders>
            <w:shd w:val="clear" w:color="auto" w:fill="auto"/>
            <w:noWrap/>
            <w:vAlign w:val="bottom"/>
            <w:hideMark/>
          </w:tcPr>
          <w:p w14:paraId="6B7BB2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-1.08688</w:t>
            </w:r>
          </w:p>
        </w:tc>
      </w:tr>
      <w:tr w:rsidR="002027D2" w:rsidRPr="008D1712" w14:paraId="2A2ABE8B"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92D73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4FB3A1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8.901448</w:t>
            </w:r>
          </w:p>
        </w:tc>
        <w:tc>
          <w:tcPr>
            <w:tcW w:w="1069" w:type="dxa"/>
            <w:tcBorders>
              <w:top w:val="nil"/>
              <w:left w:val="nil"/>
              <w:bottom w:val="single" w:sz="4" w:space="0" w:color="auto"/>
              <w:right w:val="single" w:sz="4" w:space="0" w:color="auto"/>
            </w:tcBorders>
            <w:shd w:val="clear" w:color="auto" w:fill="auto"/>
            <w:noWrap/>
            <w:vAlign w:val="bottom"/>
            <w:hideMark/>
          </w:tcPr>
          <w:p w14:paraId="393A37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-3.9223</w:t>
            </w:r>
          </w:p>
        </w:tc>
        <w:tc>
          <w:tcPr>
            <w:tcW w:w="1069" w:type="dxa"/>
            <w:tcBorders>
              <w:top w:val="nil"/>
              <w:left w:val="nil"/>
              <w:bottom w:val="single" w:sz="4" w:space="0" w:color="auto"/>
              <w:right w:val="single" w:sz="4" w:space="0" w:color="auto"/>
            </w:tcBorders>
            <w:shd w:val="clear" w:color="auto" w:fill="auto"/>
            <w:noWrap/>
            <w:vAlign w:val="bottom"/>
            <w:hideMark/>
          </w:tcPr>
          <w:p w14:paraId="097D62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0.026183</w:t>
            </w:r>
          </w:p>
        </w:tc>
      </w:tr>
      <w:tr w:rsidR="002027D2" w:rsidRPr="008D1712" w14:paraId="6C715B7E"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4DCAE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6121C2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8.245711</w:t>
            </w:r>
          </w:p>
        </w:tc>
        <w:tc>
          <w:tcPr>
            <w:tcW w:w="1069" w:type="dxa"/>
            <w:tcBorders>
              <w:top w:val="nil"/>
              <w:left w:val="nil"/>
              <w:bottom w:val="single" w:sz="4" w:space="0" w:color="auto"/>
              <w:right w:val="single" w:sz="4" w:space="0" w:color="auto"/>
            </w:tcBorders>
            <w:shd w:val="clear" w:color="auto" w:fill="auto"/>
            <w:noWrap/>
            <w:vAlign w:val="bottom"/>
            <w:hideMark/>
          </w:tcPr>
          <w:p w14:paraId="673DC8D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-1.33434</w:t>
            </w:r>
          </w:p>
        </w:tc>
        <w:tc>
          <w:tcPr>
            <w:tcW w:w="1069" w:type="dxa"/>
            <w:tcBorders>
              <w:top w:val="nil"/>
              <w:left w:val="nil"/>
              <w:bottom w:val="single" w:sz="4" w:space="0" w:color="auto"/>
              <w:right w:val="single" w:sz="4" w:space="0" w:color="auto"/>
            </w:tcBorders>
            <w:shd w:val="clear" w:color="auto" w:fill="auto"/>
            <w:noWrap/>
            <w:vAlign w:val="bottom"/>
            <w:hideMark/>
          </w:tcPr>
          <w:p w14:paraId="484DD1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-0.35511</w:t>
            </w:r>
          </w:p>
        </w:tc>
      </w:tr>
      <w:tr w:rsidR="002027D2" w:rsidRPr="008D1712" w14:paraId="39574257"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53CFF0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069" w:type="dxa"/>
            <w:tcBorders>
              <w:top w:val="nil"/>
              <w:left w:val="nil"/>
              <w:bottom w:val="single" w:sz="4" w:space="0" w:color="auto"/>
              <w:right w:val="single" w:sz="4" w:space="0" w:color="auto"/>
            </w:tcBorders>
            <w:shd w:val="clear" w:color="auto" w:fill="auto"/>
            <w:noWrap/>
            <w:vAlign w:val="bottom"/>
            <w:hideMark/>
          </w:tcPr>
          <w:p w14:paraId="6B56B8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10.87765</w:t>
            </w:r>
          </w:p>
        </w:tc>
        <w:tc>
          <w:tcPr>
            <w:tcW w:w="1069" w:type="dxa"/>
            <w:tcBorders>
              <w:top w:val="nil"/>
              <w:left w:val="nil"/>
              <w:bottom w:val="single" w:sz="4" w:space="0" w:color="auto"/>
              <w:right w:val="single" w:sz="4" w:space="0" w:color="auto"/>
            </w:tcBorders>
            <w:shd w:val="clear" w:color="auto" w:fill="auto"/>
            <w:noWrap/>
            <w:vAlign w:val="bottom"/>
            <w:hideMark/>
          </w:tcPr>
          <w:p w14:paraId="78FD5F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-5.71459</w:t>
            </w:r>
          </w:p>
        </w:tc>
        <w:tc>
          <w:tcPr>
            <w:tcW w:w="1069" w:type="dxa"/>
            <w:tcBorders>
              <w:top w:val="nil"/>
              <w:left w:val="nil"/>
              <w:bottom w:val="single" w:sz="4" w:space="0" w:color="auto"/>
              <w:right w:val="single" w:sz="4" w:space="0" w:color="auto"/>
            </w:tcBorders>
            <w:shd w:val="clear" w:color="auto" w:fill="auto"/>
            <w:noWrap/>
            <w:vAlign w:val="bottom"/>
            <w:hideMark/>
          </w:tcPr>
          <w:p w14:paraId="2B3C09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-0.11401</w:t>
            </w:r>
          </w:p>
        </w:tc>
      </w:tr>
      <w:tr w:rsidR="002027D2" w:rsidRPr="008D1712" w14:paraId="6B04FE7F"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398D5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7951DD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8.854233</w:t>
            </w:r>
          </w:p>
        </w:tc>
        <w:tc>
          <w:tcPr>
            <w:tcW w:w="1069" w:type="dxa"/>
            <w:tcBorders>
              <w:top w:val="nil"/>
              <w:left w:val="nil"/>
              <w:bottom w:val="single" w:sz="4" w:space="0" w:color="auto"/>
              <w:right w:val="single" w:sz="4" w:space="0" w:color="auto"/>
            </w:tcBorders>
            <w:shd w:val="clear" w:color="auto" w:fill="auto"/>
            <w:noWrap/>
            <w:vAlign w:val="bottom"/>
            <w:hideMark/>
          </w:tcPr>
          <w:p w14:paraId="549DCE6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-8.07657</w:t>
            </w:r>
          </w:p>
        </w:tc>
        <w:tc>
          <w:tcPr>
            <w:tcW w:w="1069" w:type="dxa"/>
            <w:tcBorders>
              <w:top w:val="nil"/>
              <w:left w:val="nil"/>
              <w:bottom w:val="single" w:sz="4" w:space="0" w:color="auto"/>
              <w:right w:val="single" w:sz="4" w:space="0" w:color="auto"/>
            </w:tcBorders>
            <w:shd w:val="clear" w:color="auto" w:fill="auto"/>
            <w:noWrap/>
            <w:vAlign w:val="bottom"/>
            <w:hideMark/>
          </w:tcPr>
          <w:p w14:paraId="4504FA5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-0.21638</w:t>
            </w:r>
          </w:p>
        </w:tc>
      </w:tr>
      <w:tr w:rsidR="002027D2" w:rsidRPr="008D1712" w14:paraId="6C38C98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39A449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6EB778D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9.696837</w:t>
            </w:r>
          </w:p>
        </w:tc>
        <w:tc>
          <w:tcPr>
            <w:tcW w:w="1069" w:type="dxa"/>
            <w:tcBorders>
              <w:top w:val="nil"/>
              <w:left w:val="nil"/>
              <w:bottom w:val="single" w:sz="4" w:space="0" w:color="auto"/>
              <w:right w:val="single" w:sz="4" w:space="0" w:color="auto"/>
            </w:tcBorders>
            <w:shd w:val="clear" w:color="auto" w:fill="auto"/>
            <w:noWrap/>
            <w:vAlign w:val="bottom"/>
            <w:hideMark/>
          </w:tcPr>
          <w:p w14:paraId="0FA42C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-11.4711</w:t>
            </w:r>
          </w:p>
        </w:tc>
        <w:tc>
          <w:tcPr>
            <w:tcW w:w="1069" w:type="dxa"/>
            <w:tcBorders>
              <w:top w:val="nil"/>
              <w:left w:val="nil"/>
              <w:bottom w:val="single" w:sz="4" w:space="0" w:color="auto"/>
              <w:right w:val="single" w:sz="4" w:space="0" w:color="auto"/>
            </w:tcBorders>
            <w:shd w:val="clear" w:color="auto" w:fill="auto"/>
            <w:noWrap/>
            <w:vAlign w:val="bottom"/>
            <w:hideMark/>
          </w:tcPr>
          <w:p w14:paraId="2847F9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-1.01449</w:t>
            </w:r>
          </w:p>
        </w:tc>
      </w:tr>
      <w:tr w:rsidR="002027D2" w:rsidRPr="008D1712" w14:paraId="5BB61F95"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59980E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396B18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8.84976</w:t>
            </w:r>
          </w:p>
        </w:tc>
        <w:tc>
          <w:tcPr>
            <w:tcW w:w="1069" w:type="dxa"/>
            <w:tcBorders>
              <w:top w:val="nil"/>
              <w:left w:val="nil"/>
              <w:bottom w:val="single" w:sz="4" w:space="0" w:color="auto"/>
              <w:right w:val="single" w:sz="4" w:space="0" w:color="auto"/>
            </w:tcBorders>
            <w:shd w:val="clear" w:color="auto" w:fill="auto"/>
            <w:noWrap/>
            <w:vAlign w:val="bottom"/>
            <w:hideMark/>
          </w:tcPr>
          <w:p w14:paraId="5CA1E6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-9.92577</w:t>
            </w:r>
          </w:p>
        </w:tc>
        <w:tc>
          <w:tcPr>
            <w:tcW w:w="1069" w:type="dxa"/>
            <w:tcBorders>
              <w:top w:val="nil"/>
              <w:left w:val="nil"/>
              <w:bottom w:val="single" w:sz="4" w:space="0" w:color="auto"/>
              <w:right w:val="single" w:sz="4" w:space="0" w:color="auto"/>
            </w:tcBorders>
            <w:shd w:val="clear" w:color="auto" w:fill="auto"/>
            <w:noWrap/>
            <w:vAlign w:val="bottom"/>
            <w:hideMark/>
          </w:tcPr>
          <w:p w14:paraId="4A0277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-1.08663</w:t>
            </w:r>
          </w:p>
        </w:tc>
      </w:tr>
      <w:tr w:rsidR="002027D2" w:rsidRPr="008D1712" w14:paraId="1B1B0C9D"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4E67B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4909DA7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8.539726</w:t>
            </w:r>
          </w:p>
        </w:tc>
        <w:tc>
          <w:tcPr>
            <w:tcW w:w="1069" w:type="dxa"/>
            <w:tcBorders>
              <w:top w:val="nil"/>
              <w:left w:val="nil"/>
              <w:bottom w:val="single" w:sz="4" w:space="0" w:color="auto"/>
              <w:right w:val="single" w:sz="4" w:space="0" w:color="auto"/>
            </w:tcBorders>
            <w:shd w:val="clear" w:color="auto" w:fill="auto"/>
            <w:noWrap/>
            <w:vAlign w:val="bottom"/>
            <w:hideMark/>
          </w:tcPr>
          <w:p w14:paraId="1A0DC4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-10.0123</w:t>
            </w:r>
          </w:p>
        </w:tc>
        <w:tc>
          <w:tcPr>
            <w:tcW w:w="1069" w:type="dxa"/>
            <w:tcBorders>
              <w:top w:val="nil"/>
              <w:left w:val="nil"/>
              <w:bottom w:val="single" w:sz="4" w:space="0" w:color="auto"/>
              <w:right w:val="single" w:sz="4" w:space="0" w:color="auto"/>
            </w:tcBorders>
            <w:shd w:val="clear" w:color="auto" w:fill="auto"/>
            <w:noWrap/>
            <w:vAlign w:val="bottom"/>
            <w:hideMark/>
          </w:tcPr>
          <w:p w14:paraId="1D492B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1.455225</w:t>
            </w:r>
          </w:p>
        </w:tc>
      </w:tr>
      <w:tr w:rsidR="002027D2" w:rsidRPr="008D1712" w14:paraId="15B22F5E"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7BFB0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0FD225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9.342109</w:t>
            </w:r>
          </w:p>
        </w:tc>
        <w:tc>
          <w:tcPr>
            <w:tcW w:w="1069" w:type="dxa"/>
            <w:tcBorders>
              <w:top w:val="nil"/>
              <w:left w:val="nil"/>
              <w:bottom w:val="single" w:sz="4" w:space="0" w:color="auto"/>
              <w:right w:val="single" w:sz="4" w:space="0" w:color="auto"/>
            </w:tcBorders>
            <w:shd w:val="clear" w:color="auto" w:fill="auto"/>
            <w:noWrap/>
            <w:vAlign w:val="bottom"/>
            <w:hideMark/>
          </w:tcPr>
          <w:p w14:paraId="0BE87D8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-11.5904</w:t>
            </w:r>
          </w:p>
        </w:tc>
        <w:tc>
          <w:tcPr>
            <w:tcW w:w="1069" w:type="dxa"/>
            <w:tcBorders>
              <w:top w:val="nil"/>
              <w:left w:val="nil"/>
              <w:bottom w:val="single" w:sz="4" w:space="0" w:color="auto"/>
              <w:right w:val="single" w:sz="4" w:space="0" w:color="auto"/>
            </w:tcBorders>
            <w:shd w:val="clear" w:color="auto" w:fill="auto"/>
            <w:noWrap/>
            <w:vAlign w:val="bottom"/>
            <w:hideMark/>
          </w:tcPr>
          <w:p w14:paraId="7124392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1.479907</w:t>
            </w:r>
          </w:p>
        </w:tc>
      </w:tr>
      <w:tr w:rsidR="002027D2" w:rsidRPr="008D1712" w14:paraId="02617D0D"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FCFEF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1729D6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6.74362</w:t>
            </w:r>
          </w:p>
        </w:tc>
        <w:tc>
          <w:tcPr>
            <w:tcW w:w="1069" w:type="dxa"/>
            <w:tcBorders>
              <w:top w:val="nil"/>
              <w:left w:val="nil"/>
              <w:bottom w:val="single" w:sz="4" w:space="0" w:color="auto"/>
              <w:right w:val="single" w:sz="4" w:space="0" w:color="auto"/>
            </w:tcBorders>
            <w:shd w:val="clear" w:color="auto" w:fill="auto"/>
            <w:noWrap/>
            <w:vAlign w:val="bottom"/>
            <w:hideMark/>
          </w:tcPr>
          <w:p w14:paraId="3B27F6B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-10.9611</w:t>
            </w:r>
          </w:p>
        </w:tc>
        <w:tc>
          <w:tcPr>
            <w:tcW w:w="1069" w:type="dxa"/>
            <w:tcBorders>
              <w:top w:val="nil"/>
              <w:left w:val="nil"/>
              <w:bottom w:val="single" w:sz="4" w:space="0" w:color="auto"/>
              <w:right w:val="single" w:sz="4" w:space="0" w:color="auto"/>
            </w:tcBorders>
            <w:shd w:val="clear" w:color="auto" w:fill="auto"/>
            <w:noWrap/>
            <w:vAlign w:val="bottom"/>
            <w:hideMark/>
          </w:tcPr>
          <w:p w14:paraId="07311E3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-0.07299</w:t>
            </w:r>
          </w:p>
        </w:tc>
      </w:tr>
      <w:tr w:rsidR="002027D2" w:rsidRPr="008D1712" w14:paraId="1701EBFE"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10717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38183B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7.543985</w:t>
            </w:r>
          </w:p>
        </w:tc>
        <w:tc>
          <w:tcPr>
            <w:tcW w:w="1069" w:type="dxa"/>
            <w:tcBorders>
              <w:top w:val="nil"/>
              <w:left w:val="nil"/>
              <w:bottom w:val="single" w:sz="4" w:space="0" w:color="auto"/>
              <w:right w:val="single" w:sz="4" w:space="0" w:color="auto"/>
            </w:tcBorders>
            <w:shd w:val="clear" w:color="auto" w:fill="auto"/>
            <w:noWrap/>
            <w:vAlign w:val="bottom"/>
            <w:hideMark/>
          </w:tcPr>
          <w:p w14:paraId="14A050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-12.5376</w:t>
            </w:r>
          </w:p>
        </w:tc>
        <w:tc>
          <w:tcPr>
            <w:tcW w:w="1069" w:type="dxa"/>
            <w:tcBorders>
              <w:top w:val="nil"/>
              <w:left w:val="nil"/>
              <w:bottom w:val="single" w:sz="4" w:space="0" w:color="auto"/>
              <w:right w:val="single" w:sz="4" w:space="0" w:color="auto"/>
            </w:tcBorders>
            <w:shd w:val="clear" w:color="auto" w:fill="auto"/>
            <w:noWrap/>
            <w:vAlign w:val="bottom"/>
            <w:hideMark/>
          </w:tcPr>
          <w:p w14:paraId="6529FD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-0.0289</w:t>
            </w:r>
          </w:p>
        </w:tc>
      </w:tr>
      <w:tr w:rsidR="002027D2" w:rsidRPr="008D1712" w14:paraId="406A77CA"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3FC7264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56140B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11.35786</w:t>
            </w:r>
          </w:p>
        </w:tc>
        <w:tc>
          <w:tcPr>
            <w:tcW w:w="1069" w:type="dxa"/>
            <w:tcBorders>
              <w:top w:val="nil"/>
              <w:left w:val="nil"/>
              <w:bottom w:val="single" w:sz="4" w:space="0" w:color="auto"/>
              <w:right w:val="single" w:sz="4" w:space="0" w:color="auto"/>
            </w:tcBorders>
            <w:shd w:val="clear" w:color="auto" w:fill="auto"/>
            <w:noWrap/>
            <w:vAlign w:val="bottom"/>
            <w:hideMark/>
          </w:tcPr>
          <w:p w14:paraId="5A0406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-12.6943</w:t>
            </w:r>
          </w:p>
        </w:tc>
        <w:tc>
          <w:tcPr>
            <w:tcW w:w="1069" w:type="dxa"/>
            <w:tcBorders>
              <w:top w:val="nil"/>
              <w:left w:val="nil"/>
              <w:bottom w:val="single" w:sz="4" w:space="0" w:color="auto"/>
              <w:right w:val="single" w:sz="4" w:space="0" w:color="auto"/>
            </w:tcBorders>
            <w:shd w:val="clear" w:color="auto" w:fill="auto"/>
            <w:noWrap/>
            <w:vAlign w:val="bottom"/>
            <w:hideMark/>
          </w:tcPr>
          <w:p w14:paraId="6779A2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-0.15978</w:t>
            </w:r>
          </w:p>
        </w:tc>
      </w:tr>
      <w:tr w:rsidR="002027D2" w:rsidRPr="008D1712" w14:paraId="7296D6EB"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F82695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5910B4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13.68908</w:t>
            </w:r>
          </w:p>
        </w:tc>
        <w:tc>
          <w:tcPr>
            <w:tcW w:w="1069" w:type="dxa"/>
            <w:tcBorders>
              <w:top w:val="nil"/>
              <w:left w:val="nil"/>
              <w:bottom w:val="single" w:sz="4" w:space="0" w:color="auto"/>
              <w:right w:val="single" w:sz="4" w:space="0" w:color="auto"/>
            </w:tcBorders>
            <w:shd w:val="clear" w:color="auto" w:fill="auto"/>
            <w:noWrap/>
            <w:vAlign w:val="bottom"/>
            <w:hideMark/>
          </w:tcPr>
          <w:p w14:paraId="70E0068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-13.4891</w:t>
            </w:r>
          </w:p>
        </w:tc>
        <w:tc>
          <w:tcPr>
            <w:tcW w:w="1069" w:type="dxa"/>
            <w:tcBorders>
              <w:top w:val="nil"/>
              <w:left w:val="nil"/>
              <w:bottom w:val="single" w:sz="4" w:space="0" w:color="auto"/>
              <w:right w:val="single" w:sz="4" w:space="0" w:color="auto"/>
            </w:tcBorders>
            <w:shd w:val="clear" w:color="auto" w:fill="auto"/>
            <w:noWrap/>
            <w:vAlign w:val="bottom"/>
            <w:hideMark/>
          </w:tcPr>
          <w:p w14:paraId="5D67CFA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0.215209</w:t>
            </w:r>
          </w:p>
        </w:tc>
      </w:tr>
      <w:tr w:rsidR="002027D2" w:rsidRPr="008D1712" w14:paraId="055DB8C3"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FBFE2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1F659A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15.54563</w:t>
            </w:r>
          </w:p>
        </w:tc>
        <w:tc>
          <w:tcPr>
            <w:tcW w:w="1069" w:type="dxa"/>
            <w:tcBorders>
              <w:top w:val="nil"/>
              <w:left w:val="nil"/>
              <w:bottom w:val="single" w:sz="4" w:space="0" w:color="auto"/>
              <w:right w:val="single" w:sz="4" w:space="0" w:color="auto"/>
            </w:tcBorders>
            <w:shd w:val="clear" w:color="auto" w:fill="auto"/>
            <w:noWrap/>
            <w:vAlign w:val="bottom"/>
            <w:hideMark/>
          </w:tcPr>
          <w:p w14:paraId="17F5FD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-11.8748</w:t>
            </w:r>
          </w:p>
        </w:tc>
        <w:tc>
          <w:tcPr>
            <w:tcW w:w="1069" w:type="dxa"/>
            <w:tcBorders>
              <w:top w:val="nil"/>
              <w:left w:val="nil"/>
              <w:bottom w:val="single" w:sz="4" w:space="0" w:color="auto"/>
              <w:right w:val="single" w:sz="4" w:space="0" w:color="auto"/>
            </w:tcBorders>
            <w:shd w:val="clear" w:color="auto" w:fill="auto"/>
            <w:noWrap/>
            <w:vAlign w:val="bottom"/>
            <w:hideMark/>
          </w:tcPr>
          <w:p w14:paraId="53126F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0.58904</w:t>
            </w:r>
          </w:p>
        </w:tc>
      </w:tr>
      <w:tr w:rsidR="002027D2" w:rsidRPr="008D1712" w14:paraId="3C47108D"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785D1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63C312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15.11234</w:t>
            </w:r>
          </w:p>
        </w:tc>
        <w:tc>
          <w:tcPr>
            <w:tcW w:w="1069" w:type="dxa"/>
            <w:tcBorders>
              <w:top w:val="nil"/>
              <w:left w:val="nil"/>
              <w:bottom w:val="single" w:sz="4" w:space="0" w:color="auto"/>
              <w:right w:val="single" w:sz="4" w:space="0" w:color="auto"/>
            </w:tcBorders>
            <w:shd w:val="clear" w:color="auto" w:fill="auto"/>
            <w:noWrap/>
            <w:vAlign w:val="bottom"/>
            <w:hideMark/>
          </w:tcPr>
          <w:p w14:paraId="4DA34A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-9.41286</w:t>
            </w:r>
          </w:p>
        </w:tc>
        <w:tc>
          <w:tcPr>
            <w:tcW w:w="1069" w:type="dxa"/>
            <w:tcBorders>
              <w:top w:val="nil"/>
              <w:left w:val="nil"/>
              <w:bottom w:val="single" w:sz="4" w:space="0" w:color="auto"/>
              <w:right w:val="single" w:sz="4" w:space="0" w:color="auto"/>
            </w:tcBorders>
            <w:shd w:val="clear" w:color="auto" w:fill="auto"/>
            <w:noWrap/>
            <w:vAlign w:val="bottom"/>
            <w:hideMark/>
          </w:tcPr>
          <w:p w14:paraId="0C693C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0.593334</w:t>
            </w:r>
          </w:p>
        </w:tc>
      </w:tr>
      <w:tr w:rsidR="002027D2" w:rsidRPr="008D1712" w14:paraId="697635BE"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D52CF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3CFFCE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12.24342</w:t>
            </w:r>
          </w:p>
        </w:tc>
        <w:tc>
          <w:tcPr>
            <w:tcW w:w="1069" w:type="dxa"/>
            <w:tcBorders>
              <w:top w:val="nil"/>
              <w:left w:val="nil"/>
              <w:bottom w:val="single" w:sz="4" w:space="0" w:color="auto"/>
              <w:right w:val="single" w:sz="4" w:space="0" w:color="auto"/>
            </w:tcBorders>
            <w:shd w:val="clear" w:color="auto" w:fill="auto"/>
            <w:noWrap/>
            <w:vAlign w:val="bottom"/>
            <w:hideMark/>
          </w:tcPr>
          <w:p w14:paraId="3C91AF5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-7.97896</w:t>
            </w:r>
          </w:p>
        </w:tc>
        <w:tc>
          <w:tcPr>
            <w:tcW w:w="1069" w:type="dxa"/>
            <w:tcBorders>
              <w:top w:val="nil"/>
              <w:left w:val="nil"/>
              <w:bottom w:val="single" w:sz="4" w:space="0" w:color="auto"/>
              <w:right w:val="single" w:sz="4" w:space="0" w:color="auto"/>
            </w:tcBorders>
            <w:shd w:val="clear" w:color="auto" w:fill="auto"/>
            <w:noWrap/>
            <w:vAlign w:val="bottom"/>
            <w:hideMark/>
          </w:tcPr>
          <w:p w14:paraId="3C00101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2.322703</w:t>
            </w:r>
          </w:p>
        </w:tc>
      </w:tr>
      <w:tr w:rsidR="002027D2" w:rsidRPr="008D1712" w14:paraId="6528BA2B"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6F8AF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3D7AA6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12.29895</w:t>
            </w:r>
          </w:p>
        </w:tc>
        <w:tc>
          <w:tcPr>
            <w:tcW w:w="1069" w:type="dxa"/>
            <w:tcBorders>
              <w:top w:val="nil"/>
              <w:left w:val="nil"/>
              <w:bottom w:val="single" w:sz="4" w:space="0" w:color="auto"/>
              <w:right w:val="single" w:sz="4" w:space="0" w:color="auto"/>
            </w:tcBorders>
            <w:shd w:val="clear" w:color="auto" w:fill="auto"/>
            <w:noWrap/>
            <w:vAlign w:val="bottom"/>
            <w:hideMark/>
          </w:tcPr>
          <w:p w14:paraId="255FAD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-6.44343</w:t>
            </w:r>
          </w:p>
        </w:tc>
        <w:tc>
          <w:tcPr>
            <w:tcW w:w="1069" w:type="dxa"/>
            <w:tcBorders>
              <w:top w:val="nil"/>
              <w:left w:val="nil"/>
              <w:bottom w:val="single" w:sz="4" w:space="0" w:color="auto"/>
              <w:right w:val="single" w:sz="4" w:space="0" w:color="auto"/>
            </w:tcBorders>
            <w:shd w:val="clear" w:color="auto" w:fill="auto"/>
            <w:noWrap/>
            <w:vAlign w:val="bottom"/>
            <w:hideMark/>
          </w:tcPr>
          <w:p w14:paraId="629E12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1.404582</w:t>
            </w:r>
          </w:p>
        </w:tc>
      </w:tr>
      <w:tr w:rsidR="002027D2" w:rsidRPr="008D1712" w14:paraId="040D3A4A"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67AFE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1776F1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13.7809</w:t>
            </w:r>
          </w:p>
        </w:tc>
        <w:tc>
          <w:tcPr>
            <w:tcW w:w="1069" w:type="dxa"/>
            <w:tcBorders>
              <w:top w:val="nil"/>
              <w:left w:val="nil"/>
              <w:bottom w:val="single" w:sz="4" w:space="0" w:color="auto"/>
              <w:right w:val="single" w:sz="4" w:space="0" w:color="auto"/>
            </w:tcBorders>
            <w:shd w:val="clear" w:color="auto" w:fill="auto"/>
            <w:noWrap/>
            <w:vAlign w:val="bottom"/>
            <w:hideMark/>
          </w:tcPr>
          <w:p w14:paraId="49094E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-7.41047</w:t>
            </w:r>
          </w:p>
        </w:tc>
        <w:tc>
          <w:tcPr>
            <w:tcW w:w="1069" w:type="dxa"/>
            <w:tcBorders>
              <w:top w:val="nil"/>
              <w:left w:val="nil"/>
              <w:bottom w:val="single" w:sz="4" w:space="0" w:color="auto"/>
              <w:right w:val="single" w:sz="4" w:space="0" w:color="auto"/>
            </w:tcBorders>
            <w:shd w:val="clear" w:color="auto" w:fill="auto"/>
            <w:noWrap/>
            <w:vAlign w:val="bottom"/>
            <w:hideMark/>
          </w:tcPr>
          <w:p w14:paraId="051EA7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1.621908</w:t>
            </w:r>
          </w:p>
        </w:tc>
      </w:tr>
      <w:tr w:rsidR="002027D2" w:rsidRPr="008D1712" w14:paraId="4460930C"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A81D9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327C8C4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12.83826</w:t>
            </w:r>
          </w:p>
        </w:tc>
        <w:tc>
          <w:tcPr>
            <w:tcW w:w="1069" w:type="dxa"/>
            <w:tcBorders>
              <w:top w:val="nil"/>
              <w:left w:val="nil"/>
              <w:bottom w:val="single" w:sz="4" w:space="0" w:color="auto"/>
              <w:right w:val="single" w:sz="4" w:space="0" w:color="auto"/>
            </w:tcBorders>
            <w:shd w:val="clear" w:color="auto" w:fill="auto"/>
            <w:noWrap/>
            <w:vAlign w:val="bottom"/>
            <w:hideMark/>
          </w:tcPr>
          <w:p w14:paraId="6F1DF1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-8.09867</w:t>
            </w:r>
          </w:p>
        </w:tc>
        <w:tc>
          <w:tcPr>
            <w:tcW w:w="1069" w:type="dxa"/>
            <w:tcBorders>
              <w:top w:val="nil"/>
              <w:left w:val="nil"/>
              <w:bottom w:val="single" w:sz="4" w:space="0" w:color="auto"/>
              <w:right w:val="single" w:sz="4" w:space="0" w:color="auto"/>
            </w:tcBorders>
            <w:shd w:val="clear" w:color="auto" w:fill="auto"/>
            <w:noWrap/>
            <w:vAlign w:val="bottom"/>
            <w:hideMark/>
          </w:tcPr>
          <w:p w14:paraId="6AC5E1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-2.01459</w:t>
            </w:r>
          </w:p>
        </w:tc>
      </w:tr>
      <w:tr w:rsidR="002027D2" w:rsidRPr="008D1712" w14:paraId="0F9A71F4"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7F611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461D26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14.11627</w:t>
            </w:r>
          </w:p>
        </w:tc>
        <w:tc>
          <w:tcPr>
            <w:tcW w:w="1069" w:type="dxa"/>
            <w:tcBorders>
              <w:top w:val="nil"/>
              <w:left w:val="nil"/>
              <w:bottom w:val="single" w:sz="4" w:space="0" w:color="auto"/>
              <w:right w:val="single" w:sz="4" w:space="0" w:color="auto"/>
            </w:tcBorders>
            <w:shd w:val="clear" w:color="auto" w:fill="auto"/>
            <w:noWrap/>
            <w:vAlign w:val="bottom"/>
            <w:hideMark/>
          </w:tcPr>
          <w:p w14:paraId="676B09E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-7.44263</w:t>
            </w:r>
          </w:p>
        </w:tc>
        <w:tc>
          <w:tcPr>
            <w:tcW w:w="1069" w:type="dxa"/>
            <w:tcBorders>
              <w:top w:val="nil"/>
              <w:left w:val="nil"/>
              <w:bottom w:val="single" w:sz="4" w:space="0" w:color="auto"/>
              <w:right w:val="single" w:sz="4" w:space="0" w:color="auto"/>
            </w:tcBorders>
            <w:shd w:val="clear" w:color="auto" w:fill="auto"/>
            <w:noWrap/>
            <w:vAlign w:val="bottom"/>
            <w:hideMark/>
          </w:tcPr>
          <w:p w14:paraId="1068629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-0.95674</w:t>
            </w:r>
          </w:p>
        </w:tc>
      </w:tr>
      <w:tr w:rsidR="002027D2" w:rsidRPr="008D1712" w14:paraId="327D2D01"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33125B3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6242CC1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12.60962</w:t>
            </w:r>
          </w:p>
        </w:tc>
        <w:tc>
          <w:tcPr>
            <w:tcW w:w="1069" w:type="dxa"/>
            <w:tcBorders>
              <w:top w:val="nil"/>
              <w:left w:val="nil"/>
              <w:bottom w:val="single" w:sz="4" w:space="0" w:color="auto"/>
              <w:right w:val="single" w:sz="4" w:space="0" w:color="auto"/>
            </w:tcBorders>
            <w:shd w:val="clear" w:color="auto" w:fill="auto"/>
            <w:noWrap/>
            <w:vAlign w:val="bottom"/>
            <w:hideMark/>
          </w:tcPr>
          <w:p w14:paraId="379D3A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-6.5198</w:t>
            </w:r>
          </w:p>
        </w:tc>
        <w:tc>
          <w:tcPr>
            <w:tcW w:w="1069" w:type="dxa"/>
            <w:tcBorders>
              <w:top w:val="nil"/>
              <w:left w:val="nil"/>
              <w:bottom w:val="single" w:sz="4" w:space="0" w:color="auto"/>
              <w:right w:val="single" w:sz="4" w:space="0" w:color="auto"/>
            </w:tcBorders>
            <w:shd w:val="clear" w:color="auto" w:fill="auto"/>
            <w:noWrap/>
            <w:vAlign w:val="bottom"/>
            <w:hideMark/>
          </w:tcPr>
          <w:p w14:paraId="25E08C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-1.20766</w:t>
            </w:r>
          </w:p>
        </w:tc>
      </w:tr>
      <w:tr w:rsidR="002027D2" w:rsidRPr="008D1712" w14:paraId="67EF7460"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7345E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7F0CA9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2.283793</w:t>
            </w:r>
          </w:p>
        </w:tc>
        <w:tc>
          <w:tcPr>
            <w:tcW w:w="1069" w:type="dxa"/>
            <w:tcBorders>
              <w:top w:val="nil"/>
              <w:left w:val="nil"/>
              <w:bottom w:val="single" w:sz="4" w:space="0" w:color="auto"/>
              <w:right w:val="single" w:sz="4" w:space="0" w:color="auto"/>
            </w:tcBorders>
            <w:shd w:val="clear" w:color="auto" w:fill="auto"/>
            <w:noWrap/>
            <w:vAlign w:val="bottom"/>
            <w:hideMark/>
          </w:tcPr>
          <w:p w14:paraId="23BD477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-0.43831</w:t>
            </w:r>
          </w:p>
        </w:tc>
        <w:tc>
          <w:tcPr>
            <w:tcW w:w="1069" w:type="dxa"/>
            <w:tcBorders>
              <w:top w:val="nil"/>
              <w:left w:val="nil"/>
              <w:bottom w:val="single" w:sz="4" w:space="0" w:color="auto"/>
              <w:right w:val="single" w:sz="4" w:space="0" w:color="auto"/>
            </w:tcBorders>
            <w:shd w:val="clear" w:color="auto" w:fill="auto"/>
            <w:noWrap/>
            <w:vAlign w:val="bottom"/>
            <w:hideMark/>
          </w:tcPr>
          <w:p w14:paraId="2F6C471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2.936853</w:t>
            </w:r>
          </w:p>
        </w:tc>
      </w:tr>
      <w:tr w:rsidR="002027D2" w:rsidRPr="008D1712" w14:paraId="51A31A78"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85063D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6F13D8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3.229781</w:t>
            </w:r>
          </w:p>
        </w:tc>
        <w:tc>
          <w:tcPr>
            <w:tcW w:w="1069" w:type="dxa"/>
            <w:tcBorders>
              <w:top w:val="nil"/>
              <w:left w:val="nil"/>
              <w:bottom w:val="single" w:sz="4" w:space="0" w:color="auto"/>
              <w:right w:val="single" w:sz="4" w:space="0" w:color="auto"/>
            </w:tcBorders>
            <w:shd w:val="clear" w:color="auto" w:fill="auto"/>
            <w:noWrap/>
            <w:vAlign w:val="bottom"/>
            <w:hideMark/>
          </w:tcPr>
          <w:p w14:paraId="676DF6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0.056594</w:t>
            </w:r>
          </w:p>
        </w:tc>
        <w:tc>
          <w:tcPr>
            <w:tcW w:w="1069" w:type="dxa"/>
            <w:tcBorders>
              <w:top w:val="nil"/>
              <w:left w:val="nil"/>
              <w:bottom w:val="single" w:sz="4" w:space="0" w:color="auto"/>
              <w:right w:val="single" w:sz="4" w:space="0" w:color="auto"/>
            </w:tcBorders>
            <w:shd w:val="clear" w:color="auto" w:fill="auto"/>
            <w:noWrap/>
            <w:vAlign w:val="bottom"/>
            <w:hideMark/>
          </w:tcPr>
          <w:p w14:paraId="00A83F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1.830452</w:t>
            </w:r>
          </w:p>
        </w:tc>
      </w:tr>
      <w:tr w:rsidR="002027D2" w:rsidRPr="008D1712" w14:paraId="0AF0BAF1"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93B46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72080C4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4.537181</w:t>
            </w:r>
          </w:p>
        </w:tc>
        <w:tc>
          <w:tcPr>
            <w:tcW w:w="1069" w:type="dxa"/>
            <w:tcBorders>
              <w:top w:val="nil"/>
              <w:left w:val="nil"/>
              <w:bottom w:val="single" w:sz="4" w:space="0" w:color="auto"/>
              <w:right w:val="single" w:sz="4" w:space="0" w:color="auto"/>
            </w:tcBorders>
            <w:shd w:val="clear" w:color="auto" w:fill="auto"/>
            <w:noWrap/>
            <w:vAlign w:val="bottom"/>
            <w:hideMark/>
          </w:tcPr>
          <w:p w14:paraId="39CB97D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0.633647</w:t>
            </w:r>
          </w:p>
        </w:tc>
        <w:tc>
          <w:tcPr>
            <w:tcW w:w="1069" w:type="dxa"/>
            <w:tcBorders>
              <w:top w:val="nil"/>
              <w:left w:val="nil"/>
              <w:bottom w:val="single" w:sz="4" w:space="0" w:color="auto"/>
              <w:right w:val="single" w:sz="4" w:space="0" w:color="auto"/>
            </w:tcBorders>
            <w:shd w:val="clear" w:color="auto" w:fill="auto"/>
            <w:noWrap/>
            <w:vAlign w:val="bottom"/>
            <w:hideMark/>
          </w:tcPr>
          <w:p w14:paraId="528D1F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2.398259</w:t>
            </w:r>
          </w:p>
        </w:tc>
      </w:tr>
      <w:tr w:rsidR="002027D2" w:rsidRPr="008D1712" w14:paraId="4E23B35D"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504063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069" w:type="dxa"/>
            <w:tcBorders>
              <w:top w:val="nil"/>
              <w:left w:val="nil"/>
              <w:bottom w:val="single" w:sz="4" w:space="0" w:color="auto"/>
              <w:right w:val="single" w:sz="4" w:space="0" w:color="auto"/>
            </w:tcBorders>
            <w:shd w:val="clear" w:color="auto" w:fill="auto"/>
            <w:noWrap/>
            <w:vAlign w:val="bottom"/>
            <w:hideMark/>
          </w:tcPr>
          <w:p w14:paraId="513AD4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5.44417</w:t>
            </w:r>
          </w:p>
        </w:tc>
        <w:tc>
          <w:tcPr>
            <w:tcW w:w="1069" w:type="dxa"/>
            <w:tcBorders>
              <w:top w:val="nil"/>
              <w:left w:val="nil"/>
              <w:bottom w:val="single" w:sz="4" w:space="0" w:color="auto"/>
              <w:right w:val="single" w:sz="4" w:space="0" w:color="auto"/>
            </w:tcBorders>
            <w:shd w:val="clear" w:color="auto" w:fill="auto"/>
            <w:noWrap/>
            <w:vAlign w:val="bottom"/>
            <w:hideMark/>
          </w:tcPr>
          <w:p w14:paraId="58EAC7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1.11976</w:t>
            </w:r>
          </w:p>
        </w:tc>
        <w:tc>
          <w:tcPr>
            <w:tcW w:w="1069" w:type="dxa"/>
            <w:tcBorders>
              <w:top w:val="nil"/>
              <w:left w:val="nil"/>
              <w:bottom w:val="single" w:sz="4" w:space="0" w:color="auto"/>
              <w:right w:val="single" w:sz="4" w:space="0" w:color="auto"/>
            </w:tcBorders>
            <w:shd w:val="clear" w:color="auto" w:fill="auto"/>
            <w:noWrap/>
            <w:vAlign w:val="bottom"/>
            <w:hideMark/>
          </w:tcPr>
          <w:p w14:paraId="41F4245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1.349788</w:t>
            </w:r>
          </w:p>
        </w:tc>
      </w:tr>
      <w:tr w:rsidR="002027D2" w:rsidRPr="008D1712" w14:paraId="4CC63AE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AA4DD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31DB65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5.358557</w:t>
            </w:r>
          </w:p>
        </w:tc>
        <w:tc>
          <w:tcPr>
            <w:tcW w:w="1069" w:type="dxa"/>
            <w:tcBorders>
              <w:top w:val="nil"/>
              <w:left w:val="nil"/>
              <w:bottom w:val="single" w:sz="4" w:space="0" w:color="auto"/>
              <w:right w:val="single" w:sz="4" w:space="0" w:color="auto"/>
            </w:tcBorders>
            <w:shd w:val="clear" w:color="auto" w:fill="auto"/>
            <w:noWrap/>
            <w:vAlign w:val="bottom"/>
            <w:hideMark/>
          </w:tcPr>
          <w:p w14:paraId="48C4DD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2.44361</w:t>
            </w:r>
          </w:p>
        </w:tc>
        <w:tc>
          <w:tcPr>
            <w:tcW w:w="1069" w:type="dxa"/>
            <w:tcBorders>
              <w:top w:val="nil"/>
              <w:left w:val="nil"/>
              <w:bottom w:val="single" w:sz="4" w:space="0" w:color="auto"/>
              <w:right w:val="single" w:sz="4" w:space="0" w:color="auto"/>
            </w:tcBorders>
            <w:shd w:val="clear" w:color="auto" w:fill="auto"/>
            <w:noWrap/>
            <w:vAlign w:val="bottom"/>
            <w:hideMark/>
          </w:tcPr>
          <w:p w14:paraId="436D22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0.845399</w:t>
            </w:r>
          </w:p>
        </w:tc>
      </w:tr>
      <w:tr w:rsidR="002027D2" w:rsidRPr="008D1712" w14:paraId="0E97FA00"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BCE55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65BCC2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4.501014</w:t>
            </w:r>
          </w:p>
        </w:tc>
        <w:tc>
          <w:tcPr>
            <w:tcW w:w="1069" w:type="dxa"/>
            <w:tcBorders>
              <w:top w:val="nil"/>
              <w:left w:val="nil"/>
              <w:bottom w:val="single" w:sz="4" w:space="0" w:color="auto"/>
              <w:right w:val="single" w:sz="4" w:space="0" w:color="auto"/>
            </w:tcBorders>
            <w:shd w:val="clear" w:color="auto" w:fill="auto"/>
            <w:noWrap/>
            <w:vAlign w:val="bottom"/>
            <w:hideMark/>
          </w:tcPr>
          <w:p w14:paraId="158DE0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3.4754</w:t>
            </w:r>
          </w:p>
        </w:tc>
        <w:tc>
          <w:tcPr>
            <w:tcW w:w="1069" w:type="dxa"/>
            <w:tcBorders>
              <w:top w:val="nil"/>
              <w:left w:val="nil"/>
              <w:bottom w:val="single" w:sz="4" w:space="0" w:color="auto"/>
              <w:right w:val="single" w:sz="4" w:space="0" w:color="auto"/>
            </w:tcBorders>
            <w:shd w:val="clear" w:color="auto" w:fill="auto"/>
            <w:noWrap/>
            <w:vAlign w:val="bottom"/>
            <w:hideMark/>
          </w:tcPr>
          <w:p w14:paraId="7EDA0F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1.245901</w:t>
            </w:r>
          </w:p>
        </w:tc>
      </w:tr>
      <w:tr w:rsidR="002027D2" w:rsidRPr="008D1712" w14:paraId="335D64D7"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75E94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027810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4.632368</w:t>
            </w:r>
          </w:p>
        </w:tc>
        <w:tc>
          <w:tcPr>
            <w:tcW w:w="1069" w:type="dxa"/>
            <w:tcBorders>
              <w:top w:val="nil"/>
              <w:left w:val="nil"/>
              <w:bottom w:val="single" w:sz="4" w:space="0" w:color="auto"/>
              <w:right w:val="single" w:sz="4" w:space="0" w:color="auto"/>
            </w:tcBorders>
            <w:shd w:val="clear" w:color="auto" w:fill="auto"/>
            <w:noWrap/>
            <w:vAlign w:val="bottom"/>
            <w:hideMark/>
          </w:tcPr>
          <w:p w14:paraId="532BF99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4.705499</w:t>
            </w:r>
          </w:p>
        </w:tc>
        <w:tc>
          <w:tcPr>
            <w:tcW w:w="1069" w:type="dxa"/>
            <w:tcBorders>
              <w:top w:val="nil"/>
              <w:left w:val="nil"/>
              <w:bottom w:val="single" w:sz="4" w:space="0" w:color="auto"/>
              <w:right w:val="single" w:sz="4" w:space="0" w:color="auto"/>
            </w:tcBorders>
            <w:shd w:val="clear" w:color="auto" w:fill="auto"/>
            <w:noWrap/>
            <w:vAlign w:val="bottom"/>
            <w:hideMark/>
          </w:tcPr>
          <w:p w14:paraId="59126F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0.580279</w:t>
            </w:r>
          </w:p>
        </w:tc>
      </w:tr>
      <w:tr w:rsidR="002027D2" w:rsidRPr="008D1712" w14:paraId="3655858F"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0F2625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0DB3CCC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5.584912</w:t>
            </w:r>
          </w:p>
        </w:tc>
        <w:tc>
          <w:tcPr>
            <w:tcW w:w="1069" w:type="dxa"/>
            <w:tcBorders>
              <w:top w:val="nil"/>
              <w:left w:val="nil"/>
              <w:bottom w:val="single" w:sz="4" w:space="0" w:color="auto"/>
              <w:right w:val="single" w:sz="4" w:space="0" w:color="auto"/>
            </w:tcBorders>
            <w:shd w:val="clear" w:color="auto" w:fill="auto"/>
            <w:noWrap/>
            <w:vAlign w:val="bottom"/>
            <w:hideMark/>
          </w:tcPr>
          <w:p w14:paraId="45C467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4.882311</w:t>
            </w:r>
          </w:p>
        </w:tc>
        <w:tc>
          <w:tcPr>
            <w:tcW w:w="1069" w:type="dxa"/>
            <w:tcBorders>
              <w:top w:val="nil"/>
              <w:left w:val="nil"/>
              <w:bottom w:val="single" w:sz="4" w:space="0" w:color="auto"/>
              <w:right w:val="single" w:sz="4" w:space="0" w:color="auto"/>
            </w:tcBorders>
            <w:shd w:val="clear" w:color="auto" w:fill="auto"/>
            <w:noWrap/>
            <w:vAlign w:val="bottom"/>
            <w:hideMark/>
          </w:tcPr>
          <w:p w14:paraId="1AB53F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-0.43924</w:t>
            </w:r>
          </w:p>
        </w:tc>
      </w:tr>
      <w:tr w:rsidR="002027D2" w:rsidRPr="008D1712" w14:paraId="30B17505"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9F1828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112995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6.435089</w:t>
            </w:r>
          </w:p>
        </w:tc>
        <w:tc>
          <w:tcPr>
            <w:tcW w:w="1069" w:type="dxa"/>
            <w:tcBorders>
              <w:top w:val="nil"/>
              <w:left w:val="nil"/>
              <w:bottom w:val="single" w:sz="4" w:space="0" w:color="auto"/>
              <w:right w:val="single" w:sz="4" w:space="0" w:color="auto"/>
            </w:tcBorders>
            <w:shd w:val="clear" w:color="auto" w:fill="auto"/>
            <w:noWrap/>
            <w:vAlign w:val="bottom"/>
            <w:hideMark/>
          </w:tcPr>
          <w:p w14:paraId="0357CB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3.827648</w:t>
            </w:r>
          </w:p>
        </w:tc>
        <w:tc>
          <w:tcPr>
            <w:tcW w:w="1069" w:type="dxa"/>
            <w:tcBorders>
              <w:top w:val="nil"/>
              <w:left w:val="nil"/>
              <w:bottom w:val="single" w:sz="4" w:space="0" w:color="auto"/>
              <w:right w:val="single" w:sz="4" w:space="0" w:color="auto"/>
            </w:tcBorders>
            <w:shd w:val="clear" w:color="auto" w:fill="auto"/>
            <w:noWrap/>
            <w:vAlign w:val="bottom"/>
            <w:hideMark/>
          </w:tcPr>
          <w:p w14:paraId="5A37FB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-0.82327</w:t>
            </w:r>
          </w:p>
        </w:tc>
      </w:tr>
      <w:tr w:rsidR="002027D2" w:rsidRPr="008D1712" w14:paraId="03FE85FD"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2E320C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C</w:t>
            </w:r>
          </w:p>
        </w:tc>
        <w:tc>
          <w:tcPr>
            <w:tcW w:w="1069" w:type="dxa"/>
            <w:tcBorders>
              <w:top w:val="nil"/>
              <w:left w:val="nil"/>
              <w:bottom w:val="single" w:sz="4" w:space="0" w:color="auto"/>
              <w:right w:val="single" w:sz="4" w:space="0" w:color="auto"/>
            </w:tcBorders>
            <w:shd w:val="clear" w:color="auto" w:fill="auto"/>
            <w:noWrap/>
            <w:vAlign w:val="bottom"/>
            <w:hideMark/>
          </w:tcPr>
          <w:p w14:paraId="7E6E261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6.312255</w:t>
            </w:r>
          </w:p>
        </w:tc>
        <w:tc>
          <w:tcPr>
            <w:tcW w:w="1069" w:type="dxa"/>
            <w:tcBorders>
              <w:top w:val="nil"/>
              <w:left w:val="nil"/>
              <w:bottom w:val="single" w:sz="4" w:space="0" w:color="auto"/>
              <w:right w:val="single" w:sz="4" w:space="0" w:color="auto"/>
            </w:tcBorders>
            <w:shd w:val="clear" w:color="auto" w:fill="auto"/>
            <w:noWrap/>
            <w:vAlign w:val="bottom"/>
            <w:hideMark/>
          </w:tcPr>
          <w:p w14:paraId="62B86DD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2.599428</w:t>
            </w:r>
          </w:p>
        </w:tc>
        <w:tc>
          <w:tcPr>
            <w:tcW w:w="1069" w:type="dxa"/>
            <w:tcBorders>
              <w:top w:val="nil"/>
              <w:left w:val="nil"/>
              <w:bottom w:val="single" w:sz="4" w:space="0" w:color="auto"/>
              <w:right w:val="single" w:sz="4" w:space="0" w:color="auto"/>
            </w:tcBorders>
            <w:shd w:val="clear" w:color="auto" w:fill="auto"/>
            <w:noWrap/>
            <w:vAlign w:val="bottom"/>
            <w:hideMark/>
          </w:tcPr>
          <w:p w14:paraId="5859B1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-0.17203</w:t>
            </w:r>
          </w:p>
        </w:tc>
      </w:tr>
      <w:tr w:rsidR="002027D2" w:rsidRPr="008D1712" w14:paraId="118A57D9"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5666DA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42E2FF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7.073143</w:t>
            </w:r>
          </w:p>
        </w:tc>
        <w:tc>
          <w:tcPr>
            <w:tcW w:w="1069" w:type="dxa"/>
            <w:tcBorders>
              <w:top w:val="nil"/>
              <w:left w:val="nil"/>
              <w:bottom w:val="single" w:sz="4" w:space="0" w:color="auto"/>
              <w:right w:val="single" w:sz="4" w:space="0" w:color="auto"/>
            </w:tcBorders>
            <w:shd w:val="clear" w:color="auto" w:fill="auto"/>
            <w:noWrap/>
            <w:vAlign w:val="bottom"/>
            <w:hideMark/>
          </w:tcPr>
          <w:p w14:paraId="197170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1.294921</w:t>
            </w:r>
          </w:p>
        </w:tc>
        <w:tc>
          <w:tcPr>
            <w:tcW w:w="1069" w:type="dxa"/>
            <w:tcBorders>
              <w:top w:val="nil"/>
              <w:left w:val="nil"/>
              <w:bottom w:val="single" w:sz="4" w:space="0" w:color="auto"/>
              <w:right w:val="single" w:sz="4" w:space="0" w:color="auto"/>
            </w:tcBorders>
            <w:shd w:val="clear" w:color="auto" w:fill="auto"/>
            <w:noWrap/>
            <w:vAlign w:val="bottom"/>
            <w:hideMark/>
          </w:tcPr>
          <w:p w14:paraId="2FEC26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-0.35173</w:t>
            </w:r>
          </w:p>
        </w:tc>
      </w:tr>
      <w:tr w:rsidR="002027D2" w:rsidRPr="008D1712" w14:paraId="5C793E88"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358E12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03C317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6.878683</w:t>
            </w:r>
          </w:p>
        </w:tc>
        <w:tc>
          <w:tcPr>
            <w:tcW w:w="1069" w:type="dxa"/>
            <w:tcBorders>
              <w:top w:val="nil"/>
              <w:left w:val="nil"/>
              <w:bottom w:val="single" w:sz="4" w:space="0" w:color="auto"/>
              <w:right w:val="single" w:sz="4" w:space="0" w:color="auto"/>
            </w:tcBorders>
            <w:shd w:val="clear" w:color="auto" w:fill="auto"/>
            <w:noWrap/>
            <w:vAlign w:val="bottom"/>
            <w:hideMark/>
          </w:tcPr>
          <w:p w14:paraId="6E674EA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0.756803</w:t>
            </w:r>
          </w:p>
        </w:tc>
        <w:tc>
          <w:tcPr>
            <w:tcW w:w="1069" w:type="dxa"/>
            <w:tcBorders>
              <w:top w:val="nil"/>
              <w:left w:val="nil"/>
              <w:bottom w:val="single" w:sz="4" w:space="0" w:color="auto"/>
              <w:right w:val="single" w:sz="4" w:space="0" w:color="auto"/>
            </w:tcBorders>
            <w:shd w:val="clear" w:color="auto" w:fill="auto"/>
            <w:noWrap/>
            <w:vAlign w:val="bottom"/>
            <w:hideMark/>
          </w:tcPr>
          <w:p w14:paraId="0C4209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-1.79249</w:t>
            </w:r>
          </w:p>
        </w:tc>
      </w:tr>
      <w:tr w:rsidR="002027D2" w:rsidRPr="008D1712" w14:paraId="66D6711B"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3260D2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478021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8.57334</w:t>
            </w:r>
          </w:p>
        </w:tc>
        <w:tc>
          <w:tcPr>
            <w:tcW w:w="1069" w:type="dxa"/>
            <w:tcBorders>
              <w:top w:val="nil"/>
              <w:left w:val="nil"/>
              <w:bottom w:val="single" w:sz="4" w:space="0" w:color="auto"/>
              <w:right w:val="single" w:sz="4" w:space="0" w:color="auto"/>
            </w:tcBorders>
            <w:shd w:val="clear" w:color="auto" w:fill="auto"/>
            <w:noWrap/>
            <w:vAlign w:val="bottom"/>
            <w:hideMark/>
          </w:tcPr>
          <w:p w14:paraId="198F2A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1.519192</w:t>
            </w:r>
          </w:p>
        </w:tc>
        <w:tc>
          <w:tcPr>
            <w:tcW w:w="1069" w:type="dxa"/>
            <w:tcBorders>
              <w:top w:val="nil"/>
              <w:left w:val="nil"/>
              <w:bottom w:val="single" w:sz="4" w:space="0" w:color="auto"/>
              <w:right w:val="single" w:sz="4" w:space="0" w:color="auto"/>
            </w:tcBorders>
            <w:shd w:val="clear" w:color="auto" w:fill="auto"/>
            <w:noWrap/>
            <w:vAlign w:val="bottom"/>
            <w:hideMark/>
          </w:tcPr>
          <w:p w14:paraId="246C39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-0.02878</w:t>
            </w:r>
          </w:p>
        </w:tc>
      </w:tr>
      <w:tr w:rsidR="002027D2" w:rsidRPr="008D1712" w14:paraId="211C333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BBE05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53E6FB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6.393176</w:t>
            </w:r>
          </w:p>
        </w:tc>
        <w:tc>
          <w:tcPr>
            <w:tcW w:w="1069" w:type="dxa"/>
            <w:tcBorders>
              <w:top w:val="nil"/>
              <w:left w:val="nil"/>
              <w:bottom w:val="single" w:sz="4" w:space="0" w:color="auto"/>
              <w:right w:val="single" w:sz="4" w:space="0" w:color="auto"/>
            </w:tcBorders>
            <w:shd w:val="clear" w:color="auto" w:fill="auto"/>
            <w:noWrap/>
            <w:vAlign w:val="bottom"/>
            <w:hideMark/>
          </w:tcPr>
          <w:p w14:paraId="5F46DBA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0.392416</w:t>
            </w:r>
          </w:p>
        </w:tc>
        <w:tc>
          <w:tcPr>
            <w:tcW w:w="1069" w:type="dxa"/>
            <w:tcBorders>
              <w:top w:val="nil"/>
              <w:left w:val="nil"/>
              <w:bottom w:val="single" w:sz="4" w:space="0" w:color="auto"/>
              <w:right w:val="single" w:sz="4" w:space="0" w:color="auto"/>
            </w:tcBorders>
            <w:shd w:val="clear" w:color="auto" w:fill="auto"/>
            <w:noWrap/>
            <w:vAlign w:val="bottom"/>
            <w:hideMark/>
          </w:tcPr>
          <w:p w14:paraId="3C659B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0.696577</w:t>
            </w:r>
          </w:p>
        </w:tc>
      </w:tr>
      <w:tr w:rsidR="002027D2" w:rsidRPr="008D1712" w14:paraId="1DEFA79C"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51E55D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6731C1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6.637499</w:t>
            </w:r>
          </w:p>
        </w:tc>
        <w:tc>
          <w:tcPr>
            <w:tcW w:w="1069" w:type="dxa"/>
            <w:tcBorders>
              <w:top w:val="nil"/>
              <w:left w:val="nil"/>
              <w:bottom w:val="single" w:sz="4" w:space="0" w:color="auto"/>
              <w:right w:val="single" w:sz="4" w:space="0" w:color="auto"/>
            </w:tcBorders>
            <w:shd w:val="clear" w:color="auto" w:fill="auto"/>
            <w:noWrap/>
            <w:vAlign w:val="bottom"/>
            <w:hideMark/>
          </w:tcPr>
          <w:p w14:paraId="7AD487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-0.9639</w:t>
            </w:r>
          </w:p>
        </w:tc>
        <w:tc>
          <w:tcPr>
            <w:tcW w:w="1069" w:type="dxa"/>
            <w:tcBorders>
              <w:top w:val="nil"/>
              <w:left w:val="nil"/>
              <w:bottom w:val="single" w:sz="4" w:space="0" w:color="auto"/>
              <w:right w:val="single" w:sz="4" w:space="0" w:color="auto"/>
            </w:tcBorders>
            <w:shd w:val="clear" w:color="auto" w:fill="auto"/>
            <w:noWrap/>
            <w:vAlign w:val="bottom"/>
            <w:hideMark/>
          </w:tcPr>
          <w:p w14:paraId="4664A3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0.998459</w:t>
            </w:r>
          </w:p>
        </w:tc>
      </w:tr>
      <w:tr w:rsidR="002027D2" w:rsidRPr="008D1712" w14:paraId="247A5730"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DFDE0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5F944D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2.061886</w:t>
            </w:r>
          </w:p>
        </w:tc>
        <w:tc>
          <w:tcPr>
            <w:tcW w:w="1069" w:type="dxa"/>
            <w:tcBorders>
              <w:top w:val="nil"/>
              <w:left w:val="nil"/>
              <w:bottom w:val="single" w:sz="4" w:space="0" w:color="auto"/>
              <w:right w:val="single" w:sz="4" w:space="0" w:color="auto"/>
            </w:tcBorders>
            <w:shd w:val="clear" w:color="auto" w:fill="auto"/>
            <w:noWrap/>
            <w:vAlign w:val="bottom"/>
            <w:hideMark/>
          </w:tcPr>
          <w:p w14:paraId="5761ED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0.394802</w:t>
            </w:r>
          </w:p>
        </w:tc>
        <w:tc>
          <w:tcPr>
            <w:tcW w:w="1069" w:type="dxa"/>
            <w:tcBorders>
              <w:top w:val="nil"/>
              <w:left w:val="nil"/>
              <w:bottom w:val="single" w:sz="4" w:space="0" w:color="auto"/>
              <w:right w:val="single" w:sz="4" w:space="0" w:color="auto"/>
            </w:tcBorders>
            <w:shd w:val="clear" w:color="auto" w:fill="auto"/>
            <w:noWrap/>
            <w:vAlign w:val="bottom"/>
            <w:hideMark/>
          </w:tcPr>
          <w:p w14:paraId="62D8712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3.630881</w:t>
            </w:r>
          </w:p>
        </w:tc>
      </w:tr>
      <w:tr w:rsidR="002027D2" w:rsidRPr="008D1712" w14:paraId="430010D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46F9A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489017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2.797102</w:t>
            </w:r>
          </w:p>
        </w:tc>
        <w:tc>
          <w:tcPr>
            <w:tcW w:w="1069" w:type="dxa"/>
            <w:tcBorders>
              <w:top w:val="nil"/>
              <w:left w:val="nil"/>
              <w:bottom w:val="single" w:sz="4" w:space="0" w:color="auto"/>
              <w:right w:val="single" w:sz="4" w:space="0" w:color="auto"/>
            </w:tcBorders>
            <w:shd w:val="clear" w:color="auto" w:fill="auto"/>
            <w:noWrap/>
            <w:vAlign w:val="bottom"/>
            <w:hideMark/>
          </w:tcPr>
          <w:p w14:paraId="5ADDD27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-1.21195</w:t>
            </w:r>
          </w:p>
        </w:tc>
        <w:tc>
          <w:tcPr>
            <w:tcW w:w="1069" w:type="dxa"/>
            <w:tcBorders>
              <w:top w:val="nil"/>
              <w:left w:val="nil"/>
              <w:bottom w:val="single" w:sz="4" w:space="0" w:color="auto"/>
              <w:right w:val="single" w:sz="4" w:space="0" w:color="auto"/>
            </w:tcBorders>
            <w:shd w:val="clear" w:color="auto" w:fill="auto"/>
            <w:noWrap/>
            <w:vAlign w:val="bottom"/>
            <w:hideMark/>
          </w:tcPr>
          <w:p w14:paraId="0ADFB3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3.542798</w:t>
            </w:r>
          </w:p>
        </w:tc>
      </w:tr>
      <w:tr w:rsidR="002027D2" w:rsidRPr="008D1712" w14:paraId="28B7160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492C9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3E3B5D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2.726142</w:t>
            </w:r>
          </w:p>
        </w:tc>
        <w:tc>
          <w:tcPr>
            <w:tcW w:w="1069" w:type="dxa"/>
            <w:tcBorders>
              <w:top w:val="nil"/>
              <w:left w:val="nil"/>
              <w:bottom w:val="single" w:sz="4" w:space="0" w:color="auto"/>
              <w:right w:val="single" w:sz="4" w:space="0" w:color="auto"/>
            </w:tcBorders>
            <w:shd w:val="clear" w:color="auto" w:fill="auto"/>
            <w:noWrap/>
            <w:vAlign w:val="bottom"/>
            <w:hideMark/>
          </w:tcPr>
          <w:p w14:paraId="067AB4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0.832852</w:t>
            </w:r>
          </w:p>
        </w:tc>
        <w:tc>
          <w:tcPr>
            <w:tcW w:w="1069" w:type="dxa"/>
            <w:tcBorders>
              <w:top w:val="nil"/>
              <w:left w:val="nil"/>
              <w:bottom w:val="single" w:sz="4" w:space="0" w:color="auto"/>
              <w:right w:val="single" w:sz="4" w:space="0" w:color="auto"/>
            </w:tcBorders>
            <w:shd w:val="clear" w:color="auto" w:fill="auto"/>
            <w:noWrap/>
            <w:vAlign w:val="bottom"/>
            <w:hideMark/>
          </w:tcPr>
          <w:p w14:paraId="2C5DE2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1.224259</w:t>
            </w:r>
          </w:p>
        </w:tc>
      </w:tr>
      <w:tr w:rsidR="002027D2" w:rsidRPr="008D1712" w14:paraId="4AC2BA68"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2D4A83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03461D2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3.467846</w:t>
            </w:r>
          </w:p>
        </w:tc>
        <w:tc>
          <w:tcPr>
            <w:tcW w:w="1069" w:type="dxa"/>
            <w:tcBorders>
              <w:top w:val="nil"/>
              <w:left w:val="nil"/>
              <w:bottom w:val="single" w:sz="4" w:space="0" w:color="auto"/>
              <w:right w:val="single" w:sz="4" w:space="0" w:color="auto"/>
            </w:tcBorders>
            <w:shd w:val="clear" w:color="auto" w:fill="auto"/>
            <w:noWrap/>
            <w:vAlign w:val="bottom"/>
            <w:hideMark/>
          </w:tcPr>
          <w:p w14:paraId="33D811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-0.77341</w:t>
            </w:r>
          </w:p>
        </w:tc>
        <w:tc>
          <w:tcPr>
            <w:tcW w:w="1069" w:type="dxa"/>
            <w:tcBorders>
              <w:top w:val="nil"/>
              <w:left w:val="nil"/>
              <w:bottom w:val="single" w:sz="4" w:space="0" w:color="auto"/>
              <w:right w:val="single" w:sz="4" w:space="0" w:color="auto"/>
            </w:tcBorders>
            <w:shd w:val="clear" w:color="auto" w:fill="auto"/>
            <w:noWrap/>
            <w:vAlign w:val="bottom"/>
            <w:hideMark/>
          </w:tcPr>
          <w:p w14:paraId="0328AE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1.135958</w:t>
            </w:r>
          </w:p>
        </w:tc>
      </w:tr>
      <w:tr w:rsidR="002027D2" w:rsidRPr="008D1712" w14:paraId="0016114E"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B75F62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67714D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5.073901</w:t>
            </w:r>
          </w:p>
        </w:tc>
        <w:tc>
          <w:tcPr>
            <w:tcW w:w="1069" w:type="dxa"/>
            <w:tcBorders>
              <w:top w:val="nil"/>
              <w:left w:val="nil"/>
              <w:bottom w:val="single" w:sz="4" w:space="0" w:color="auto"/>
              <w:right w:val="single" w:sz="4" w:space="0" w:color="auto"/>
            </w:tcBorders>
            <w:shd w:val="clear" w:color="auto" w:fill="auto"/>
            <w:noWrap/>
            <w:vAlign w:val="bottom"/>
            <w:hideMark/>
          </w:tcPr>
          <w:p w14:paraId="00AC64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-0.11012</w:t>
            </w:r>
          </w:p>
        </w:tc>
        <w:tc>
          <w:tcPr>
            <w:tcW w:w="1069" w:type="dxa"/>
            <w:tcBorders>
              <w:top w:val="nil"/>
              <w:left w:val="nil"/>
              <w:bottom w:val="single" w:sz="4" w:space="0" w:color="auto"/>
              <w:right w:val="single" w:sz="4" w:space="0" w:color="auto"/>
            </w:tcBorders>
            <w:shd w:val="clear" w:color="auto" w:fill="auto"/>
            <w:noWrap/>
            <w:vAlign w:val="bottom"/>
            <w:hideMark/>
          </w:tcPr>
          <w:p w14:paraId="70A189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3.010177</w:t>
            </w:r>
          </w:p>
        </w:tc>
      </w:tr>
      <w:tr w:rsidR="002027D2" w:rsidRPr="008D1712" w14:paraId="5A4494CD"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9A28E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1C3E51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4.327092</w:t>
            </w:r>
          </w:p>
        </w:tc>
        <w:tc>
          <w:tcPr>
            <w:tcW w:w="1069" w:type="dxa"/>
            <w:tcBorders>
              <w:top w:val="nil"/>
              <w:left w:val="nil"/>
              <w:bottom w:val="single" w:sz="4" w:space="0" w:color="auto"/>
              <w:right w:val="single" w:sz="4" w:space="0" w:color="auto"/>
            </w:tcBorders>
            <w:shd w:val="clear" w:color="auto" w:fill="auto"/>
            <w:noWrap/>
            <w:vAlign w:val="bottom"/>
            <w:hideMark/>
          </w:tcPr>
          <w:p w14:paraId="1DC4A1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1.484815</w:t>
            </w:r>
          </w:p>
        </w:tc>
        <w:tc>
          <w:tcPr>
            <w:tcW w:w="1069" w:type="dxa"/>
            <w:tcBorders>
              <w:top w:val="nil"/>
              <w:left w:val="nil"/>
              <w:bottom w:val="single" w:sz="4" w:space="0" w:color="auto"/>
              <w:right w:val="single" w:sz="4" w:space="0" w:color="auto"/>
            </w:tcBorders>
            <w:shd w:val="clear" w:color="auto" w:fill="auto"/>
            <w:noWrap/>
            <w:vAlign w:val="bottom"/>
            <w:hideMark/>
          </w:tcPr>
          <w:p w14:paraId="1B6DB1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3.066907</w:t>
            </w:r>
          </w:p>
        </w:tc>
      </w:tr>
      <w:tr w:rsidR="002027D2" w:rsidRPr="008D1712" w14:paraId="4F15EB1B"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40D6D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622D44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3.755522</w:t>
            </w:r>
          </w:p>
        </w:tc>
        <w:tc>
          <w:tcPr>
            <w:tcW w:w="1069" w:type="dxa"/>
            <w:tcBorders>
              <w:top w:val="nil"/>
              <w:left w:val="nil"/>
              <w:bottom w:val="single" w:sz="4" w:space="0" w:color="auto"/>
              <w:right w:val="single" w:sz="4" w:space="0" w:color="auto"/>
            </w:tcBorders>
            <w:shd w:val="clear" w:color="auto" w:fill="auto"/>
            <w:noWrap/>
            <w:vAlign w:val="bottom"/>
            <w:hideMark/>
          </w:tcPr>
          <w:p w14:paraId="7DB431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3.348265</w:t>
            </w:r>
          </w:p>
        </w:tc>
        <w:tc>
          <w:tcPr>
            <w:tcW w:w="1069" w:type="dxa"/>
            <w:tcBorders>
              <w:top w:val="nil"/>
              <w:left w:val="nil"/>
              <w:bottom w:val="single" w:sz="4" w:space="0" w:color="auto"/>
              <w:right w:val="single" w:sz="4" w:space="0" w:color="auto"/>
            </w:tcBorders>
            <w:shd w:val="clear" w:color="auto" w:fill="auto"/>
            <w:noWrap/>
            <w:vAlign w:val="bottom"/>
            <w:hideMark/>
          </w:tcPr>
          <w:p w14:paraId="04EB39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2.036361</w:t>
            </w:r>
          </w:p>
        </w:tc>
      </w:tr>
      <w:tr w:rsidR="002027D2" w:rsidRPr="008D1712" w14:paraId="36050B8C"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6E93F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0D23CF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3.980381</w:t>
            </w:r>
          </w:p>
        </w:tc>
        <w:tc>
          <w:tcPr>
            <w:tcW w:w="1069" w:type="dxa"/>
            <w:tcBorders>
              <w:top w:val="nil"/>
              <w:left w:val="nil"/>
              <w:bottom w:val="single" w:sz="4" w:space="0" w:color="auto"/>
              <w:right w:val="single" w:sz="4" w:space="0" w:color="auto"/>
            </w:tcBorders>
            <w:shd w:val="clear" w:color="auto" w:fill="auto"/>
            <w:noWrap/>
            <w:vAlign w:val="bottom"/>
            <w:hideMark/>
          </w:tcPr>
          <w:p w14:paraId="31E2FB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5.537633</w:t>
            </w:r>
          </w:p>
        </w:tc>
        <w:tc>
          <w:tcPr>
            <w:tcW w:w="1069" w:type="dxa"/>
            <w:tcBorders>
              <w:top w:val="nil"/>
              <w:left w:val="nil"/>
              <w:bottom w:val="single" w:sz="4" w:space="0" w:color="auto"/>
              <w:right w:val="single" w:sz="4" w:space="0" w:color="auto"/>
            </w:tcBorders>
            <w:shd w:val="clear" w:color="auto" w:fill="auto"/>
            <w:noWrap/>
            <w:vAlign w:val="bottom"/>
            <w:hideMark/>
          </w:tcPr>
          <w:p w14:paraId="6BD3C3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0.862569</w:t>
            </w:r>
          </w:p>
        </w:tc>
      </w:tr>
      <w:tr w:rsidR="002027D2" w:rsidRPr="008D1712" w14:paraId="1F9155DC"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A98D0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538B50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5.665624</w:t>
            </w:r>
          </w:p>
        </w:tc>
        <w:tc>
          <w:tcPr>
            <w:tcW w:w="1069" w:type="dxa"/>
            <w:tcBorders>
              <w:top w:val="nil"/>
              <w:left w:val="nil"/>
              <w:bottom w:val="single" w:sz="4" w:space="0" w:color="auto"/>
              <w:right w:val="single" w:sz="4" w:space="0" w:color="auto"/>
            </w:tcBorders>
            <w:shd w:val="clear" w:color="auto" w:fill="auto"/>
            <w:noWrap/>
            <w:vAlign w:val="bottom"/>
            <w:hideMark/>
          </w:tcPr>
          <w:p w14:paraId="22AA5F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5.851652</w:t>
            </w:r>
          </w:p>
        </w:tc>
        <w:tc>
          <w:tcPr>
            <w:tcW w:w="1069" w:type="dxa"/>
            <w:tcBorders>
              <w:top w:val="nil"/>
              <w:left w:val="nil"/>
              <w:bottom w:val="single" w:sz="4" w:space="0" w:color="auto"/>
              <w:right w:val="single" w:sz="4" w:space="0" w:color="auto"/>
            </w:tcBorders>
            <w:shd w:val="clear" w:color="auto" w:fill="auto"/>
            <w:noWrap/>
            <w:vAlign w:val="bottom"/>
            <w:hideMark/>
          </w:tcPr>
          <w:p w14:paraId="7D2F6D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-0.94029</w:t>
            </w:r>
          </w:p>
        </w:tc>
      </w:tr>
      <w:tr w:rsidR="002027D2" w:rsidRPr="008D1712" w14:paraId="04C93948"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59791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42C6AD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7.173554</w:t>
            </w:r>
          </w:p>
        </w:tc>
        <w:tc>
          <w:tcPr>
            <w:tcW w:w="1069" w:type="dxa"/>
            <w:tcBorders>
              <w:top w:val="nil"/>
              <w:left w:val="nil"/>
              <w:bottom w:val="single" w:sz="4" w:space="0" w:color="auto"/>
              <w:right w:val="single" w:sz="4" w:space="0" w:color="auto"/>
            </w:tcBorders>
            <w:shd w:val="clear" w:color="auto" w:fill="auto"/>
            <w:noWrap/>
            <w:vAlign w:val="bottom"/>
            <w:hideMark/>
          </w:tcPr>
          <w:p w14:paraId="5AEDB2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3.978706</w:t>
            </w:r>
          </w:p>
        </w:tc>
        <w:tc>
          <w:tcPr>
            <w:tcW w:w="1069" w:type="dxa"/>
            <w:tcBorders>
              <w:top w:val="nil"/>
              <w:left w:val="nil"/>
              <w:bottom w:val="single" w:sz="4" w:space="0" w:color="auto"/>
              <w:right w:val="single" w:sz="4" w:space="0" w:color="auto"/>
            </w:tcBorders>
            <w:shd w:val="clear" w:color="auto" w:fill="auto"/>
            <w:noWrap/>
            <w:vAlign w:val="bottom"/>
            <w:hideMark/>
          </w:tcPr>
          <w:p w14:paraId="6BF3D8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-1.61815</w:t>
            </w:r>
          </w:p>
        </w:tc>
      </w:tr>
      <w:tr w:rsidR="002027D2" w:rsidRPr="008D1712" w14:paraId="73866507"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36A72E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46B309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7.286334</w:t>
            </w:r>
          </w:p>
        </w:tc>
        <w:tc>
          <w:tcPr>
            <w:tcW w:w="1069" w:type="dxa"/>
            <w:tcBorders>
              <w:top w:val="nil"/>
              <w:left w:val="nil"/>
              <w:bottom w:val="single" w:sz="4" w:space="0" w:color="auto"/>
              <w:right w:val="single" w:sz="4" w:space="0" w:color="auto"/>
            </w:tcBorders>
            <w:shd w:val="clear" w:color="auto" w:fill="auto"/>
            <w:noWrap/>
            <w:vAlign w:val="bottom"/>
            <w:hideMark/>
          </w:tcPr>
          <w:p w14:paraId="5D8091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1.486129</w:t>
            </w:r>
          </w:p>
        </w:tc>
        <w:tc>
          <w:tcPr>
            <w:tcW w:w="1069" w:type="dxa"/>
            <w:tcBorders>
              <w:top w:val="nil"/>
              <w:left w:val="nil"/>
              <w:bottom w:val="single" w:sz="4" w:space="0" w:color="auto"/>
              <w:right w:val="single" w:sz="4" w:space="0" w:color="auto"/>
            </w:tcBorders>
            <w:shd w:val="clear" w:color="auto" w:fill="auto"/>
            <w:noWrap/>
            <w:vAlign w:val="bottom"/>
            <w:hideMark/>
          </w:tcPr>
          <w:p w14:paraId="286CDD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-2.51233</w:t>
            </w:r>
          </w:p>
        </w:tc>
      </w:tr>
      <w:tr w:rsidR="002027D2" w:rsidRPr="008D1712" w14:paraId="4BEB1C1B"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5DEB00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4B1411B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5.810108</w:t>
            </w:r>
          </w:p>
        </w:tc>
        <w:tc>
          <w:tcPr>
            <w:tcW w:w="1069" w:type="dxa"/>
            <w:tcBorders>
              <w:top w:val="nil"/>
              <w:left w:val="nil"/>
              <w:bottom w:val="single" w:sz="4" w:space="0" w:color="auto"/>
              <w:right w:val="single" w:sz="4" w:space="0" w:color="auto"/>
            </w:tcBorders>
            <w:shd w:val="clear" w:color="auto" w:fill="auto"/>
            <w:noWrap/>
            <w:vAlign w:val="bottom"/>
            <w:hideMark/>
          </w:tcPr>
          <w:p w14:paraId="5BF8D8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0.613888</w:t>
            </w:r>
          </w:p>
        </w:tc>
        <w:tc>
          <w:tcPr>
            <w:tcW w:w="1069" w:type="dxa"/>
            <w:tcBorders>
              <w:top w:val="nil"/>
              <w:left w:val="nil"/>
              <w:bottom w:val="single" w:sz="4" w:space="0" w:color="auto"/>
              <w:right w:val="single" w:sz="4" w:space="0" w:color="auto"/>
            </w:tcBorders>
            <w:shd w:val="clear" w:color="auto" w:fill="auto"/>
            <w:noWrap/>
            <w:vAlign w:val="bottom"/>
            <w:hideMark/>
          </w:tcPr>
          <w:p w14:paraId="74A3D3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-2.02416</w:t>
            </w:r>
          </w:p>
        </w:tc>
      </w:tr>
      <w:tr w:rsidR="002027D2" w:rsidRPr="008D1712" w14:paraId="27E037F0"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5A20E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052463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7.400149</w:t>
            </w:r>
          </w:p>
        </w:tc>
        <w:tc>
          <w:tcPr>
            <w:tcW w:w="1069" w:type="dxa"/>
            <w:tcBorders>
              <w:top w:val="nil"/>
              <w:left w:val="nil"/>
              <w:bottom w:val="single" w:sz="4" w:space="0" w:color="auto"/>
              <w:right w:val="single" w:sz="4" w:space="0" w:color="auto"/>
            </w:tcBorders>
            <w:shd w:val="clear" w:color="auto" w:fill="auto"/>
            <w:noWrap/>
            <w:vAlign w:val="bottom"/>
            <w:hideMark/>
          </w:tcPr>
          <w:p w14:paraId="600F12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-0.2016</w:t>
            </w:r>
          </w:p>
        </w:tc>
        <w:tc>
          <w:tcPr>
            <w:tcW w:w="1069" w:type="dxa"/>
            <w:tcBorders>
              <w:top w:val="nil"/>
              <w:left w:val="nil"/>
              <w:bottom w:val="single" w:sz="4" w:space="0" w:color="auto"/>
              <w:right w:val="single" w:sz="4" w:space="0" w:color="auto"/>
            </w:tcBorders>
            <w:shd w:val="clear" w:color="auto" w:fill="auto"/>
            <w:noWrap/>
            <w:vAlign w:val="bottom"/>
            <w:hideMark/>
          </w:tcPr>
          <w:p w14:paraId="3D37FC8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-1.95241</w:t>
            </w:r>
          </w:p>
        </w:tc>
      </w:tr>
      <w:tr w:rsidR="002027D2" w:rsidRPr="008D1712" w14:paraId="6274C1B0"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5FCECB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1B509B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8.989105</w:t>
            </w:r>
          </w:p>
        </w:tc>
        <w:tc>
          <w:tcPr>
            <w:tcW w:w="1069" w:type="dxa"/>
            <w:tcBorders>
              <w:top w:val="nil"/>
              <w:left w:val="nil"/>
              <w:bottom w:val="single" w:sz="4" w:space="0" w:color="auto"/>
              <w:right w:val="single" w:sz="4" w:space="0" w:color="auto"/>
            </w:tcBorders>
            <w:shd w:val="clear" w:color="auto" w:fill="auto"/>
            <w:noWrap/>
            <w:vAlign w:val="bottom"/>
            <w:hideMark/>
          </w:tcPr>
          <w:p w14:paraId="7E7988C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2.258445</w:t>
            </w:r>
          </w:p>
        </w:tc>
        <w:tc>
          <w:tcPr>
            <w:tcW w:w="1069" w:type="dxa"/>
            <w:tcBorders>
              <w:top w:val="nil"/>
              <w:left w:val="nil"/>
              <w:bottom w:val="single" w:sz="4" w:space="0" w:color="auto"/>
              <w:right w:val="single" w:sz="4" w:space="0" w:color="auto"/>
            </w:tcBorders>
            <w:shd w:val="clear" w:color="auto" w:fill="auto"/>
            <w:noWrap/>
            <w:vAlign w:val="bottom"/>
            <w:hideMark/>
          </w:tcPr>
          <w:p w14:paraId="17819D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-0.73364</w:t>
            </w:r>
          </w:p>
        </w:tc>
      </w:tr>
      <w:tr w:rsidR="002027D2" w:rsidRPr="008D1712" w14:paraId="0E05FCD3"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3437759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4EA64CD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9.160683</w:t>
            </w:r>
          </w:p>
        </w:tc>
        <w:tc>
          <w:tcPr>
            <w:tcW w:w="1069" w:type="dxa"/>
            <w:tcBorders>
              <w:top w:val="nil"/>
              <w:left w:val="nil"/>
              <w:bottom w:val="single" w:sz="4" w:space="0" w:color="auto"/>
              <w:right w:val="single" w:sz="4" w:space="0" w:color="auto"/>
            </w:tcBorders>
            <w:shd w:val="clear" w:color="auto" w:fill="auto"/>
            <w:noWrap/>
            <w:vAlign w:val="bottom"/>
            <w:hideMark/>
          </w:tcPr>
          <w:p w14:paraId="5CDD9B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0.59175</w:t>
            </w:r>
          </w:p>
        </w:tc>
        <w:tc>
          <w:tcPr>
            <w:tcW w:w="1069" w:type="dxa"/>
            <w:tcBorders>
              <w:top w:val="nil"/>
              <w:left w:val="nil"/>
              <w:bottom w:val="single" w:sz="4" w:space="0" w:color="auto"/>
              <w:right w:val="single" w:sz="4" w:space="0" w:color="auto"/>
            </w:tcBorders>
            <w:shd w:val="clear" w:color="auto" w:fill="auto"/>
            <w:noWrap/>
            <w:vAlign w:val="bottom"/>
            <w:hideMark/>
          </w:tcPr>
          <w:p w14:paraId="3C9728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-0.12551</w:t>
            </w:r>
          </w:p>
        </w:tc>
      </w:tr>
      <w:tr w:rsidR="002027D2" w:rsidRPr="008D1712" w14:paraId="395B032F"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6C0D9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7F6FB1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8.70901</w:t>
            </w:r>
          </w:p>
        </w:tc>
        <w:tc>
          <w:tcPr>
            <w:tcW w:w="1069" w:type="dxa"/>
            <w:tcBorders>
              <w:top w:val="nil"/>
              <w:left w:val="nil"/>
              <w:bottom w:val="single" w:sz="4" w:space="0" w:color="auto"/>
              <w:right w:val="single" w:sz="4" w:space="0" w:color="auto"/>
            </w:tcBorders>
            <w:shd w:val="clear" w:color="auto" w:fill="auto"/>
            <w:noWrap/>
            <w:vAlign w:val="bottom"/>
            <w:hideMark/>
          </w:tcPr>
          <w:p w14:paraId="7AEC54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1.909984</w:t>
            </w:r>
          </w:p>
        </w:tc>
        <w:tc>
          <w:tcPr>
            <w:tcW w:w="1069" w:type="dxa"/>
            <w:tcBorders>
              <w:top w:val="nil"/>
              <w:left w:val="nil"/>
              <w:bottom w:val="single" w:sz="4" w:space="0" w:color="auto"/>
              <w:right w:val="single" w:sz="4" w:space="0" w:color="auto"/>
            </w:tcBorders>
            <w:shd w:val="clear" w:color="auto" w:fill="auto"/>
            <w:noWrap/>
            <w:vAlign w:val="bottom"/>
            <w:hideMark/>
          </w:tcPr>
          <w:p w14:paraId="57642E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0.993327</w:t>
            </w:r>
          </w:p>
        </w:tc>
      </w:tr>
      <w:tr w:rsidR="002027D2" w:rsidRPr="008D1712" w14:paraId="5D4E7C2A"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395F6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5B27BA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6.013118</w:t>
            </w:r>
          </w:p>
        </w:tc>
        <w:tc>
          <w:tcPr>
            <w:tcW w:w="1069" w:type="dxa"/>
            <w:tcBorders>
              <w:top w:val="nil"/>
              <w:left w:val="nil"/>
              <w:bottom w:val="single" w:sz="4" w:space="0" w:color="auto"/>
              <w:right w:val="single" w:sz="4" w:space="0" w:color="auto"/>
            </w:tcBorders>
            <w:shd w:val="clear" w:color="auto" w:fill="auto"/>
            <w:noWrap/>
            <w:vAlign w:val="bottom"/>
            <w:hideMark/>
          </w:tcPr>
          <w:p w14:paraId="1E2E8F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-1.39235</w:t>
            </w:r>
          </w:p>
        </w:tc>
        <w:tc>
          <w:tcPr>
            <w:tcW w:w="1069" w:type="dxa"/>
            <w:tcBorders>
              <w:top w:val="nil"/>
              <w:left w:val="nil"/>
              <w:bottom w:val="single" w:sz="4" w:space="0" w:color="auto"/>
              <w:right w:val="single" w:sz="4" w:space="0" w:color="auto"/>
            </w:tcBorders>
            <w:shd w:val="clear" w:color="auto" w:fill="auto"/>
            <w:noWrap/>
            <w:vAlign w:val="bottom"/>
            <w:hideMark/>
          </w:tcPr>
          <w:p w14:paraId="7B39390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1.789068</w:t>
            </w:r>
          </w:p>
        </w:tc>
      </w:tr>
      <w:tr w:rsidR="002027D2" w:rsidRPr="008D1712" w14:paraId="2FEDAD6C"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6FE4C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04C4AE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6.596773</w:t>
            </w:r>
          </w:p>
        </w:tc>
        <w:tc>
          <w:tcPr>
            <w:tcW w:w="1069" w:type="dxa"/>
            <w:tcBorders>
              <w:top w:val="nil"/>
              <w:left w:val="nil"/>
              <w:bottom w:val="single" w:sz="4" w:space="0" w:color="auto"/>
              <w:right w:val="single" w:sz="4" w:space="0" w:color="auto"/>
            </w:tcBorders>
            <w:shd w:val="clear" w:color="auto" w:fill="auto"/>
            <w:noWrap/>
            <w:vAlign w:val="bottom"/>
            <w:hideMark/>
          </w:tcPr>
          <w:p w14:paraId="086E1EB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-11.9849</w:t>
            </w:r>
          </w:p>
        </w:tc>
        <w:tc>
          <w:tcPr>
            <w:tcW w:w="1069" w:type="dxa"/>
            <w:tcBorders>
              <w:top w:val="nil"/>
              <w:left w:val="nil"/>
              <w:bottom w:val="single" w:sz="4" w:space="0" w:color="auto"/>
              <w:right w:val="single" w:sz="4" w:space="0" w:color="auto"/>
            </w:tcBorders>
            <w:shd w:val="clear" w:color="auto" w:fill="auto"/>
            <w:noWrap/>
            <w:vAlign w:val="bottom"/>
            <w:hideMark/>
          </w:tcPr>
          <w:p w14:paraId="039CC2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1.841044</w:t>
            </w:r>
          </w:p>
        </w:tc>
      </w:tr>
      <w:tr w:rsidR="002027D2" w:rsidRPr="008D1712" w14:paraId="21BCE2EF"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C22E71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72085B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0.972499</w:t>
            </w:r>
          </w:p>
        </w:tc>
        <w:tc>
          <w:tcPr>
            <w:tcW w:w="1069" w:type="dxa"/>
            <w:tcBorders>
              <w:top w:val="nil"/>
              <w:left w:val="nil"/>
              <w:bottom w:val="single" w:sz="4" w:space="0" w:color="auto"/>
              <w:right w:val="single" w:sz="4" w:space="0" w:color="auto"/>
            </w:tcBorders>
            <w:shd w:val="clear" w:color="auto" w:fill="auto"/>
            <w:noWrap/>
            <w:vAlign w:val="bottom"/>
            <w:hideMark/>
          </w:tcPr>
          <w:p w14:paraId="45BACB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-1.00509</w:t>
            </w:r>
          </w:p>
        </w:tc>
        <w:tc>
          <w:tcPr>
            <w:tcW w:w="1069" w:type="dxa"/>
            <w:tcBorders>
              <w:top w:val="nil"/>
              <w:left w:val="nil"/>
              <w:bottom w:val="single" w:sz="4" w:space="0" w:color="auto"/>
              <w:right w:val="single" w:sz="4" w:space="0" w:color="auto"/>
            </w:tcBorders>
            <w:shd w:val="clear" w:color="auto" w:fill="auto"/>
            <w:noWrap/>
            <w:vAlign w:val="bottom"/>
            <w:hideMark/>
          </w:tcPr>
          <w:p w14:paraId="2A1C7B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2.377278</w:t>
            </w:r>
          </w:p>
        </w:tc>
      </w:tr>
      <w:tr w:rsidR="002027D2" w:rsidRPr="008D1712" w14:paraId="73F983CE"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65AB7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4137D6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6.370944</w:t>
            </w:r>
          </w:p>
        </w:tc>
        <w:tc>
          <w:tcPr>
            <w:tcW w:w="1069" w:type="dxa"/>
            <w:tcBorders>
              <w:top w:val="nil"/>
              <w:left w:val="nil"/>
              <w:bottom w:val="single" w:sz="4" w:space="0" w:color="auto"/>
              <w:right w:val="single" w:sz="4" w:space="0" w:color="auto"/>
            </w:tcBorders>
            <w:shd w:val="clear" w:color="auto" w:fill="auto"/>
            <w:noWrap/>
            <w:vAlign w:val="bottom"/>
            <w:hideMark/>
          </w:tcPr>
          <w:p w14:paraId="162AD7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-11.0895</w:t>
            </w:r>
          </w:p>
        </w:tc>
        <w:tc>
          <w:tcPr>
            <w:tcW w:w="1069" w:type="dxa"/>
            <w:tcBorders>
              <w:top w:val="nil"/>
              <w:left w:val="nil"/>
              <w:bottom w:val="single" w:sz="4" w:space="0" w:color="auto"/>
              <w:right w:val="single" w:sz="4" w:space="0" w:color="auto"/>
            </w:tcBorders>
            <w:shd w:val="clear" w:color="auto" w:fill="auto"/>
            <w:noWrap/>
            <w:vAlign w:val="bottom"/>
            <w:hideMark/>
          </w:tcPr>
          <w:p w14:paraId="04A61E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2.44914</w:t>
            </w:r>
          </w:p>
        </w:tc>
      </w:tr>
      <w:tr w:rsidR="002027D2" w:rsidRPr="008D1712" w14:paraId="6B34DECD"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642590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7A5EC15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7.177345</w:t>
            </w:r>
          </w:p>
        </w:tc>
        <w:tc>
          <w:tcPr>
            <w:tcW w:w="1069" w:type="dxa"/>
            <w:tcBorders>
              <w:top w:val="nil"/>
              <w:left w:val="nil"/>
              <w:bottom w:val="single" w:sz="4" w:space="0" w:color="auto"/>
              <w:right w:val="single" w:sz="4" w:space="0" w:color="auto"/>
            </w:tcBorders>
            <w:shd w:val="clear" w:color="auto" w:fill="auto"/>
            <w:noWrap/>
            <w:vAlign w:val="bottom"/>
            <w:hideMark/>
          </w:tcPr>
          <w:p w14:paraId="202C890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-12.679</w:t>
            </w:r>
          </w:p>
        </w:tc>
        <w:tc>
          <w:tcPr>
            <w:tcW w:w="1069" w:type="dxa"/>
            <w:tcBorders>
              <w:top w:val="nil"/>
              <w:left w:val="nil"/>
              <w:bottom w:val="single" w:sz="4" w:space="0" w:color="auto"/>
              <w:right w:val="single" w:sz="4" w:space="0" w:color="auto"/>
            </w:tcBorders>
            <w:shd w:val="clear" w:color="auto" w:fill="auto"/>
            <w:noWrap/>
            <w:vAlign w:val="bottom"/>
            <w:hideMark/>
          </w:tcPr>
          <w:p w14:paraId="67921B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2.473769</w:t>
            </w:r>
          </w:p>
        </w:tc>
      </w:tr>
      <w:tr w:rsidR="002027D2" w:rsidRPr="008D1712" w14:paraId="0AC59C17"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65443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069" w:type="dxa"/>
            <w:tcBorders>
              <w:top w:val="nil"/>
              <w:left w:val="nil"/>
              <w:bottom w:val="single" w:sz="4" w:space="0" w:color="auto"/>
              <w:right w:val="single" w:sz="4" w:space="0" w:color="auto"/>
            </w:tcBorders>
            <w:shd w:val="clear" w:color="auto" w:fill="auto"/>
            <w:noWrap/>
            <w:vAlign w:val="bottom"/>
            <w:hideMark/>
          </w:tcPr>
          <w:p w14:paraId="49A4D3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5.639456</w:t>
            </w:r>
          </w:p>
        </w:tc>
        <w:tc>
          <w:tcPr>
            <w:tcW w:w="1069" w:type="dxa"/>
            <w:tcBorders>
              <w:top w:val="nil"/>
              <w:left w:val="nil"/>
              <w:bottom w:val="single" w:sz="4" w:space="0" w:color="auto"/>
              <w:right w:val="single" w:sz="4" w:space="0" w:color="auto"/>
            </w:tcBorders>
            <w:shd w:val="clear" w:color="auto" w:fill="auto"/>
            <w:noWrap/>
            <w:vAlign w:val="bottom"/>
            <w:hideMark/>
          </w:tcPr>
          <w:p w14:paraId="536317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-12.4767</w:t>
            </w:r>
          </w:p>
        </w:tc>
        <w:tc>
          <w:tcPr>
            <w:tcW w:w="1069" w:type="dxa"/>
            <w:tcBorders>
              <w:top w:val="nil"/>
              <w:left w:val="nil"/>
              <w:bottom w:val="single" w:sz="4" w:space="0" w:color="auto"/>
              <w:right w:val="single" w:sz="4" w:space="0" w:color="auto"/>
            </w:tcBorders>
            <w:shd w:val="clear" w:color="auto" w:fill="auto"/>
            <w:noWrap/>
            <w:vAlign w:val="bottom"/>
            <w:hideMark/>
          </w:tcPr>
          <w:p w14:paraId="1B8CFC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1.600646</w:t>
            </w:r>
          </w:p>
        </w:tc>
      </w:tr>
      <w:tr w:rsidR="002027D2" w:rsidRPr="008D1712" w14:paraId="29D4D719"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5A01D6C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139961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1.16394</w:t>
            </w:r>
          </w:p>
        </w:tc>
        <w:tc>
          <w:tcPr>
            <w:tcW w:w="1069" w:type="dxa"/>
            <w:tcBorders>
              <w:top w:val="nil"/>
              <w:left w:val="nil"/>
              <w:bottom w:val="single" w:sz="4" w:space="0" w:color="auto"/>
              <w:right w:val="single" w:sz="4" w:space="0" w:color="auto"/>
            </w:tcBorders>
            <w:shd w:val="clear" w:color="auto" w:fill="auto"/>
            <w:noWrap/>
            <w:vAlign w:val="bottom"/>
            <w:hideMark/>
          </w:tcPr>
          <w:p w14:paraId="7E3EDAE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-1.83116</w:t>
            </w:r>
          </w:p>
        </w:tc>
        <w:tc>
          <w:tcPr>
            <w:tcW w:w="1069" w:type="dxa"/>
            <w:tcBorders>
              <w:top w:val="nil"/>
              <w:left w:val="nil"/>
              <w:bottom w:val="single" w:sz="4" w:space="0" w:color="auto"/>
              <w:right w:val="single" w:sz="4" w:space="0" w:color="auto"/>
            </w:tcBorders>
            <w:shd w:val="clear" w:color="auto" w:fill="auto"/>
            <w:noWrap/>
            <w:vAlign w:val="bottom"/>
            <w:hideMark/>
          </w:tcPr>
          <w:p w14:paraId="4C606A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1.667824</w:t>
            </w:r>
          </w:p>
        </w:tc>
      </w:tr>
      <w:tr w:rsidR="002027D2" w:rsidRPr="008D1712" w14:paraId="55F67EDE"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54CA2C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480CF4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0.397264</w:t>
            </w:r>
          </w:p>
        </w:tc>
        <w:tc>
          <w:tcPr>
            <w:tcW w:w="1069" w:type="dxa"/>
            <w:tcBorders>
              <w:top w:val="nil"/>
              <w:left w:val="nil"/>
              <w:bottom w:val="single" w:sz="4" w:space="0" w:color="auto"/>
              <w:right w:val="single" w:sz="4" w:space="0" w:color="auto"/>
            </w:tcBorders>
            <w:shd w:val="clear" w:color="auto" w:fill="auto"/>
            <w:noWrap/>
            <w:vAlign w:val="bottom"/>
            <w:hideMark/>
          </w:tcPr>
          <w:p w14:paraId="33FA54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-0.23115</w:t>
            </w:r>
          </w:p>
        </w:tc>
        <w:tc>
          <w:tcPr>
            <w:tcW w:w="1069" w:type="dxa"/>
            <w:tcBorders>
              <w:top w:val="nil"/>
              <w:left w:val="nil"/>
              <w:bottom w:val="single" w:sz="4" w:space="0" w:color="auto"/>
              <w:right w:val="single" w:sz="4" w:space="0" w:color="auto"/>
            </w:tcBorders>
            <w:shd w:val="clear" w:color="auto" w:fill="auto"/>
            <w:noWrap/>
            <w:vAlign w:val="bottom"/>
            <w:hideMark/>
          </w:tcPr>
          <w:p w14:paraId="257D60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1.839857</w:t>
            </w:r>
          </w:p>
        </w:tc>
      </w:tr>
      <w:tr w:rsidR="002027D2" w:rsidRPr="008D1712" w14:paraId="53EC6631"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C6DFC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528C76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0.331037</w:t>
            </w:r>
          </w:p>
        </w:tc>
        <w:tc>
          <w:tcPr>
            <w:tcW w:w="1069" w:type="dxa"/>
            <w:tcBorders>
              <w:top w:val="nil"/>
              <w:left w:val="nil"/>
              <w:bottom w:val="single" w:sz="4" w:space="0" w:color="auto"/>
              <w:right w:val="single" w:sz="4" w:space="0" w:color="auto"/>
            </w:tcBorders>
            <w:shd w:val="clear" w:color="auto" w:fill="auto"/>
            <w:noWrap/>
            <w:vAlign w:val="bottom"/>
            <w:hideMark/>
          </w:tcPr>
          <w:p w14:paraId="71BB14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-1.39589</w:t>
            </w:r>
          </w:p>
        </w:tc>
        <w:tc>
          <w:tcPr>
            <w:tcW w:w="1069" w:type="dxa"/>
            <w:tcBorders>
              <w:top w:val="nil"/>
              <w:left w:val="nil"/>
              <w:bottom w:val="single" w:sz="4" w:space="0" w:color="auto"/>
              <w:right w:val="single" w:sz="4" w:space="0" w:color="auto"/>
            </w:tcBorders>
            <w:shd w:val="clear" w:color="auto" w:fill="auto"/>
            <w:noWrap/>
            <w:vAlign w:val="bottom"/>
            <w:hideMark/>
          </w:tcPr>
          <w:p w14:paraId="31097C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3.184585</w:t>
            </w:r>
          </w:p>
        </w:tc>
      </w:tr>
      <w:tr w:rsidR="002027D2" w:rsidRPr="008D1712" w14:paraId="1E430683"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F193B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761E6E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6.967908</w:t>
            </w:r>
          </w:p>
        </w:tc>
        <w:tc>
          <w:tcPr>
            <w:tcW w:w="1069" w:type="dxa"/>
            <w:tcBorders>
              <w:top w:val="nil"/>
              <w:left w:val="nil"/>
              <w:bottom w:val="single" w:sz="4" w:space="0" w:color="auto"/>
              <w:right w:val="single" w:sz="4" w:space="0" w:color="auto"/>
            </w:tcBorders>
            <w:shd w:val="clear" w:color="auto" w:fill="auto"/>
            <w:noWrap/>
            <w:vAlign w:val="bottom"/>
            <w:hideMark/>
          </w:tcPr>
          <w:p w14:paraId="088554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-3.95286</w:t>
            </w:r>
          </w:p>
        </w:tc>
        <w:tc>
          <w:tcPr>
            <w:tcW w:w="1069" w:type="dxa"/>
            <w:tcBorders>
              <w:top w:val="nil"/>
              <w:left w:val="nil"/>
              <w:bottom w:val="single" w:sz="4" w:space="0" w:color="auto"/>
              <w:right w:val="single" w:sz="4" w:space="0" w:color="auto"/>
            </w:tcBorders>
            <w:shd w:val="clear" w:color="auto" w:fill="auto"/>
            <w:noWrap/>
            <w:vAlign w:val="bottom"/>
            <w:hideMark/>
          </w:tcPr>
          <w:p w14:paraId="7DF43FD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1.557452</w:t>
            </w:r>
          </w:p>
        </w:tc>
      </w:tr>
      <w:tr w:rsidR="002027D2" w:rsidRPr="008D1712" w14:paraId="567A3311"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C5D81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069" w:type="dxa"/>
            <w:tcBorders>
              <w:top w:val="nil"/>
              <w:left w:val="nil"/>
              <w:bottom w:val="single" w:sz="4" w:space="0" w:color="auto"/>
              <w:right w:val="single" w:sz="4" w:space="0" w:color="auto"/>
            </w:tcBorders>
            <w:shd w:val="clear" w:color="auto" w:fill="auto"/>
            <w:noWrap/>
            <w:vAlign w:val="bottom"/>
            <w:hideMark/>
          </w:tcPr>
          <w:p w14:paraId="7A4077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6.334789</w:t>
            </w:r>
          </w:p>
        </w:tc>
        <w:tc>
          <w:tcPr>
            <w:tcW w:w="1069" w:type="dxa"/>
            <w:tcBorders>
              <w:top w:val="nil"/>
              <w:left w:val="nil"/>
              <w:bottom w:val="single" w:sz="4" w:space="0" w:color="auto"/>
              <w:right w:val="single" w:sz="4" w:space="0" w:color="auto"/>
            </w:tcBorders>
            <w:shd w:val="clear" w:color="auto" w:fill="auto"/>
            <w:noWrap/>
            <w:vAlign w:val="bottom"/>
            <w:hideMark/>
          </w:tcPr>
          <w:p w14:paraId="1632BC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-5.11328</w:t>
            </w:r>
          </w:p>
        </w:tc>
        <w:tc>
          <w:tcPr>
            <w:tcW w:w="1069" w:type="dxa"/>
            <w:tcBorders>
              <w:top w:val="nil"/>
              <w:left w:val="nil"/>
              <w:bottom w:val="single" w:sz="4" w:space="0" w:color="auto"/>
              <w:right w:val="single" w:sz="4" w:space="0" w:color="auto"/>
            </w:tcBorders>
            <w:shd w:val="clear" w:color="auto" w:fill="auto"/>
            <w:noWrap/>
            <w:vAlign w:val="bottom"/>
            <w:hideMark/>
          </w:tcPr>
          <w:p w14:paraId="3372CE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0.757648</w:t>
            </w:r>
          </w:p>
        </w:tc>
      </w:tr>
      <w:tr w:rsidR="002027D2" w:rsidRPr="008D1712" w14:paraId="22FD32A0"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905F7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64F4F2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7.464725</w:t>
            </w:r>
          </w:p>
        </w:tc>
        <w:tc>
          <w:tcPr>
            <w:tcW w:w="1069" w:type="dxa"/>
            <w:tcBorders>
              <w:top w:val="nil"/>
              <w:left w:val="nil"/>
              <w:bottom w:val="single" w:sz="4" w:space="0" w:color="auto"/>
              <w:right w:val="single" w:sz="4" w:space="0" w:color="auto"/>
            </w:tcBorders>
            <w:shd w:val="clear" w:color="auto" w:fill="auto"/>
            <w:noWrap/>
            <w:vAlign w:val="bottom"/>
            <w:hideMark/>
          </w:tcPr>
          <w:p w14:paraId="23F581B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-6.04178</w:t>
            </w:r>
          </w:p>
        </w:tc>
        <w:tc>
          <w:tcPr>
            <w:tcW w:w="1069" w:type="dxa"/>
            <w:tcBorders>
              <w:top w:val="nil"/>
              <w:left w:val="nil"/>
              <w:bottom w:val="single" w:sz="4" w:space="0" w:color="auto"/>
              <w:right w:val="single" w:sz="4" w:space="0" w:color="auto"/>
            </w:tcBorders>
            <w:shd w:val="clear" w:color="auto" w:fill="auto"/>
            <w:noWrap/>
            <w:vAlign w:val="bottom"/>
            <w:hideMark/>
          </w:tcPr>
          <w:p w14:paraId="1C7DD9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0.3316</w:t>
            </w:r>
          </w:p>
        </w:tc>
      </w:tr>
      <w:tr w:rsidR="002027D2" w:rsidRPr="008D1712" w14:paraId="2D1D4230"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68BE8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206783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5.589756</w:t>
            </w:r>
          </w:p>
        </w:tc>
        <w:tc>
          <w:tcPr>
            <w:tcW w:w="1069" w:type="dxa"/>
            <w:tcBorders>
              <w:top w:val="nil"/>
              <w:left w:val="nil"/>
              <w:bottom w:val="single" w:sz="4" w:space="0" w:color="auto"/>
              <w:right w:val="single" w:sz="4" w:space="0" w:color="auto"/>
            </w:tcBorders>
            <w:shd w:val="clear" w:color="auto" w:fill="auto"/>
            <w:noWrap/>
            <w:vAlign w:val="bottom"/>
            <w:hideMark/>
          </w:tcPr>
          <w:p w14:paraId="3E236B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-4.59325</w:t>
            </w:r>
          </w:p>
        </w:tc>
        <w:tc>
          <w:tcPr>
            <w:tcW w:w="1069" w:type="dxa"/>
            <w:tcBorders>
              <w:top w:val="nil"/>
              <w:left w:val="nil"/>
              <w:bottom w:val="single" w:sz="4" w:space="0" w:color="auto"/>
              <w:right w:val="single" w:sz="4" w:space="0" w:color="auto"/>
            </w:tcBorders>
            <w:shd w:val="clear" w:color="auto" w:fill="auto"/>
            <w:noWrap/>
            <w:vAlign w:val="bottom"/>
            <w:hideMark/>
          </w:tcPr>
          <w:p w14:paraId="6FF1DF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-0.44608</w:t>
            </w:r>
          </w:p>
        </w:tc>
      </w:tr>
      <w:tr w:rsidR="002027D2" w:rsidRPr="008D1712" w14:paraId="62B00987"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5680FA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2D16591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5.372251</w:t>
            </w:r>
          </w:p>
        </w:tc>
        <w:tc>
          <w:tcPr>
            <w:tcW w:w="1069" w:type="dxa"/>
            <w:tcBorders>
              <w:top w:val="nil"/>
              <w:left w:val="nil"/>
              <w:bottom w:val="single" w:sz="4" w:space="0" w:color="auto"/>
              <w:right w:val="single" w:sz="4" w:space="0" w:color="auto"/>
            </w:tcBorders>
            <w:shd w:val="clear" w:color="auto" w:fill="auto"/>
            <w:noWrap/>
            <w:vAlign w:val="bottom"/>
            <w:hideMark/>
          </w:tcPr>
          <w:p w14:paraId="4D648C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-5.86833</w:t>
            </w:r>
          </w:p>
        </w:tc>
        <w:tc>
          <w:tcPr>
            <w:tcW w:w="1069" w:type="dxa"/>
            <w:tcBorders>
              <w:top w:val="nil"/>
              <w:left w:val="nil"/>
              <w:bottom w:val="single" w:sz="4" w:space="0" w:color="auto"/>
              <w:right w:val="single" w:sz="4" w:space="0" w:color="auto"/>
            </w:tcBorders>
            <w:shd w:val="clear" w:color="auto" w:fill="auto"/>
            <w:noWrap/>
            <w:vAlign w:val="bottom"/>
            <w:hideMark/>
          </w:tcPr>
          <w:p w14:paraId="2569B0C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1.635253</w:t>
            </w:r>
          </w:p>
        </w:tc>
      </w:tr>
      <w:tr w:rsidR="002027D2" w:rsidRPr="008D1712" w14:paraId="58EA0BE2"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66A59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08ED25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6.129962</w:t>
            </w:r>
          </w:p>
        </w:tc>
        <w:tc>
          <w:tcPr>
            <w:tcW w:w="1069" w:type="dxa"/>
            <w:tcBorders>
              <w:top w:val="nil"/>
              <w:left w:val="nil"/>
              <w:bottom w:val="single" w:sz="4" w:space="0" w:color="auto"/>
              <w:right w:val="single" w:sz="4" w:space="0" w:color="auto"/>
            </w:tcBorders>
            <w:shd w:val="clear" w:color="auto" w:fill="auto"/>
            <w:noWrap/>
            <w:vAlign w:val="bottom"/>
            <w:hideMark/>
          </w:tcPr>
          <w:p w14:paraId="0CD540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-3.37635</w:t>
            </w:r>
          </w:p>
        </w:tc>
        <w:tc>
          <w:tcPr>
            <w:tcW w:w="1069" w:type="dxa"/>
            <w:tcBorders>
              <w:top w:val="nil"/>
              <w:left w:val="nil"/>
              <w:bottom w:val="single" w:sz="4" w:space="0" w:color="auto"/>
              <w:right w:val="single" w:sz="4" w:space="0" w:color="auto"/>
            </w:tcBorders>
            <w:shd w:val="clear" w:color="auto" w:fill="auto"/>
            <w:noWrap/>
            <w:vAlign w:val="bottom"/>
            <w:hideMark/>
          </w:tcPr>
          <w:p w14:paraId="6C10BB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1.97429</w:t>
            </w:r>
          </w:p>
        </w:tc>
      </w:tr>
      <w:tr w:rsidR="002027D2" w:rsidRPr="008D1712" w14:paraId="2827E67D"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5D6C93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3BF26D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7.503005</w:t>
            </w:r>
          </w:p>
        </w:tc>
        <w:tc>
          <w:tcPr>
            <w:tcW w:w="1069" w:type="dxa"/>
            <w:tcBorders>
              <w:top w:val="nil"/>
              <w:left w:val="nil"/>
              <w:bottom w:val="single" w:sz="4" w:space="0" w:color="auto"/>
              <w:right w:val="single" w:sz="4" w:space="0" w:color="auto"/>
            </w:tcBorders>
            <w:shd w:val="clear" w:color="auto" w:fill="auto"/>
            <w:noWrap/>
            <w:vAlign w:val="bottom"/>
            <w:hideMark/>
          </w:tcPr>
          <w:p w14:paraId="5E660A6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-4.44859</w:t>
            </w:r>
          </w:p>
        </w:tc>
        <w:tc>
          <w:tcPr>
            <w:tcW w:w="1069" w:type="dxa"/>
            <w:tcBorders>
              <w:top w:val="nil"/>
              <w:left w:val="nil"/>
              <w:bottom w:val="single" w:sz="4" w:space="0" w:color="auto"/>
              <w:right w:val="single" w:sz="4" w:space="0" w:color="auto"/>
            </w:tcBorders>
            <w:shd w:val="clear" w:color="auto" w:fill="auto"/>
            <w:noWrap/>
            <w:vAlign w:val="bottom"/>
            <w:hideMark/>
          </w:tcPr>
          <w:p w14:paraId="0BAA87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2.387029</w:t>
            </w:r>
          </w:p>
        </w:tc>
      </w:tr>
      <w:tr w:rsidR="002027D2" w:rsidRPr="008D1712" w14:paraId="0C2EA45B"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DC2134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396ADB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7.073932</w:t>
            </w:r>
          </w:p>
        </w:tc>
        <w:tc>
          <w:tcPr>
            <w:tcW w:w="1069" w:type="dxa"/>
            <w:tcBorders>
              <w:top w:val="nil"/>
              <w:left w:val="nil"/>
              <w:bottom w:val="single" w:sz="4" w:space="0" w:color="auto"/>
              <w:right w:val="single" w:sz="4" w:space="0" w:color="auto"/>
            </w:tcBorders>
            <w:shd w:val="clear" w:color="auto" w:fill="auto"/>
            <w:noWrap/>
            <w:vAlign w:val="bottom"/>
            <w:hideMark/>
          </w:tcPr>
          <w:p w14:paraId="53725F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-6.60252</w:t>
            </w:r>
          </w:p>
        </w:tc>
        <w:tc>
          <w:tcPr>
            <w:tcW w:w="1069" w:type="dxa"/>
            <w:tcBorders>
              <w:top w:val="nil"/>
              <w:left w:val="nil"/>
              <w:bottom w:val="single" w:sz="4" w:space="0" w:color="auto"/>
              <w:right w:val="single" w:sz="4" w:space="0" w:color="auto"/>
            </w:tcBorders>
            <w:shd w:val="clear" w:color="auto" w:fill="auto"/>
            <w:noWrap/>
            <w:vAlign w:val="bottom"/>
            <w:hideMark/>
          </w:tcPr>
          <w:p w14:paraId="65C330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-0.53896</w:t>
            </w:r>
          </w:p>
        </w:tc>
      </w:tr>
      <w:tr w:rsidR="002027D2" w:rsidRPr="008D1712" w14:paraId="58B669AA"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463EC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386898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7.592015</w:t>
            </w:r>
          </w:p>
        </w:tc>
        <w:tc>
          <w:tcPr>
            <w:tcW w:w="1069" w:type="dxa"/>
            <w:tcBorders>
              <w:top w:val="nil"/>
              <w:left w:val="nil"/>
              <w:bottom w:val="single" w:sz="4" w:space="0" w:color="auto"/>
              <w:right w:val="single" w:sz="4" w:space="0" w:color="auto"/>
            </w:tcBorders>
            <w:shd w:val="clear" w:color="auto" w:fill="auto"/>
            <w:noWrap/>
            <w:vAlign w:val="bottom"/>
            <w:hideMark/>
          </w:tcPr>
          <w:p w14:paraId="1FB2F10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-6.76464</w:t>
            </w:r>
          </w:p>
        </w:tc>
        <w:tc>
          <w:tcPr>
            <w:tcW w:w="1069" w:type="dxa"/>
            <w:tcBorders>
              <w:top w:val="nil"/>
              <w:left w:val="nil"/>
              <w:bottom w:val="single" w:sz="4" w:space="0" w:color="auto"/>
              <w:right w:val="single" w:sz="4" w:space="0" w:color="auto"/>
            </w:tcBorders>
            <w:shd w:val="clear" w:color="auto" w:fill="auto"/>
            <w:noWrap/>
            <w:vAlign w:val="bottom"/>
            <w:hideMark/>
          </w:tcPr>
          <w:p w14:paraId="2ED5BCB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1.157183</w:t>
            </w:r>
          </w:p>
        </w:tc>
      </w:tr>
      <w:tr w:rsidR="002027D2" w:rsidRPr="008D1712" w14:paraId="66AFC407"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90071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5119C3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6.29779</w:t>
            </w:r>
          </w:p>
        </w:tc>
        <w:tc>
          <w:tcPr>
            <w:tcW w:w="1069" w:type="dxa"/>
            <w:tcBorders>
              <w:top w:val="nil"/>
              <w:left w:val="nil"/>
              <w:bottom w:val="single" w:sz="4" w:space="0" w:color="auto"/>
              <w:right w:val="single" w:sz="4" w:space="0" w:color="auto"/>
            </w:tcBorders>
            <w:shd w:val="clear" w:color="auto" w:fill="auto"/>
            <w:noWrap/>
            <w:vAlign w:val="bottom"/>
            <w:hideMark/>
          </w:tcPr>
          <w:p w14:paraId="645B8D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-4.09405</w:t>
            </w:r>
          </w:p>
        </w:tc>
        <w:tc>
          <w:tcPr>
            <w:tcW w:w="1069" w:type="dxa"/>
            <w:tcBorders>
              <w:top w:val="nil"/>
              <w:left w:val="nil"/>
              <w:bottom w:val="single" w:sz="4" w:space="0" w:color="auto"/>
              <w:right w:val="single" w:sz="4" w:space="0" w:color="auto"/>
            </w:tcBorders>
            <w:shd w:val="clear" w:color="auto" w:fill="auto"/>
            <w:noWrap/>
            <w:vAlign w:val="bottom"/>
            <w:hideMark/>
          </w:tcPr>
          <w:p w14:paraId="27619C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-1.11954</w:t>
            </w:r>
          </w:p>
        </w:tc>
      </w:tr>
      <w:tr w:rsidR="002027D2" w:rsidRPr="008D1712" w14:paraId="30364853"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0002E2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21F7D12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4.826429</w:t>
            </w:r>
          </w:p>
        </w:tc>
        <w:tc>
          <w:tcPr>
            <w:tcW w:w="1069" w:type="dxa"/>
            <w:tcBorders>
              <w:top w:val="nil"/>
              <w:left w:val="nil"/>
              <w:bottom w:val="single" w:sz="4" w:space="0" w:color="auto"/>
              <w:right w:val="single" w:sz="4" w:space="0" w:color="auto"/>
            </w:tcBorders>
            <w:shd w:val="clear" w:color="auto" w:fill="auto"/>
            <w:noWrap/>
            <w:vAlign w:val="bottom"/>
            <w:hideMark/>
          </w:tcPr>
          <w:p w14:paraId="3B1ED0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-3.87615</w:t>
            </w:r>
          </w:p>
        </w:tc>
        <w:tc>
          <w:tcPr>
            <w:tcW w:w="1069" w:type="dxa"/>
            <w:tcBorders>
              <w:top w:val="nil"/>
              <w:left w:val="nil"/>
              <w:bottom w:val="single" w:sz="4" w:space="0" w:color="auto"/>
              <w:right w:val="single" w:sz="4" w:space="0" w:color="auto"/>
            </w:tcBorders>
            <w:shd w:val="clear" w:color="auto" w:fill="auto"/>
            <w:noWrap/>
            <w:vAlign w:val="bottom"/>
            <w:hideMark/>
          </w:tcPr>
          <w:p w14:paraId="284312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-0.10986</w:t>
            </w:r>
          </w:p>
        </w:tc>
      </w:tr>
      <w:tr w:rsidR="002027D2" w:rsidRPr="008D1712" w14:paraId="6D206087"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D8174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5A6F09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5.110383</w:t>
            </w:r>
          </w:p>
        </w:tc>
        <w:tc>
          <w:tcPr>
            <w:tcW w:w="1069" w:type="dxa"/>
            <w:tcBorders>
              <w:top w:val="nil"/>
              <w:left w:val="nil"/>
              <w:bottom w:val="single" w:sz="4" w:space="0" w:color="auto"/>
              <w:right w:val="single" w:sz="4" w:space="0" w:color="auto"/>
            </w:tcBorders>
            <w:shd w:val="clear" w:color="auto" w:fill="auto"/>
            <w:noWrap/>
            <w:vAlign w:val="bottom"/>
            <w:hideMark/>
          </w:tcPr>
          <w:p w14:paraId="70DBB5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-5.44436</w:t>
            </w:r>
          </w:p>
        </w:tc>
        <w:tc>
          <w:tcPr>
            <w:tcW w:w="1069" w:type="dxa"/>
            <w:tcBorders>
              <w:top w:val="nil"/>
              <w:left w:val="nil"/>
              <w:bottom w:val="single" w:sz="4" w:space="0" w:color="auto"/>
              <w:right w:val="single" w:sz="4" w:space="0" w:color="auto"/>
            </w:tcBorders>
            <w:shd w:val="clear" w:color="auto" w:fill="auto"/>
            <w:noWrap/>
            <w:vAlign w:val="bottom"/>
            <w:hideMark/>
          </w:tcPr>
          <w:p w14:paraId="37BD1D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-0.95237</w:t>
            </w:r>
          </w:p>
        </w:tc>
      </w:tr>
      <w:tr w:rsidR="002027D2" w:rsidRPr="008D1712" w14:paraId="79E6D78D"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E2416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197B3A1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5.878927</w:t>
            </w:r>
          </w:p>
        </w:tc>
        <w:tc>
          <w:tcPr>
            <w:tcW w:w="1069" w:type="dxa"/>
            <w:tcBorders>
              <w:top w:val="nil"/>
              <w:left w:val="nil"/>
              <w:bottom w:val="single" w:sz="4" w:space="0" w:color="auto"/>
              <w:right w:val="single" w:sz="4" w:space="0" w:color="auto"/>
            </w:tcBorders>
            <w:shd w:val="clear" w:color="auto" w:fill="auto"/>
            <w:noWrap/>
            <w:vAlign w:val="bottom"/>
            <w:hideMark/>
          </w:tcPr>
          <w:p w14:paraId="277151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-6.14085</w:t>
            </w:r>
          </w:p>
        </w:tc>
        <w:tc>
          <w:tcPr>
            <w:tcW w:w="1069" w:type="dxa"/>
            <w:tcBorders>
              <w:top w:val="nil"/>
              <w:left w:val="nil"/>
              <w:bottom w:val="single" w:sz="4" w:space="0" w:color="auto"/>
              <w:right w:val="single" w:sz="4" w:space="0" w:color="auto"/>
            </w:tcBorders>
            <w:shd w:val="clear" w:color="auto" w:fill="auto"/>
            <w:noWrap/>
            <w:vAlign w:val="bottom"/>
            <w:hideMark/>
          </w:tcPr>
          <w:p w14:paraId="414472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2.572729</w:t>
            </w:r>
          </w:p>
        </w:tc>
      </w:tr>
      <w:tr w:rsidR="002027D2" w:rsidRPr="008D1712" w14:paraId="41193B5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7E824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0FBF9D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5.041268</w:t>
            </w:r>
          </w:p>
        </w:tc>
        <w:tc>
          <w:tcPr>
            <w:tcW w:w="1069" w:type="dxa"/>
            <w:tcBorders>
              <w:top w:val="nil"/>
              <w:left w:val="nil"/>
              <w:bottom w:val="single" w:sz="4" w:space="0" w:color="auto"/>
              <w:right w:val="single" w:sz="4" w:space="0" w:color="auto"/>
            </w:tcBorders>
            <w:shd w:val="clear" w:color="auto" w:fill="auto"/>
            <w:noWrap/>
            <w:vAlign w:val="bottom"/>
            <w:hideMark/>
          </w:tcPr>
          <w:p w14:paraId="450052C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-6.77526</w:t>
            </w:r>
          </w:p>
        </w:tc>
        <w:tc>
          <w:tcPr>
            <w:tcW w:w="1069" w:type="dxa"/>
            <w:tcBorders>
              <w:top w:val="nil"/>
              <w:left w:val="nil"/>
              <w:bottom w:val="single" w:sz="4" w:space="0" w:color="auto"/>
              <w:right w:val="single" w:sz="4" w:space="0" w:color="auto"/>
            </w:tcBorders>
            <w:shd w:val="clear" w:color="auto" w:fill="auto"/>
            <w:noWrap/>
            <w:vAlign w:val="bottom"/>
            <w:hideMark/>
          </w:tcPr>
          <w:p w14:paraId="387379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1.107643</w:t>
            </w:r>
          </w:p>
        </w:tc>
      </w:tr>
      <w:tr w:rsidR="002027D2" w:rsidRPr="008D1712" w14:paraId="760D8A2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0061B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055D8FC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4.505848</w:t>
            </w:r>
          </w:p>
        </w:tc>
        <w:tc>
          <w:tcPr>
            <w:tcW w:w="1069" w:type="dxa"/>
            <w:tcBorders>
              <w:top w:val="nil"/>
              <w:left w:val="nil"/>
              <w:bottom w:val="single" w:sz="4" w:space="0" w:color="auto"/>
              <w:right w:val="single" w:sz="4" w:space="0" w:color="auto"/>
            </w:tcBorders>
            <w:shd w:val="clear" w:color="auto" w:fill="auto"/>
            <w:noWrap/>
            <w:vAlign w:val="bottom"/>
            <w:hideMark/>
          </w:tcPr>
          <w:p w14:paraId="7160AA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-5.2255</w:t>
            </w:r>
          </w:p>
        </w:tc>
        <w:tc>
          <w:tcPr>
            <w:tcW w:w="1069" w:type="dxa"/>
            <w:tcBorders>
              <w:top w:val="nil"/>
              <w:left w:val="nil"/>
              <w:bottom w:val="single" w:sz="4" w:space="0" w:color="auto"/>
              <w:right w:val="single" w:sz="4" w:space="0" w:color="auto"/>
            </w:tcBorders>
            <w:shd w:val="clear" w:color="auto" w:fill="auto"/>
            <w:noWrap/>
            <w:vAlign w:val="bottom"/>
            <w:hideMark/>
          </w:tcPr>
          <w:p w14:paraId="2476A1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1.849843</w:t>
            </w:r>
          </w:p>
        </w:tc>
      </w:tr>
      <w:tr w:rsidR="002027D2" w:rsidRPr="008D1712" w14:paraId="439BE4E2"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079BB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069" w:type="dxa"/>
            <w:tcBorders>
              <w:top w:val="nil"/>
              <w:left w:val="nil"/>
              <w:bottom w:val="single" w:sz="4" w:space="0" w:color="auto"/>
              <w:right w:val="single" w:sz="4" w:space="0" w:color="auto"/>
            </w:tcBorders>
            <w:shd w:val="clear" w:color="auto" w:fill="auto"/>
            <w:noWrap/>
            <w:vAlign w:val="bottom"/>
            <w:hideMark/>
          </w:tcPr>
          <w:p w14:paraId="591B2CB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10.00136</w:t>
            </w:r>
          </w:p>
        </w:tc>
        <w:tc>
          <w:tcPr>
            <w:tcW w:w="1069" w:type="dxa"/>
            <w:tcBorders>
              <w:top w:val="nil"/>
              <w:left w:val="nil"/>
              <w:bottom w:val="single" w:sz="4" w:space="0" w:color="auto"/>
              <w:right w:val="single" w:sz="4" w:space="0" w:color="auto"/>
            </w:tcBorders>
            <w:shd w:val="clear" w:color="auto" w:fill="auto"/>
            <w:noWrap/>
            <w:vAlign w:val="bottom"/>
            <w:hideMark/>
          </w:tcPr>
          <w:p w14:paraId="028E3A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-3.3274</w:t>
            </w:r>
          </w:p>
        </w:tc>
        <w:tc>
          <w:tcPr>
            <w:tcW w:w="1069" w:type="dxa"/>
            <w:tcBorders>
              <w:top w:val="nil"/>
              <w:left w:val="nil"/>
              <w:bottom w:val="single" w:sz="4" w:space="0" w:color="auto"/>
              <w:right w:val="single" w:sz="4" w:space="0" w:color="auto"/>
            </w:tcBorders>
            <w:shd w:val="clear" w:color="auto" w:fill="auto"/>
            <w:noWrap/>
            <w:vAlign w:val="bottom"/>
            <w:hideMark/>
          </w:tcPr>
          <w:p w14:paraId="255B88C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-0.56863</w:t>
            </w:r>
          </w:p>
        </w:tc>
      </w:tr>
      <w:tr w:rsidR="002027D2" w:rsidRPr="008D1712" w14:paraId="0398F81C"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EA89C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359151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10.60023</w:t>
            </w:r>
          </w:p>
        </w:tc>
        <w:tc>
          <w:tcPr>
            <w:tcW w:w="1069" w:type="dxa"/>
            <w:tcBorders>
              <w:top w:val="nil"/>
              <w:left w:val="nil"/>
              <w:bottom w:val="single" w:sz="4" w:space="0" w:color="auto"/>
              <w:right w:val="single" w:sz="4" w:space="0" w:color="auto"/>
            </w:tcBorders>
            <w:shd w:val="clear" w:color="auto" w:fill="auto"/>
            <w:noWrap/>
            <w:vAlign w:val="bottom"/>
            <w:hideMark/>
          </w:tcPr>
          <w:p w14:paraId="22E701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-2.0743</w:t>
            </w:r>
          </w:p>
        </w:tc>
        <w:tc>
          <w:tcPr>
            <w:tcW w:w="1069" w:type="dxa"/>
            <w:tcBorders>
              <w:top w:val="nil"/>
              <w:left w:val="nil"/>
              <w:bottom w:val="single" w:sz="4" w:space="0" w:color="auto"/>
              <w:right w:val="single" w:sz="4" w:space="0" w:color="auto"/>
            </w:tcBorders>
            <w:shd w:val="clear" w:color="auto" w:fill="auto"/>
            <w:noWrap/>
            <w:vAlign w:val="bottom"/>
            <w:hideMark/>
          </w:tcPr>
          <w:p w14:paraId="13356CB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-0.07283</w:t>
            </w:r>
          </w:p>
        </w:tc>
      </w:tr>
      <w:tr w:rsidR="002027D2" w:rsidRPr="008D1712" w14:paraId="2AEFABD8"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E730A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3E59A5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12.12984</w:t>
            </w:r>
          </w:p>
        </w:tc>
        <w:tc>
          <w:tcPr>
            <w:tcW w:w="1069" w:type="dxa"/>
            <w:tcBorders>
              <w:top w:val="nil"/>
              <w:left w:val="nil"/>
              <w:bottom w:val="single" w:sz="4" w:space="0" w:color="auto"/>
              <w:right w:val="single" w:sz="4" w:space="0" w:color="auto"/>
            </w:tcBorders>
            <w:shd w:val="clear" w:color="auto" w:fill="auto"/>
            <w:noWrap/>
            <w:vAlign w:val="bottom"/>
            <w:hideMark/>
          </w:tcPr>
          <w:p w14:paraId="102A55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-2.14925</w:t>
            </w:r>
          </w:p>
        </w:tc>
        <w:tc>
          <w:tcPr>
            <w:tcW w:w="1069" w:type="dxa"/>
            <w:tcBorders>
              <w:top w:val="nil"/>
              <w:left w:val="nil"/>
              <w:bottom w:val="single" w:sz="4" w:space="0" w:color="auto"/>
              <w:right w:val="single" w:sz="4" w:space="0" w:color="auto"/>
            </w:tcBorders>
            <w:shd w:val="clear" w:color="auto" w:fill="auto"/>
            <w:noWrap/>
            <w:vAlign w:val="bottom"/>
            <w:hideMark/>
          </w:tcPr>
          <w:p w14:paraId="433031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-0.1663</w:t>
            </w:r>
          </w:p>
        </w:tc>
      </w:tr>
      <w:tr w:rsidR="002027D2" w:rsidRPr="008D1712" w14:paraId="4FE601FE"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7A055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069" w:type="dxa"/>
            <w:tcBorders>
              <w:top w:val="nil"/>
              <w:left w:val="nil"/>
              <w:bottom w:val="single" w:sz="4" w:space="0" w:color="auto"/>
              <w:right w:val="single" w:sz="4" w:space="0" w:color="auto"/>
            </w:tcBorders>
            <w:shd w:val="clear" w:color="auto" w:fill="auto"/>
            <w:noWrap/>
            <w:vAlign w:val="bottom"/>
            <w:hideMark/>
          </w:tcPr>
          <w:p w14:paraId="6CEC07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12.48818</w:t>
            </w:r>
          </w:p>
        </w:tc>
        <w:tc>
          <w:tcPr>
            <w:tcW w:w="1069" w:type="dxa"/>
            <w:tcBorders>
              <w:top w:val="nil"/>
              <w:left w:val="nil"/>
              <w:bottom w:val="single" w:sz="4" w:space="0" w:color="auto"/>
              <w:right w:val="single" w:sz="4" w:space="0" w:color="auto"/>
            </w:tcBorders>
            <w:shd w:val="clear" w:color="auto" w:fill="auto"/>
            <w:noWrap/>
            <w:vAlign w:val="bottom"/>
            <w:hideMark/>
          </w:tcPr>
          <w:p w14:paraId="35DF04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-2.36642</w:t>
            </w:r>
          </w:p>
        </w:tc>
        <w:tc>
          <w:tcPr>
            <w:tcW w:w="1069" w:type="dxa"/>
            <w:tcBorders>
              <w:top w:val="nil"/>
              <w:left w:val="nil"/>
              <w:bottom w:val="single" w:sz="4" w:space="0" w:color="auto"/>
              <w:right w:val="single" w:sz="4" w:space="0" w:color="auto"/>
            </w:tcBorders>
            <w:shd w:val="clear" w:color="auto" w:fill="auto"/>
            <w:noWrap/>
            <w:vAlign w:val="bottom"/>
            <w:hideMark/>
          </w:tcPr>
          <w:p w14:paraId="47B042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-1.56517</w:t>
            </w:r>
          </w:p>
        </w:tc>
      </w:tr>
      <w:tr w:rsidR="002027D2" w:rsidRPr="008D1712" w14:paraId="7537A824"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5E75FD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58548A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11.99921</w:t>
            </w:r>
          </w:p>
        </w:tc>
        <w:tc>
          <w:tcPr>
            <w:tcW w:w="1069" w:type="dxa"/>
            <w:tcBorders>
              <w:top w:val="nil"/>
              <w:left w:val="nil"/>
              <w:bottom w:val="single" w:sz="4" w:space="0" w:color="auto"/>
              <w:right w:val="single" w:sz="4" w:space="0" w:color="auto"/>
            </w:tcBorders>
            <w:shd w:val="clear" w:color="auto" w:fill="auto"/>
            <w:noWrap/>
            <w:vAlign w:val="bottom"/>
            <w:hideMark/>
          </w:tcPr>
          <w:p w14:paraId="3E534B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-3.66227</w:t>
            </w:r>
          </w:p>
        </w:tc>
        <w:tc>
          <w:tcPr>
            <w:tcW w:w="1069" w:type="dxa"/>
            <w:tcBorders>
              <w:top w:val="nil"/>
              <w:left w:val="nil"/>
              <w:bottom w:val="single" w:sz="4" w:space="0" w:color="auto"/>
              <w:right w:val="single" w:sz="4" w:space="0" w:color="auto"/>
            </w:tcBorders>
            <w:shd w:val="clear" w:color="auto" w:fill="auto"/>
            <w:noWrap/>
            <w:vAlign w:val="bottom"/>
            <w:hideMark/>
          </w:tcPr>
          <w:p w14:paraId="1C86AA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-2.02294</w:t>
            </w:r>
          </w:p>
        </w:tc>
      </w:tr>
      <w:tr w:rsidR="002027D2" w:rsidRPr="008D1712" w14:paraId="22E0449D"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33A55F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69" w:type="dxa"/>
            <w:tcBorders>
              <w:top w:val="nil"/>
              <w:left w:val="nil"/>
              <w:bottom w:val="single" w:sz="4" w:space="0" w:color="auto"/>
              <w:right w:val="single" w:sz="4" w:space="0" w:color="auto"/>
            </w:tcBorders>
            <w:shd w:val="clear" w:color="auto" w:fill="auto"/>
            <w:noWrap/>
            <w:vAlign w:val="bottom"/>
            <w:hideMark/>
          </w:tcPr>
          <w:p w14:paraId="20013D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10.46974</w:t>
            </w:r>
          </w:p>
        </w:tc>
        <w:tc>
          <w:tcPr>
            <w:tcW w:w="1069" w:type="dxa"/>
            <w:tcBorders>
              <w:top w:val="nil"/>
              <w:left w:val="nil"/>
              <w:bottom w:val="single" w:sz="4" w:space="0" w:color="auto"/>
              <w:right w:val="single" w:sz="4" w:space="0" w:color="auto"/>
            </w:tcBorders>
            <w:shd w:val="clear" w:color="auto" w:fill="auto"/>
            <w:noWrap/>
            <w:vAlign w:val="bottom"/>
            <w:hideMark/>
          </w:tcPr>
          <w:p w14:paraId="6A8FDE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-3.68693</w:t>
            </w:r>
          </w:p>
        </w:tc>
        <w:tc>
          <w:tcPr>
            <w:tcW w:w="1069" w:type="dxa"/>
            <w:tcBorders>
              <w:top w:val="nil"/>
              <w:left w:val="nil"/>
              <w:bottom w:val="single" w:sz="4" w:space="0" w:color="auto"/>
              <w:right w:val="single" w:sz="4" w:space="0" w:color="auto"/>
            </w:tcBorders>
            <w:shd w:val="clear" w:color="auto" w:fill="auto"/>
            <w:noWrap/>
            <w:vAlign w:val="bottom"/>
            <w:hideMark/>
          </w:tcPr>
          <w:p w14:paraId="2C570E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-1.92633</w:t>
            </w:r>
          </w:p>
        </w:tc>
      </w:tr>
      <w:tr w:rsidR="002027D2" w:rsidRPr="008D1712" w14:paraId="0DAAB5E8"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10B508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0C259B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10.27629</w:t>
            </w:r>
          </w:p>
        </w:tc>
        <w:tc>
          <w:tcPr>
            <w:tcW w:w="1069" w:type="dxa"/>
            <w:tcBorders>
              <w:top w:val="nil"/>
              <w:left w:val="nil"/>
              <w:bottom w:val="single" w:sz="4" w:space="0" w:color="auto"/>
              <w:right w:val="single" w:sz="4" w:space="0" w:color="auto"/>
            </w:tcBorders>
            <w:shd w:val="clear" w:color="auto" w:fill="auto"/>
            <w:noWrap/>
            <w:vAlign w:val="bottom"/>
            <w:hideMark/>
          </w:tcPr>
          <w:p w14:paraId="19CF8C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-1.90924</w:t>
            </w:r>
          </w:p>
        </w:tc>
        <w:tc>
          <w:tcPr>
            <w:tcW w:w="1069" w:type="dxa"/>
            <w:tcBorders>
              <w:top w:val="nil"/>
              <w:left w:val="nil"/>
              <w:bottom w:val="single" w:sz="4" w:space="0" w:color="auto"/>
              <w:right w:val="single" w:sz="4" w:space="0" w:color="auto"/>
            </w:tcBorders>
            <w:shd w:val="clear" w:color="auto" w:fill="auto"/>
            <w:noWrap/>
            <w:vAlign w:val="bottom"/>
            <w:hideMark/>
          </w:tcPr>
          <w:p w14:paraId="4A3FD3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0.966501</w:t>
            </w:r>
          </w:p>
        </w:tc>
      </w:tr>
      <w:tr w:rsidR="002027D2" w:rsidRPr="008D1712" w14:paraId="030A8677"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69113A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54F4B9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10.2823</w:t>
            </w:r>
          </w:p>
        </w:tc>
        <w:tc>
          <w:tcPr>
            <w:tcW w:w="1069" w:type="dxa"/>
            <w:tcBorders>
              <w:top w:val="nil"/>
              <w:left w:val="nil"/>
              <w:bottom w:val="single" w:sz="4" w:space="0" w:color="auto"/>
              <w:right w:val="single" w:sz="4" w:space="0" w:color="auto"/>
            </w:tcBorders>
            <w:shd w:val="clear" w:color="auto" w:fill="auto"/>
            <w:noWrap/>
            <w:vAlign w:val="bottom"/>
            <w:hideMark/>
          </w:tcPr>
          <w:p w14:paraId="4B7F9D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-1.2155</w:t>
            </w:r>
          </w:p>
        </w:tc>
        <w:tc>
          <w:tcPr>
            <w:tcW w:w="1069" w:type="dxa"/>
            <w:tcBorders>
              <w:top w:val="nil"/>
              <w:left w:val="nil"/>
              <w:bottom w:val="single" w:sz="4" w:space="0" w:color="auto"/>
              <w:right w:val="single" w:sz="4" w:space="0" w:color="auto"/>
            </w:tcBorders>
            <w:shd w:val="clear" w:color="auto" w:fill="auto"/>
            <w:noWrap/>
            <w:vAlign w:val="bottom"/>
            <w:hideMark/>
          </w:tcPr>
          <w:p w14:paraId="79B72B7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-0.69792</w:t>
            </w:r>
          </w:p>
        </w:tc>
      </w:tr>
      <w:tr w:rsidR="002027D2" w:rsidRPr="008D1712" w14:paraId="7B4E08B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45D532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069" w:type="dxa"/>
            <w:tcBorders>
              <w:top w:val="nil"/>
              <w:left w:val="nil"/>
              <w:bottom w:val="single" w:sz="4" w:space="0" w:color="auto"/>
              <w:right w:val="single" w:sz="4" w:space="0" w:color="auto"/>
            </w:tcBorders>
            <w:shd w:val="clear" w:color="auto" w:fill="auto"/>
            <w:noWrap/>
            <w:vAlign w:val="bottom"/>
            <w:hideMark/>
          </w:tcPr>
          <w:p w14:paraId="1F0B16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12.50064</w:t>
            </w:r>
          </w:p>
        </w:tc>
        <w:tc>
          <w:tcPr>
            <w:tcW w:w="1069" w:type="dxa"/>
            <w:tcBorders>
              <w:top w:val="nil"/>
              <w:left w:val="nil"/>
              <w:bottom w:val="single" w:sz="4" w:space="0" w:color="auto"/>
              <w:right w:val="single" w:sz="4" w:space="0" w:color="auto"/>
            </w:tcBorders>
            <w:shd w:val="clear" w:color="auto" w:fill="auto"/>
            <w:noWrap/>
            <w:vAlign w:val="bottom"/>
            <w:hideMark/>
          </w:tcPr>
          <w:p w14:paraId="075DB6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-2.95242</w:t>
            </w:r>
          </w:p>
        </w:tc>
        <w:tc>
          <w:tcPr>
            <w:tcW w:w="1069" w:type="dxa"/>
            <w:tcBorders>
              <w:top w:val="nil"/>
              <w:left w:val="nil"/>
              <w:bottom w:val="single" w:sz="4" w:space="0" w:color="auto"/>
              <w:right w:val="single" w:sz="4" w:space="0" w:color="auto"/>
            </w:tcBorders>
            <w:shd w:val="clear" w:color="auto" w:fill="auto"/>
            <w:noWrap/>
            <w:vAlign w:val="bottom"/>
            <w:hideMark/>
          </w:tcPr>
          <w:p w14:paraId="3135E2E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0.515552</w:t>
            </w:r>
          </w:p>
        </w:tc>
      </w:tr>
      <w:tr w:rsidR="002027D2" w:rsidRPr="008D1712" w14:paraId="3AF613D2"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BB11D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54CCAE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12.551</w:t>
            </w:r>
          </w:p>
        </w:tc>
        <w:tc>
          <w:tcPr>
            <w:tcW w:w="1069" w:type="dxa"/>
            <w:tcBorders>
              <w:top w:val="nil"/>
              <w:left w:val="nil"/>
              <w:bottom w:val="single" w:sz="4" w:space="0" w:color="auto"/>
              <w:right w:val="single" w:sz="4" w:space="0" w:color="auto"/>
            </w:tcBorders>
            <w:shd w:val="clear" w:color="auto" w:fill="auto"/>
            <w:noWrap/>
            <w:vAlign w:val="bottom"/>
            <w:hideMark/>
          </w:tcPr>
          <w:p w14:paraId="4B45817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-1.18862</w:t>
            </w:r>
          </w:p>
        </w:tc>
        <w:tc>
          <w:tcPr>
            <w:tcW w:w="1069" w:type="dxa"/>
            <w:tcBorders>
              <w:top w:val="nil"/>
              <w:left w:val="nil"/>
              <w:bottom w:val="single" w:sz="4" w:space="0" w:color="auto"/>
              <w:right w:val="single" w:sz="4" w:space="0" w:color="auto"/>
            </w:tcBorders>
            <w:shd w:val="clear" w:color="auto" w:fill="auto"/>
            <w:noWrap/>
            <w:vAlign w:val="bottom"/>
            <w:hideMark/>
          </w:tcPr>
          <w:p w14:paraId="4484EF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0.17614</w:t>
            </w:r>
          </w:p>
        </w:tc>
      </w:tr>
      <w:tr w:rsidR="002027D2" w:rsidRPr="008D1712" w14:paraId="0EF9E3E6"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D6331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3165A6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13.49775</w:t>
            </w:r>
          </w:p>
        </w:tc>
        <w:tc>
          <w:tcPr>
            <w:tcW w:w="1069" w:type="dxa"/>
            <w:tcBorders>
              <w:top w:val="nil"/>
              <w:left w:val="nil"/>
              <w:bottom w:val="single" w:sz="4" w:space="0" w:color="auto"/>
              <w:right w:val="single" w:sz="4" w:space="0" w:color="auto"/>
            </w:tcBorders>
            <w:shd w:val="clear" w:color="auto" w:fill="auto"/>
            <w:noWrap/>
            <w:vAlign w:val="bottom"/>
            <w:hideMark/>
          </w:tcPr>
          <w:p w14:paraId="23A756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-2.27583</w:t>
            </w:r>
          </w:p>
        </w:tc>
        <w:tc>
          <w:tcPr>
            <w:tcW w:w="1069" w:type="dxa"/>
            <w:tcBorders>
              <w:top w:val="nil"/>
              <w:left w:val="nil"/>
              <w:bottom w:val="single" w:sz="4" w:space="0" w:color="auto"/>
              <w:right w:val="single" w:sz="4" w:space="0" w:color="auto"/>
            </w:tcBorders>
            <w:shd w:val="clear" w:color="auto" w:fill="auto"/>
            <w:noWrap/>
            <w:vAlign w:val="bottom"/>
            <w:hideMark/>
          </w:tcPr>
          <w:p w14:paraId="65A53B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-1.71403</w:t>
            </w:r>
          </w:p>
        </w:tc>
      </w:tr>
      <w:tr w:rsidR="002027D2" w:rsidRPr="008D1712" w14:paraId="1280F3E0"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23A8A3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17909C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12.41638</w:t>
            </w:r>
          </w:p>
        </w:tc>
        <w:tc>
          <w:tcPr>
            <w:tcW w:w="1069" w:type="dxa"/>
            <w:tcBorders>
              <w:top w:val="nil"/>
              <w:left w:val="nil"/>
              <w:bottom w:val="single" w:sz="4" w:space="0" w:color="auto"/>
              <w:right w:val="single" w:sz="4" w:space="0" w:color="auto"/>
            </w:tcBorders>
            <w:shd w:val="clear" w:color="auto" w:fill="auto"/>
            <w:noWrap/>
            <w:vAlign w:val="bottom"/>
            <w:hideMark/>
          </w:tcPr>
          <w:p w14:paraId="21C71F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-4.50731</w:t>
            </w:r>
          </w:p>
        </w:tc>
        <w:tc>
          <w:tcPr>
            <w:tcW w:w="1069" w:type="dxa"/>
            <w:tcBorders>
              <w:top w:val="nil"/>
              <w:left w:val="nil"/>
              <w:bottom w:val="single" w:sz="4" w:space="0" w:color="auto"/>
              <w:right w:val="single" w:sz="4" w:space="0" w:color="auto"/>
            </w:tcBorders>
            <w:shd w:val="clear" w:color="auto" w:fill="auto"/>
            <w:noWrap/>
            <w:vAlign w:val="bottom"/>
            <w:hideMark/>
          </w:tcPr>
          <w:p w14:paraId="6F04496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-1.42414</w:t>
            </w:r>
          </w:p>
        </w:tc>
      </w:tr>
      <w:tr w:rsidR="002027D2" w:rsidRPr="008D1712" w14:paraId="08176A83"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78188AC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6091BDA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12.29218</w:t>
            </w:r>
          </w:p>
        </w:tc>
        <w:tc>
          <w:tcPr>
            <w:tcW w:w="1069" w:type="dxa"/>
            <w:tcBorders>
              <w:top w:val="nil"/>
              <w:left w:val="nil"/>
              <w:bottom w:val="single" w:sz="4" w:space="0" w:color="auto"/>
              <w:right w:val="single" w:sz="4" w:space="0" w:color="auto"/>
            </w:tcBorders>
            <w:shd w:val="clear" w:color="auto" w:fill="auto"/>
            <w:noWrap/>
            <w:vAlign w:val="bottom"/>
            <w:hideMark/>
          </w:tcPr>
          <w:p w14:paraId="522682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-3.81544</w:t>
            </w:r>
          </w:p>
        </w:tc>
        <w:tc>
          <w:tcPr>
            <w:tcW w:w="1069" w:type="dxa"/>
            <w:tcBorders>
              <w:top w:val="nil"/>
              <w:left w:val="nil"/>
              <w:bottom w:val="single" w:sz="4" w:space="0" w:color="auto"/>
              <w:right w:val="single" w:sz="4" w:space="0" w:color="auto"/>
            </w:tcBorders>
            <w:shd w:val="clear" w:color="auto" w:fill="auto"/>
            <w:noWrap/>
            <w:vAlign w:val="bottom"/>
            <w:hideMark/>
          </w:tcPr>
          <w:p w14:paraId="2A6BE40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-3.07568</w:t>
            </w:r>
          </w:p>
        </w:tc>
      </w:tr>
      <w:tr w:rsidR="002027D2" w:rsidRPr="008D1712" w14:paraId="5F029F35"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55DDD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7CF94E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10.07397</w:t>
            </w:r>
          </w:p>
        </w:tc>
        <w:tc>
          <w:tcPr>
            <w:tcW w:w="1069" w:type="dxa"/>
            <w:tcBorders>
              <w:top w:val="nil"/>
              <w:left w:val="nil"/>
              <w:bottom w:val="single" w:sz="4" w:space="0" w:color="auto"/>
              <w:right w:val="single" w:sz="4" w:space="0" w:color="auto"/>
            </w:tcBorders>
            <w:shd w:val="clear" w:color="auto" w:fill="auto"/>
            <w:noWrap/>
            <w:vAlign w:val="bottom"/>
            <w:hideMark/>
          </w:tcPr>
          <w:p w14:paraId="034077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-4.67564</w:t>
            </w:r>
          </w:p>
        </w:tc>
        <w:tc>
          <w:tcPr>
            <w:tcW w:w="1069" w:type="dxa"/>
            <w:tcBorders>
              <w:top w:val="nil"/>
              <w:left w:val="nil"/>
              <w:bottom w:val="single" w:sz="4" w:space="0" w:color="auto"/>
              <w:right w:val="single" w:sz="4" w:space="0" w:color="auto"/>
            </w:tcBorders>
            <w:shd w:val="clear" w:color="auto" w:fill="auto"/>
            <w:noWrap/>
            <w:vAlign w:val="bottom"/>
            <w:hideMark/>
          </w:tcPr>
          <w:p w14:paraId="5B3017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-2.2003</w:t>
            </w:r>
          </w:p>
        </w:tc>
      </w:tr>
      <w:tr w:rsidR="002027D2" w:rsidRPr="008D1712" w14:paraId="1D276160" w14:textId="77777777" w:rsidTr="00323CC4">
        <w:trPr>
          <w:trHeight w:val="288"/>
          <w:jc w:val="center"/>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14:paraId="02A2A1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69" w:type="dxa"/>
            <w:tcBorders>
              <w:top w:val="nil"/>
              <w:left w:val="nil"/>
              <w:bottom w:val="single" w:sz="4" w:space="0" w:color="auto"/>
              <w:right w:val="single" w:sz="4" w:space="0" w:color="auto"/>
            </w:tcBorders>
            <w:shd w:val="clear" w:color="auto" w:fill="auto"/>
            <w:noWrap/>
            <w:vAlign w:val="bottom"/>
            <w:hideMark/>
          </w:tcPr>
          <w:p w14:paraId="342BBE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10.06332</w:t>
            </w:r>
          </w:p>
        </w:tc>
        <w:tc>
          <w:tcPr>
            <w:tcW w:w="1069" w:type="dxa"/>
            <w:tcBorders>
              <w:top w:val="nil"/>
              <w:left w:val="nil"/>
              <w:bottom w:val="single" w:sz="4" w:space="0" w:color="auto"/>
              <w:right w:val="single" w:sz="4" w:space="0" w:color="auto"/>
            </w:tcBorders>
            <w:shd w:val="clear" w:color="auto" w:fill="auto"/>
            <w:noWrap/>
            <w:vAlign w:val="bottom"/>
            <w:hideMark/>
          </w:tcPr>
          <w:p w14:paraId="0D2972C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-2.93665</w:t>
            </w:r>
          </w:p>
        </w:tc>
        <w:tc>
          <w:tcPr>
            <w:tcW w:w="1069" w:type="dxa"/>
            <w:tcBorders>
              <w:top w:val="nil"/>
              <w:left w:val="nil"/>
              <w:bottom w:val="single" w:sz="4" w:space="0" w:color="auto"/>
              <w:right w:val="single" w:sz="4" w:space="0" w:color="auto"/>
            </w:tcBorders>
            <w:shd w:val="clear" w:color="auto" w:fill="auto"/>
            <w:noWrap/>
            <w:vAlign w:val="bottom"/>
            <w:hideMark/>
          </w:tcPr>
          <w:p w14:paraId="0A23DE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-2.63651</w:t>
            </w:r>
          </w:p>
        </w:tc>
      </w:tr>
    </w:tbl>
    <w:p w14:paraId="509D7FC5" w14:textId="77777777" w:rsidR="002027D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S2.49</w:t>
      </w:r>
      <w:r w:rsidRPr="000452A8">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 xml:space="preserve">Coordinates (Angstroms) and energy (a.u.) of </w:t>
      </w:r>
      <w:r w:rsidRPr="008D1712">
        <w:rPr>
          <w:rFonts w:ascii="Arial" w:hAnsi="Arial" w:cs="Arial"/>
          <w:b/>
          <w:bCs/>
          <w:sz w:val="24"/>
          <w:szCs w:val="24"/>
        </w:rPr>
        <w:t>CY H.</w:t>
      </w:r>
      <w:r w:rsidRPr="008D1712">
        <w:rPr>
          <w:rFonts w:ascii="Arial" w:hAnsi="Arial" w:cs="Arial"/>
          <w:sz w:val="24"/>
          <w:szCs w:val="24"/>
        </w:rPr>
        <w:t xml:space="preserve"> Geometries were optimized using PBE functional and 6-31+G* basis set.</w:t>
      </w:r>
    </w:p>
    <w:p w14:paraId="453B8447" w14:textId="77777777" w:rsidR="002027D2" w:rsidRPr="008D1712" w:rsidRDefault="002027D2" w:rsidP="008D1712">
      <w:pPr>
        <w:jc w:val="center"/>
        <w:rPr>
          <w:rFonts w:ascii="Arial" w:hAnsi="Arial" w:cs="Arial"/>
          <w:sz w:val="24"/>
          <w:szCs w:val="24"/>
        </w:rPr>
      </w:pPr>
    </w:p>
    <w:tbl>
      <w:tblPr>
        <w:tblW w:w="4097" w:type="dxa"/>
        <w:jc w:val="center"/>
        <w:tblLook w:val="04A0" w:firstRow="1" w:lastRow="0" w:firstColumn="1" w:lastColumn="0" w:noHBand="0" w:noVBand="1"/>
      </w:tblPr>
      <w:tblGrid>
        <w:gridCol w:w="443"/>
        <w:gridCol w:w="1218"/>
        <w:gridCol w:w="1218"/>
        <w:gridCol w:w="1218"/>
      </w:tblGrid>
      <w:tr w:rsidR="002027D2" w:rsidRPr="008D1712" w14:paraId="394D0FCC" w14:textId="77777777" w:rsidTr="009C48F0">
        <w:trPr>
          <w:trHeight w:val="288"/>
          <w:jc w:val="center"/>
        </w:trPr>
        <w:tc>
          <w:tcPr>
            <w:tcW w:w="409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E7E39" w14:textId="77777777" w:rsidR="002027D2" w:rsidRPr="008D1712" w:rsidRDefault="002027D2" w:rsidP="008D1712">
            <w:pPr>
              <w:jc w:val="center"/>
              <w:rPr>
                <w:rFonts w:ascii="Arial" w:eastAsia="Times New Roman" w:hAnsi="Arial" w:cs="Arial"/>
                <w:b/>
                <w:bCs/>
                <w:color w:val="000000"/>
                <w:sz w:val="24"/>
                <w:szCs w:val="24"/>
              </w:rPr>
            </w:pPr>
            <w:r w:rsidRPr="008D1712">
              <w:rPr>
                <w:rFonts w:ascii="Arial" w:eastAsia="Times New Roman" w:hAnsi="Arial" w:cs="Arial"/>
                <w:b/>
                <w:bCs/>
                <w:color w:val="000000"/>
                <w:sz w:val="24"/>
                <w:szCs w:val="24"/>
              </w:rPr>
              <w:t>CY Cl</w:t>
            </w:r>
          </w:p>
        </w:tc>
      </w:tr>
      <w:tr w:rsidR="002027D2" w:rsidRPr="008D1712" w14:paraId="7E16A5D3" w14:textId="77777777" w:rsidTr="009C48F0">
        <w:trPr>
          <w:trHeight w:val="288"/>
          <w:jc w:val="center"/>
        </w:trPr>
        <w:tc>
          <w:tcPr>
            <w:tcW w:w="409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3DC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-2864.86924296899 a.u.</w:t>
            </w:r>
          </w:p>
        </w:tc>
      </w:tr>
      <w:tr w:rsidR="002027D2" w:rsidRPr="008D1712" w14:paraId="65DBC94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5E497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6DA608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7.606302</w:t>
            </w:r>
          </w:p>
        </w:tc>
        <w:tc>
          <w:tcPr>
            <w:tcW w:w="1218" w:type="dxa"/>
            <w:tcBorders>
              <w:top w:val="nil"/>
              <w:left w:val="nil"/>
              <w:bottom w:val="single" w:sz="4" w:space="0" w:color="auto"/>
              <w:right w:val="single" w:sz="4" w:space="0" w:color="auto"/>
            </w:tcBorders>
            <w:shd w:val="clear" w:color="auto" w:fill="auto"/>
            <w:noWrap/>
            <w:vAlign w:val="bottom"/>
            <w:hideMark/>
          </w:tcPr>
          <w:p w14:paraId="159ABA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-1.78655</w:t>
            </w:r>
          </w:p>
        </w:tc>
        <w:tc>
          <w:tcPr>
            <w:tcW w:w="1218" w:type="dxa"/>
            <w:tcBorders>
              <w:top w:val="nil"/>
              <w:left w:val="nil"/>
              <w:bottom w:val="single" w:sz="4" w:space="0" w:color="auto"/>
              <w:right w:val="single" w:sz="4" w:space="0" w:color="auto"/>
            </w:tcBorders>
            <w:shd w:val="clear" w:color="auto" w:fill="auto"/>
            <w:noWrap/>
            <w:vAlign w:val="bottom"/>
            <w:hideMark/>
          </w:tcPr>
          <w:p w14:paraId="6C0062D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0.409547</w:t>
            </w:r>
          </w:p>
        </w:tc>
      </w:tr>
      <w:tr w:rsidR="002027D2" w:rsidRPr="008D1712" w14:paraId="164DF2CD"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BC5DB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3093B8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7.861703</w:t>
            </w:r>
          </w:p>
        </w:tc>
        <w:tc>
          <w:tcPr>
            <w:tcW w:w="1218" w:type="dxa"/>
            <w:tcBorders>
              <w:top w:val="nil"/>
              <w:left w:val="nil"/>
              <w:bottom w:val="single" w:sz="4" w:space="0" w:color="auto"/>
              <w:right w:val="single" w:sz="4" w:space="0" w:color="auto"/>
            </w:tcBorders>
            <w:shd w:val="clear" w:color="auto" w:fill="auto"/>
            <w:noWrap/>
            <w:vAlign w:val="bottom"/>
            <w:hideMark/>
          </w:tcPr>
          <w:p w14:paraId="2E14C5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-3.15042</w:t>
            </w:r>
          </w:p>
        </w:tc>
        <w:tc>
          <w:tcPr>
            <w:tcW w:w="1218" w:type="dxa"/>
            <w:tcBorders>
              <w:top w:val="nil"/>
              <w:left w:val="nil"/>
              <w:bottom w:val="single" w:sz="4" w:space="0" w:color="auto"/>
              <w:right w:val="single" w:sz="4" w:space="0" w:color="auto"/>
            </w:tcBorders>
            <w:shd w:val="clear" w:color="auto" w:fill="auto"/>
            <w:noWrap/>
            <w:vAlign w:val="bottom"/>
            <w:hideMark/>
          </w:tcPr>
          <w:p w14:paraId="6DF2CA7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0.671239</w:t>
            </w:r>
          </w:p>
        </w:tc>
      </w:tr>
      <w:tr w:rsidR="002027D2" w:rsidRPr="008D1712" w14:paraId="49A63BD6"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76865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0B0C020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8.792871</w:t>
            </w:r>
          </w:p>
        </w:tc>
        <w:tc>
          <w:tcPr>
            <w:tcW w:w="1218" w:type="dxa"/>
            <w:tcBorders>
              <w:top w:val="nil"/>
              <w:left w:val="nil"/>
              <w:bottom w:val="single" w:sz="4" w:space="0" w:color="auto"/>
              <w:right w:val="single" w:sz="4" w:space="0" w:color="auto"/>
            </w:tcBorders>
            <w:shd w:val="clear" w:color="auto" w:fill="auto"/>
            <w:noWrap/>
            <w:vAlign w:val="bottom"/>
            <w:hideMark/>
          </w:tcPr>
          <w:p w14:paraId="66B778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-5.35588</w:t>
            </w:r>
          </w:p>
        </w:tc>
        <w:tc>
          <w:tcPr>
            <w:tcW w:w="1218" w:type="dxa"/>
            <w:tcBorders>
              <w:top w:val="nil"/>
              <w:left w:val="nil"/>
              <w:bottom w:val="single" w:sz="4" w:space="0" w:color="auto"/>
              <w:right w:val="single" w:sz="4" w:space="0" w:color="auto"/>
            </w:tcBorders>
            <w:shd w:val="clear" w:color="auto" w:fill="auto"/>
            <w:noWrap/>
            <w:vAlign w:val="bottom"/>
            <w:hideMark/>
          </w:tcPr>
          <w:p w14:paraId="27A6EB8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0.059185</w:t>
            </w:r>
          </w:p>
        </w:tc>
      </w:tr>
      <w:tr w:rsidR="002027D2" w:rsidRPr="008D1712" w14:paraId="645FB736"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952578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36F3FD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9.90559</w:t>
            </w:r>
          </w:p>
        </w:tc>
        <w:tc>
          <w:tcPr>
            <w:tcW w:w="1218" w:type="dxa"/>
            <w:tcBorders>
              <w:top w:val="nil"/>
              <w:left w:val="nil"/>
              <w:bottom w:val="single" w:sz="4" w:space="0" w:color="auto"/>
              <w:right w:val="single" w:sz="4" w:space="0" w:color="auto"/>
            </w:tcBorders>
            <w:shd w:val="clear" w:color="auto" w:fill="auto"/>
            <w:noWrap/>
            <w:vAlign w:val="bottom"/>
            <w:hideMark/>
          </w:tcPr>
          <w:p w14:paraId="4941B7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-6.2131</w:t>
            </w:r>
          </w:p>
        </w:tc>
        <w:tc>
          <w:tcPr>
            <w:tcW w:w="1218" w:type="dxa"/>
            <w:tcBorders>
              <w:top w:val="nil"/>
              <w:left w:val="nil"/>
              <w:bottom w:val="single" w:sz="4" w:space="0" w:color="auto"/>
              <w:right w:val="single" w:sz="4" w:space="0" w:color="auto"/>
            </w:tcBorders>
            <w:shd w:val="clear" w:color="auto" w:fill="auto"/>
            <w:noWrap/>
            <w:vAlign w:val="bottom"/>
            <w:hideMark/>
          </w:tcPr>
          <w:p w14:paraId="7923903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-0.07628</w:t>
            </w:r>
          </w:p>
        </w:tc>
      </w:tr>
      <w:tr w:rsidR="002027D2" w:rsidRPr="008D1712" w14:paraId="7151F6AC"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70485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1392EA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9.845262</w:t>
            </w:r>
          </w:p>
        </w:tc>
        <w:tc>
          <w:tcPr>
            <w:tcW w:w="1218" w:type="dxa"/>
            <w:tcBorders>
              <w:top w:val="nil"/>
              <w:left w:val="nil"/>
              <w:bottom w:val="single" w:sz="4" w:space="0" w:color="auto"/>
              <w:right w:val="single" w:sz="4" w:space="0" w:color="auto"/>
            </w:tcBorders>
            <w:shd w:val="clear" w:color="auto" w:fill="auto"/>
            <w:noWrap/>
            <w:vAlign w:val="bottom"/>
            <w:hideMark/>
          </w:tcPr>
          <w:p w14:paraId="062FB8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-7.61823</w:t>
            </w:r>
          </w:p>
        </w:tc>
        <w:tc>
          <w:tcPr>
            <w:tcW w:w="1218" w:type="dxa"/>
            <w:tcBorders>
              <w:top w:val="nil"/>
              <w:left w:val="nil"/>
              <w:bottom w:val="single" w:sz="4" w:space="0" w:color="auto"/>
              <w:right w:val="single" w:sz="4" w:space="0" w:color="auto"/>
            </w:tcBorders>
            <w:shd w:val="clear" w:color="auto" w:fill="auto"/>
            <w:noWrap/>
            <w:vAlign w:val="bottom"/>
            <w:hideMark/>
          </w:tcPr>
          <w:p w14:paraId="6FC846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-0.13005</w:t>
            </w:r>
          </w:p>
        </w:tc>
      </w:tr>
      <w:tr w:rsidR="002027D2" w:rsidRPr="008D1712" w14:paraId="2192E4E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07125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3FBBC42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10.9173</w:t>
            </w:r>
          </w:p>
        </w:tc>
        <w:tc>
          <w:tcPr>
            <w:tcW w:w="1218" w:type="dxa"/>
            <w:tcBorders>
              <w:top w:val="nil"/>
              <w:left w:val="nil"/>
              <w:bottom w:val="single" w:sz="4" w:space="0" w:color="auto"/>
              <w:right w:val="single" w:sz="4" w:space="0" w:color="auto"/>
            </w:tcBorders>
            <w:shd w:val="clear" w:color="auto" w:fill="auto"/>
            <w:noWrap/>
            <w:vAlign w:val="bottom"/>
            <w:hideMark/>
          </w:tcPr>
          <w:p w14:paraId="216021B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-8.53377</w:t>
            </w:r>
          </w:p>
        </w:tc>
        <w:tc>
          <w:tcPr>
            <w:tcW w:w="1218" w:type="dxa"/>
            <w:tcBorders>
              <w:top w:val="nil"/>
              <w:left w:val="nil"/>
              <w:bottom w:val="single" w:sz="4" w:space="0" w:color="auto"/>
              <w:right w:val="single" w:sz="4" w:space="0" w:color="auto"/>
            </w:tcBorders>
            <w:shd w:val="clear" w:color="auto" w:fill="auto"/>
            <w:noWrap/>
            <w:vAlign w:val="bottom"/>
            <w:hideMark/>
          </w:tcPr>
          <w:p w14:paraId="7FF97F3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-0.07219</w:t>
            </w:r>
          </w:p>
        </w:tc>
      </w:tr>
      <w:tr w:rsidR="002027D2" w:rsidRPr="008D1712" w14:paraId="23139E48"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B6476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218" w:type="dxa"/>
            <w:tcBorders>
              <w:top w:val="nil"/>
              <w:left w:val="nil"/>
              <w:bottom w:val="single" w:sz="4" w:space="0" w:color="auto"/>
              <w:right w:val="single" w:sz="4" w:space="0" w:color="auto"/>
            </w:tcBorders>
            <w:shd w:val="clear" w:color="auto" w:fill="auto"/>
            <w:noWrap/>
            <w:vAlign w:val="bottom"/>
            <w:hideMark/>
          </w:tcPr>
          <w:p w14:paraId="782199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10.72894</w:t>
            </w:r>
          </w:p>
        </w:tc>
        <w:tc>
          <w:tcPr>
            <w:tcW w:w="1218" w:type="dxa"/>
            <w:tcBorders>
              <w:top w:val="nil"/>
              <w:left w:val="nil"/>
              <w:bottom w:val="single" w:sz="4" w:space="0" w:color="auto"/>
              <w:right w:val="single" w:sz="4" w:space="0" w:color="auto"/>
            </w:tcBorders>
            <w:shd w:val="clear" w:color="auto" w:fill="auto"/>
            <w:noWrap/>
            <w:vAlign w:val="bottom"/>
            <w:hideMark/>
          </w:tcPr>
          <w:p w14:paraId="3C0807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-9.87881</w:t>
            </w:r>
          </w:p>
        </w:tc>
        <w:tc>
          <w:tcPr>
            <w:tcW w:w="1218" w:type="dxa"/>
            <w:tcBorders>
              <w:top w:val="nil"/>
              <w:left w:val="nil"/>
              <w:bottom w:val="single" w:sz="4" w:space="0" w:color="auto"/>
              <w:right w:val="single" w:sz="4" w:space="0" w:color="auto"/>
            </w:tcBorders>
            <w:shd w:val="clear" w:color="auto" w:fill="auto"/>
            <w:noWrap/>
            <w:vAlign w:val="bottom"/>
            <w:hideMark/>
          </w:tcPr>
          <w:p w14:paraId="1B22DA0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-0.19318</w:t>
            </w:r>
          </w:p>
        </w:tc>
      </w:tr>
      <w:tr w:rsidR="002027D2" w:rsidRPr="008D1712" w14:paraId="3262898B"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2ABF22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597636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9.454777</w:t>
            </w:r>
          </w:p>
        </w:tc>
        <w:tc>
          <w:tcPr>
            <w:tcW w:w="1218" w:type="dxa"/>
            <w:tcBorders>
              <w:top w:val="nil"/>
              <w:left w:val="nil"/>
              <w:bottom w:val="single" w:sz="4" w:space="0" w:color="auto"/>
              <w:right w:val="single" w:sz="4" w:space="0" w:color="auto"/>
            </w:tcBorders>
            <w:shd w:val="clear" w:color="auto" w:fill="auto"/>
            <w:noWrap/>
            <w:vAlign w:val="bottom"/>
            <w:hideMark/>
          </w:tcPr>
          <w:p w14:paraId="27131FD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-10.5623</w:t>
            </w:r>
          </w:p>
        </w:tc>
        <w:tc>
          <w:tcPr>
            <w:tcW w:w="1218" w:type="dxa"/>
            <w:tcBorders>
              <w:top w:val="nil"/>
              <w:left w:val="nil"/>
              <w:bottom w:val="single" w:sz="4" w:space="0" w:color="auto"/>
              <w:right w:val="single" w:sz="4" w:space="0" w:color="auto"/>
            </w:tcBorders>
            <w:shd w:val="clear" w:color="auto" w:fill="auto"/>
            <w:noWrap/>
            <w:vAlign w:val="bottom"/>
            <w:hideMark/>
          </w:tcPr>
          <w:p w14:paraId="23BA05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-0.45285</w:t>
            </w:r>
          </w:p>
        </w:tc>
      </w:tr>
      <w:tr w:rsidR="002027D2" w:rsidRPr="008D1712" w14:paraId="0B415EC1"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9435DD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87381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8.695379</w:t>
            </w:r>
          </w:p>
        </w:tc>
        <w:tc>
          <w:tcPr>
            <w:tcW w:w="1218" w:type="dxa"/>
            <w:tcBorders>
              <w:top w:val="nil"/>
              <w:left w:val="nil"/>
              <w:bottom w:val="single" w:sz="4" w:space="0" w:color="auto"/>
              <w:right w:val="single" w:sz="4" w:space="0" w:color="auto"/>
            </w:tcBorders>
            <w:shd w:val="clear" w:color="auto" w:fill="auto"/>
            <w:noWrap/>
            <w:vAlign w:val="bottom"/>
            <w:hideMark/>
          </w:tcPr>
          <w:p w14:paraId="0229E2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-10.9388</w:t>
            </w:r>
          </w:p>
        </w:tc>
        <w:tc>
          <w:tcPr>
            <w:tcW w:w="1218" w:type="dxa"/>
            <w:tcBorders>
              <w:top w:val="nil"/>
              <w:left w:val="nil"/>
              <w:bottom w:val="single" w:sz="4" w:space="0" w:color="auto"/>
              <w:right w:val="single" w:sz="4" w:space="0" w:color="auto"/>
            </w:tcBorders>
            <w:shd w:val="clear" w:color="auto" w:fill="auto"/>
            <w:noWrap/>
            <w:vAlign w:val="bottom"/>
            <w:hideMark/>
          </w:tcPr>
          <w:p w14:paraId="1BEDC23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0.82979</w:t>
            </w:r>
          </w:p>
        </w:tc>
      </w:tr>
      <w:tr w:rsidR="002027D2" w:rsidRPr="008D1712" w14:paraId="115C3FD2"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5DCCC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6294D8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7.352732</w:t>
            </w:r>
          </w:p>
        </w:tc>
        <w:tc>
          <w:tcPr>
            <w:tcW w:w="1218" w:type="dxa"/>
            <w:tcBorders>
              <w:top w:val="nil"/>
              <w:left w:val="nil"/>
              <w:bottom w:val="single" w:sz="4" w:space="0" w:color="auto"/>
              <w:right w:val="single" w:sz="4" w:space="0" w:color="auto"/>
            </w:tcBorders>
            <w:shd w:val="clear" w:color="auto" w:fill="auto"/>
            <w:noWrap/>
            <w:vAlign w:val="bottom"/>
            <w:hideMark/>
          </w:tcPr>
          <w:p w14:paraId="032FFBB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-11.6226</w:t>
            </w:r>
          </w:p>
        </w:tc>
        <w:tc>
          <w:tcPr>
            <w:tcW w:w="1218" w:type="dxa"/>
            <w:tcBorders>
              <w:top w:val="nil"/>
              <w:left w:val="nil"/>
              <w:bottom w:val="single" w:sz="4" w:space="0" w:color="auto"/>
              <w:right w:val="single" w:sz="4" w:space="0" w:color="auto"/>
            </w:tcBorders>
            <w:shd w:val="clear" w:color="auto" w:fill="auto"/>
            <w:noWrap/>
            <w:vAlign w:val="bottom"/>
            <w:hideMark/>
          </w:tcPr>
          <w:p w14:paraId="62D7F1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0.526028</w:t>
            </w:r>
          </w:p>
        </w:tc>
      </w:tr>
      <w:tr w:rsidR="002027D2" w:rsidRPr="008D1712" w14:paraId="3845D400"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B091F7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48094A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11.93682</w:t>
            </w:r>
          </w:p>
        </w:tc>
        <w:tc>
          <w:tcPr>
            <w:tcW w:w="1218" w:type="dxa"/>
            <w:tcBorders>
              <w:top w:val="nil"/>
              <w:left w:val="nil"/>
              <w:bottom w:val="single" w:sz="4" w:space="0" w:color="auto"/>
              <w:right w:val="single" w:sz="4" w:space="0" w:color="auto"/>
            </w:tcBorders>
            <w:shd w:val="clear" w:color="auto" w:fill="auto"/>
            <w:noWrap/>
            <w:vAlign w:val="bottom"/>
            <w:hideMark/>
          </w:tcPr>
          <w:p w14:paraId="276A16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-10.5945</w:t>
            </w:r>
          </w:p>
        </w:tc>
        <w:tc>
          <w:tcPr>
            <w:tcW w:w="1218" w:type="dxa"/>
            <w:tcBorders>
              <w:top w:val="nil"/>
              <w:left w:val="nil"/>
              <w:bottom w:val="single" w:sz="4" w:space="0" w:color="auto"/>
              <w:right w:val="single" w:sz="4" w:space="0" w:color="auto"/>
            </w:tcBorders>
            <w:shd w:val="clear" w:color="auto" w:fill="auto"/>
            <w:noWrap/>
            <w:vAlign w:val="bottom"/>
            <w:hideMark/>
          </w:tcPr>
          <w:p w14:paraId="2BE982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-0.00322</w:t>
            </w:r>
          </w:p>
        </w:tc>
      </w:tr>
      <w:tr w:rsidR="002027D2" w:rsidRPr="008D1712" w14:paraId="58320865"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9E2D8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3E9C1B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12.15373</w:t>
            </w:r>
          </w:p>
        </w:tc>
        <w:tc>
          <w:tcPr>
            <w:tcW w:w="1218" w:type="dxa"/>
            <w:tcBorders>
              <w:top w:val="nil"/>
              <w:left w:val="nil"/>
              <w:bottom w:val="single" w:sz="4" w:space="0" w:color="auto"/>
              <w:right w:val="single" w:sz="4" w:space="0" w:color="auto"/>
            </w:tcBorders>
            <w:shd w:val="clear" w:color="auto" w:fill="auto"/>
            <w:noWrap/>
            <w:vAlign w:val="bottom"/>
            <w:hideMark/>
          </w:tcPr>
          <w:p w14:paraId="05E481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-11.9777</w:t>
            </w:r>
          </w:p>
        </w:tc>
        <w:tc>
          <w:tcPr>
            <w:tcW w:w="1218" w:type="dxa"/>
            <w:tcBorders>
              <w:top w:val="nil"/>
              <w:left w:val="nil"/>
              <w:bottom w:val="single" w:sz="4" w:space="0" w:color="auto"/>
              <w:right w:val="single" w:sz="4" w:space="0" w:color="auto"/>
            </w:tcBorders>
            <w:shd w:val="clear" w:color="auto" w:fill="auto"/>
            <w:noWrap/>
            <w:vAlign w:val="bottom"/>
            <w:hideMark/>
          </w:tcPr>
          <w:p w14:paraId="2A429A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-0.02274</w:t>
            </w:r>
          </w:p>
        </w:tc>
      </w:tr>
      <w:tr w:rsidR="002027D2" w:rsidRPr="008D1712" w14:paraId="0FFF6561"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278ED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443FD7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13.4636</w:t>
            </w:r>
          </w:p>
        </w:tc>
        <w:tc>
          <w:tcPr>
            <w:tcW w:w="1218" w:type="dxa"/>
            <w:tcBorders>
              <w:top w:val="nil"/>
              <w:left w:val="nil"/>
              <w:bottom w:val="single" w:sz="4" w:space="0" w:color="auto"/>
              <w:right w:val="single" w:sz="4" w:space="0" w:color="auto"/>
            </w:tcBorders>
            <w:shd w:val="clear" w:color="auto" w:fill="auto"/>
            <w:noWrap/>
            <w:vAlign w:val="bottom"/>
            <w:hideMark/>
          </w:tcPr>
          <w:p w14:paraId="6038706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-12.4303</w:t>
            </w:r>
          </w:p>
        </w:tc>
        <w:tc>
          <w:tcPr>
            <w:tcW w:w="1218" w:type="dxa"/>
            <w:tcBorders>
              <w:top w:val="nil"/>
              <w:left w:val="nil"/>
              <w:bottom w:val="single" w:sz="4" w:space="0" w:color="auto"/>
              <w:right w:val="single" w:sz="4" w:space="0" w:color="auto"/>
            </w:tcBorders>
            <w:shd w:val="clear" w:color="auto" w:fill="auto"/>
            <w:noWrap/>
            <w:vAlign w:val="bottom"/>
            <w:hideMark/>
          </w:tcPr>
          <w:p w14:paraId="703DDAC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0.192495</w:t>
            </w:r>
          </w:p>
        </w:tc>
      </w:tr>
      <w:tr w:rsidR="002027D2" w:rsidRPr="008D1712" w14:paraId="6D95307A"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3E1069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AC6AC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14.50863</w:t>
            </w:r>
          </w:p>
        </w:tc>
        <w:tc>
          <w:tcPr>
            <w:tcW w:w="1218" w:type="dxa"/>
            <w:tcBorders>
              <w:top w:val="nil"/>
              <w:left w:val="nil"/>
              <w:bottom w:val="single" w:sz="4" w:space="0" w:color="auto"/>
              <w:right w:val="single" w:sz="4" w:space="0" w:color="auto"/>
            </w:tcBorders>
            <w:shd w:val="clear" w:color="auto" w:fill="auto"/>
            <w:noWrap/>
            <w:vAlign w:val="bottom"/>
            <w:hideMark/>
          </w:tcPr>
          <w:p w14:paraId="32C9A04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-11.5131</w:t>
            </w:r>
          </w:p>
        </w:tc>
        <w:tc>
          <w:tcPr>
            <w:tcW w:w="1218" w:type="dxa"/>
            <w:tcBorders>
              <w:top w:val="nil"/>
              <w:left w:val="nil"/>
              <w:bottom w:val="single" w:sz="4" w:space="0" w:color="auto"/>
              <w:right w:val="single" w:sz="4" w:space="0" w:color="auto"/>
            </w:tcBorders>
            <w:shd w:val="clear" w:color="auto" w:fill="auto"/>
            <w:noWrap/>
            <w:vAlign w:val="bottom"/>
            <w:hideMark/>
          </w:tcPr>
          <w:p w14:paraId="7C15DB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0.415133</w:t>
            </w:r>
          </w:p>
        </w:tc>
      </w:tr>
      <w:tr w:rsidR="002027D2" w:rsidRPr="008D1712" w14:paraId="6EA24D3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F719A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143772A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14.27632</w:t>
            </w:r>
          </w:p>
        </w:tc>
        <w:tc>
          <w:tcPr>
            <w:tcW w:w="1218" w:type="dxa"/>
            <w:tcBorders>
              <w:top w:val="nil"/>
              <w:left w:val="nil"/>
              <w:bottom w:val="single" w:sz="4" w:space="0" w:color="auto"/>
              <w:right w:val="single" w:sz="4" w:space="0" w:color="auto"/>
            </w:tcBorders>
            <w:shd w:val="clear" w:color="auto" w:fill="auto"/>
            <w:noWrap/>
            <w:vAlign w:val="bottom"/>
            <w:hideMark/>
          </w:tcPr>
          <w:p w14:paraId="2E3720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-10.1224</w:t>
            </w:r>
          </w:p>
        </w:tc>
        <w:tc>
          <w:tcPr>
            <w:tcW w:w="1218" w:type="dxa"/>
            <w:tcBorders>
              <w:top w:val="nil"/>
              <w:left w:val="nil"/>
              <w:bottom w:val="single" w:sz="4" w:space="0" w:color="auto"/>
              <w:right w:val="single" w:sz="4" w:space="0" w:color="auto"/>
            </w:tcBorders>
            <w:shd w:val="clear" w:color="auto" w:fill="auto"/>
            <w:noWrap/>
            <w:vAlign w:val="bottom"/>
            <w:hideMark/>
          </w:tcPr>
          <w:p w14:paraId="13D85E3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0.430419</w:t>
            </w:r>
          </w:p>
        </w:tc>
      </w:tr>
      <w:tr w:rsidR="002027D2" w:rsidRPr="008D1712" w14:paraId="6B41841D"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37972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451FF1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12.97399</w:t>
            </w:r>
          </w:p>
        </w:tc>
        <w:tc>
          <w:tcPr>
            <w:tcW w:w="1218" w:type="dxa"/>
            <w:tcBorders>
              <w:top w:val="nil"/>
              <w:left w:val="nil"/>
              <w:bottom w:val="single" w:sz="4" w:space="0" w:color="auto"/>
              <w:right w:val="single" w:sz="4" w:space="0" w:color="auto"/>
            </w:tcBorders>
            <w:shd w:val="clear" w:color="auto" w:fill="auto"/>
            <w:noWrap/>
            <w:vAlign w:val="bottom"/>
            <w:hideMark/>
          </w:tcPr>
          <w:p w14:paraId="7590657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-9.67592</w:t>
            </w:r>
          </w:p>
        </w:tc>
        <w:tc>
          <w:tcPr>
            <w:tcW w:w="1218" w:type="dxa"/>
            <w:tcBorders>
              <w:top w:val="nil"/>
              <w:left w:val="nil"/>
              <w:bottom w:val="single" w:sz="4" w:space="0" w:color="auto"/>
              <w:right w:val="single" w:sz="4" w:space="0" w:color="auto"/>
            </w:tcBorders>
            <w:shd w:val="clear" w:color="auto" w:fill="auto"/>
            <w:noWrap/>
            <w:vAlign w:val="bottom"/>
            <w:hideMark/>
          </w:tcPr>
          <w:p w14:paraId="3F9251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0.221013</w:t>
            </w:r>
          </w:p>
        </w:tc>
      </w:tr>
      <w:tr w:rsidR="002027D2" w:rsidRPr="008D1712" w14:paraId="33ABBDF4"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B7639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C</w:t>
            </w:r>
          </w:p>
        </w:tc>
        <w:tc>
          <w:tcPr>
            <w:tcW w:w="1218" w:type="dxa"/>
            <w:tcBorders>
              <w:top w:val="nil"/>
              <w:left w:val="nil"/>
              <w:bottom w:val="single" w:sz="4" w:space="0" w:color="auto"/>
              <w:right w:val="single" w:sz="4" w:space="0" w:color="auto"/>
            </w:tcBorders>
            <w:shd w:val="clear" w:color="auto" w:fill="auto"/>
            <w:noWrap/>
            <w:vAlign w:val="bottom"/>
            <w:hideMark/>
          </w:tcPr>
          <w:p w14:paraId="1176C25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12.41616</w:t>
            </w:r>
          </w:p>
        </w:tc>
        <w:tc>
          <w:tcPr>
            <w:tcW w:w="1218" w:type="dxa"/>
            <w:tcBorders>
              <w:top w:val="nil"/>
              <w:left w:val="nil"/>
              <w:bottom w:val="single" w:sz="4" w:space="0" w:color="auto"/>
              <w:right w:val="single" w:sz="4" w:space="0" w:color="auto"/>
            </w:tcBorders>
            <w:shd w:val="clear" w:color="auto" w:fill="auto"/>
            <w:noWrap/>
            <w:vAlign w:val="bottom"/>
            <w:hideMark/>
          </w:tcPr>
          <w:p w14:paraId="140A8D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-8.2631</w:t>
            </w:r>
          </w:p>
        </w:tc>
        <w:tc>
          <w:tcPr>
            <w:tcW w:w="1218" w:type="dxa"/>
            <w:tcBorders>
              <w:top w:val="nil"/>
              <w:left w:val="nil"/>
              <w:bottom w:val="single" w:sz="4" w:space="0" w:color="auto"/>
              <w:right w:val="single" w:sz="4" w:space="0" w:color="auto"/>
            </w:tcBorders>
            <w:shd w:val="clear" w:color="auto" w:fill="auto"/>
            <w:noWrap/>
            <w:vAlign w:val="bottom"/>
            <w:hideMark/>
          </w:tcPr>
          <w:p w14:paraId="73D0FDF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0.149936</w:t>
            </w:r>
          </w:p>
        </w:tc>
      </w:tr>
      <w:tr w:rsidR="002027D2" w:rsidRPr="008D1712" w14:paraId="5C81F3ED"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EA30F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3099AE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12.68847</w:t>
            </w:r>
          </w:p>
        </w:tc>
        <w:tc>
          <w:tcPr>
            <w:tcW w:w="1218" w:type="dxa"/>
            <w:tcBorders>
              <w:top w:val="nil"/>
              <w:left w:val="nil"/>
              <w:bottom w:val="single" w:sz="4" w:space="0" w:color="auto"/>
              <w:right w:val="single" w:sz="4" w:space="0" w:color="auto"/>
            </w:tcBorders>
            <w:shd w:val="clear" w:color="auto" w:fill="auto"/>
            <w:noWrap/>
            <w:vAlign w:val="bottom"/>
            <w:hideMark/>
          </w:tcPr>
          <w:p w14:paraId="12B825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-7.48982</w:t>
            </w:r>
          </w:p>
        </w:tc>
        <w:tc>
          <w:tcPr>
            <w:tcW w:w="1218" w:type="dxa"/>
            <w:tcBorders>
              <w:top w:val="nil"/>
              <w:left w:val="nil"/>
              <w:bottom w:val="single" w:sz="4" w:space="0" w:color="auto"/>
              <w:right w:val="single" w:sz="4" w:space="0" w:color="auto"/>
            </w:tcBorders>
            <w:shd w:val="clear" w:color="auto" w:fill="auto"/>
            <w:noWrap/>
            <w:vAlign w:val="bottom"/>
            <w:hideMark/>
          </w:tcPr>
          <w:p w14:paraId="3D756A7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1.462523</w:t>
            </w:r>
          </w:p>
        </w:tc>
      </w:tr>
      <w:tr w:rsidR="002027D2" w:rsidRPr="008D1712" w14:paraId="45EC932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077BAB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0C43D73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13.02965</w:t>
            </w:r>
          </w:p>
        </w:tc>
        <w:tc>
          <w:tcPr>
            <w:tcW w:w="1218" w:type="dxa"/>
            <w:tcBorders>
              <w:top w:val="nil"/>
              <w:left w:val="nil"/>
              <w:bottom w:val="single" w:sz="4" w:space="0" w:color="auto"/>
              <w:right w:val="single" w:sz="4" w:space="0" w:color="auto"/>
            </w:tcBorders>
            <w:shd w:val="clear" w:color="auto" w:fill="auto"/>
            <w:noWrap/>
            <w:vAlign w:val="bottom"/>
            <w:hideMark/>
          </w:tcPr>
          <w:p w14:paraId="21A49B7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-7.53626</w:t>
            </w:r>
          </w:p>
        </w:tc>
        <w:tc>
          <w:tcPr>
            <w:tcW w:w="1218" w:type="dxa"/>
            <w:tcBorders>
              <w:top w:val="nil"/>
              <w:left w:val="nil"/>
              <w:bottom w:val="single" w:sz="4" w:space="0" w:color="auto"/>
              <w:right w:val="single" w:sz="4" w:space="0" w:color="auto"/>
            </w:tcBorders>
            <w:shd w:val="clear" w:color="auto" w:fill="auto"/>
            <w:noWrap/>
            <w:vAlign w:val="bottom"/>
            <w:hideMark/>
          </w:tcPr>
          <w:p w14:paraId="42EE2A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-1.07658</w:t>
            </w:r>
          </w:p>
        </w:tc>
      </w:tr>
      <w:tr w:rsidR="002027D2" w:rsidRPr="008D1712" w14:paraId="3942A3B2"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FD673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010C37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8.901919</w:t>
            </w:r>
          </w:p>
        </w:tc>
        <w:tc>
          <w:tcPr>
            <w:tcW w:w="1218" w:type="dxa"/>
            <w:tcBorders>
              <w:top w:val="nil"/>
              <w:left w:val="nil"/>
              <w:bottom w:val="single" w:sz="4" w:space="0" w:color="auto"/>
              <w:right w:val="single" w:sz="4" w:space="0" w:color="auto"/>
            </w:tcBorders>
            <w:shd w:val="clear" w:color="auto" w:fill="auto"/>
            <w:noWrap/>
            <w:vAlign w:val="bottom"/>
            <w:hideMark/>
          </w:tcPr>
          <w:p w14:paraId="4CC643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-3.92084</w:t>
            </w:r>
          </w:p>
        </w:tc>
        <w:tc>
          <w:tcPr>
            <w:tcW w:w="1218" w:type="dxa"/>
            <w:tcBorders>
              <w:top w:val="nil"/>
              <w:left w:val="nil"/>
              <w:bottom w:val="single" w:sz="4" w:space="0" w:color="auto"/>
              <w:right w:val="single" w:sz="4" w:space="0" w:color="auto"/>
            </w:tcBorders>
            <w:shd w:val="clear" w:color="auto" w:fill="auto"/>
            <w:noWrap/>
            <w:vAlign w:val="bottom"/>
            <w:hideMark/>
          </w:tcPr>
          <w:p w14:paraId="6D282C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0.03507</w:t>
            </w:r>
          </w:p>
        </w:tc>
      </w:tr>
      <w:tr w:rsidR="002027D2" w:rsidRPr="008D1712" w14:paraId="6CB86EA0"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C8EC8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CB23C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8.244191</w:t>
            </w:r>
          </w:p>
        </w:tc>
        <w:tc>
          <w:tcPr>
            <w:tcW w:w="1218" w:type="dxa"/>
            <w:tcBorders>
              <w:top w:val="nil"/>
              <w:left w:val="nil"/>
              <w:bottom w:val="single" w:sz="4" w:space="0" w:color="auto"/>
              <w:right w:val="single" w:sz="4" w:space="0" w:color="auto"/>
            </w:tcBorders>
            <w:shd w:val="clear" w:color="auto" w:fill="auto"/>
            <w:noWrap/>
            <w:vAlign w:val="bottom"/>
            <w:hideMark/>
          </w:tcPr>
          <w:p w14:paraId="7CC3CB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-1.3348</w:t>
            </w:r>
          </w:p>
        </w:tc>
        <w:tc>
          <w:tcPr>
            <w:tcW w:w="1218" w:type="dxa"/>
            <w:tcBorders>
              <w:top w:val="nil"/>
              <w:left w:val="nil"/>
              <w:bottom w:val="single" w:sz="4" w:space="0" w:color="auto"/>
              <w:right w:val="single" w:sz="4" w:space="0" w:color="auto"/>
            </w:tcBorders>
            <w:shd w:val="clear" w:color="auto" w:fill="auto"/>
            <w:noWrap/>
            <w:vAlign w:val="bottom"/>
            <w:hideMark/>
          </w:tcPr>
          <w:p w14:paraId="7E75152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-0.35177</w:t>
            </w:r>
          </w:p>
        </w:tc>
      </w:tr>
      <w:tr w:rsidR="002027D2" w:rsidRPr="008D1712" w14:paraId="01E63CA4"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A78CFA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7C350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10.87878</w:t>
            </w:r>
          </w:p>
        </w:tc>
        <w:tc>
          <w:tcPr>
            <w:tcW w:w="1218" w:type="dxa"/>
            <w:tcBorders>
              <w:top w:val="nil"/>
              <w:left w:val="nil"/>
              <w:bottom w:val="single" w:sz="4" w:space="0" w:color="auto"/>
              <w:right w:val="single" w:sz="4" w:space="0" w:color="auto"/>
            </w:tcBorders>
            <w:shd w:val="clear" w:color="auto" w:fill="auto"/>
            <w:noWrap/>
            <w:vAlign w:val="bottom"/>
            <w:hideMark/>
          </w:tcPr>
          <w:p w14:paraId="6AF9CA7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-5.71322</w:t>
            </w:r>
          </w:p>
        </w:tc>
        <w:tc>
          <w:tcPr>
            <w:tcW w:w="1218" w:type="dxa"/>
            <w:tcBorders>
              <w:top w:val="nil"/>
              <w:left w:val="nil"/>
              <w:bottom w:val="single" w:sz="4" w:space="0" w:color="auto"/>
              <w:right w:val="single" w:sz="4" w:space="0" w:color="auto"/>
            </w:tcBorders>
            <w:shd w:val="clear" w:color="auto" w:fill="auto"/>
            <w:noWrap/>
            <w:vAlign w:val="bottom"/>
            <w:hideMark/>
          </w:tcPr>
          <w:p w14:paraId="0BD83E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-0.10879</w:t>
            </w:r>
          </w:p>
        </w:tc>
      </w:tr>
      <w:tr w:rsidR="002027D2" w:rsidRPr="008D1712" w14:paraId="30CB6362"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8B116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3CC76B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8.852981</w:t>
            </w:r>
          </w:p>
        </w:tc>
        <w:tc>
          <w:tcPr>
            <w:tcW w:w="1218" w:type="dxa"/>
            <w:tcBorders>
              <w:top w:val="nil"/>
              <w:left w:val="nil"/>
              <w:bottom w:val="single" w:sz="4" w:space="0" w:color="auto"/>
              <w:right w:val="single" w:sz="4" w:space="0" w:color="auto"/>
            </w:tcBorders>
            <w:shd w:val="clear" w:color="auto" w:fill="auto"/>
            <w:noWrap/>
            <w:vAlign w:val="bottom"/>
            <w:hideMark/>
          </w:tcPr>
          <w:p w14:paraId="4967084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-8.07286</w:t>
            </w:r>
          </w:p>
        </w:tc>
        <w:tc>
          <w:tcPr>
            <w:tcW w:w="1218" w:type="dxa"/>
            <w:tcBorders>
              <w:top w:val="nil"/>
              <w:left w:val="nil"/>
              <w:bottom w:val="single" w:sz="4" w:space="0" w:color="auto"/>
              <w:right w:val="single" w:sz="4" w:space="0" w:color="auto"/>
            </w:tcBorders>
            <w:shd w:val="clear" w:color="auto" w:fill="auto"/>
            <w:noWrap/>
            <w:vAlign w:val="bottom"/>
            <w:hideMark/>
          </w:tcPr>
          <w:p w14:paraId="10B5FD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-0.21942</w:t>
            </w:r>
          </w:p>
        </w:tc>
      </w:tr>
      <w:tr w:rsidR="002027D2" w:rsidRPr="008D1712" w14:paraId="22950E3A"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5B0637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AE3D2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9.687157</w:t>
            </w:r>
          </w:p>
        </w:tc>
        <w:tc>
          <w:tcPr>
            <w:tcW w:w="1218" w:type="dxa"/>
            <w:tcBorders>
              <w:top w:val="nil"/>
              <w:left w:val="nil"/>
              <w:bottom w:val="single" w:sz="4" w:space="0" w:color="auto"/>
              <w:right w:val="single" w:sz="4" w:space="0" w:color="auto"/>
            </w:tcBorders>
            <w:shd w:val="clear" w:color="auto" w:fill="auto"/>
            <w:noWrap/>
            <w:vAlign w:val="bottom"/>
            <w:hideMark/>
          </w:tcPr>
          <w:p w14:paraId="7119BE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-11.4621</w:t>
            </w:r>
          </w:p>
        </w:tc>
        <w:tc>
          <w:tcPr>
            <w:tcW w:w="1218" w:type="dxa"/>
            <w:tcBorders>
              <w:top w:val="nil"/>
              <w:left w:val="nil"/>
              <w:bottom w:val="single" w:sz="4" w:space="0" w:color="auto"/>
              <w:right w:val="single" w:sz="4" w:space="0" w:color="auto"/>
            </w:tcBorders>
            <w:shd w:val="clear" w:color="auto" w:fill="auto"/>
            <w:noWrap/>
            <w:vAlign w:val="bottom"/>
            <w:hideMark/>
          </w:tcPr>
          <w:p w14:paraId="03BDC7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-1.0471</w:t>
            </w:r>
          </w:p>
        </w:tc>
      </w:tr>
      <w:tr w:rsidR="002027D2" w:rsidRPr="008D1712" w14:paraId="574B4AC6"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B4F94B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470851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8.844349</w:t>
            </w:r>
          </w:p>
        </w:tc>
        <w:tc>
          <w:tcPr>
            <w:tcW w:w="1218" w:type="dxa"/>
            <w:tcBorders>
              <w:top w:val="nil"/>
              <w:left w:val="nil"/>
              <w:bottom w:val="single" w:sz="4" w:space="0" w:color="auto"/>
              <w:right w:val="single" w:sz="4" w:space="0" w:color="auto"/>
            </w:tcBorders>
            <w:shd w:val="clear" w:color="auto" w:fill="auto"/>
            <w:noWrap/>
            <w:vAlign w:val="bottom"/>
            <w:hideMark/>
          </w:tcPr>
          <w:p w14:paraId="25277C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-9.91442</w:t>
            </w:r>
          </w:p>
        </w:tc>
        <w:tc>
          <w:tcPr>
            <w:tcW w:w="1218" w:type="dxa"/>
            <w:tcBorders>
              <w:top w:val="nil"/>
              <w:left w:val="nil"/>
              <w:bottom w:val="single" w:sz="4" w:space="0" w:color="auto"/>
              <w:right w:val="single" w:sz="4" w:space="0" w:color="auto"/>
            </w:tcBorders>
            <w:shd w:val="clear" w:color="auto" w:fill="auto"/>
            <w:noWrap/>
            <w:vAlign w:val="bottom"/>
            <w:hideMark/>
          </w:tcPr>
          <w:p w14:paraId="76E557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-1.10468</w:t>
            </w:r>
          </w:p>
        </w:tc>
      </w:tr>
      <w:tr w:rsidR="002027D2" w:rsidRPr="008D1712" w14:paraId="3CE6E0BC"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E806E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202DB5D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8.527796</w:t>
            </w:r>
          </w:p>
        </w:tc>
        <w:tc>
          <w:tcPr>
            <w:tcW w:w="1218" w:type="dxa"/>
            <w:tcBorders>
              <w:top w:val="nil"/>
              <w:left w:val="nil"/>
              <w:bottom w:val="single" w:sz="4" w:space="0" w:color="auto"/>
              <w:right w:val="single" w:sz="4" w:space="0" w:color="auto"/>
            </w:tcBorders>
            <w:shd w:val="clear" w:color="auto" w:fill="auto"/>
            <w:noWrap/>
            <w:vAlign w:val="bottom"/>
            <w:hideMark/>
          </w:tcPr>
          <w:p w14:paraId="14A52D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-10.026</w:t>
            </w:r>
          </w:p>
        </w:tc>
        <w:tc>
          <w:tcPr>
            <w:tcW w:w="1218" w:type="dxa"/>
            <w:tcBorders>
              <w:top w:val="nil"/>
              <w:left w:val="nil"/>
              <w:bottom w:val="single" w:sz="4" w:space="0" w:color="auto"/>
              <w:right w:val="single" w:sz="4" w:space="0" w:color="auto"/>
            </w:tcBorders>
            <w:shd w:val="clear" w:color="auto" w:fill="auto"/>
            <w:noWrap/>
            <w:vAlign w:val="bottom"/>
            <w:hideMark/>
          </w:tcPr>
          <w:p w14:paraId="1FC3FDA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1.435397</w:t>
            </w:r>
          </w:p>
        </w:tc>
      </w:tr>
      <w:tr w:rsidR="002027D2" w:rsidRPr="008D1712" w14:paraId="6158E686"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04869D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50FF80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9.32624</w:t>
            </w:r>
          </w:p>
        </w:tc>
        <w:tc>
          <w:tcPr>
            <w:tcW w:w="1218" w:type="dxa"/>
            <w:tcBorders>
              <w:top w:val="nil"/>
              <w:left w:val="nil"/>
              <w:bottom w:val="single" w:sz="4" w:space="0" w:color="auto"/>
              <w:right w:val="single" w:sz="4" w:space="0" w:color="auto"/>
            </w:tcBorders>
            <w:shd w:val="clear" w:color="auto" w:fill="auto"/>
            <w:noWrap/>
            <w:vAlign w:val="bottom"/>
            <w:hideMark/>
          </w:tcPr>
          <w:p w14:paraId="00ABDA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-11.6061</w:t>
            </w:r>
          </w:p>
        </w:tc>
        <w:tc>
          <w:tcPr>
            <w:tcW w:w="1218" w:type="dxa"/>
            <w:tcBorders>
              <w:top w:val="nil"/>
              <w:left w:val="nil"/>
              <w:bottom w:val="single" w:sz="4" w:space="0" w:color="auto"/>
              <w:right w:val="single" w:sz="4" w:space="0" w:color="auto"/>
            </w:tcBorders>
            <w:shd w:val="clear" w:color="auto" w:fill="auto"/>
            <w:noWrap/>
            <w:vAlign w:val="bottom"/>
            <w:hideMark/>
          </w:tcPr>
          <w:p w14:paraId="5BD6FA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1.446502</w:t>
            </w:r>
          </w:p>
        </w:tc>
      </w:tr>
      <w:tr w:rsidR="002027D2" w:rsidRPr="008D1712" w14:paraId="39A0F42C"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A907C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3FD2C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6.733238</w:t>
            </w:r>
          </w:p>
        </w:tc>
        <w:tc>
          <w:tcPr>
            <w:tcW w:w="1218" w:type="dxa"/>
            <w:tcBorders>
              <w:top w:val="nil"/>
              <w:left w:val="nil"/>
              <w:bottom w:val="single" w:sz="4" w:space="0" w:color="auto"/>
              <w:right w:val="single" w:sz="4" w:space="0" w:color="auto"/>
            </w:tcBorders>
            <w:shd w:val="clear" w:color="auto" w:fill="auto"/>
            <w:noWrap/>
            <w:vAlign w:val="bottom"/>
            <w:hideMark/>
          </w:tcPr>
          <w:p w14:paraId="229C44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-10.9546</w:t>
            </w:r>
          </w:p>
        </w:tc>
        <w:tc>
          <w:tcPr>
            <w:tcW w:w="1218" w:type="dxa"/>
            <w:tcBorders>
              <w:top w:val="nil"/>
              <w:left w:val="nil"/>
              <w:bottom w:val="single" w:sz="4" w:space="0" w:color="auto"/>
              <w:right w:val="single" w:sz="4" w:space="0" w:color="auto"/>
            </w:tcBorders>
            <w:shd w:val="clear" w:color="auto" w:fill="auto"/>
            <w:noWrap/>
            <w:vAlign w:val="bottom"/>
            <w:hideMark/>
          </w:tcPr>
          <w:p w14:paraId="6001A1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-0.10605</w:t>
            </w:r>
          </w:p>
        </w:tc>
      </w:tr>
      <w:tr w:rsidR="002027D2" w:rsidRPr="008D1712" w14:paraId="0C0D67D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EC41F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4F600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7.530121</w:t>
            </w:r>
          </w:p>
        </w:tc>
        <w:tc>
          <w:tcPr>
            <w:tcW w:w="1218" w:type="dxa"/>
            <w:tcBorders>
              <w:top w:val="nil"/>
              <w:left w:val="nil"/>
              <w:bottom w:val="single" w:sz="4" w:space="0" w:color="auto"/>
              <w:right w:val="single" w:sz="4" w:space="0" w:color="auto"/>
            </w:tcBorders>
            <w:shd w:val="clear" w:color="auto" w:fill="auto"/>
            <w:noWrap/>
            <w:vAlign w:val="bottom"/>
            <w:hideMark/>
          </w:tcPr>
          <w:p w14:paraId="1C8868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-12.5332</w:t>
            </w:r>
          </w:p>
        </w:tc>
        <w:tc>
          <w:tcPr>
            <w:tcW w:w="1218" w:type="dxa"/>
            <w:tcBorders>
              <w:top w:val="nil"/>
              <w:left w:val="nil"/>
              <w:bottom w:val="single" w:sz="4" w:space="0" w:color="auto"/>
              <w:right w:val="single" w:sz="4" w:space="0" w:color="auto"/>
            </w:tcBorders>
            <w:shd w:val="clear" w:color="auto" w:fill="auto"/>
            <w:noWrap/>
            <w:vAlign w:val="bottom"/>
            <w:hideMark/>
          </w:tcPr>
          <w:p w14:paraId="38255A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-0.07802</w:t>
            </w:r>
          </w:p>
        </w:tc>
      </w:tr>
      <w:tr w:rsidR="002027D2" w:rsidRPr="008D1712" w14:paraId="793D9B8E"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9559B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441AC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11.35084</w:t>
            </w:r>
          </w:p>
        </w:tc>
        <w:tc>
          <w:tcPr>
            <w:tcW w:w="1218" w:type="dxa"/>
            <w:tcBorders>
              <w:top w:val="nil"/>
              <w:left w:val="nil"/>
              <w:bottom w:val="single" w:sz="4" w:space="0" w:color="auto"/>
              <w:right w:val="single" w:sz="4" w:space="0" w:color="auto"/>
            </w:tcBorders>
            <w:shd w:val="clear" w:color="auto" w:fill="auto"/>
            <w:noWrap/>
            <w:vAlign w:val="bottom"/>
            <w:hideMark/>
          </w:tcPr>
          <w:p w14:paraId="4685E80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-12.7011</w:t>
            </w:r>
          </w:p>
        </w:tc>
        <w:tc>
          <w:tcPr>
            <w:tcW w:w="1218" w:type="dxa"/>
            <w:tcBorders>
              <w:top w:val="nil"/>
              <w:left w:val="nil"/>
              <w:bottom w:val="single" w:sz="4" w:space="0" w:color="auto"/>
              <w:right w:val="single" w:sz="4" w:space="0" w:color="auto"/>
            </w:tcBorders>
            <w:shd w:val="clear" w:color="auto" w:fill="auto"/>
            <w:noWrap/>
            <w:vAlign w:val="bottom"/>
            <w:hideMark/>
          </w:tcPr>
          <w:p w14:paraId="1A242F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-0.19066</w:t>
            </w:r>
          </w:p>
        </w:tc>
      </w:tr>
      <w:tr w:rsidR="002027D2" w:rsidRPr="008D1712" w14:paraId="12F781C3"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B8580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BA69B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13.67912</w:t>
            </w:r>
          </w:p>
        </w:tc>
        <w:tc>
          <w:tcPr>
            <w:tcW w:w="1218" w:type="dxa"/>
            <w:tcBorders>
              <w:top w:val="nil"/>
              <w:left w:val="nil"/>
              <w:bottom w:val="single" w:sz="4" w:space="0" w:color="auto"/>
              <w:right w:val="single" w:sz="4" w:space="0" w:color="auto"/>
            </w:tcBorders>
            <w:shd w:val="clear" w:color="auto" w:fill="auto"/>
            <w:noWrap/>
            <w:vAlign w:val="bottom"/>
            <w:hideMark/>
          </w:tcPr>
          <w:p w14:paraId="219D0DB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-13.5019</w:t>
            </w:r>
          </w:p>
        </w:tc>
        <w:tc>
          <w:tcPr>
            <w:tcW w:w="1218" w:type="dxa"/>
            <w:tcBorders>
              <w:top w:val="nil"/>
              <w:left w:val="nil"/>
              <w:bottom w:val="single" w:sz="4" w:space="0" w:color="auto"/>
              <w:right w:val="single" w:sz="4" w:space="0" w:color="auto"/>
            </w:tcBorders>
            <w:shd w:val="clear" w:color="auto" w:fill="auto"/>
            <w:noWrap/>
            <w:vAlign w:val="bottom"/>
            <w:hideMark/>
          </w:tcPr>
          <w:p w14:paraId="212491B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0.189649</w:t>
            </w:r>
          </w:p>
        </w:tc>
      </w:tr>
      <w:tr w:rsidR="002027D2" w:rsidRPr="008D1712" w14:paraId="19C64511"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C39CC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Cl</w:t>
            </w:r>
          </w:p>
        </w:tc>
        <w:tc>
          <w:tcPr>
            <w:tcW w:w="1218" w:type="dxa"/>
            <w:tcBorders>
              <w:top w:val="nil"/>
              <w:left w:val="nil"/>
              <w:bottom w:val="single" w:sz="4" w:space="0" w:color="auto"/>
              <w:right w:val="single" w:sz="4" w:space="0" w:color="auto"/>
            </w:tcBorders>
            <w:shd w:val="clear" w:color="auto" w:fill="auto"/>
            <w:noWrap/>
            <w:vAlign w:val="bottom"/>
            <w:hideMark/>
          </w:tcPr>
          <w:p w14:paraId="106B74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16.12271</w:t>
            </w:r>
          </w:p>
        </w:tc>
        <w:tc>
          <w:tcPr>
            <w:tcW w:w="1218" w:type="dxa"/>
            <w:tcBorders>
              <w:top w:val="nil"/>
              <w:left w:val="nil"/>
              <w:bottom w:val="single" w:sz="4" w:space="0" w:color="auto"/>
              <w:right w:val="single" w:sz="4" w:space="0" w:color="auto"/>
            </w:tcBorders>
            <w:shd w:val="clear" w:color="auto" w:fill="auto"/>
            <w:noWrap/>
            <w:vAlign w:val="bottom"/>
            <w:hideMark/>
          </w:tcPr>
          <w:p w14:paraId="055D9D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-12.1077</w:t>
            </w:r>
          </w:p>
        </w:tc>
        <w:tc>
          <w:tcPr>
            <w:tcW w:w="1218" w:type="dxa"/>
            <w:tcBorders>
              <w:top w:val="nil"/>
              <w:left w:val="nil"/>
              <w:bottom w:val="single" w:sz="4" w:space="0" w:color="auto"/>
              <w:right w:val="single" w:sz="4" w:space="0" w:color="auto"/>
            </w:tcBorders>
            <w:shd w:val="clear" w:color="auto" w:fill="auto"/>
            <w:noWrap/>
            <w:vAlign w:val="bottom"/>
            <w:hideMark/>
          </w:tcPr>
          <w:p w14:paraId="73763B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0.679315</w:t>
            </w:r>
          </w:p>
        </w:tc>
      </w:tr>
      <w:tr w:rsidR="002027D2" w:rsidRPr="008D1712" w14:paraId="4280B584"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65450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4BB267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15.1079</w:t>
            </w:r>
          </w:p>
        </w:tc>
        <w:tc>
          <w:tcPr>
            <w:tcW w:w="1218" w:type="dxa"/>
            <w:tcBorders>
              <w:top w:val="nil"/>
              <w:left w:val="nil"/>
              <w:bottom w:val="single" w:sz="4" w:space="0" w:color="auto"/>
              <w:right w:val="single" w:sz="4" w:space="0" w:color="auto"/>
            </w:tcBorders>
            <w:shd w:val="clear" w:color="auto" w:fill="auto"/>
            <w:noWrap/>
            <w:vAlign w:val="bottom"/>
            <w:hideMark/>
          </w:tcPr>
          <w:p w14:paraId="1645D2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-9.43189</w:t>
            </w:r>
          </w:p>
        </w:tc>
        <w:tc>
          <w:tcPr>
            <w:tcW w:w="1218" w:type="dxa"/>
            <w:tcBorders>
              <w:top w:val="nil"/>
              <w:left w:val="nil"/>
              <w:bottom w:val="single" w:sz="4" w:space="0" w:color="auto"/>
              <w:right w:val="single" w:sz="4" w:space="0" w:color="auto"/>
            </w:tcBorders>
            <w:shd w:val="clear" w:color="auto" w:fill="auto"/>
            <w:noWrap/>
            <w:vAlign w:val="bottom"/>
            <w:hideMark/>
          </w:tcPr>
          <w:p w14:paraId="0FAB87A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0.602712</w:t>
            </w:r>
          </w:p>
        </w:tc>
      </w:tr>
      <w:tr w:rsidR="002027D2" w:rsidRPr="008D1712" w14:paraId="6809101F"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EC04F3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2AC992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12.23408</w:t>
            </w:r>
          </w:p>
        </w:tc>
        <w:tc>
          <w:tcPr>
            <w:tcW w:w="1218" w:type="dxa"/>
            <w:tcBorders>
              <w:top w:val="nil"/>
              <w:left w:val="nil"/>
              <w:bottom w:val="single" w:sz="4" w:space="0" w:color="auto"/>
              <w:right w:val="single" w:sz="4" w:space="0" w:color="auto"/>
            </w:tcBorders>
            <w:shd w:val="clear" w:color="auto" w:fill="auto"/>
            <w:noWrap/>
            <w:vAlign w:val="bottom"/>
            <w:hideMark/>
          </w:tcPr>
          <w:p w14:paraId="027D07C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-8.00033</w:t>
            </w:r>
          </w:p>
        </w:tc>
        <w:tc>
          <w:tcPr>
            <w:tcW w:w="1218" w:type="dxa"/>
            <w:tcBorders>
              <w:top w:val="nil"/>
              <w:left w:val="nil"/>
              <w:bottom w:val="single" w:sz="4" w:space="0" w:color="auto"/>
              <w:right w:val="single" w:sz="4" w:space="0" w:color="auto"/>
            </w:tcBorders>
            <w:shd w:val="clear" w:color="auto" w:fill="auto"/>
            <w:noWrap/>
            <w:vAlign w:val="bottom"/>
            <w:hideMark/>
          </w:tcPr>
          <w:p w14:paraId="11A0FCA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2.327704</w:t>
            </w:r>
          </w:p>
        </w:tc>
      </w:tr>
      <w:tr w:rsidR="002027D2" w:rsidRPr="008D1712" w14:paraId="1A7AE800"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EBC5F5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BA32E0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12.29743</w:t>
            </w:r>
          </w:p>
        </w:tc>
        <w:tc>
          <w:tcPr>
            <w:tcW w:w="1218" w:type="dxa"/>
            <w:tcBorders>
              <w:top w:val="nil"/>
              <w:left w:val="nil"/>
              <w:bottom w:val="single" w:sz="4" w:space="0" w:color="auto"/>
              <w:right w:val="single" w:sz="4" w:space="0" w:color="auto"/>
            </w:tcBorders>
            <w:shd w:val="clear" w:color="auto" w:fill="auto"/>
            <w:noWrap/>
            <w:vAlign w:val="bottom"/>
            <w:hideMark/>
          </w:tcPr>
          <w:p w14:paraId="1E2A9C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-6.46006</w:t>
            </w:r>
          </w:p>
        </w:tc>
        <w:tc>
          <w:tcPr>
            <w:tcW w:w="1218" w:type="dxa"/>
            <w:tcBorders>
              <w:top w:val="nil"/>
              <w:left w:val="nil"/>
              <w:bottom w:val="single" w:sz="4" w:space="0" w:color="auto"/>
              <w:right w:val="single" w:sz="4" w:space="0" w:color="auto"/>
            </w:tcBorders>
            <w:shd w:val="clear" w:color="auto" w:fill="auto"/>
            <w:noWrap/>
            <w:vAlign w:val="bottom"/>
            <w:hideMark/>
          </w:tcPr>
          <w:p w14:paraId="63C513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1.418545</w:t>
            </w:r>
          </w:p>
        </w:tc>
      </w:tr>
      <w:tr w:rsidR="002027D2" w:rsidRPr="008D1712" w14:paraId="64866B43"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822FE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194C3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13.77599</w:t>
            </w:r>
          </w:p>
        </w:tc>
        <w:tc>
          <w:tcPr>
            <w:tcW w:w="1218" w:type="dxa"/>
            <w:tcBorders>
              <w:top w:val="nil"/>
              <w:left w:val="nil"/>
              <w:bottom w:val="single" w:sz="4" w:space="0" w:color="auto"/>
              <w:right w:val="single" w:sz="4" w:space="0" w:color="auto"/>
            </w:tcBorders>
            <w:shd w:val="clear" w:color="auto" w:fill="auto"/>
            <w:noWrap/>
            <w:vAlign w:val="bottom"/>
            <w:hideMark/>
          </w:tcPr>
          <w:p w14:paraId="731545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-7.43158</w:t>
            </w:r>
          </w:p>
        </w:tc>
        <w:tc>
          <w:tcPr>
            <w:tcW w:w="1218" w:type="dxa"/>
            <w:tcBorders>
              <w:top w:val="nil"/>
              <w:left w:val="nil"/>
              <w:bottom w:val="single" w:sz="4" w:space="0" w:color="auto"/>
              <w:right w:val="single" w:sz="4" w:space="0" w:color="auto"/>
            </w:tcBorders>
            <w:shd w:val="clear" w:color="auto" w:fill="auto"/>
            <w:noWrap/>
            <w:vAlign w:val="bottom"/>
            <w:hideMark/>
          </w:tcPr>
          <w:p w14:paraId="1204FD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1.636164</w:t>
            </w:r>
          </w:p>
        </w:tc>
      </w:tr>
      <w:tr w:rsidR="002027D2" w:rsidRPr="008D1712" w14:paraId="33A31113"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3CDC7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85826C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12.8454</w:t>
            </w:r>
          </w:p>
        </w:tc>
        <w:tc>
          <w:tcPr>
            <w:tcW w:w="1218" w:type="dxa"/>
            <w:tcBorders>
              <w:top w:val="nil"/>
              <w:left w:val="nil"/>
              <w:bottom w:val="single" w:sz="4" w:space="0" w:color="auto"/>
              <w:right w:val="single" w:sz="4" w:space="0" w:color="auto"/>
            </w:tcBorders>
            <w:shd w:val="clear" w:color="auto" w:fill="auto"/>
            <w:noWrap/>
            <w:vAlign w:val="bottom"/>
            <w:hideMark/>
          </w:tcPr>
          <w:p w14:paraId="48D4DA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-8.09616</w:t>
            </w:r>
          </w:p>
        </w:tc>
        <w:tc>
          <w:tcPr>
            <w:tcW w:w="1218" w:type="dxa"/>
            <w:tcBorders>
              <w:top w:val="nil"/>
              <w:left w:val="nil"/>
              <w:bottom w:val="single" w:sz="4" w:space="0" w:color="auto"/>
              <w:right w:val="single" w:sz="4" w:space="0" w:color="auto"/>
            </w:tcBorders>
            <w:shd w:val="clear" w:color="auto" w:fill="auto"/>
            <w:noWrap/>
            <w:vAlign w:val="bottom"/>
            <w:hideMark/>
          </w:tcPr>
          <w:p w14:paraId="28CBF5D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-2.00838</w:t>
            </w:r>
          </w:p>
        </w:tc>
      </w:tr>
      <w:tr w:rsidR="002027D2" w:rsidRPr="008D1712" w14:paraId="2DBDAE62"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1D2C2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D88BF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14.12079</w:t>
            </w:r>
          </w:p>
        </w:tc>
        <w:tc>
          <w:tcPr>
            <w:tcW w:w="1218" w:type="dxa"/>
            <w:tcBorders>
              <w:top w:val="nil"/>
              <w:left w:val="nil"/>
              <w:bottom w:val="single" w:sz="4" w:space="0" w:color="auto"/>
              <w:right w:val="single" w:sz="4" w:space="0" w:color="auto"/>
            </w:tcBorders>
            <w:shd w:val="clear" w:color="auto" w:fill="auto"/>
            <w:noWrap/>
            <w:vAlign w:val="bottom"/>
            <w:hideMark/>
          </w:tcPr>
          <w:p w14:paraId="622BD5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-7.4486</w:t>
            </w:r>
          </w:p>
        </w:tc>
        <w:tc>
          <w:tcPr>
            <w:tcW w:w="1218" w:type="dxa"/>
            <w:tcBorders>
              <w:top w:val="nil"/>
              <w:left w:val="nil"/>
              <w:bottom w:val="single" w:sz="4" w:space="0" w:color="auto"/>
              <w:right w:val="single" w:sz="4" w:space="0" w:color="auto"/>
            </w:tcBorders>
            <w:shd w:val="clear" w:color="auto" w:fill="auto"/>
            <w:noWrap/>
            <w:vAlign w:val="bottom"/>
            <w:hideMark/>
          </w:tcPr>
          <w:p w14:paraId="46A11C0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-0.94178</w:t>
            </w:r>
          </w:p>
        </w:tc>
      </w:tr>
      <w:tr w:rsidR="002027D2" w:rsidRPr="008D1712" w14:paraId="3F2E14F2"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0D7BE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4FA186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12.61665</w:t>
            </w:r>
          </w:p>
        </w:tc>
        <w:tc>
          <w:tcPr>
            <w:tcW w:w="1218" w:type="dxa"/>
            <w:tcBorders>
              <w:top w:val="nil"/>
              <w:left w:val="nil"/>
              <w:bottom w:val="single" w:sz="4" w:space="0" w:color="auto"/>
              <w:right w:val="single" w:sz="4" w:space="0" w:color="auto"/>
            </w:tcBorders>
            <w:shd w:val="clear" w:color="auto" w:fill="auto"/>
            <w:noWrap/>
            <w:vAlign w:val="bottom"/>
            <w:hideMark/>
          </w:tcPr>
          <w:p w14:paraId="02A56DA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-6.52204</w:t>
            </w:r>
          </w:p>
        </w:tc>
        <w:tc>
          <w:tcPr>
            <w:tcW w:w="1218" w:type="dxa"/>
            <w:tcBorders>
              <w:top w:val="nil"/>
              <w:left w:val="nil"/>
              <w:bottom w:val="single" w:sz="4" w:space="0" w:color="auto"/>
              <w:right w:val="single" w:sz="4" w:space="0" w:color="auto"/>
            </w:tcBorders>
            <w:shd w:val="clear" w:color="auto" w:fill="auto"/>
            <w:noWrap/>
            <w:vAlign w:val="bottom"/>
            <w:hideMark/>
          </w:tcPr>
          <w:p w14:paraId="1F6D4C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-1.19274</w:t>
            </w:r>
          </w:p>
        </w:tc>
      </w:tr>
      <w:tr w:rsidR="002027D2" w:rsidRPr="008D1712" w14:paraId="524F001A"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5E64C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4F0DBFA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2.289246</w:t>
            </w:r>
          </w:p>
        </w:tc>
        <w:tc>
          <w:tcPr>
            <w:tcW w:w="1218" w:type="dxa"/>
            <w:tcBorders>
              <w:top w:val="nil"/>
              <w:left w:val="nil"/>
              <w:bottom w:val="single" w:sz="4" w:space="0" w:color="auto"/>
              <w:right w:val="single" w:sz="4" w:space="0" w:color="auto"/>
            </w:tcBorders>
            <w:shd w:val="clear" w:color="auto" w:fill="auto"/>
            <w:noWrap/>
            <w:vAlign w:val="bottom"/>
            <w:hideMark/>
          </w:tcPr>
          <w:p w14:paraId="5D7DE7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-0.42866</w:t>
            </w:r>
          </w:p>
        </w:tc>
        <w:tc>
          <w:tcPr>
            <w:tcW w:w="1218" w:type="dxa"/>
            <w:tcBorders>
              <w:top w:val="nil"/>
              <w:left w:val="nil"/>
              <w:bottom w:val="single" w:sz="4" w:space="0" w:color="auto"/>
              <w:right w:val="single" w:sz="4" w:space="0" w:color="auto"/>
            </w:tcBorders>
            <w:shd w:val="clear" w:color="auto" w:fill="auto"/>
            <w:noWrap/>
            <w:vAlign w:val="bottom"/>
            <w:hideMark/>
          </w:tcPr>
          <w:p w14:paraId="4229A2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2.958119</w:t>
            </w:r>
          </w:p>
        </w:tc>
      </w:tr>
      <w:tr w:rsidR="002027D2" w:rsidRPr="008D1712" w14:paraId="4AFF046C"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BC3B4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5DEA781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3.231454</w:t>
            </w:r>
          </w:p>
        </w:tc>
        <w:tc>
          <w:tcPr>
            <w:tcW w:w="1218" w:type="dxa"/>
            <w:tcBorders>
              <w:top w:val="nil"/>
              <w:left w:val="nil"/>
              <w:bottom w:val="single" w:sz="4" w:space="0" w:color="auto"/>
              <w:right w:val="single" w:sz="4" w:space="0" w:color="auto"/>
            </w:tcBorders>
            <w:shd w:val="clear" w:color="auto" w:fill="auto"/>
            <w:noWrap/>
            <w:vAlign w:val="bottom"/>
            <w:hideMark/>
          </w:tcPr>
          <w:p w14:paraId="070D3E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0.063165</w:t>
            </w:r>
          </w:p>
        </w:tc>
        <w:tc>
          <w:tcPr>
            <w:tcW w:w="1218" w:type="dxa"/>
            <w:tcBorders>
              <w:top w:val="nil"/>
              <w:left w:val="nil"/>
              <w:bottom w:val="single" w:sz="4" w:space="0" w:color="auto"/>
              <w:right w:val="single" w:sz="4" w:space="0" w:color="auto"/>
            </w:tcBorders>
            <w:shd w:val="clear" w:color="auto" w:fill="auto"/>
            <w:noWrap/>
            <w:vAlign w:val="bottom"/>
            <w:hideMark/>
          </w:tcPr>
          <w:p w14:paraId="221642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1.847052</w:t>
            </w:r>
          </w:p>
        </w:tc>
      </w:tr>
      <w:tr w:rsidR="002027D2" w:rsidRPr="008D1712" w14:paraId="12CE75EA"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4597F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68736F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4.541042</w:t>
            </w:r>
          </w:p>
        </w:tc>
        <w:tc>
          <w:tcPr>
            <w:tcW w:w="1218" w:type="dxa"/>
            <w:tcBorders>
              <w:top w:val="nil"/>
              <w:left w:val="nil"/>
              <w:bottom w:val="single" w:sz="4" w:space="0" w:color="auto"/>
              <w:right w:val="single" w:sz="4" w:space="0" w:color="auto"/>
            </w:tcBorders>
            <w:shd w:val="clear" w:color="auto" w:fill="auto"/>
            <w:noWrap/>
            <w:vAlign w:val="bottom"/>
            <w:hideMark/>
          </w:tcPr>
          <w:p w14:paraId="2F95C6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0.640681</w:t>
            </w:r>
          </w:p>
        </w:tc>
        <w:tc>
          <w:tcPr>
            <w:tcW w:w="1218" w:type="dxa"/>
            <w:tcBorders>
              <w:top w:val="nil"/>
              <w:left w:val="nil"/>
              <w:bottom w:val="single" w:sz="4" w:space="0" w:color="auto"/>
              <w:right w:val="single" w:sz="4" w:space="0" w:color="auto"/>
            </w:tcBorders>
            <w:shd w:val="clear" w:color="auto" w:fill="auto"/>
            <w:noWrap/>
            <w:vAlign w:val="bottom"/>
            <w:hideMark/>
          </w:tcPr>
          <w:p w14:paraId="1FF19A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2.409191</w:t>
            </w:r>
          </w:p>
        </w:tc>
      </w:tr>
      <w:tr w:rsidR="002027D2" w:rsidRPr="008D1712" w14:paraId="590AD8BD"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58E47E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218" w:type="dxa"/>
            <w:tcBorders>
              <w:top w:val="nil"/>
              <w:left w:val="nil"/>
              <w:bottom w:val="single" w:sz="4" w:space="0" w:color="auto"/>
              <w:right w:val="single" w:sz="4" w:space="0" w:color="auto"/>
            </w:tcBorders>
            <w:shd w:val="clear" w:color="auto" w:fill="auto"/>
            <w:noWrap/>
            <w:vAlign w:val="bottom"/>
            <w:hideMark/>
          </w:tcPr>
          <w:p w14:paraId="0E6873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5.445144</w:t>
            </w:r>
          </w:p>
        </w:tc>
        <w:tc>
          <w:tcPr>
            <w:tcW w:w="1218" w:type="dxa"/>
            <w:tcBorders>
              <w:top w:val="nil"/>
              <w:left w:val="nil"/>
              <w:bottom w:val="single" w:sz="4" w:space="0" w:color="auto"/>
              <w:right w:val="single" w:sz="4" w:space="0" w:color="auto"/>
            </w:tcBorders>
            <w:shd w:val="clear" w:color="auto" w:fill="auto"/>
            <w:noWrap/>
            <w:vAlign w:val="bottom"/>
            <w:hideMark/>
          </w:tcPr>
          <w:p w14:paraId="5826E3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1.12411</w:t>
            </w:r>
          </w:p>
        </w:tc>
        <w:tc>
          <w:tcPr>
            <w:tcW w:w="1218" w:type="dxa"/>
            <w:tcBorders>
              <w:top w:val="nil"/>
              <w:left w:val="nil"/>
              <w:bottom w:val="single" w:sz="4" w:space="0" w:color="auto"/>
              <w:right w:val="single" w:sz="4" w:space="0" w:color="auto"/>
            </w:tcBorders>
            <w:shd w:val="clear" w:color="auto" w:fill="auto"/>
            <w:noWrap/>
            <w:vAlign w:val="bottom"/>
            <w:hideMark/>
          </w:tcPr>
          <w:p w14:paraId="66FB7D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1.356425</w:t>
            </w:r>
          </w:p>
        </w:tc>
      </w:tr>
      <w:tr w:rsidR="002027D2" w:rsidRPr="008D1712" w14:paraId="5EA57170"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029B5D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C</w:t>
            </w:r>
          </w:p>
        </w:tc>
        <w:tc>
          <w:tcPr>
            <w:tcW w:w="1218" w:type="dxa"/>
            <w:tcBorders>
              <w:top w:val="nil"/>
              <w:left w:val="nil"/>
              <w:bottom w:val="single" w:sz="4" w:space="0" w:color="auto"/>
              <w:right w:val="single" w:sz="4" w:space="0" w:color="auto"/>
            </w:tcBorders>
            <w:shd w:val="clear" w:color="auto" w:fill="auto"/>
            <w:noWrap/>
            <w:vAlign w:val="bottom"/>
            <w:hideMark/>
          </w:tcPr>
          <w:p w14:paraId="2B3096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5.357569</w:t>
            </w:r>
          </w:p>
        </w:tc>
        <w:tc>
          <w:tcPr>
            <w:tcW w:w="1218" w:type="dxa"/>
            <w:tcBorders>
              <w:top w:val="nil"/>
              <w:left w:val="nil"/>
              <w:bottom w:val="single" w:sz="4" w:space="0" w:color="auto"/>
              <w:right w:val="single" w:sz="4" w:space="0" w:color="auto"/>
            </w:tcBorders>
            <w:shd w:val="clear" w:color="auto" w:fill="auto"/>
            <w:noWrap/>
            <w:vAlign w:val="bottom"/>
            <w:hideMark/>
          </w:tcPr>
          <w:p w14:paraId="0202C2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2.443733</w:t>
            </w:r>
          </w:p>
        </w:tc>
        <w:tc>
          <w:tcPr>
            <w:tcW w:w="1218" w:type="dxa"/>
            <w:tcBorders>
              <w:top w:val="nil"/>
              <w:left w:val="nil"/>
              <w:bottom w:val="single" w:sz="4" w:space="0" w:color="auto"/>
              <w:right w:val="single" w:sz="4" w:space="0" w:color="auto"/>
            </w:tcBorders>
            <w:shd w:val="clear" w:color="auto" w:fill="auto"/>
            <w:noWrap/>
            <w:vAlign w:val="bottom"/>
            <w:hideMark/>
          </w:tcPr>
          <w:p w14:paraId="3EDDD0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0.84956</w:t>
            </w:r>
          </w:p>
        </w:tc>
      </w:tr>
      <w:tr w:rsidR="002027D2" w:rsidRPr="008D1712" w14:paraId="0BD76F48"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BFDB5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1F37F4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4.505987</w:t>
            </w:r>
          </w:p>
        </w:tc>
        <w:tc>
          <w:tcPr>
            <w:tcW w:w="1218" w:type="dxa"/>
            <w:tcBorders>
              <w:top w:val="nil"/>
              <w:left w:val="nil"/>
              <w:bottom w:val="single" w:sz="4" w:space="0" w:color="auto"/>
              <w:right w:val="single" w:sz="4" w:space="0" w:color="auto"/>
            </w:tcBorders>
            <w:shd w:val="clear" w:color="auto" w:fill="auto"/>
            <w:noWrap/>
            <w:vAlign w:val="bottom"/>
            <w:hideMark/>
          </w:tcPr>
          <w:p w14:paraId="40B4319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3.482126</w:t>
            </w:r>
          </w:p>
        </w:tc>
        <w:tc>
          <w:tcPr>
            <w:tcW w:w="1218" w:type="dxa"/>
            <w:tcBorders>
              <w:top w:val="nil"/>
              <w:left w:val="nil"/>
              <w:bottom w:val="single" w:sz="4" w:space="0" w:color="auto"/>
              <w:right w:val="single" w:sz="4" w:space="0" w:color="auto"/>
            </w:tcBorders>
            <w:shd w:val="clear" w:color="auto" w:fill="auto"/>
            <w:noWrap/>
            <w:vAlign w:val="bottom"/>
            <w:hideMark/>
          </w:tcPr>
          <w:p w14:paraId="5BDEC2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1.24681</w:t>
            </w:r>
          </w:p>
        </w:tc>
      </w:tr>
      <w:tr w:rsidR="002027D2" w:rsidRPr="008D1712" w14:paraId="503D1601"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2D4D0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193DA9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4.629377</w:t>
            </w:r>
          </w:p>
        </w:tc>
        <w:tc>
          <w:tcPr>
            <w:tcW w:w="1218" w:type="dxa"/>
            <w:tcBorders>
              <w:top w:val="nil"/>
              <w:left w:val="nil"/>
              <w:bottom w:val="single" w:sz="4" w:space="0" w:color="auto"/>
              <w:right w:val="single" w:sz="4" w:space="0" w:color="auto"/>
            </w:tcBorders>
            <w:shd w:val="clear" w:color="auto" w:fill="auto"/>
            <w:noWrap/>
            <w:vAlign w:val="bottom"/>
            <w:hideMark/>
          </w:tcPr>
          <w:p w14:paraId="6D9EA6F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4.709986</w:t>
            </w:r>
          </w:p>
        </w:tc>
        <w:tc>
          <w:tcPr>
            <w:tcW w:w="1218" w:type="dxa"/>
            <w:tcBorders>
              <w:top w:val="nil"/>
              <w:left w:val="nil"/>
              <w:bottom w:val="single" w:sz="4" w:space="0" w:color="auto"/>
              <w:right w:val="single" w:sz="4" w:space="0" w:color="auto"/>
            </w:tcBorders>
            <w:shd w:val="clear" w:color="auto" w:fill="auto"/>
            <w:noWrap/>
            <w:vAlign w:val="bottom"/>
            <w:hideMark/>
          </w:tcPr>
          <w:p w14:paraId="7A775D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0.580566</w:t>
            </w:r>
          </w:p>
        </w:tc>
      </w:tr>
      <w:tr w:rsidR="002027D2" w:rsidRPr="008D1712" w14:paraId="3620D758"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281FBC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5FA5E6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5.579757</w:t>
            </w:r>
          </w:p>
        </w:tc>
        <w:tc>
          <w:tcPr>
            <w:tcW w:w="1218" w:type="dxa"/>
            <w:tcBorders>
              <w:top w:val="nil"/>
              <w:left w:val="nil"/>
              <w:bottom w:val="single" w:sz="4" w:space="0" w:color="auto"/>
              <w:right w:val="single" w:sz="4" w:space="0" w:color="auto"/>
            </w:tcBorders>
            <w:shd w:val="clear" w:color="auto" w:fill="auto"/>
            <w:noWrap/>
            <w:vAlign w:val="bottom"/>
            <w:hideMark/>
          </w:tcPr>
          <w:p w14:paraId="7A904B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4.871741</w:t>
            </w:r>
          </w:p>
        </w:tc>
        <w:tc>
          <w:tcPr>
            <w:tcW w:w="1218" w:type="dxa"/>
            <w:tcBorders>
              <w:top w:val="nil"/>
              <w:left w:val="nil"/>
              <w:bottom w:val="single" w:sz="4" w:space="0" w:color="auto"/>
              <w:right w:val="single" w:sz="4" w:space="0" w:color="auto"/>
            </w:tcBorders>
            <w:shd w:val="clear" w:color="auto" w:fill="auto"/>
            <w:noWrap/>
            <w:vAlign w:val="bottom"/>
            <w:hideMark/>
          </w:tcPr>
          <w:p w14:paraId="0CA1CC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-0.44593</w:t>
            </w:r>
          </w:p>
        </w:tc>
      </w:tr>
      <w:tr w:rsidR="002027D2" w:rsidRPr="008D1712" w14:paraId="5248C4DA"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4F21E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77B16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6.430928</w:t>
            </w:r>
          </w:p>
        </w:tc>
        <w:tc>
          <w:tcPr>
            <w:tcW w:w="1218" w:type="dxa"/>
            <w:tcBorders>
              <w:top w:val="nil"/>
              <w:left w:val="nil"/>
              <w:bottom w:val="single" w:sz="4" w:space="0" w:color="auto"/>
              <w:right w:val="single" w:sz="4" w:space="0" w:color="auto"/>
            </w:tcBorders>
            <w:shd w:val="clear" w:color="auto" w:fill="auto"/>
            <w:noWrap/>
            <w:vAlign w:val="bottom"/>
            <w:hideMark/>
          </w:tcPr>
          <w:p w14:paraId="4816762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3.817506</w:t>
            </w:r>
          </w:p>
        </w:tc>
        <w:tc>
          <w:tcPr>
            <w:tcW w:w="1218" w:type="dxa"/>
            <w:tcBorders>
              <w:top w:val="nil"/>
              <w:left w:val="nil"/>
              <w:bottom w:val="single" w:sz="4" w:space="0" w:color="auto"/>
              <w:right w:val="single" w:sz="4" w:space="0" w:color="auto"/>
            </w:tcBorders>
            <w:shd w:val="clear" w:color="auto" w:fill="auto"/>
            <w:noWrap/>
            <w:vAlign w:val="bottom"/>
            <w:hideMark/>
          </w:tcPr>
          <w:p w14:paraId="20BEC9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-0.83535</w:t>
            </w:r>
          </w:p>
        </w:tc>
      </w:tr>
      <w:tr w:rsidR="002027D2" w:rsidRPr="008D1712" w14:paraId="4DF01F70"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CB4C9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4EB502B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6.304985</w:t>
            </w:r>
          </w:p>
        </w:tc>
        <w:tc>
          <w:tcPr>
            <w:tcW w:w="1218" w:type="dxa"/>
            <w:tcBorders>
              <w:top w:val="nil"/>
              <w:left w:val="nil"/>
              <w:bottom w:val="single" w:sz="4" w:space="0" w:color="auto"/>
              <w:right w:val="single" w:sz="4" w:space="0" w:color="auto"/>
            </w:tcBorders>
            <w:shd w:val="clear" w:color="auto" w:fill="auto"/>
            <w:noWrap/>
            <w:vAlign w:val="bottom"/>
            <w:hideMark/>
          </w:tcPr>
          <w:p w14:paraId="1135F53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2.598047</w:t>
            </w:r>
          </w:p>
        </w:tc>
        <w:tc>
          <w:tcPr>
            <w:tcW w:w="1218" w:type="dxa"/>
            <w:tcBorders>
              <w:top w:val="nil"/>
              <w:left w:val="nil"/>
              <w:bottom w:val="single" w:sz="4" w:space="0" w:color="auto"/>
              <w:right w:val="single" w:sz="4" w:space="0" w:color="auto"/>
            </w:tcBorders>
            <w:shd w:val="clear" w:color="auto" w:fill="auto"/>
            <w:noWrap/>
            <w:vAlign w:val="bottom"/>
            <w:hideMark/>
          </w:tcPr>
          <w:p w14:paraId="5E0DAE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-0.17403</w:t>
            </w:r>
          </w:p>
        </w:tc>
      </w:tr>
      <w:tr w:rsidR="002027D2" w:rsidRPr="008D1712" w14:paraId="536D4941"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FF2EF3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5CF0D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7.067406</w:t>
            </w:r>
          </w:p>
        </w:tc>
        <w:tc>
          <w:tcPr>
            <w:tcW w:w="1218" w:type="dxa"/>
            <w:tcBorders>
              <w:top w:val="nil"/>
              <w:left w:val="nil"/>
              <w:bottom w:val="single" w:sz="4" w:space="0" w:color="auto"/>
              <w:right w:val="single" w:sz="4" w:space="0" w:color="auto"/>
            </w:tcBorders>
            <w:shd w:val="clear" w:color="auto" w:fill="auto"/>
            <w:noWrap/>
            <w:vAlign w:val="bottom"/>
            <w:hideMark/>
          </w:tcPr>
          <w:p w14:paraId="2333CA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1.293819</w:t>
            </w:r>
          </w:p>
        </w:tc>
        <w:tc>
          <w:tcPr>
            <w:tcW w:w="1218" w:type="dxa"/>
            <w:tcBorders>
              <w:top w:val="nil"/>
              <w:left w:val="nil"/>
              <w:bottom w:val="single" w:sz="4" w:space="0" w:color="auto"/>
              <w:right w:val="single" w:sz="4" w:space="0" w:color="auto"/>
            </w:tcBorders>
            <w:shd w:val="clear" w:color="auto" w:fill="auto"/>
            <w:noWrap/>
            <w:vAlign w:val="bottom"/>
            <w:hideMark/>
          </w:tcPr>
          <w:p w14:paraId="14F6998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-0.35412</w:t>
            </w:r>
          </w:p>
        </w:tc>
      </w:tr>
      <w:tr w:rsidR="002027D2" w:rsidRPr="008D1712" w14:paraId="48FBF91A"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2A021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43996C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6.867362</w:t>
            </w:r>
          </w:p>
        </w:tc>
        <w:tc>
          <w:tcPr>
            <w:tcW w:w="1218" w:type="dxa"/>
            <w:tcBorders>
              <w:top w:val="nil"/>
              <w:left w:val="nil"/>
              <w:bottom w:val="single" w:sz="4" w:space="0" w:color="auto"/>
              <w:right w:val="single" w:sz="4" w:space="0" w:color="auto"/>
            </w:tcBorders>
            <w:shd w:val="clear" w:color="auto" w:fill="auto"/>
            <w:noWrap/>
            <w:vAlign w:val="bottom"/>
            <w:hideMark/>
          </w:tcPr>
          <w:p w14:paraId="60597C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0.752127</w:t>
            </w:r>
          </w:p>
        </w:tc>
        <w:tc>
          <w:tcPr>
            <w:tcW w:w="1218" w:type="dxa"/>
            <w:tcBorders>
              <w:top w:val="nil"/>
              <w:left w:val="nil"/>
              <w:bottom w:val="single" w:sz="4" w:space="0" w:color="auto"/>
              <w:right w:val="single" w:sz="4" w:space="0" w:color="auto"/>
            </w:tcBorders>
            <w:shd w:val="clear" w:color="auto" w:fill="auto"/>
            <w:noWrap/>
            <w:vAlign w:val="bottom"/>
            <w:hideMark/>
          </w:tcPr>
          <w:p w14:paraId="6402582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-1.79249</w:t>
            </w:r>
          </w:p>
        </w:tc>
      </w:tr>
      <w:tr w:rsidR="002027D2" w:rsidRPr="008D1712" w14:paraId="545BC2E6"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59031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07D0EA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8.568298</w:t>
            </w:r>
          </w:p>
        </w:tc>
        <w:tc>
          <w:tcPr>
            <w:tcW w:w="1218" w:type="dxa"/>
            <w:tcBorders>
              <w:top w:val="nil"/>
              <w:left w:val="nil"/>
              <w:bottom w:val="single" w:sz="4" w:space="0" w:color="auto"/>
              <w:right w:val="single" w:sz="4" w:space="0" w:color="auto"/>
            </w:tcBorders>
            <w:shd w:val="clear" w:color="auto" w:fill="auto"/>
            <w:noWrap/>
            <w:vAlign w:val="bottom"/>
            <w:hideMark/>
          </w:tcPr>
          <w:p w14:paraId="74C46E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1.522216</w:t>
            </w:r>
          </w:p>
        </w:tc>
        <w:tc>
          <w:tcPr>
            <w:tcW w:w="1218" w:type="dxa"/>
            <w:tcBorders>
              <w:top w:val="nil"/>
              <w:left w:val="nil"/>
              <w:bottom w:val="single" w:sz="4" w:space="0" w:color="auto"/>
              <w:right w:val="single" w:sz="4" w:space="0" w:color="auto"/>
            </w:tcBorders>
            <w:shd w:val="clear" w:color="auto" w:fill="auto"/>
            <w:noWrap/>
            <w:vAlign w:val="bottom"/>
            <w:hideMark/>
          </w:tcPr>
          <w:p w14:paraId="2EDFA22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-0.0376</w:t>
            </w:r>
          </w:p>
        </w:tc>
      </w:tr>
      <w:tr w:rsidR="002027D2" w:rsidRPr="008D1712" w14:paraId="091191F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F50D5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3B1BC1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6.391964</w:t>
            </w:r>
          </w:p>
        </w:tc>
        <w:tc>
          <w:tcPr>
            <w:tcW w:w="1218" w:type="dxa"/>
            <w:tcBorders>
              <w:top w:val="nil"/>
              <w:left w:val="nil"/>
              <w:bottom w:val="single" w:sz="4" w:space="0" w:color="auto"/>
              <w:right w:val="single" w:sz="4" w:space="0" w:color="auto"/>
            </w:tcBorders>
            <w:shd w:val="clear" w:color="auto" w:fill="auto"/>
            <w:noWrap/>
            <w:vAlign w:val="bottom"/>
            <w:hideMark/>
          </w:tcPr>
          <w:p w14:paraId="32EAA7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0.394008</w:t>
            </w:r>
          </w:p>
        </w:tc>
        <w:tc>
          <w:tcPr>
            <w:tcW w:w="1218" w:type="dxa"/>
            <w:tcBorders>
              <w:top w:val="nil"/>
              <w:left w:val="nil"/>
              <w:bottom w:val="single" w:sz="4" w:space="0" w:color="auto"/>
              <w:right w:val="single" w:sz="4" w:space="0" w:color="auto"/>
            </w:tcBorders>
            <w:shd w:val="clear" w:color="auto" w:fill="auto"/>
            <w:noWrap/>
            <w:vAlign w:val="bottom"/>
            <w:hideMark/>
          </w:tcPr>
          <w:p w14:paraId="6F2567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0.70044</w:t>
            </w:r>
          </w:p>
        </w:tc>
      </w:tr>
      <w:tr w:rsidR="002027D2" w:rsidRPr="008D1712" w14:paraId="71099848"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219B6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2F6909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6.637807</w:t>
            </w:r>
          </w:p>
        </w:tc>
        <w:tc>
          <w:tcPr>
            <w:tcW w:w="1218" w:type="dxa"/>
            <w:tcBorders>
              <w:top w:val="nil"/>
              <w:left w:val="nil"/>
              <w:bottom w:val="single" w:sz="4" w:space="0" w:color="auto"/>
              <w:right w:val="single" w:sz="4" w:space="0" w:color="auto"/>
            </w:tcBorders>
            <w:shd w:val="clear" w:color="auto" w:fill="auto"/>
            <w:noWrap/>
            <w:vAlign w:val="bottom"/>
            <w:hideMark/>
          </w:tcPr>
          <w:p w14:paraId="6BA60C1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-0.9608</w:t>
            </w:r>
          </w:p>
        </w:tc>
        <w:tc>
          <w:tcPr>
            <w:tcW w:w="1218" w:type="dxa"/>
            <w:tcBorders>
              <w:top w:val="nil"/>
              <w:left w:val="nil"/>
              <w:bottom w:val="single" w:sz="4" w:space="0" w:color="auto"/>
              <w:right w:val="single" w:sz="4" w:space="0" w:color="auto"/>
            </w:tcBorders>
            <w:shd w:val="clear" w:color="auto" w:fill="auto"/>
            <w:noWrap/>
            <w:vAlign w:val="bottom"/>
            <w:hideMark/>
          </w:tcPr>
          <w:p w14:paraId="5C2ACD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1.004054</w:t>
            </w:r>
          </w:p>
        </w:tc>
      </w:tr>
      <w:tr w:rsidR="002027D2" w:rsidRPr="008D1712" w14:paraId="6980446E"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823E8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349022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2.07008</w:t>
            </w:r>
          </w:p>
        </w:tc>
        <w:tc>
          <w:tcPr>
            <w:tcW w:w="1218" w:type="dxa"/>
            <w:tcBorders>
              <w:top w:val="nil"/>
              <w:left w:val="nil"/>
              <w:bottom w:val="single" w:sz="4" w:space="0" w:color="auto"/>
              <w:right w:val="single" w:sz="4" w:space="0" w:color="auto"/>
            </w:tcBorders>
            <w:shd w:val="clear" w:color="auto" w:fill="auto"/>
            <w:noWrap/>
            <w:vAlign w:val="bottom"/>
            <w:hideMark/>
          </w:tcPr>
          <w:p w14:paraId="1883B7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0.406331</w:t>
            </w:r>
          </w:p>
        </w:tc>
        <w:tc>
          <w:tcPr>
            <w:tcW w:w="1218" w:type="dxa"/>
            <w:tcBorders>
              <w:top w:val="nil"/>
              <w:left w:val="nil"/>
              <w:bottom w:val="single" w:sz="4" w:space="0" w:color="auto"/>
              <w:right w:val="single" w:sz="4" w:space="0" w:color="auto"/>
            </w:tcBorders>
            <w:shd w:val="clear" w:color="auto" w:fill="auto"/>
            <w:noWrap/>
            <w:vAlign w:val="bottom"/>
            <w:hideMark/>
          </w:tcPr>
          <w:p w14:paraId="1010A46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3.65077</w:t>
            </w:r>
          </w:p>
        </w:tc>
      </w:tr>
      <w:tr w:rsidR="002027D2" w:rsidRPr="008D1712" w14:paraId="5EAEF934"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8CE2C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89093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2.804601</w:t>
            </w:r>
          </w:p>
        </w:tc>
        <w:tc>
          <w:tcPr>
            <w:tcW w:w="1218" w:type="dxa"/>
            <w:tcBorders>
              <w:top w:val="nil"/>
              <w:left w:val="nil"/>
              <w:bottom w:val="single" w:sz="4" w:space="0" w:color="auto"/>
              <w:right w:val="single" w:sz="4" w:space="0" w:color="auto"/>
            </w:tcBorders>
            <w:shd w:val="clear" w:color="auto" w:fill="auto"/>
            <w:noWrap/>
            <w:vAlign w:val="bottom"/>
            <w:hideMark/>
          </w:tcPr>
          <w:p w14:paraId="7D6985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-1.20085</w:t>
            </w:r>
          </w:p>
        </w:tc>
        <w:tc>
          <w:tcPr>
            <w:tcW w:w="1218" w:type="dxa"/>
            <w:tcBorders>
              <w:top w:val="nil"/>
              <w:left w:val="nil"/>
              <w:bottom w:val="single" w:sz="4" w:space="0" w:color="auto"/>
              <w:right w:val="single" w:sz="4" w:space="0" w:color="auto"/>
            </w:tcBorders>
            <w:shd w:val="clear" w:color="auto" w:fill="auto"/>
            <w:noWrap/>
            <w:vAlign w:val="bottom"/>
            <w:hideMark/>
          </w:tcPr>
          <w:p w14:paraId="5429B2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3.564085</w:t>
            </w:r>
          </w:p>
        </w:tc>
      </w:tr>
      <w:tr w:rsidR="002027D2" w:rsidRPr="008D1712" w14:paraId="7EAEBBE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99B388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2D4577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2.725463</w:t>
            </w:r>
          </w:p>
        </w:tc>
        <w:tc>
          <w:tcPr>
            <w:tcW w:w="1218" w:type="dxa"/>
            <w:tcBorders>
              <w:top w:val="nil"/>
              <w:left w:val="nil"/>
              <w:bottom w:val="single" w:sz="4" w:space="0" w:color="auto"/>
              <w:right w:val="single" w:sz="4" w:space="0" w:color="auto"/>
            </w:tcBorders>
            <w:shd w:val="clear" w:color="auto" w:fill="auto"/>
            <w:noWrap/>
            <w:vAlign w:val="bottom"/>
            <w:hideMark/>
          </w:tcPr>
          <w:p w14:paraId="372BD0D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0.837967</w:t>
            </w:r>
          </w:p>
        </w:tc>
        <w:tc>
          <w:tcPr>
            <w:tcW w:w="1218" w:type="dxa"/>
            <w:tcBorders>
              <w:top w:val="nil"/>
              <w:left w:val="nil"/>
              <w:bottom w:val="single" w:sz="4" w:space="0" w:color="auto"/>
              <w:right w:val="single" w:sz="4" w:space="0" w:color="auto"/>
            </w:tcBorders>
            <w:shd w:val="clear" w:color="auto" w:fill="auto"/>
            <w:noWrap/>
            <w:vAlign w:val="bottom"/>
            <w:hideMark/>
          </w:tcPr>
          <w:p w14:paraId="26F7777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1.240879</w:t>
            </w:r>
          </w:p>
        </w:tc>
      </w:tr>
      <w:tr w:rsidR="002027D2" w:rsidRPr="008D1712" w14:paraId="13F381B6"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06BD5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3F8D28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3.466702</w:t>
            </w:r>
          </w:p>
        </w:tc>
        <w:tc>
          <w:tcPr>
            <w:tcW w:w="1218" w:type="dxa"/>
            <w:tcBorders>
              <w:top w:val="nil"/>
              <w:left w:val="nil"/>
              <w:bottom w:val="single" w:sz="4" w:space="0" w:color="auto"/>
              <w:right w:val="single" w:sz="4" w:space="0" w:color="auto"/>
            </w:tcBorders>
            <w:shd w:val="clear" w:color="auto" w:fill="auto"/>
            <w:noWrap/>
            <w:vAlign w:val="bottom"/>
            <w:hideMark/>
          </w:tcPr>
          <w:p w14:paraId="4BB0A0C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-0.76847</w:t>
            </w:r>
          </w:p>
        </w:tc>
        <w:tc>
          <w:tcPr>
            <w:tcW w:w="1218" w:type="dxa"/>
            <w:tcBorders>
              <w:top w:val="nil"/>
              <w:left w:val="nil"/>
              <w:bottom w:val="single" w:sz="4" w:space="0" w:color="auto"/>
              <w:right w:val="single" w:sz="4" w:space="0" w:color="auto"/>
            </w:tcBorders>
            <w:shd w:val="clear" w:color="auto" w:fill="auto"/>
            <w:noWrap/>
            <w:vAlign w:val="bottom"/>
            <w:hideMark/>
          </w:tcPr>
          <w:p w14:paraId="52153D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1.153628</w:t>
            </w:r>
          </w:p>
        </w:tc>
      </w:tr>
      <w:tr w:rsidR="002027D2" w:rsidRPr="008D1712" w14:paraId="6CF8D5D0"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FC3D3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6995C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5.079862</w:t>
            </w:r>
          </w:p>
        </w:tc>
        <w:tc>
          <w:tcPr>
            <w:tcW w:w="1218" w:type="dxa"/>
            <w:tcBorders>
              <w:top w:val="nil"/>
              <w:left w:val="nil"/>
              <w:bottom w:val="single" w:sz="4" w:space="0" w:color="auto"/>
              <w:right w:val="single" w:sz="4" w:space="0" w:color="auto"/>
            </w:tcBorders>
            <w:shd w:val="clear" w:color="auto" w:fill="auto"/>
            <w:noWrap/>
            <w:vAlign w:val="bottom"/>
            <w:hideMark/>
          </w:tcPr>
          <w:p w14:paraId="146DB6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-0.10232</w:t>
            </w:r>
          </w:p>
        </w:tc>
        <w:tc>
          <w:tcPr>
            <w:tcW w:w="1218" w:type="dxa"/>
            <w:tcBorders>
              <w:top w:val="nil"/>
              <w:left w:val="nil"/>
              <w:bottom w:val="single" w:sz="4" w:space="0" w:color="auto"/>
              <w:right w:val="single" w:sz="4" w:space="0" w:color="auto"/>
            </w:tcBorders>
            <w:shd w:val="clear" w:color="auto" w:fill="auto"/>
            <w:noWrap/>
            <w:vAlign w:val="bottom"/>
            <w:hideMark/>
          </w:tcPr>
          <w:p w14:paraId="500864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3.020064</w:t>
            </w:r>
          </w:p>
        </w:tc>
      </w:tr>
      <w:tr w:rsidR="002027D2" w:rsidRPr="008D1712" w14:paraId="5677C3B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12F6B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334A25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4.334122</w:t>
            </w:r>
          </w:p>
        </w:tc>
        <w:tc>
          <w:tcPr>
            <w:tcW w:w="1218" w:type="dxa"/>
            <w:tcBorders>
              <w:top w:val="nil"/>
              <w:left w:val="nil"/>
              <w:bottom w:val="single" w:sz="4" w:space="0" w:color="auto"/>
              <w:right w:val="single" w:sz="4" w:space="0" w:color="auto"/>
            </w:tcBorders>
            <w:shd w:val="clear" w:color="auto" w:fill="auto"/>
            <w:noWrap/>
            <w:vAlign w:val="bottom"/>
            <w:hideMark/>
          </w:tcPr>
          <w:p w14:paraId="3E9330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1.492806</w:t>
            </w:r>
          </w:p>
        </w:tc>
        <w:tc>
          <w:tcPr>
            <w:tcW w:w="1218" w:type="dxa"/>
            <w:tcBorders>
              <w:top w:val="nil"/>
              <w:left w:val="nil"/>
              <w:bottom w:val="single" w:sz="4" w:space="0" w:color="auto"/>
              <w:right w:val="single" w:sz="4" w:space="0" w:color="auto"/>
            </w:tcBorders>
            <w:shd w:val="clear" w:color="auto" w:fill="auto"/>
            <w:noWrap/>
            <w:vAlign w:val="bottom"/>
            <w:hideMark/>
          </w:tcPr>
          <w:p w14:paraId="2FC292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3.077814</w:t>
            </w:r>
          </w:p>
        </w:tc>
      </w:tr>
      <w:tr w:rsidR="002027D2" w:rsidRPr="008D1712" w14:paraId="636ACBAC"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B9C7A8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4D15839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3.763431</w:t>
            </w:r>
          </w:p>
        </w:tc>
        <w:tc>
          <w:tcPr>
            <w:tcW w:w="1218" w:type="dxa"/>
            <w:tcBorders>
              <w:top w:val="nil"/>
              <w:left w:val="nil"/>
              <w:bottom w:val="single" w:sz="4" w:space="0" w:color="auto"/>
              <w:right w:val="single" w:sz="4" w:space="0" w:color="auto"/>
            </w:tcBorders>
            <w:shd w:val="clear" w:color="auto" w:fill="auto"/>
            <w:noWrap/>
            <w:vAlign w:val="bottom"/>
            <w:hideMark/>
          </w:tcPr>
          <w:p w14:paraId="4D65AC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3.365778</w:t>
            </w:r>
          </w:p>
        </w:tc>
        <w:tc>
          <w:tcPr>
            <w:tcW w:w="1218" w:type="dxa"/>
            <w:tcBorders>
              <w:top w:val="nil"/>
              <w:left w:val="nil"/>
              <w:bottom w:val="single" w:sz="4" w:space="0" w:color="auto"/>
              <w:right w:val="single" w:sz="4" w:space="0" w:color="auto"/>
            </w:tcBorders>
            <w:shd w:val="clear" w:color="auto" w:fill="auto"/>
            <w:noWrap/>
            <w:vAlign w:val="bottom"/>
            <w:hideMark/>
          </w:tcPr>
          <w:p w14:paraId="508D9A7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2.041511</w:t>
            </w:r>
          </w:p>
        </w:tc>
      </w:tr>
      <w:tr w:rsidR="002027D2" w:rsidRPr="008D1712" w14:paraId="0CDCF521"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31471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254456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3.985655</w:t>
            </w:r>
          </w:p>
        </w:tc>
        <w:tc>
          <w:tcPr>
            <w:tcW w:w="1218" w:type="dxa"/>
            <w:tcBorders>
              <w:top w:val="nil"/>
              <w:left w:val="nil"/>
              <w:bottom w:val="single" w:sz="4" w:space="0" w:color="auto"/>
              <w:right w:val="single" w:sz="4" w:space="0" w:color="auto"/>
            </w:tcBorders>
            <w:shd w:val="clear" w:color="auto" w:fill="auto"/>
            <w:noWrap/>
            <w:vAlign w:val="bottom"/>
            <w:hideMark/>
          </w:tcPr>
          <w:p w14:paraId="45F72F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5.549681</w:t>
            </w:r>
          </w:p>
        </w:tc>
        <w:tc>
          <w:tcPr>
            <w:tcW w:w="1218" w:type="dxa"/>
            <w:tcBorders>
              <w:top w:val="nil"/>
              <w:left w:val="nil"/>
              <w:bottom w:val="single" w:sz="4" w:space="0" w:color="auto"/>
              <w:right w:val="single" w:sz="4" w:space="0" w:color="auto"/>
            </w:tcBorders>
            <w:shd w:val="clear" w:color="auto" w:fill="auto"/>
            <w:noWrap/>
            <w:vAlign w:val="bottom"/>
            <w:hideMark/>
          </w:tcPr>
          <w:p w14:paraId="36E5117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0.855791</w:t>
            </w:r>
          </w:p>
        </w:tc>
      </w:tr>
      <w:tr w:rsidR="002027D2" w:rsidRPr="008D1712" w14:paraId="331E3FBB"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3B4AB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Cl</w:t>
            </w:r>
          </w:p>
        </w:tc>
        <w:tc>
          <w:tcPr>
            <w:tcW w:w="1218" w:type="dxa"/>
            <w:tcBorders>
              <w:top w:val="nil"/>
              <w:left w:val="nil"/>
              <w:bottom w:val="single" w:sz="4" w:space="0" w:color="auto"/>
              <w:right w:val="single" w:sz="4" w:space="0" w:color="auto"/>
            </w:tcBorders>
            <w:shd w:val="clear" w:color="auto" w:fill="auto"/>
            <w:noWrap/>
            <w:vAlign w:val="bottom"/>
            <w:hideMark/>
          </w:tcPr>
          <w:p w14:paraId="15152C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5.707497</w:t>
            </w:r>
          </w:p>
        </w:tc>
        <w:tc>
          <w:tcPr>
            <w:tcW w:w="1218" w:type="dxa"/>
            <w:tcBorders>
              <w:top w:val="nil"/>
              <w:left w:val="nil"/>
              <w:bottom w:val="single" w:sz="4" w:space="0" w:color="auto"/>
              <w:right w:val="single" w:sz="4" w:space="0" w:color="auto"/>
            </w:tcBorders>
            <w:shd w:val="clear" w:color="auto" w:fill="auto"/>
            <w:noWrap/>
            <w:vAlign w:val="bottom"/>
            <w:hideMark/>
          </w:tcPr>
          <w:p w14:paraId="6867C0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6.406756</w:t>
            </w:r>
          </w:p>
        </w:tc>
        <w:tc>
          <w:tcPr>
            <w:tcW w:w="1218" w:type="dxa"/>
            <w:tcBorders>
              <w:top w:val="nil"/>
              <w:left w:val="nil"/>
              <w:bottom w:val="single" w:sz="4" w:space="0" w:color="auto"/>
              <w:right w:val="single" w:sz="4" w:space="0" w:color="auto"/>
            </w:tcBorders>
            <w:shd w:val="clear" w:color="auto" w:fill="auto"/>
            <w:noWrap/>
            <w:vAlign w:val="bottom"/>
            <w:hideMark/>
          </w:tcPr>
          <w:p w14:paraId="6F51E0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-1.25578</w:t>
            </w:r>
          </w:p>
        </w:tc>
      </w:tr>
      <w:tr w:rsidR="002027D2" w:rsidRPr="008D1712" w14:paraId="4566817F"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A7FA9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E9463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7.16087</w:t>
            </w:r>
          </w:p>
        </w:tc>
        <w:tc>
          <w:tcPr>
            <w:tcW w:w="1218" w:type="dxa"/>
            <w:tcBorders>
              <w:top w:val="nil"/>
              <w:left w:val="nil"/>
              <w:bottom w:val="single" w:sz="4" w:space="0" w:color="auto"/>
              <w:right w:val="single" w:sz="4" w:space="0" w:color="auto"/>
            </w:tcBorders>
            <w:shd w:val="clear" w:color="auto" w:fill="auto"/>
            <w:noWrap/>
            <w:vAlign w:val="bottom"/>
            <w:hideMark/>
          </w:tcPr>
          <w:p w14:paraId="1DB2D94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3.973842</w:t>
            </w:r>
          </w:p>
        </w:tc>
        <w:tc>
          <w:tcPr>
            <w:tcW w:w="1218" w:type="dxa"/>
            <w:tcBorders>
              <w:top w:val="nil"/>
              <w:left w:val="nil"/>
              <w:bottom w:val="single" w:sz="4" w:space="0" w:color="auto"/>
              <w:right w:val="single" w:sz="4" w:space="0" w:color="auto"/>
            </w:tcBorders>
            <w:shd w:val="clear" w:color="auto" w:fill="auto"/>
            <w:noWrap/>
            <w:vAlign w:val="bottom"/>
            <w:hideMark/>
          </w:tcPr>
          <w:p w14:paraId="7146D5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-1.63533</w:t>
            </w:r>
          </w:p>
        </w:tc>
      </w:tr>
      <w:tr w:rsidR="002027D2" w:rsidRPr="008D1712" w14:paraId="034A7590"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882C1F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B5849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7.273472</w:t>
            </w:r>
          </w:p>
        </w:tc>
        <w:tc>
          <w:tcPr>
            <w:tcW w:w="1218" w:type="dxa"/>
            <w:tcBorders>
              <w:top w:val="nil"/>
              <w:left w:val="nil"/>
              <w:bottom w:val="single" w:sz="4" w:space="0" w:color="auto"/>
              <w:right w:val="single" w:sz="4" w:space="0" w:color="auto"/>
            </w:tcBorders>
            <w:shd w:val="clear" w:color="auto" w:fill="auto"/>
            <w:noWrap/>
            <w:vAlign w:val="bottom"/>
            <w:hideMark/>
          </w:tcPr>
          <w:p w14:paraId="25019C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1.477986</w:t>
            </w:r>
          </w:p>
        </w:tc>
        <w:tc>
          <w:tcPr>
            <w:tcW w:w="1218" w:type="dxa"/>
            <w:tcBorders>
              <w:top w:val="nil"/>
              <w:left w:val="nil"/>
              <w:bottom w:val="single" w:sz="4" w:space="0" w:color="auto"/>
              <w:right w:val="single" w:sz="4" w:space="0" w:color="auto"/>
            </w:tcBorders>
            <w:shd w:val="clear" w:color="auto" w:fill="auto"/>
            <w:noWrap/>
            <w:vAlign w:val="bottom"/>
            <w:hideMark/>
          </w:tcPr>
          <w:p w14:paraId="49E8CE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-2.51673</w:t>
            </w:r>
          </w:p>
        </w:tc>
      </w:tr>
      <w:tr w:rsidR="002027D2" w:rsidRPr="008D1712" w14:paraId="6A60F432"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A8CCEB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6E2D4D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5.798022</w:t>
            </w:r>
          </w:p>
        </w:tc>
        <w:tc>
          <w:tcPr>
            <w:tcW w:w="1218" w:type="dxa"/>
            <w:tcBorders>
              <w:top w:val="nil"/>
              <w:left w:val="nil"/>
              <w:bottom w:val="single" w:sz="4" w:space="0" w:color="auto"/>
              <w:right w:val="single" w:sz="4" w:space="0" w:color="auto"/>
            </w:tcBorders>
            <w:shd w:val="clear" w:color="auto" w:fill="auto"/>
            <w:noWrap/>
            <w:vAlign w:val="bottom"/>
            <w:hideMark/>
          </w:tcPr>
          <w:p w14:paraId="270C19D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0.608628</w:t>
            </w:r>
          </w:p>
        </w:tc>
        <w:tc>
          <w:tcPr>
            <w:tcW w:w="1218" w:type="dxa"/>
            <w:tcBorders>
              <w:top w:val="nil"/>
              <w:left w:val="nil"/>
              <w:bottom w:val="single" w:sz="4" w:space="0" w:color="auto"/>
              <w:right w:val="single" w:sz="4" w:space="0" w:color="auto"/>
            </w:tcBorders>
            <w:shd w:val="clear" w:color="auto" w:fill="auto"/>
            <w:noWrap/>
            <w:vAlign w:val="bottom"/>
            <w:hideMark/>
          </w:tcPr>
          <w:p w14:paraId="16482FD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-2.02005</w:t>
            </w:r>
          </w:p>
        </w:tc>
      </w:tr>
      <w:tr w:rsidR="002027D2" w:rsidRPr="008D1712" w14:paraId="42E2C855"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48503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DF2567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7.387689</w:t>
            </w:r>
          </w:p>
        </w:tc>
        <w:tc>
          <w:tcPr>
            <w:tcW w:w="1218" w:type="dxa"/>
            <w:tcBorders>
              <w:top w:val="nil"/>
              <w:left w:val="nil"/>
              <w:bottom w:val="single" w:sz="4" w:space="0" w:color="auto"/>
              <w:right w:val="single" w:sz="4" w:space="0" w:color="auto"/>
            </w:tcBorders>
            <w:shd w:val="clear" w:color="auto" w:fill="auto"/>
            <w:noWrap/>
            <w:vAlign w:val="bottom"/>
            <w:hideMark/>
          </w:tcPr>
          <w:p w14:paraId="74EB952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-0.2071</w:t>
            </w:r>
          </w:p>
        </w:tc>
        <w:tc>
          <w:tcPr>
            <w:tcW w:w="1218" w:type="dxa"/>
            <w:tcBorders>
              <w:top w:val="nil"/>
              <w:left w:val="nil"/>
              <w:bottom w:val="single" w:sz="4" w:space="0" w:color="auto"/>
              <w:right w:val="single" w:sz="4" w:space="0" w:color="auto"/>
            </w:tcBorders>
            <w:shd w:val="clear" w:color="auto" w:fill="auto"/>
            <w:noWrap/>
            <w:vAlign w:val="bottom"/>
            <w:hideMark/>
          </w:tcPr>
          <w:p w14:paraId="0CC6D4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-1.9499</w:t>
            </w:r>
          </w:p>
        </w:tc>
      </w:tr>
      <w:tr w:rsidR="002027D2" w:rsidRPr="008D1712" w14:paraId="040BD9BC"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12C4EF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BDEAE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8.981541</w:t>
            </w:r>
          </w:p>
        </w:tc>
        <w:tc>
          <w:tcPr>
            <w:tcW w:w="1218" w:type="dxa"/>
            <w:tcBorders>
              <w:top w:val="nil"/>
              <w:left w:val="nil"/>
              <w:bottom w:val="single" w:sz="4" w:space="0" w:color="auto"/>
              <w:right w:val="single" w:sz="4" w:space="0" w:color="auto"/>
            </w:tcBorders>
            <w:shd w:val="clear" w:color="auto" w:fill="auto"/>
            <w:noWrap/>
            <w:vAlign w:val="bottom"/>
            <w:hideMark/>
          </w:tcPr>
          <w:p w14:paraId="58D765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2.258609</w:t>
            </w:r>
          </w:p>
        </w:tc>
        <w:tc>
          <w:tcPr>
            <w:tcW w:w="1218" w:type="dxa"/>
            <w:tcBorders>
              <w:top w:val="nil"/>
              <w:left w:val="nil"/>
              <w:bottom w:val="single" w:sz="4" w:space="0" w:color="auto"/>
              <w:right w:val="single" w:sz="4" w:space="0" w:color="auto"/>
            </w:tcBorders>
            <w:shd w:val="clear" w:color="auto" w:fill="auto"/>
            <w:noWrap/>
            <w:vAlign w:val="bottom"/>
            <w:hideMark/>
          </w:tcPr>
          <w:p w14:paraId="5A6231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-0.74695</w:t>
            </w:r>
          </w:p>
        </w:tc>
      </w:tr>
      <w:tr w:rsidR="002027D2" w:rsidRPr="008D1712" w14:paraId="65580824"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5ACAF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CE22A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9.15537</w:t>
            </w:r>
          </w:p>
        </w:tc>
        <w:tc>
          <w:tcPr>
            <w:tcW w:w="1218" w:type="dxa"/>
            <w:tcBorders>
              <w:top w:val="nil"/>
              <w:left w:val="nil"/>
              <w:bottom w:val="single" w:sz="4" w:space="0" w:color="auto"/>
              <w:right w:val="single" w:sz="4" w:space="0" w:color="auto"/>
            </w:tcBorders>
            <w:shd w:val="clear" w:color="auto" w:fill="auto"/>
            <w:noWrap/>
            <w:vAlign w:val="bottom"/>
            <w:hideMark/>
          </w:tcPr>
          <w:p w14:paraId="6B775D8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0.594637</w:t>
            </w:r>
          </w:p>
        </w:tc>
        <w:tc>
          <w:tcPr>
            <w:tcW w:w="1218" w:type="dxa"/>
            <w:tcBorders>
              <w:top w:val="nil"/>
              <w:left w:val="nil"/>
              <w:bottom w:val="single" w:sz="4" w:space="0" w:color="auto"/>
              <w:right w:val="single" w:sz="4" w:space="0" w:color="auto"/>
            </w:tcBorders>
            <w:shd w:val="clear" w:color="auto" w:fill="auto"/>
            <w:noWrap/>
            <w:vAlign w:val="bottom"/>
            <w:hideMark/>
          </w:tcPr>
          <w:p w14:paraId="5D4CC6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-0.13285</w:t>
            </w:r>
          </w:p>
        </w:tc>
      </w:tr>
      <w:tr w:rsidR="002027D2" w:rsidRPr="008D1712" w14:paraId="3E3261AF"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D3D38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30A2D92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8.707561</w:t>
            </w:r>
          </w:p>
        </w:tc>
        <w:tc>
          <w:tcPr>
            <w:tcW w:w="1218" w:type="dxa"/>
            <w:tcBorders>
              <w:top w:val="nil"/>
              <w:left w:val="nil"/>
              <w:bottom w:val="single" w:sz="4" w:space="0" w:color="auto"/>
              <w:right w:val="single" w:sz="4" w:space="0" w:color="auto"/>
            </w:tcBorders>
            <w:shd w:val="clear" w:color="auto" w:fill="auto"/>
            <w:noWrap/>
            <w:vAlign w:val="bottom"/>
            <w:hideMark/>
          </w:tcPr>
          <w:p w14:paraId="727227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1.916749</w:t>
            </w:r>
          </w:p>
        </w:tc>
        <w:tc>
          <w:tcPr>
            <w:tcW w:w="1218" w:type="dxa"/>
            <w:tcBorders>
              <w:top w:val="nil"/>
              <w:left w:val="nil"/>
              <w:bottom w:val="single" w:sz="4" w:space="0" w:color="auto"/>
              <w:right w:val="single" w:sz="4" w:space="0" w:color="auto"/>
            </w:tcBorders>
            <w:shd w:val="clear" w:color="auto" w:fill="auto"/>
            <w:noWrap/>
            <w:vAlign w:val="bottom"/>
            <w:hideMark/>
          </w:tcPr>
          <w:p w14:paraId="2056D4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0.982553</w:t>
            </w:r>
          </w:p>
        </w:tc>
      </w:tr>
      <w:tr w:rsidR="002027D2" w:rsidRPr="008D1712" w14:paraId="79D40C2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DDA40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218" w:type="dxa"/>
            <w:tcBorders>
              <w:top w:val="nil"/>
              <w:left w:val="nil"/>
              <w:bottom w:val="single" w:sz="4" w:space="0" w:color="auto"/>
              <w:right w:val="single" w:sz="4" w:space="0" w:color="auto"/>
            </w:tcBorders>
            <w:shd w:val="clear" w:color="auto" w:fill="auto"/>
            <w:noWrap/>
            <w:vAlign w:val="bottom"/>
            <w:hideMark/>
          </w:tcPr>
          <w:p w14:paraId="28DC00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6.015577</w:t>
            </w:r>
          </w:p>
        </w:tc>
        <w:tc>
          <w:tcPr>
            <w:tcW w:w="1218" w:type="dxa"/>
            <w:tcBorders>
              <w:top w:val="nil"/>
              <w:left w:val="nil"/>
              <w:bottom w:val="single" w:sz="4" w:space="0" w:color="auto"/>
              <w:right w:val="single" w:sz="4" w:space="0" w:color="auto"/>
            </w:tcBorders>
            <w:shd w:val="clear" w:color="auto" w:fill="auto"/>
            <w:noWrap/>
            <w:vAlign w:val="bottom"/>
            <w:hideMark/>
          </w:tcPr>
          <w:p w14:paraId="1B022F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-1.38762</w:t>
            </w:r>
          </w:p>
        </w:tc>
        <w:tc>
          <w:tcPr>
            <w:tcW w:w="1218" w:type="dxa"/>
            <w:tcBorders>
              <w:top w:val="nil"/>
              <w:left w:val="nil"/>
              <w:bottom w:val="single" w:sz="4" w:space="0" w:color="auto"/>
              <w:right w:val="single" w:sz="4" w:space="0" w:color="auto"/>
            </w:tcBorders>
            <w:shd w:val="clear" w:color="auto" w:fill="auto"/>
            <w:noWrap/>
            <w:vAlign w:val="bottom"/>
            <w:hideMark/>
          </w:tcPr>
          <w:p w14:paraId="3DF1A1A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1.797284</w:t>
            </w:r>
          </w:p>
        </w:tc>
      </w:tr>
      <w:tr w:rsidR="002027D2" w:rsidRPr="008D1712" w14:paraId="2D80857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6E3887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1F621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6.580285</w:t>
            </w:r>
          </w:p>
        </w:tc>
        <w:tc>
          <w:tcPr>
            <w:tcW w:w="1218" w:type="dxa"/>
            <w:tcBorders>
              <w:top w:val="nil"/>
              <w:left w:val="nil"/>
              <w:bottom w:val="single" w:sz="4" w:space="0" w:color="auto"/>
              <w:right w:val="single" w:sz="4" w:space="0" w:color="auto"/>
            </w:tcBorders>
            <w:shd w:val="clear" w:color="auto" w:fill="auto"/>
            <w:noWrap/>
            <w:vAlign w:val="bottom"/>
            <w:hideMark/>
          </w:tcPr>
          <w:p w14:paraId="0A62C7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-11.9991</w:t>
            </w:r>
          </w:p>
        </w:tc>
        <w:tc>
          <w:tcPr>
            <w:tcW w:w="1218" w:type="dxa"/>
            <w:tcBorders>
              <w:top w:val="nil"/>
              <w:left w:val="nil"/>
              <w:bottom w:val="single" w:sz="4" w:space="0" w:color="auto"/>
              <w:right w:val="single" w:sz="4" w:space="0" w:color="auto"/>
            </w:tcBorders>
            <w:shd w:val="clear" w:color="auto" w:fill="auto"/>
            <w:noWrap/>
            <w:vAlign w:val="bottom"/>
            <w:hideMark/>
          </w:tcPr>
          <w:p w14:paraId="0A9266D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1.796293</w:t>
            </w:r>
          </w:p>
        </w:tc>
      </w:tr>
      <w:tr w:rsidR="002027D2" w:rsidRPr="008D1712" w14:paraId="722F626B"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68D495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6543C5B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0.975915</w:t>
            </w:r>
          </w:p>
        </w:tc>
        <w:tc>
          <w:tcPr>
            <w:tcW w:w="1218" w:type="dxa"/>
            <w:tcBorders>
              <w:top w:val="nil"/>
              <w:left w:val="nil"/>
              <w:bottom w:val="single" w:sz="4" w:space="0" w:color="auto"/>
              <w:right w:val="single" w:sz="4" w:space="0" w:color="auto"/>
            </w:tcBorders>
            <w:shd w:val="clear" w:color="auto" w:fill="auto"/>
            <w:noWrap/>
            <w:vAlign w:val="bottom"/>
            <w:hideMark/>
          </w:tcPr>
          <w:p w14:paraId="74056E1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-0.99655</w:t>
            </w:r>
          </w:p>
        </w:tc>
        <w:tc>
          <w:tcPr>
            <w:tcW w:w="1218" w:type="dxa"/>
            <w:tcBorders>
              <w:top w:val="nil"/>
              <w:left w:val="nil"/>
              <w:bottom w:val="single" w:sz="4" w:space="0" w:color="auto"/>
              <w:right w:val="single" w:sz="4" w:space="0" w:color="auto"/>
            </w:tcBorders>
            <w:shd w:val="clear" w:color="auto" w:fill="auto"/>
            <w:noWrap/>
            <w:vAlign w:val="bottom"/>
            <w:hideMark/>
          </w:tcPr>
          <w:p w14:paraId="0F5CB2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2.404434</w:t>
            </w:r>
          </w:p>
        </w:tc>
      </w:tr>
      <w:tr w:rsidR="002027D2" w:rsidRPr="008D1712" w14:paraId="2E6073A1"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EDF97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2D394F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6.356018</w:t>
            </w:r>
          </w:p>
        </w:tc>
        <w:tc>
          <w:tcPr>
            <w:tcW w:w="1218" w:type="dxa"/>
            <w:tcBorders>
              <w:top w:val="nil"/>
              <w:left w:val="nil"/>
              <w:bottom w:val="single" w:sz="4" w:space="0" w:color="auto"/>
              <w:right w:val="single" w:sz="4" w:space="0" w:color="auto"/>
            </w:tcBorders>
            <w:shd w:val="clear" w:color="auto" w:fill="auto"/>
            <w:noWrap/>
            <w:vAlign w:val="bottom"/>
            <w:hideMark/>
          </w:tcPr>
          <w:p w14:paraId="0A07BB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-11.1099</w:t>
            </w:r>
          </w:p>
        </w:tc>
        <w:tc>
          <w:tcPr>
            <w:tcW w:w="1218" w:type="dxa"/>
            <w:tcBorders>
              <w:top w:val="nil"/>
              <w:left w:val="nil"/>
              <w:bottom w:val="single" w:sz="4" w:space="0" w:color="auto"/>
              <w:right w:val="single" w:sz="4" w:space="0" w:color="auto"/>
            </w:tcBorders>
            <w:shd w:val="clear" w:color="auto" w:fill="auto"/>
            <w:noWrap/>
            <w:vAlign w:val="bottom"/>
            <w:hideMark/>
          </w:tcPr>
          <w:p w14:paraId="65BD688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2.413939</w:t>
            </w:r>
          </w:p>
        </w:tc>
      </w:tr>
      <w:tr w:rsidR="002027D2" w:rsidRPr="008D1712" w14:paraId="6E1A28DC"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540BB8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F682F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7.157508</w:t>
            </w:r>
          </w:p>
        </w:tc>
        <w:tc>
          <w:tcPr>
            <w:tcW w:w="1218" w:type="dxa"/>
            <w:tcBorders>
              <w:top w:val="nil"/>
              <w:left w:val="nil"/>
              <w:bottom w:val="single" w:sz="4" w:space="0" w:color="auto"/>
              <w:right w:val="single" w:sz="4" w:space="0" w:color="auto"/>
            </w:tcBorders>
            <w:shd w:val="clear" w:color="auto" w:fill="auto"/>
            <w:noWrap/>
            <w:vAlign w:val="bottom"/>
            <w:hideMark/>
          </w:tcPr>
          <w:p w14:paraId="3AE582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-12.702</w:t>
            </w:r>
          </w:p>
        </w:tc>
        <w:tc>
          <w:tcPr>
            <w:tcW w:w="1218" w:type="dxa"/>
            <w:tcBorders>
              <w:top w:val="nil"/>
              <w:left w:val="nil"/>
              <w:bottom w:val="single" w:sz="4" w:space="0" w:color="auto"/>
              <w:right w:val="single" w:sz="4" w:space="0" w:color="auto"/>
            </w:tcBorders>
            <w:shd w:val="clear" w:color="auto" w:fill="auto"/>
            <w:noWrap/>
            <w:vAlign w:val="bottom"/>
            <w:hideMark/>
          </w:tcPr>
          <w:p w14:paraId="11C282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2.422274</w:t>
            </w:r>
          </w:p>
        </w:tc>
      </w:tr>
      <w:tr w:rsidR="002027D2" w:rsidRPr="008D1712" w14:paraId="1B98D42E"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C9E7F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7A05D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5.622021</w:t>
            </w:r>
          </w:p>
        </w:tc>
        <w:tc>
          <w:tcPr>
            <w:tcW w:w="1218" w:type="dxa"/>
            <w:tcBorders>
              <w:top w:val="nil"/>
              <w:left w:val="nil"/>
              <w:bottom w:val="single" w:sz="4" w:space="0" w:color="auto"/>
              <w:right w:val="single" w:sz="4" w:space="0" w:color="auto"/>
            </w:tcBorders>
            <w:shd w:val="clear" w:color="auto" w:fill="auto"/>
            <w:noWrap/>
            <w:vAlign w:val="bottom"/>
            <w:hideMark/>
          </w:tcPr>
          <w:p w14:paraId="0E34D22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-12.4852</w:t>
            </w:r>
          </w:p>
        </w:tc>
        <w:tc>
          <w:tcPr>
            <w:tcW w:w="1218" w:type="dxa"/>
            <w:tcBorders>
              <w:top w:val="nil"/>
              <w:left w:val="nil"/>
              <w:bottom w:val="single" w:sz="4" w:space="0" w:color="auto"/>
              <w:right w:val="single" w:sz="4" w:space="0" w:color="auto"/>
            </w:tcBorders>
            <w:shd w:val="clear" w:color="auto" w:fill="auto"/>
            <w:noWrap/>
            <w:vAlign w:val="bottom"/>
            <w:hideMark/>
          </w:tcPr>
          <w:p w14:paraId="1B6F65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1.548545</w:t>
            </w:r>
          </w:p>
        </w:tc>
      </w:tr>
      <w:tr w:rsidR="002027D2" w:rsidRPr="008D1712" w14:paraId="78AADE11"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110B4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8E525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1.164313</w:t>
            </w:r>
          </w:p>
        </w:tc>
        <w:tc>
          <w:tcPr>
            <w:tcW w:w="1218" w:type="dxa"/>
            <w:tcBorders>
              <w:top w:val="nil"/>
              <w:left w:val="nil"/>
              <w:bottom w:val="single" w:sz="4" w:space="0" w:color="auto"/>
              <w:right w:val="single" w:sz="4" w:space="0" w:color="auto"/>
            </w:tcBorders>
            <w:shd w:val="clear" w:color="auto" w:fill="auto"/>
            <w:noWrap/>
            <w:vAlign w:val="bottom"/>
            <w:hideMark/>
          </w:tcPr>
          <w:p w14:paraId="59D639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-1.82677</w:t>
            </w:r>
          </w:p>
        </w:tc>
        <w:tc>
          <w:tcPr>
            <w:tcW w:w="1218" w:type="dxa"/>
            <w:tcBorders>
              <w:top w:val="nil"/>
              <w:left w:val="nil"/>
              <w:bottom w:val="single" w:sz="4" w:space="0" w:color="auto"/>
              <w:right w:val="single" w:sz="4" w:space="0" w:color="auto"/>
            </w:tcBorders>
            <w:shd w:val="clear" w:color="auto" w:fill="auto"/>
            <w:noWrap/>
            <w:vAlign w:val="bottom"/>
            <w:hideMark/>
          </w:tcPr>
          <w:p w14:paraId="0A5EFA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1.699082</w:t>
            </w:r>
          </w:p>
        </w:tc>
      </w:tr>
      <w:tr w:rsidR="002027D2" w:rsidRPr="008D1712" w14:paraId="6BA665DF"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E16383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4577BA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0.400401</w:t>
            </w:r>
          </w:p>
        </w:tc>
        <w:tc>
          <w:tcPr>
            <w:tcW w:w="1218" w:type="dxa"/>
            <w:tcBorders>
              <w:top w:val="nil"/>
              <w:left w:val="nil"/>
              <w:bottom w:val="single" w:sz="4" w:space="0" w:color="auto"/>
              <w:right w:val="single" w:sz="4" w:space="0" w:color="auto"/>
            </w:tcBorders>
            <w:shd w:val="clear" w:color="auto" w:fill="auto"/>
            <w:noWrap/>
            <w:vAlign w:val="bottom"/>
            <w:hideMark/>
          </w:tcPr>
          <w:p w14:paraId="1D49DB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-0.22467</w:t>
            </w:r>
          </w:p>
        </w:tc>
        <w:tc>
          <w:tcPr>
            <w:tcW w:w="1218" w:type="dxa"/>
            <w:tcBorders>
              <w:top w:val="nil"/>
              <w:left w:val="nil"/>
              <w:bottom w:val="single" w:sz="4" w:space="0" w:color="auto"/>
              <w:right w:val="single" w:sz="4" w:space="0" w:color="auto"/>
            </w:tcBorders>
            <w:shd w:val="clear" w:color="auto" w:fill="auto"/>
            <w:noWrap/>
            <w:vAlign w:val="bottom"/>
            <w:hideMark/>
          </w:tcPr>
          <w:p w14:paraId="3571D9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1.864361</w:t>
            </w:r>
          </w:p>
        </w:tc>
      </w:tr>
      <w:tr w:rsidR="002027D2" w:rsidRPr="008D1712" w14:paraId="116B0920"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99F0E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60A92C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0.335975</w:t>
            </w:r>
          </w:p>
        </w:tc>
        <w:tc>
          <w:tcPr>
            <w:tcW w:w="1218" w:type="dxa"/>
            <w:tcBorders>
              <w:top w:val="nil"/>
              <w:left w:val="nil"/>
              <w:bottom w:val="single" w:sz="4" w:space="0" w:color="auto"/>
              <w:right w:val="single" w:sz="4" w:space="0" w:color="auto"/>
            </w:tcBorders>
            <w:shd w:val="clear" w:color="auto" w:fill="auto"/>
            <w:noWrap/>
            <w:vAlign w:val="bottom"/>
            <w:hideMark/>
          </w:tcPr>
          <w:p w14:paraId="2EAC8E6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-1.38195</w:t>
            </w:r>
          </w:p>
        </w:tc>
        <w:tc>
          <w:tcPr>
            <w:tcW w:w="1218" w:type="dxa"/>
            <w:tcBorders>
              <w:top w:val="nil"/>
              <w:left w:val="nil"/>
              <w:bottom w:val="single" w:sz="4" w:space="0" w:color="auto"/>
              <w:right w:val="single" w:sz="4" w:space="0" w:color="auto"/>
            </w:tcBorders>
            <w:shd w:val="clear" w:color="auto" w:fill="auto"/>
            <w:noWrap/>
            <w:vAlign w:val="bottom"/>
            <w:hideMark/>
          </w:tcPr>
          <w:p w14:paraId="2CDF66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3.215482</w:t>
            </w:r>
          </w:p>
        </w:tc>
      </w:tr>
      <w:tr w:rsidR="002027D2" w:rsidRPr="008D1712" w14:paraId="01B85C95"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249C9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73D521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6.965527</w:t>
            </w:r>
          </w:p>
        </w:tc>
        <w:tc>
          <w:tcPr>
            <w:tcW w:w="1218" w:type="dxa"/>
            <w:tcBorders>
              <w:top w:val="nil"/>
              <w:left w:val="nil"/>
              <w:bottom w:val="single" w:sz="4" w:space="0" w:color="auto"/>
              <w:right w:val="single" w:sz="4" w:space="0" w:color="auto"/>
            </w:tcBorders>
            <w:shd w:val="clear" w:color="auto" w:fill="auto"/>
            <w:noWrap/>
            <w:vAlign w:val="bottom"/>
            <w:hideMark/>
          </w:tcPr>
          <w:p w14:paraId="5260FAC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-3.95084</w:t>
            </w:r>
          </w:p>
        </w:tc>
        <w:tc>
          <w:tcPr>
            <w:tcW w:w="1218" w:type="dxa"/>
            <w:tcBorders>
              <w:top w:val="nil"/>
              <w:left w:val="nil"/>
              <w:bottom w:val="single" w:sz="4" w:space="0" w:color="auto"/>
              <w:right w:val="single" w:sz="4" w:space="0" w:color="auto"/>
            </w:tcBorders>
            <w:shd w:val="clear" w:color="auto" w:fill="auto"/>
            <w:noWrap/>
            <w:vAlign w:val="bottom"/>
            <w:hideMark/>
          </w:tcPr>
          <w:p w14:paraId="6D80CFF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1.563413</w:t>
            </w:r>
          </w:p>
        </w:tc>
      </w:tr>
      <w:tr w:rsidR="002027D2" w:rsidRPr="008D1712" w14:paraId="26F03DC8"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8C465D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218" w:type="dxa"/>
            <w:tcBorders>
              <w:top w:val="nil"/>
              <w:left w:val="nil"/>
              <w:bottom w:val="single" w:sz="4" w:space="0" w:color="auto"/>
              <w:right w:val="single" w:sz="4" w:space="0" w:color="auto"/>
            </w:tcBorders>
            <w:shd w:val="clear" w:color="auto" w:fill="auto"/>
            <w:noWrap/>
            <w:vAlign w:val="bottom"/>
            <w:hideMark/>
          </w:tcPr>
          <w:p w14:paraId="4182EA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6.335013</w:t>
            </w:r>
          </w:p>
        </w:tc>
        <w:tc>
          <w:tcPr>
            <w:tcW w:w="1218" w:type="dxa"/>
            <w:tcBorders>
              <w:top w:val="nil"/>
              <w:left w:val="nil"/>
              <w:bottom w:val="single" w:sz="4" w:space="0" w:color="auto"/>
              <w:right w:val="single" w:sz="4" w:space="0" w:color="auto"/>
            </w:tcBorders>
            <w:shd w:val="clear" w:color="auto" w:fill="auto"/>
            <w:noWrap/>
            <w:vAlign w:val="bottom"/>
            <w:hideMark/>
          </w:tcPr>
          <w:p w14:paraId="5675BBB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-5.11252</w:t>
            </w:r>
          </w:p>
        </w:tc>
        <w:tc>
          <w:tcPr>
            <w:tcW w:w="1218" w:type="dxa"/>
            <w:tcBorders>
              <w:top w:val="nil"/>
              <w:left w:val="nil"/>
              <w:bottom w:val="single" w:sz="4" w:space="0" w:color="auto"/>
              <w:right w:val="single" w:sz="4" w:space="0" w:color="auto"/>
            </w:tcBorders>
            <w:shd w:val="clear" w:color="auto" w:fill="auto"/>
            <w:noWrap/>
            <w:vAlign w:val="bottom"/>
            <w:hideMark/>
          </w:tcPr>
          <w:p w14:paraId="7DAE68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0.763587</w:t>
            </w:r>
          </w:p>
        </w:tc>
      </w:tr>
      <w:tr w:rsidR="002027D2" w:rsidRPr="008D1712" w14:paraId="64AAE603"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97EE7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44752B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7.466198</w:t>
            </w:r>
          </w:p>
        </w:tc>
        <w:tc>
          <w:tcPr>
            <w:tcW w:w="1218" w:type="dxa"/>
            <w:tcBorders>
              <w:top w:val="nil"/>
              <w:left w:val="nil"/>
              <w:bottom w:val="single" w:sz="4" w:space="0" w:color="auto"/>
              <w:right w:val="single" w:sz="4" w:space="0" w:color="auto"/>
            </w:tcBorders>
            <w:shd w:val="clear" w:color="auto" w:fill="auto"/>
            <w:noWrap/>
            <w:vAlign w:val="bottom"/>
            <w:hideMark/>
          </w:tcPr>
          <w:p w14:paraId="5E25445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-6.04081</w:t>
            </w:r>
          </w:p>
        </w:tc>
        <w:tc>
          <w:tcPr>
            <w:tcW w:w="1218" w:type="dxa"/>
            <w:tcBorders>
              <w:top w:val="nil"/>
              <w:left w:val="nil"/>
              <w:bottom w:val="single" w:sz="4" w:space="0" w:color="auto"/>
              <w:right w:val="single" w:sz="4" w:space="0" w:color="auto"/>
            </w:tcBorders>
            <w:shd w:val="clear" w:color="auto" w:fill="auto"/>
            <w:noWrap/>
            <w:vAlign w:val="bottom"/>
            <w:hideMark/>
          </w:tcPr>
          <w:p w14:paraId="56BB25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0.340957</w:t>
            </w:r>
          </w:p>
        </w:tc>
      </w:tr>
      <w:tr w:rsidR="002027D2" w:rsidRPr="008D1712" w14:paraId="319E4861"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B46F70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3C7F9D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5.59236</w:t>
            </w:r>
          </w:p>
        </w:tc>
        <w:tc>
          <w:tcPr>
            <w:tcW w:w="1218" w:type="dxa"/>
            <w:tcBorders>
              <w:top w:val="nil"/>
              <w:left w:val="nil"/>
              <w:bottom w:val="single" w:sz="4" w:space="0" w:color="auto"/>
              <w:right w:val="single" w:sz="4" w:space="0" w:color="auto"/>
            </w:tcBorders>
            <w:shd w:val="clear" w:color="auto" w:fill="auto"/>
            <w:noWrap/>
            <w:vAlign w:val="bottom"/>
            <w:hideMark/>
          </w:tcPr>
          <w:p w14:paraId="06CF44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-4.59415</w:t>
            </w:r>
          </w:p>
        </w:tc>
        <w:tc>
          <w:tcPr>
            <w:tcW w:w="1218" w:type="dxa"/>
            <w:tcBorders>
              <w:top w:val="nil"/>
              <w:left w:val="nil"/>
              <w:bottom w:val="single" w:sz="4" w:space="0" w:color="auto"/>
              <w:right w:val="single" w:sz="4" w:space="0" w:color="auto"/>
            </w:tcBorders>
            <w:shd w:val="clear" w:color="auto" w:fill="auto"/>
            <w:noWrap/>
            <w:vAlign w:val="bottom"/>
            <w:hideMark/>
          </w:tcPr>
          <w:p w14:paraId="588CEE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-0.44237</w:t>
            </w:r>
          </w:p>
        </w:tc>
      </w:tr>
      <w:tr w:rsidR="002027D2" w:rsidRPr="008D1712" w14:paraId="6167112A"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04B6D4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08AB43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5.370867</w:t>
            </w:r>
          </w:p>
        </w:tc>
        <w:tc>
          <w:tcPr>
            <w:tcW w:w="1218" w:type="dxa"/>
            <w:tcBorders>
              <w:top w:val="nil"/>
              <w:left w:val="nil"/>
              <w:bottom w:val="single" w:sz="4" w:space="0" w:color="auto"/>
              <w:right w:val="single" w:sz="4" w:space="0" w:color="auto"/>
            </w:tcBorders>
            <w:shd w:val="clear" w:color="auto" w:fill="auto"/>
            <w:noWrap/>
            <w:vAlign w:val="bottom"/>
            <w:hideMark/>
          </w:tcPr>
          <w:p w14:paraId="2D45E31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-5.86717</w:t>
            </w:r>
          </w:p>
        </w:tc>
        <w:tc>
          <w:tcPr>
            <w:tcW w:w="1218" w:type="dxa"/>
            <w:tcBorders>
              <w:top w:val="nil"/>
              <w:left w:val="nil"/>
              <w:bottom w:val="single" w:sz="4" w:space="0" w:color="auto"/>
              <w:right w:val="single" w:sz="4" w:space="0" w:color="auto"/>
            </w:tcBorders>
            <w:shd w:val="clear" w:color="auto" w:fill="auto"/>
            <w:noWrap/>
            <w:vAlign w:val="bottom"/>
            <w:hideMark/>
          </w:tcPr>
          <w:p w14:paraId="6D25E24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1.639961</w:t>
            </w:r>
          </w:p>
        </w:tc>
      </w:tr>
      <w:tr w:rsidR="002027D2" w:rsidRPr="008D1712" w14:paraId="515A0F9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A0A61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B57FF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6.12609</w:t>
            </w:r>
          </w:p>
        </w:tc>
        <w:tc>
          <w:tcPr>
            <w:tcW w:w="1218" w:type="dxa"/>
            <w:tcBorders>
              <w:top w:val="nil"/>
              <w:left w:val="nil"/>
              <w:bottom w:val="single" w:sz="4" w:space="0" w:color="auto"/>
              <w:right w:val="single" w:sz="4" w:space="0" w:color="auto"/>
            </w:tcBorders>
            <w:shd w:val="clear" w:color="auto" w:fill="auto"/>
            <w:noWrap/>
            <w:vAlign w:val="bottom"/>
            <w:hideMark/>
          </w:tcPr>
          <w:p w14:paraId="49F5548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-3.37444</w:t>
            </w:r>
          </w:p>
        </w:tc>
        <w:tc>
          <w:tcPr>
            <w:tcW w:w="1218" w:type="dxa"/>
            <w:tcBorders>
              <w:top w:val="nil"/>
              <w:left w:val="nil"/>
              <w:bottom w:val="single" w:sz="4" w:space="0" w:color="auto"/>
              <w:right w:val="single" w:sz="4" w:space="0" w:color="auto"/>
            </w:tcBorders>
            <w:shd w:val="clear" w:color="auto" w:fill="auto"/>
            <w:noWrap/>
            <w:vAlign w:val="bottom"/>
            <w:hideMark/>
          </w:tcPr>
          <w:p w14:paraId="63B928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1.977408</w:t>
            </w:r>
          </w:p>
        </w:tc>
      </w:tr>
      <w:tr w:rsidR="002027D2" w:rsidRPr="008D1712" w14:paraId="0B07FEB9"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71534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38BFD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7.499154</w:t>
            </w:r>
          </w:p>
        </w:tc>
        <w:tc>
          <w:tcPr>
            <w:tcW w:w="1218" w:type="dxa"/>
            <w:tcBorders>
              <w:top w:val="nil"/>
              <w:left w:val="nil"/>
              <w:bottom w:val="single" w:sz="4" w:space="0" w:color="auto"/>
              <w:right w:val="single" w:sz="4" w:space="0" w:color="auto"/>
            </w:tcBorders>
            <w:shd w:val="clear" w:color="auto" w:fill="auto"/>
            <w:noWrap/>
            <w:vAlign w:val="bottom"/>
            <w:hideMark/>
          </w:tcPr>
          <w:p w14:paraId="3C7A7A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-4.4449</w:t>
            </w:r>
          </w:p>
        </w:tc>
        <w:tc>
          <w:tcPr>
            <w:tcW w:w="1218" w:type="dxa"/>
            <w:tcBorders>
              <w:top w:val="nil"/>
              <w:left w:val="nil"/>
              <w:bottom w:val="single" w:sz="4" w:space="0" w:color="auto"/>
              <w:right w:val="single" w:sz="4" w:space="0" w:color="auto"/>
            </w:tcBorders>
            <w:shd w:val="clear" w:color="auto" w:fill="auto"/>
            <w:noWrap/>
            <w:vAlign w:val="bottom"/>
            <w:hideMark/>
          </w:tcPr>
          <w:p w14:paraId="41B2FFB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2.394919</w:t>
            </w:r>
          </w:p>
        </w:tc>
      </w:tr>
      <w:tr w:rsidR="002027D2" w:rsidRPr="008D1712" w14:paraId="0CFBE1DB"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CC3B5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B1230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7.076963</w:t>
            </w:r>
          </w:p>
        </w:tc>
        <w:tc>
          <w:tcPr>
            <w:tcW w:w="1218" w:type="dxa"/>
            <w:tcBorders>
              <w:top w:val="nil"/>
              <w:left w:val="nil"/>
              <w:bottom w:val="single" w:sz="4" w:space="0" w:color="auto"/>
              <w:right w:val="single" w:sz="4" w:space="0" w:color="auto"/>
            </w:tcBorders>
            <w:shd w:val="clear" w:color="auto" w:fill="auto"/>
            <w:noWrap/>
            <w:vAlign w:val="bottom"/>
            <w:hideMark/>
          </w:tcPr>
          <w:p w14:paraId="53DEEF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-6.60375</w:t>
            </w:r>
          </w:p>
        </w:tc>
        <w:tc>
          <w:tcPr>
            <w:tcW w:w="1218" w:type="dxa"/>
            <w:tcBorders>
              <w:top w:val="nil"/>
              <w:left w:val="nil"/>
              <w:bottom w:val="single" w:sz="4" w:space="0" w:color="auto"/>
              <w:right w:val="single" w:sz="4" w:space="0" w:color="auto"/>
            </w:tcBorders>
            <w:shd w:val="clear" w:color="auto" w:fill="auto"/>
            <w:noWrap/>
            <w:vAlign w:val="bottom"/>
            <w:hideMark/>
          </w:tcPr>
          <w:p w14:paraId="2A90B8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-0.52887</w:t>
            </w:r>
          </w:p>
        </w:tc>
      </w:tr>
      <w:tr w:rsidR="002027D2" w:rsidRPr="008D1712" w14:paraId="0E723D51"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6144D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43F3B0E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7.59324</w:t>
            </w:r>
          </w:p>
        </w:tc>
        <w:tc>
          <w:tcPr>
            <w:tcW w:w="1218" w:type="dxa"/>
            <w:tcBorders>
              <w:top w:val="nil"/>
              <w:left w:val="nil"/>
              <w:bottom w:val="single" w:sz="4" w:space="0" w:color="auto"/>
              <w:right w:val="single" w:sz="4" w:space="0" w:color="auto"/>
            </w:tcBorders>
            <w:shd w:val="clear" w:color="auto" w:fill="auto"/>
            <w:noWrap/>
            <w:vAlign w:val="bottom"/>
            <w:hideMark/>
          </w:tcPr>
          <w:p w14:paraId="76D627F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-6.76177</w:t>
            </w:r>
          </w:p>
        </w:tc>
        <w:tc>
          <w:tcPr>
            <w:tcW w:w="1218" w:type="dxa"/>
            <w:tcBorders>
              <w:top w:val="nil"/>
              <w:left w:val="nil"/>
              <w:bottom w:val="single" w:sz="4" w:space="0" w:color="auto"/>
              <w:right w:val="single" w:sz="4" w:space="0" w:color="auto"/>
            </w:tcBorders>
            <w:shd w:val="clear" w:color="auto" w:fill="auto"/>
            <w:noWrap/>
            <w:vAlign w:val="bottom"/>
            <w:hideMark/>
          </w:tcPr>
          <w:p w14:paraId="10C91D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1.16822</w:t>
            </w:r>
          </w:p>
        </w:tc>
      </w:tr>
      <w:tr w:rsidR="002027D2" w:rsidRPr="008D1712" w14:paraId="79D5FBBD"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FA715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7F88C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6.301713</w:t>
            </w:r>
          </w:p>
        </w:tc>
        <w:tc>
          <w:tcPr>
            <w:tcW w:w="1218" w:type="dxa"/>
            <w:tcBorders>
              <w:top w:val="nil"/>
              <w:left w:val="nil"/>
              <w:bottom w:val="single" w:sz="4" w:space="0" w:color="auto"/>
              <w:right w:val="single" w:sz="4" w:space="0" w:color="auto"/>
            </w:tcBorders>
            <w:shd w:val="clear" w:color="auto" w:fill="auto"/>
            <w:noWrap/>
            <w:vAlign w:val="bottom"/>
            <w:hideMark/>
          </w:tcPr>
          <w:p w14:paraId="754462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-4.09594</w:t>
            </w:r>
          </w:p>
        </w:tc>
        <w:tc>
          <w:tcPr>
            <w:tcW w:w="1218" w:type="dxa"/>
            <w:tcBorders>
              <w:top w:val="nil"/>
              <w:left w:val="nil"/>
              <w:bottom w:val="single" w:sz="4" w:space="0" w:color="auto"/>
              <w:right w:val="single" w:sz="4" w:space="0" w:color="auto"/>
            </w:tcBorders>
            <w:shd w:val="clear" w:color="auto" w:fill="auto"/>
            <w:noWrap/>
            <w:vAlign w:val="bottom"/>
            <w:hideMark/>
          </w:tcPr>
          <w:p w14:paraId="5B80DE1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-1.11516</w:t>
            </w:r>
          </w:p>
        </w:tc>
      </w:tr>
      <w:tr w:rsidR="002027D2" w:rsidRPr="008D1712" w14:paraId="279FCDA1"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1276F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0ED8CC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4.828476</w:t>
            </w:r>
          </w:p>
        </w:tc>
        <w:tc>
          <w:tcPr>
            <w:tcW w:w="1218" w:type="dxa"/>
            <w:tcBorders>
              <w:top w:val="nil"/>
              <w:left w:val="nil"/>
              <w:bottom w:val="single" w:sz="4" w:space="0" w:color="auto"/>
              <w:right w:val="single" w:sz="4" w:space="0" w:color="auto"/>
            </w:tcBorders>
            <w:shd w:val="clear" w:color="auto" w:fill="auto"/>
            <w:noWrap/>
            <w:vAlign w:val="bottom"/>
            <w:hideMark/>
          </w:tcPr>
          <w:p w14:paraId="343F14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-3.87659</w:t>
            </w:r>
          </w:p>
        </w:tc>
        <w:tc>
          <w:tcPr>
            <w:tcW w:w="1218" w:type="dxa"/>
            <w:tcBorders>
              <w:top w:val="nil"/>
              <w:left w:val="nil"/>
              <w:bottom w:val="single" w:sz="4" w:space="0" w:color="auto"/>
              <w:right w:val="single" w:sz="4" w:space="0" w:color="auto"/>
            </w:tcBorders>
            <w:shd w:val="clear" w:color="auto" w:fill="auto"/>
            <w:noWrap/>
            <w:vAlign w:val="bottom"/>
            <w:hideMark/>
          </w:tcPr>
          <w:p w14:paraId="73127F0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-0.10848</w:t>
            </w:r>
          </w:p>
        </w:tc>
      </w:tr>
      <w:tr w:rsidR="002027D2" w:rsidRPr="008D1712" w14:paraId="4EC67A66"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8A05D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7B2DD4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5.113838</w:t>
            </w:r>
          </w:p>
        </w:tc>
        <w:tc>
          <w:tcPr>
            <w:tcW w:w="1218" w:type="dxa"/>
            <w:tcBorders>
              <w:top w:val="nil"/>
              <w:left w:val="nil"/>
              <w:bottom w:val="single" w:sz="4" w:space="0" w:color="auto"/>
              <w:right w:val="single" w:sz="4" w:space="0" w:color="auto"/>
            </w:tcBorders>
            <w:shd w:val="clear" w:color="auto" w:fill="auto"/>
            <w:noWrap/>
            <w:vAlign w:val="bottom"/>
            <w:hideMark/>
          </w:tcPr>
          <w:p w14:paraId="284F55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-5.44587</w:t>
            </w:r>
          </w:p>
        </w:tc>
        <w:tc>
          <w:tcPr>
            <w:tcW w:w="1218" w:type="dxa"/>
            <w:tcBorders>
              <w:top w:val="nil"/>
              <w:left w:val="nil"/>
              <w:bottom w:val="single" w:sz="4" w:space="0" w:color="auto"/>
              <w:right w:val="single" w:sz="4" w:space="0" w:color="auto"/>
            </w:tcBorders>
            <w:shd w:val="clear" w:color="auto" w:fill="auto"/>
            <w:noWrap/>
            <w:vAlign w:val="bottom"/>
            <w:hideMark/>
          </w:tcPr>
          <w:p w14:paraId="0699A1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-0.94844</w:t>
            </w:r>
          </w:p>
        </w:tc>
      </w:tr>
      <w:tr w:rsidR="002027D2" w:rsidRPr="008D1712" w14:paraId="54EC0A06"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F5282F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B77AE8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5.875386</w:t>
            </w:r>
          </w:p>
        </w:tc>
        <w:tc>
          <w:tcPr>
            <w:tcW w:w="1218" w:type="dxa"/>
            <w:tcBorders>
              <w:top w:val="nil"/>
              <w:left w:val="nil"/>
              <w:bottom w:val="single" w:sz="4" w:space="0" w:color="auto"/>
              <w:right w:val="single" w:sz="4" w:space="0" w:color="auto"/>
            </w:tcBorders>
            <w:shd w:val="clear" w:color="auto" w:fill="auto"/>
            <w:noWrap/>
            <w:vAlign w:val="bottom"/>
            <w:hideMark/>
          </w:tcPr>
          <w:p w14:paraId="097029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-6.13816</w:t>
            </w:r>
          </w:p>
        </w:tc>
        <w:tc>
          <w:tcPr>
            <w:tcW w:w="1218" w:type="dxa"/>
            <w:tcBorders>
              <w:top w:val="nil"/>
              <w:left w:val="nil"/>
              <w:bottom w:val="single" w:sz="4" w:space="0" w:color="auto"/>
              <w:right w:val="single" w:sz="4" w:space="0" w:color="auto"/>
            </w:tcBorders>
            <w:shd w:val="clear" w:color="auto" w:fill="auto"/>
            <w:noWrap/>
            <w:vAlign w:val="bottom"/>
            <w:hideMark/>
          </w:tcPr>
          <w:p w14:paraId="2EE6523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2.579039</w:t>
            </w:r>
          </w:p>
        </w:tc>
      </w:tr>
      <w:tr w:rsidR="002027D2" w:rsidRPr="008D1712" w14:paraId="3110F3C3"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E497B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4109FA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5.041787</w:t>
            </w:r>
          </w:p>
        </w:tc>
        <w:tc>
          <w:tcPr>
            <w:tcW w:w="1218" w:type="dxa"/>
            <w:tcBorders>
              <w:top w:val="nil"/>
              <w:left w:val="nil"/>
              <w:bottom w:val="single" w:sz="4" w:space="0" w:color="auto"/>
              <w:right w:val="single" w:sz="4" w:space="0" w:color="auto"/>
            </w:tcBorders>
            <w:shd w:val="clear" w:color="auto" w:fill="auto"/>
            <w:noWrap/>
            <w:vAlign w:val="bottom"/>
            <w:hideMark/>
          </w:tcPr>
          <w:p w14:paraId="6CC96C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-6.77496</w:t>
            </w:r>
          </w:p>
        </w:tc>
        <w:tc>
          <w:tcPr>
            <w:tcW w:w="1218" w:type="dxa"/>
            <w:tcBorders>
              <w:top w:val="nil"/>
              <w:left w:val="nil"/>
              <w:bottom w:val="single" w:sz="4" w:space="0" w:color="auto"/>
              <w:right w:val="single" w:sz="4" w:space="0" w:color="auto"/>
            </w:tcBorders>
            <w:shd w:val="clear" w:color="auto" w:fill="auto"/>
            <w:noWrap/>
            <w:vAlign w:val="bottom"/>
            <w:hideMark/>
          </w:tcPr>
          <w:p w14:paraId="066022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1.112656</w:t>
            </w:r>
          </w:p>
        </w:tc>
      </w:tr>
      <w:tr w:rsidR="002027D2" w:rsidRPr="008D1712" w14:paraId="76830518"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264491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C55F6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4.50345</w:t>
            </w:r>
          </w:p>
        </w:tc>
        <w:tc>
          <w:tcPr>
            <w:tcW w:w="1218" w:type="dxa"/>
            <w:tcBorders>
              <w:top w:val="nil"/>
              <w:left w:val="nil"/>
              <w:bottom w:val="single" w:sz="4" w:space="0" w:color="auto"/>
              <w:right w:val="single" w:sz="4" w:space="0" w:color="auto"/>
            </w:tcBorders>
            <w:shd w:val="clear" w:color="auto" w:fill="auto"/>
            <w:noWrap/>
            <w:vAlign w:val="bottom"/>
            <w:hideMark/>
          </w:tcPr>
          <w:p w14:paraId="58DD02B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-5.22473</w:t>
            </w:r>
          </w:p>
        </w:tc>
        <w:tc>
          <w:tcPr>
            <w:tcW w:w="1218" w:type="dxa"/>
            <w:tcBorders>
              <w:top w:val="nil"/>
              <w:left w:val="nil"/>
              <w:bottom w:val="single" w:sz="4" w:space="0" w:color="auto"/>
              <w:right w:val="single" w:sz="4" w:space="0" w:color="auto"/>
            </w:tcBorders>
            <w:shd w:val="clear" w:color="auto" w:fill="auto"/>
            <w:noWrap/>
            <w:vAlign w:val="bottom"/>
            <w:hideMark/>
          </w:tcPr>
          <w:p w14:paraId="31BE8F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1.851578</w:t>
            </w:r>
          </w:p>
        </w:tc>
      </w:tr>
      <w:tr w:rsidR="002027D2" w:rsidRPr="008D1712" w14:paraId="564036E6"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B6750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218" w:type="dxa"/>
            <w:tcBorders>
              <w:top w:val="nil"/>
              <w:left w:val="nil"/>
              <w:bottom w:val="single" w:sz="4" w:space="0" w:color="auto"/>
              <w:right w:val="single" w:sz="4" w:space="0" w:color="auto"/>
            </w:tcBorders>
            <w:shd w:val="clear" w:color="auto" w:fill="auto"/>
            <w:noWrap/>
            <w:vAlign w:val="bottom"/>
            <w:hideMark/>
          </w:tcPr>
          <w:p w14:paraId="659A1F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10.00177</w:t>
            </w:r>
          </w:p>
        </w:tc>
        <w:tc>
          <w:tcPr>
            <w:tcW w:w="1218" w:type="dxa"/>
            <w:tcBorders>
              <w:top w:val="nil"/>
              <w:left w:val="nil"/>
              <w:bottom w:val="single" w:sz="4" w:space="0" w:color="auto"/>
              <w:right w:val="single" w:sz="4" w:space="0" w:color="auto"/>
            </w:tcBorders>
            <w:shd w:val="clear" w:color="auto" w:fill="auto"/>
            <w:noWrap/>
            <w:vAlign w:val="bottom"/>
            <w:hideMark/>
          </w:tcPr>
          <w:p w14:paraId="64BBF5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-3.32523</w:t>
            </w:r>
          </w:p>
        </w:tc>
        <w:tc>
          <w:tcPr>
            <w:tcW w:w="1218" w:type="dxa"/>
            <w:tcBorders>
              <w:top w:val="nil"/>
              <w:left w:val="nil"/>
              <w:bottom w:val="single" w:sz="4" w:space="0" w:color="auto"/>
              <w:right w:val="single" w:sz="4" w:space="0" w:color="auto"/>
            </w:tcBorders>
            <w:shd w:val="clear" w:color="auto" w:fill="auto"/>
            <w:noWrap/>
            <w:vAlign w:val="bottom"/>
            <w:hideMark/>
          </w:tcPr>
          <w:p w14:paraId="19BF2D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-0.55933</w:t>
            </w:r>
          </w:p>
        </w:tc>
      </w:tr>
      <w:tr w:rsidR="002027D2" w:rsidRPr="008D1712" w14:paraId="6905B1D8"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886FB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6D66B2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10.60075</w:t>
            </w:r>
          </w:p>
        </w:tc>
        <w:tc>
          <w:tcPr>
            <w:tcW w:w="1218" w:type="dxa"/>
            <w:tcBorders>
              <w:top w:val="nil"/>
              <w:left w:val="nil"/>
              <w:bottom w:val="single" w:sz="4" w:space="0" w:color="auto"/>
              <w:right w:val="single" w:sz="4" w:space="0" w:color="auto"/>
            </w:tcBorders>
            <w:shd w:val="clear" w:color="auto" w:fill="auto"/>
            <w:noWrap/>
            <w:vAlign w:val="bottom"/>
            <w:hideMark/>
          </w:tcPr>
          <w:p w14:paraId="17E142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-2.07264</w:t>
            </w:r>
          </w:p>
        </w:tc>
        <w:tc>
          <w:tcPr>
            <w:tcW w:w="1218" w:type="dxa"/>
            <w:tcBorders>
              <w:top w:val="nil"/>
              <w:left w:val="nil"/>
              <w:bottom w:val="single" w:sz="4" w:space="0" w:color="auto"/>
              <w:right w:val="single" w:sz="4" w:space="0" w:color="auto"/>
            </w:tcBorders>
            <w:shd w:val="clear" w:color="auto" w:fill="auto"/>
            <w:noWrap/>
            <w:vAlign w:val="bottom"/>
            <w:hideMark/>
          </w:tcPr>
          <w:p w14:paraId="37CDB0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-0.06223</w:t>
            </w:r>
          </w:p>
        </w:tc>
      </w:tr>
      <w:tr w:rsidR="002027D2" w:rsidRPr="008D1712" w14:paraId="72D2F6ED"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A849CD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6C8190C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12.13048</w:t>
            </w:r>
          </w:p>
        </w:tc>
        <w:tc>
          <w:tcPr>
            <w:tcW w:w="1218" w:type="dxa"/>
            <w:tcBorders>
              <w:top w:val="nil"/>
              <w:left w:val="nil"/>
              <w:bottom w:val="single" w:sz="4" w:space="0" w:color="auto"/>
              <w:right w:val="single" w:sz="4" w:space="0" w:color="auto"/>
            </w:tcBorders>
            <w:shd w:val="clear" w:color="auto" w:fill="auto"/>
            <w:noWrap/>
            <w:vAlign w:val="bottom"/>
            <w:hideMark/>
          </w:tcPr>
          <w:p w14:paraId="419B6C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-2.14802</w:t>
            </w:r>
          </w:p>
        </w:tc>
        <w:tc>
          <w:tcPr>
            <w:tcW w:w="1218" w:type="dxa"/>
            <w:tcBorders>
              <w:top w:val="nil"/>
              <w:left w:val="nil"/>
              <w:bottom w:val="single" w:sz="4" w:space="0" w:color="auto"/>
              <w:right w:val="single" w:sz="4" w:space="0" w:color="auto"/>
            </w:tcBorders>
            <w:shd w:val="clear" w:color="auto" w:fill="auto"/>
            <w:noWrap/>
            <w:vAlign w:val="bottom"/>
            <w:hideMark/>
          </w:tcPr>
          <w:p w14:paraId="02A0EDE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-0.15461</w:t>
            </w:r>
          </w:p>
        </w:tc>
      </w:tr>
      <w:tr w:rsidR="002027D2" w:rsidRPr="008D1712" w14:paraId="07D10FF0"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257DD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N</w:t>
            </w:r>
          </w:p>
        </w:tc>
        <w:tc>
          <w:tcPr>
            <w:tcW w:w="1218" w:type="dxa"/>
            <w:tcBorders>
              <w:top w:val="nil"/>
              <w:left w:val="nil"/>
              <w:bottom w:val="single" w:sz="4" w:space="0" w:color="auto"/>
              <w:right w:val="single" w:sz="4" w:space="0" w:color="auto"/>
            </w:tcBorders>
            <w:shd w:val="clear" w:color="auto" w:fill="auto"/>
            <w:noWrap/>
            <w:vAlign w:val="bottom"/>
            <w:hideMark/>
          </w:tcPr>
          <w:p w14:paraId="1FDF54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12.48962</w:t>
            </w:r>
          </w:p>
        </w:tc>
        <w:tc>
          <w:tcPr>
            <w:tcW w:w="1218" w:type="dxa"/>
            <w:tcBorders>
              <w:top w:val="nil"/>
              <w:left w:val="nil"/>
              <w:bottom w:val="single" w:sz="4" w:space="0" w:color="auto"/>
              <w:right w:val="single" w:sz="4" w:space="0" w:color="auto"/>
            </w:tcBorders>
            <w:shd w:val="clear" w:color="auto" w:fill="auto"/>
            <w:noWrap/>
            <w:vAlign w:val="bottom"/>
            <w:hideMark/>
          </w:tcPr>
          <w:p w14:paraId="55BFE76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-2.36483</w:t>
            </w:r>
          </w:p>
        </w:tc>
        <w:tc>
          <w:tcPr>
            <w:tcW w:w="1218" w:type="dxa"/>
            <w:tcBorders>
              <w:top w:val="nil"/>
              <w:left w:val="nil"/>
              <w:bottom w:val="single" w:sz="4" w:space="0" w:color="auto"/>
              <w:right w:val="single" w:sz="4" w:space="0" w:color="auto"/>
            </w:tcBorders>
            <w:shd w:val="clear" w:color="auto" w:fill="auto"/>
            <w:noWrap/>
            <w:vAlign w:val="bottom"/>
            <w:hideMark/>
          </w:tcPr>
          <w:p w14:paraId="3E1D5E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-1.55324</w:t>
            </w:r>
          </w:p>
        </w:tc>
      </w:tr>
      <w:tr w:rsidR="002027D2" w:rsidRPr="008D1712" w14:paraId="1E2D6E84"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A5D14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5FE3647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12.00077</w:t>
            </w:r>
          </w:p>
        </w:tc>
        <w:tc>
          <w:tcPr>
            <w:tcW w:w="1218" w:type="dxa"/>
            <w:tcBorders>
              <w:top w:val="nil"/>
              <w:left w:val="nil"/>
              <w:bottom w:val="single" w:sz="4" w:space="0" w:color="auto"/>
              <w:right w:val="single" w:sz="4" w:space="0" w:color="auto"/>
            </w:tcBorders>
            <w:shd w:val="clear" w:color="auto" w:fill="auto"/>
            <w:noWrap/>
            <w:vAlign w:val="bottom"/>
            <w:hideMark/>
          </w:tcPr>
          <w:p w14:paraId="31920F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-3.66011</w:t>
            </w:r>
          </w:p>
        </w:tc>
        <w:tc>
          <w:tcPr>
            <w:tcW w:w="1218" w:type="dxa"/>
            <w:tcBorders>
              <w:top w:val="nil"/>
              <w:left w:val="nil"/>
              <w:bottom w:val="single" w:sz="4" w:space="0" w:color="auto"/>
              <w:right w:val="single" w:sz="4" w:space="0" w:color="auto"/>
            </w:tcBorders>
            <w:shd w:val="clear" w:color="auto" w:fill="auto"/>
            <w:noWrap/>
            <w:vAlign w:val="bottom"/>
            <w:hideMark/>
          </w:tcPr>
          <w:p w14:paraId="4B58868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-2.01217</w:t>
            </w:r>
          </w:p>
        </w:tc>
      </w:tr>
      <w:tr w:rsidR="002027D2" w:rsidRPr="008D1712" w14:paraId="4EA90F94"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FF57B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218" w:type="dxa"/>
            <w:tcBorders>
              <w:top w:val="nil"/>
              <w:left w:val="nil"/>
              <w:bottom w:val="single" w:sz="4" w:space="0" w:color="auto"/>
              <w:right w:val="single" w:sz="4" w:space="0" w:color="auto"/>
            </w:tcBorders>
            <w:shd w:val="clear" w:color="auto" w:fill="auto"/>
            <w:noWrap/>
            <w:vAlign w:val="bottom"/>
            <w:hideMark/>
          </w:tcPr>
          <w:p w14:paraId="178BA9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10.47119</w:t>
            </w:r>
          </w:p>
        </w:tc>
        <w:tc>
          <w:tcPr>
            <w:tcW w:w="1218" w:type="dxa"/>
            <w:tcBorders>
              <w:top w:val="nil"/>
              <w:left w:val="nil"/>
              <w:bottom w:val="single" w:sz="4" w:space="0" w:color="auto"/>
              <w:right w:val="single" w:sz="4" w:space="0" w:color="auto"/>
            </w:tcBorders>
            <w:shd w:val="clear" w:color="auto" w:fill="auto"/>
            <w:noWrap/>
            <w:vAlign w:val="bottom"/>
            <w:hideMark/>
          </w:tcPr>
          <w:p w14:paraId="63EFD5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-3.68428</w:t>
            </w:r>
          </w:p>
        </w:tc>
        <w:tc>
          <w:tcPr>
            <w:tcW w:w="1218" w:type="dxa"/>
            <w:tcBorders>
              <w:top w:val="nil"/>
              <w:left w:val="nil"/>
              <w:bottom w:val="single" w:sz="4" w:space="0" w:color="auto"/>
              <w:right w:val="single" w:sz="4" w:space="0" w:color="auto"/>
            </w:tcBorders>
            <w:shd w:val="clear" w:color="auto" w:fill="auto"/>
            <w:noWrap/>
            <w:vAlign w:val="bottom"/>
            <w:hideMark/>
          </w:tcPr>
          <w:p w14:paraId="02E60D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-1.91674</w:t>
            </w:r>
          </w:p>
        </w:tc>
      </w:tr>
      <w:tr w:rsidR="002027D2" w:rsidRPr="008D1712" w14:paraId="7A3F70F0"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46C7826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EE2678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10.27617</w:t>
            </w:r>
          </w:p>
        </w:tc>
        <w:tc>
          <w:tcPr>
            <w:tcW w:w="1218" w:type="dxa"/>
            <w:tcBorders>
              <w:top w:val="nil"/>
              <w:left w:val="nil"/>
              <w:bottom w:val="single" w:sz="4" w:space="0" w:color="auto"/>
              <w:right w:val="single" w:sz="4" w:space="0" w:color="auto"/>
            </w:tcBorders>
            <w:shd w:val="clear" w:color="auto" w:fill="auto"/>
            <w:noWrap/>
            <w:vAlign w:val="bottom"/>
            <w:hideMark/>
          </w:tcPr>
          <w:p w14:paraId="7EAABC7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-1.90804</w:t>
            </w:r>
          </w:p>
        </w:tc>
        <w:tc>
          <w:tcPr>
            <w:tcW w:w="1218" w:type="dxa"/>
            <w:tcBorders>
              <w:top w:val="nil"/>
              <w:left w:val="nil"/>
              <w:bottom w:val="single" w:sz="4" w:space="0" w:color="auto"/>
              <w:right w:val="single" w:sz="4" w:space="0" w:color="auto"/>
            </w:tcBorders>
            <w:shd w:val="clear" w:color="auto" w:fill="auto"/>
            <w:noWrap/>
            <w:vAlign w:val="bottom"/>
            <w:hideMark/>
          </w:tcPr>
          <w:p w14:paraId="770E4A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0.976957</w:t>
            </w:r>
          </w:p>
        </w:tc>
      </w:tr>
      <w:tr w:rsidR="002027D2" w:rsidRPr="008D1712" w14:paraId="7386B41A"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EDC9EF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20CC87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10.28371</w:t>
            </w:r>
          </w:p>
        </w:tc>
        <w:tc>
          <w:tcPr>
            <w:tcW w:w="1218" w:type="dxa"/>
            <w:tcBorders>
              <w:top w:val="nil"/>
              <w:left w:val="nil"/>
              <w:bottom w:val="single" w:sz="4" w:space="0" w:color="auto"/>
              <w:right w:val="single" w:sz="4" w:space="0" w:color="auto"/>
            </w:tcBorders>
            <w:shd w:val="clear" w:color="auto" w:fill="auto"/>
            <w:noWrap/>
            <w:vAlign w:val="bottom"/>
            <w:hideMark/>
          </w:tcPr>
          <w:p w14:paraId="61795A9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-1.21335</w:t>
            </w:r>
          </w:p>
        </w:tc>
        <w:tc>
          <w:tcPr>
            <w:tcW w:w="1218" w:type="dxa"/>
            <w:tcBorders>
              <w:top w:val="nil"/>
              <w:left w:val="nil"/>
              <w:bottom w:val="single" w:sz="4" w:space="0" w:color="auto"/>
              <w:right w:val="single" w:sz="4" w:space="0" w:color="auto"/>
            </w:tcBorders>
            <w:shd w:val="clear" w:color="auto" w:fill="auto"/>
            <w:noWrap/>
            <w:vAlign w:val="bottom"/>
            <w:hideMark/>
          </w:tcPr>
          <w:p w14:paraId="0794D3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-0.68716</w:t>
            </w:r>
          </w:p>
        </w:tc>
      </w:tr>
      <w:tr w:rsidR="002027D2" w:rsidRPr="008D1712" w14:paraId="06CE8DFC"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1B83E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447A9F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12.50056</w:t>
            </w:r>
          </w:p>
        </w:tc>
        <w:tc>
          <w:tcPr>
            <w:tcW w:w="1218" w:type="dxa"/>
            <w:tcBorders>
              <w:top w:val="nil"/>
              <w:left w:val="nil"/>
              <w:bottom w:val="single" w:sz="4" w:space="0" w:color="auto"/>
              <w:right w:val="single" w:sz="4" w:space="0" w:color="auto"/>
            </w:tcBorders>
            <w:shd w:val="clear" w:color="auto" w:fill="auto"/>
            <w:noWrap/>
            <w:vAlign w:val="bottom"/>
            <w:hideMark/>
          </w:tcPr>
          <w:p w14:paraId="2C5120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-2.95149</w:t>
            </w:r>
          </w:p>
        </w:tc>
        <w:tc>
          <w:tcPr>
            <w:tcW w:w="1218" w:type="dxa"/>
            <w:tcBorders>
              <w:top w:val="nil"/>
              <w:left w:val="nil"/>
              <w:bottom w:val="single" w:sz="4" w:space="0" w:color="auto"/>
              <w:right w:val="single" w:sz="4" w:space="0" w:color="auto"/>
            </w:tcBorders>
            <w:shd w:val="clear" w:color="auto" w:fill="auto"/>
            <w:noWrap/>
            <w:vAlign w:val="bottom"/>
            <w:hideMark/>
          </w:tcPr>
          <w:p w14:paraId="3F504E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0.527309</w:t>
            </w:r>
          </w:p>
        </w:tc>
      </w:tr>
      <w:tr w:rsidR="002027D2" w:rsidRPr="008D1712" w14:paraId="06407C63"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D29A07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0FCC2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12.5517</w:t>
            </w:r>
          </w:p>
        </w:tc>
        <w:tc>
          <w:tcPr>
            <w:tcW w:w="1218" w:type="dxa"/>
            <w:tcBorders>
              <w:top w:val="nil"/>
              <w:left w:val="nil"/>
              <w:bottom w:val="single" w:sz="4" w:space="0" w:color="auto"/>
              <w:right w:val="single" w:sz="4" w:space="0" w:color="auto"/>
            </w:tcBorders>
            <w:shd w:val="clear" w:color="auto" w:fill="auto"/>
            <w:noWrap/>
            <w:vAlign w:val="bottom"/>
            <w:hideMark/>
          </w:tcPr>
          <w:p w14:paraId="7BC826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-1.18766</w:t>
            </w:r>
          </w:p>
        </w:tc>
        <w:tc>
          <w:tcPr>
            <w:tcW w:w="1218" w:type="dxa"/>
            <w:tcBorders>
              <w:top w:val="nil"/>
              <w:left w:val="nil"/>
              <w:bottom w:val="single" w:sz="4" w:space="0" w:color="auto"/>
              <w:right w:val="single" w:sz="4" w:space="0" w:color="auto"/>
            </w:tcBorders>
            <w:shd w:val="clear" w:color="auto" w:fill="auto"/>
            <w:noWrap/>
            <w:vAlign w:val="bottom"/>
            <w:hideMark/>
          </w:tcPr>
          <w:p w14:paraId="4873318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0.188467</w:t>
            </w:r>
          </w:p>
        </w:tc>
      </w:tr>
      <w:tr w:rsidR="002027D2" w:rsidRPr="008D1712" w14:paraId="0FF35E35"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2F0A2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1487AB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13.49909</w:t>
            </w:r>
          </w:p>
        </w:tc>
        <w:tc>
          <w:tcPr>
            <w:tcW w:w="1218" w:type="dxa"/>
            <w:tcBorders>
              <w:top w:val="nil"/>
              <w:left w:val="nil"/>
              <w:bottom w:val="single" w:sz="4" w:space="0" w:color="auto"/>
              <w:right w:val="single" w:sz="4" w:space="0" w:color="auto"/>
            </w:tcBorders>
            <w:shd w:val="clear" w:color="auto" w:fill="auto"/>
            <w:noWrap/>
            <w:vAlign w:val="bottom"/>
            <w:hideMark/>
          </w:tcPr>
          <w:p w14:paraId="33D9373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-2.27337</w:t>
            </w:r>
          </w:p>
        </w:tc>
        <w:tc>
          <w:tcPr>
            <w:tcW w:w="1218" w:type="dxa"/>
            <w:tcBorders>
              <w:top w:val="nil"/>
              <w:left w:val="nil"/>
              <w:bottom w:val="single" w:sz="4" w:space="0" w:color="auto"/>
              <w:right w:val="single" w:sz="4" w:space="0" w:color="auto"/>
            </w:tcBorders>
            <w:shd w:val="clear" w:color="auto" w:fill="auto"/>
            <w:noWrap/>
            <w:vAlign w:val="bottom"/>
            <w:hideMark/>
          </w:tcPr>
          <w:p w14:paraId="2F2740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-1.70214</w:t>
            </w:r>
          </w:p>
        </w:tc>
      </w:tr>
      <w:tr w:rsidR="002027D2" w:rsidRPr="008D1712" w14:paraId="47170E1E"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671C6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55C621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12.41717</w:t>
            </w:r>
          </w:p>
        </w:tc>
        <w:tc>
          <w:tcPr>
            <w:tcW w:w="1218" w:type="dxa"/>
            <w:tcBorders>
              <w:top w:val="nil"/>
              <w:left w:val="nil"/>
              <w:bottom w:val="single" w:sz="4" w:space="0" w:color="auto"/>
              <w:right w:val="single" w:sz="4" w:space="0" w:color="auto"/>
            </w:tcBorders>
            <w:shd w:val="clear" w:color="auto" w:fill="auto"/>
            <w:noWrap/>
            <w:vAlign w:val="bottom"/>
            <w:hideMark/>
          </w:tcPr>
          <w:p w14:paraId="2D09B9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-4.50576</w:t>
            </w:r>
          </w:p>
        </w:tc>
        <w:tc>
          <w:tcPr>
            <w:tcW w:w="1218" w:type="dxa"/>
            <w:tcBorders>
              <w:top w:val="nil"/>
              <w:left w:val="nil"/>
              <w:bottom w:val="single" w:sz="4" w:space="0" w:color="auto"/>
              <w:right w:val="single" w:sz="4" w:space="0" w:color="auto"/>
            </w:tcBorders>
            <w:shd w:val="clear" w:color="auto" w:fill="auto"/>
            <w:noWrap/>
            <w:vAlign w:val="bottom"/>
            <w:hideMark/>
          </w:tcPr>
          <w:p w14:paraId="69218C7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-1.41344</w:t>
            </w:r>
          </w:p>
        </w:tc>
      </w:tr>
      <w:tr w:rsidR="002027D2" w:rsidRPr="008D1712" w14:paraId="763F0808"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A85810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4EB37AC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12.29456</w:t>
            </w:r>
          </w:p>
        </w:tc>
        <w:tc>
          <w:tcPr>
            <w:tcW w:w="1218" w:type="dxa"/>
            <w:tcBorders>
              <w:top w:val="nil"/>
              <w:left w:val="nil"/>
              <w:bottom w:val="single" w:sz="4" w:space="0" w:color="auto"/>
              <w:right w:val="single" w:sz="4" w:space="0" w:color="auto"/>
            </w:tcBorders>
            <w:shd w:val="clear" w:color="auto" w:fill="auto"/>
            <w:noWrap/>
            <w:vAlign w:val="bottom"/>
            <w:hideMark/>
          </w:tcPr>
          <w:p w14:paraId="5679F59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-3.81286</w:t>
            </w:r>
          </w:p>
        </w:tc>
        <w:tc>
          <w:tcPr>
            <w:tcW w:w="1218" w:type="dxa"/>
            <w:tcBorders>
              <w:top w:val="nil"/>
              <w:left w:val="nil"/>
              <w:bottom w:val="single" w:sz="4" w:space="0" w:color="auto"/>
              <w:right w:val="single" w:sz="4" w:space="0" w:color="auto"/>
            </w:tcBorders>
            <w:shd w:val="clear" w:color="auto" w:fill="auto"/>
            <w:noWrap/>
            <w:vAlign w:val="bottom"/>
            <w:hideMark/>
          </w:tcPr>
          <w:p w14:paraId="1FCF7E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-3.06472</w:t>
            </w:r>
          </w:p>
        </w:tc>
      </w:tr>
      <w:tr w:rsidR="002027D2" w:rsidRPr="008D1712" w14:paraId="22428D42"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B240B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60CC8E8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10.07507</w:t>
            </w:r>
          </w:p>
        </w:tc>
        <w:tc>
          <w:tcPr>
            <w:tcW w:w="1218" w:type="dxa"/>
            <w:tcBorders>
              <w:top w:val="nil"/>
              <w:left w:val="nil"/>
              <w:bottom w:val="single" w:sz="4" w:space="0" w:color="auto"/>
              <w:right w:val="single" w:sz="4" w:space="0" w:color="auto"/>
            </w:tcBorders>
            <w:shd w:val="clear" w:color="auto" w:fill="auto"/>
            <w:noWrap/>
            <w:vAlign w:val="bottom"/>
            <w:hideMark/>
          </w:tcPr>
          <w:p w14:paraId="228526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-4.67262</w:t>
            </w:r>
          </w:p>
        </w:tc>
        <w:tc>
          <w:tcPr>
            <w:tcW w:w="1218" w:type="dxa"/>
            <w:tcBorders>
              <w:top w:val="nil"/>
              <w:left w:val="nil"/>
              <w:bottom w:val="single" w:sz="4" w:space="0" w:color="auto"/>
              <w:right w:val="single" w:sz="4" w:space="0" w:color="auto"/>
            </w:tcBorders>
            <w:shd w:val="clear" w:color="auto" w:fill="auto"/>
            <w:noWrap/>
            <w:vAlign w:val="bottom"/>
            <w:hideMark/>
          </w:tcPr>
          <w:p w14:paraId="69349B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-2.19165</w:t>
            </w:r>
          </w:p>
        </w:tc>
      </w:tr>
      <w:tr w:rsidR="002027D2" w:rsidRPr="008D1712" w14:paraId="3E3AF27F" w14:textId="77777777" w:rsidTr="009C48F0">
        <w:trPr>
          <w:trHeight w:val="288"/>
          <w:jc w:val="center"/>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E31F1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218" w:type="dxa"/>
            <w:tcBorders>
              <w:top w:val="nil"/>
              <w:left w:val="nil"/>
              <w:bottom w:val="single" w:sz="4" w:space="0" w:color="auto"/>
              <w:right w:val="single" w:sz="4" w:space="0" w:color="auto"/>
            </w:tcBorders>
            <w:shd w:val="clear" w:color="auto" w:fill="auto"/>
            <w:noWrap/>
            <w:vAlign w:val="bottom"/>
            <w:hideMark/>
          </w:tcPr>
          <w:p w14:paraId="0D15EA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10.06587</w:t>
            </w:r>
          </w:p>
        </w:tc>
        <w:tc>
          <w:tcPr>
            <w:tcW w:w="1218" w:type="dxa"/>
            <w:tcBorders>
              <w:top w:val="nil"/>
              <w:left w:val="nil"/>
              <w:bottom w:val="single" w:sz="4" w:space="0" w:color="auto"/>
              <w:right w:val="single" w:sz="4" w:space="0" w:color="auto"/>
            </w:tcBorders>
            <w:shd w:val="clear" w:color="auto" w:fill="auto"/>
            <w:noWrap/>
            <w:vAlign w:val="bottom"/>
            <w:hideMark/>
          </w:tcPr>
          <w:p w14:paraId="1CC8ED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-2.93344</w:t>
            </w:r>
          </w:p>
        </w:tc>
        <w:tc>
          <w:tcPr>
            <w:tcW w:w="1218" w:type="dxa"/>
            <w:tcBorders>
              <w:top w:val="nil"/>
              <w:left w:val="nil"/>
              <w:bottom w:val="single" w:sz="4" w:space="0" w:color="auto"/>
              <w:right w:val="single" w:sz="4" w:space="0" w:color="auto"/>
            </w:tcBorders>
            <w:shd w:val="clear" w:color="auto" w:fill="auto"/>
            <w:noWrap/>
            <w:vAlign w:val="bottom"/>
            <w:hideMark/>
          </w:tcPr>
          <w:p w14:paraId="634737F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-2.62695</w:t>
            </w:r>
          </w:p>
        </w:tc>
      </w:tr>
    </w:tbl>
    <w:p w14:paraId="1E057FAE"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S2.50</w:t>
      </w:r>
      <w:r w:rsidRPr="000452A8">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 xml:space="preserve">Coordinates (Angstroms) and energy (a.u.) of </w:t>
      </w:r>
      <w:r w:rsidRPr="008D1712">
        <w:rPr>
          <w:rFonts w:ascii="Arial" w:hAnsi="Arial" w:cs="Arial"/>
          <w:b/>
          <w:bCs/>
          <w:sz w:val="24"/>
          <w:szCs w:val="24"/>
        </w:rPr>
        <w:t>CY Cl.</w:t>
      </w:r>
      <w:r w:rsidRPr="008D1712">
        <w:rPr>
          <w:rFonts w:ascii="Arial" w:hAnsi="Arial" w:cs="Arial"/>
          <w:sz w:val="24"/>
          <w:szCs w:val="24"/>
        </w:rPr>
        <w:t xml:space="preserve"> Geometries were optimized using PBE functional and 6-31+G* basis set.</w:t>
      </w:r>
    </w:p>
    <w:p w14:paraId="1C27D170" w14:textId="77777777" w:rsidR="002027D2" w:rsidRPr="008D1712" w:rsidRDefault="002027D2" w:rsidP="005556B5">
      <w:pPr>
        <w:rPr>
          <w:rFonts w:ascii="Arial" w:hAnsi="Arial" w:cs="Arial"/>
          <w:sz w:val="24"/>
          <w:szCs w:val="24"/>
        </w:rPr>
      </w:pPr>
    </w:p>
    <w:tbl>
      <w:tblPr>
        <w:tblW w:w="3632" w:type="dxa"/>
        <w:jc w:val="center"/>
        <w:tblLook w:val="04A0" w:firstRow="1" w:lastRow="0" w:firstColumn="1" w:lastColumn="0" w:noHBand="0" w:noVBand="1"/>
      </w:tblPr>
      <w:tblGrid>
        <w:gridCol w:w="456"/>
        <w:gridCol w:w="1218"/>
        <w:gridCol w:w="1218"/>
        <w:gridCol w:w="1218"/>
      </w:tblGrid>
      <w:tr w:rsidR="002027D2" w:rsidRPr="008D1712" w14:paraId="48BAD426" w14:textId="77777777" w:rsidTr="00323CC4">
        <w:trPr>
          <w:trHeight w:val="288"/>
          <w:jc w:val="center"/>
        </w:trPr>
        <w:tc>
          <w:tcPr>
            <w:tcW w:w="363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A83B0" w14:textId="77777777" w:rsidR="002027D2" w:rsidRPr="008D1712" w:rsidRDefault="002027D2" w:rsidP="008D1712">
            <w:pPr>
              <w:jc w:val="center"/>
              <w:rPr>
                <w:rFonts w:ascii="Arial" w:eastAsia="Times New Roman" w:hAnsi="Arial" w:cs="Arial"/>
                <w:b/>
                <w:bCs/>
                <w:color w:val="000000"/>
                <w:sz w:val="24"/>
                <w:szCs w:val="24"/>
              </w:rPr>
            </w:pPr>
            <w:r w:rsidRPr="008D1712">
              <w:rPr>
                <w:rFonts w:ascii="Arial" w:eastAsia="Times New Roman" w:hAnsi="Arial" w:cs="Arial"/>
                <w:b/>
                <w:bCs/>
                <w:color w:val="000000"/>
                <w:sz w:val="24"/>
                <w:szCs w:val="24"/>
              </w:rPr>
              <w:t>CY Br</w:t>
            </w:r>
          </w:p>
        </w:tc>
      </w:tr>
      <w:tr w:rsidR="002027D2" w:rsidRPr="008D1712" w14:paraId="667F0133" w14:textId="77777777" w:rsidTr="00323CC4">
        <w:trPr>
          <w:trHeight w:val="288"/>
          <w:jc w:val="center"/>
        </w:trPr>
        <w:tc>
          <w:tcPr>
            <w:tcW w:w="363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98E2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-7091.82109394151 a.u.</w:t>
            </w:r>
          </w:p>
        </w:tc>
      </w:tr>
      <w:tr w:rsidR="002027D2" w:rsidRPr="008D1712" w14:paraId="6BF4FC23"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15DE0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797EAD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7.604397</w:t>
            </w:r>
          </w:p>
        </w:tc>
        <w:tc>
          <w:tcPr>
            <w:tcW w:w="1073" w:type="dxa"/>
            <w:tcBorders>
              <w:top w:val="nil"/>
              <w:left w:val="nil"/>
              <w:bottom w:val="single" w:sz="4" w:space="0" w:color="auto"/>
              <w:right w:val="single" w:sz="4" w:space="0" w:color="auto"/>
            </w:tcBorders>
            <w:shd w:val="clear" w:color="auto" w:fill="auto"/>
            <w:noWrap/>
            <w:vAlign w:val="bottom"/>
            <w:hideMark/>
          </w:tcPr>
          <w:p w14:paraId="0BDD24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-1.78727</w:t>
            </w:r>
          </w:p>
        </w:tc>
        <w:tc>
          <w:tcPr>
            <w:tcW w:w="1073" w:type="dxa"/>
            <w:tcBorders>
              <w:top w:val="nil"/>
              <w:left w:val="nil"/>
              <w:bottom w:val="single" w:sz="4" w:space="0" w:color="auto"/>
              <w:right w:val="single" w:sz="4" w:space="0" w:color="auto"/>
            </w:tcBorders>
            <w:shd w:val="clear" w:color="auto" w:fill="auto"/>
            <w:noWrap/>
            <w:vAlign w:val="bottom"/>
            <w:hideMark/>
          </w:tcPr>
          <w:p w14:paraId="3DBBE2B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0.419696</w:t>
            </w:r>
          </w:p>
        </w:tc>
      </w:tr>
      <w:tr w:rsidR="002027D2" w:rsidRPr="008D1712" w14:paraId="31373B36"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079C8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4B08AF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7.860851</w:t>
            </w:r>
          </w:p>
        </w:tc>
        <w:tc>
          <w:tcPr>
            <w:tcW w:w="1073" w:type="dxa"/>
            <w:tcBorders>
              <w:top w:val="nil"/>
              <w:left w:val="nil"/>
              <w:bottom w:val="single" w:sz="4" w:space="0" w:color="auto"/>
              <w:right w:val="single" w:sz="4" w:space="0" w:color="auto"/>
            </w:tcBorders>
            <w:shd w:val="clear" w:color="auto" w:fill="auto"/>
            <w:noWrap/>
            <w:vAlign w:val="bottom"/>
            <w:hideMark/>
          </w:tcPr>
          <w:p w14:paraId="27422DF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-3.15097</w:t>
            </w:r>
          </w:p>
        </w:tc>
        <w:tc>
          <w:tcPr>
            <w:tcW w:w="1073" w:type="dxa"/>
            <w:tcBorders>
              <w:top w:val="nil"/>
              <w:left w:val="nil"/>
              <w:bottom w:val="single" w:sz="4" w:space="0" w:color="auto"/>
              <w:right w:val="single" w:sz="4" w:space="0" w:color="auto"/>
            </w:tcBorders>
            <w:shd w:val="clear" w:color="auto" w:fill="auto"/>
            <w:noWrap/>
            <w:vAlign w:val="bottom"/>
            <w:hideMark/>
          </w:tcPr>
          <w:p w14:paraId="30EA8D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0.681026</w:t>
            </w:r>
          </w:p>
        </w:tc>
      </w:tr>
      <w:tr w:rsidR="002027D2" w:rsidRPr="008D1712" w14:paraId="3A998EED"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EE759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7C5286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8.792423</w:t>
            </w:r>
          </w:p>
        </w:tc>
        <w:tc>
          <w:tcPr>
            <w:tcW w:w="1073" w:type="dxa"/>
            <w:tcBorders>
              <w:top w:val="nil"/>
              <w:left w:val="nil"/>
              <w:bottom w:val="single" w:sz="4" w:space="0" w:color="auto"/>
              <w:right w:val="single" w:sz="4" w:space="0" w:color="auto"/>
            </w:tcBorders>
            <w:shd w:val="clear" w:color="auto" w:fill="auto"/>
            <w:noWrap/>
            <w:vAlign w:val="bottom"/>
            <w:hideMark/>
          </w:tcPr>
          <w:p w14:paraId="050C207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-5.35602</w:t>
            </w:r>
          </w:p>
        </w:tc>
        <w:tc>
          <w:tcPr>
            <w:tcW w:w="1073" w:type="dxa"/>
            <w:tcBorders>
              <w:top w:val="nil"/>
              <w:left w:val="nil"/>
              <w:bottom w:val="single" w:sz="4" w:space="0" w:color="auto"/>
              <w:right w:val="single" w:sz="4" w:space="0" w:color="auto"/>
            </w:tcBorders>
            <w:shd w:val="clear" w:color="auto" w:fill="auto"/>
            <w:noWrap/>
            <w:vAlign w:val="bottom"/>
            <w:hideMark/>
          </w:tcPr>
          <w:p w14:paraId="3D45D21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0.067184</w:t>
            </w:r>
          </w:p>
        </w:tc>
      </w:tr>
      <w:tr w:rsidR="002027D2" w:rsidRPr="008D1712" w14:paraId="41183F3D"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00CFA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7CEE44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9.904064</w:t>
            </w:r>
          </w:p>
        </w:tc>
        <w:tc>
          <w:tcPr>
            <w:tcW w:w="1073" w:type="dxa"/>
            <w:tcBorders>
              <w:top w:val="nil"/>
              <w:left w:val="nil"/>
              <w:bottom w:val="single" w:sz="4" w:space="0" w:color="auto"/>
              <w:right w:val="single" w:sz="4" w:space="0" w:color="auto"/>
            </w:tcBorders>
            <w:shd w:val="clear" w:color="auto" w:fill="auto"/>
            <w:noWrap/>
            <w:vAlign w:val="bottom"/>
            <w:hideMark/>
          </w:tcPr>
          <w:p w14:paraId="5BCFD6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-6.21372</w:t>
            </w:r>
          </w:p>
        </w:tc>
        <w:tc>
          <w:tcPr>
            <w:tcW w:w="1073" w:type="dxa"/>
            <w:tcBorders>
              <w:top w:val="nil"/>
              <w:left w:val="nil"/>
              <w:bottom w:val="single" w:sz="4" w:space="0" w:color="auto"/>
              <w:right w:val="single" w:sz="4" w:space="0" w:color="auto"/>
            </w:tcBorders>
            <w:shd w:val="clear" w:color="auto" w:fill="auto"/>
            <w:noWrap/>
            <w:vAlign w:val="bottom"/>
            <w:hideMark/>
          </w:tcPr>
          <w:p w14:paraId="4F7470C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-0.07462</w:t>
            </w:r>
          </w:p>
        </w:tc>
      </w:tr>
      <w:tr w:rsidR="002027D2" w:rsidRPr="008D1712" w14:paraId="3B83620E"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A3EEE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3B3EB82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9.842434</w:t>
            </w:r>
          </w:p>
        </w:tc>
        <w:tc>
          <w:tcPr>
            <w:tcW w:w="1073" w:type="dxa"/>
            <w:tcBorders>
              <w:top w:val="nil"/>
              <w:left w:val="nil"/>
              <w:bottom w:val="single" w:sz="4" w:space="0" w:color="auto"/>
              <w:right w:val="single" w:sz="4" w:space="0" w:color="auto"/>
            </w:tcBorders>
            <w:shd w:val="clear" w:color="auto" w:fill="auto"/>
            <w:noWrap/>
            <w:vAlign w:val="bottom"/>
            <w:hideMark/>
          </w:tcPr>
          <w:p w14:paraId="702C2E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-7.61885</w:t>
            </w:r>
          </w:p>
        </w:tc>
        <w:tc>
          <w:tcPr>
            <w:tcW w:w="1073" w:type="dxa"/>
            <w:tcBorders>
              <w:top w:val="nil"/>
              <w:left w:val="nil"/>
              <w:bottom w:val="single" w:sz="4" w:space="0" w:color="auto"/>
              <w:right w:val="single" w:sz="4" w:space="0" w:color="auto"/>
            </w:tcBorders>
            <w:shd w:val="clear" w:color="auto" w:fill="auto"/>
            <w:noWrap/>
            <w:vAlign w:val="bottom"/>
            <w:hideMark/>
          </w:tcPr>
          <w:p w14:paraId="6A0E23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-0.12687</w:t>
            </w:r>
          </w:p>
        </w:tc>
      </w:tr>
      <w:tr w:rsidR="002027D2" w:rsidRPr="008D1712" w14:paraId="6F9BB235"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A557B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7C6E6FE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10.91384</w:t>
            </w:r>
          </w:p>
        </w:tc>
        <w:tc>
          <w:tcPr>
            <w:tcW w:w="1073" w:type="dxa"/>
            <w:tcBorders>
              <w:top w:val="nil"/>
              <w:left w:val="nil"/>
              <w:bottom w:val="single" w:sz="4" w:space="0" w:color="auto"/>
              <w:right w:val="single" w:sz="4" w:space="0" w:color="auto"/>
            </w:tcBorders>
            <w:shd w:val="clear" w:color="auto" w:fill="auto"/>
            <w:noWrap/>
            <w:vAlign w:val="bottom"/>
            <w:hideMark/>
          </w:tcPr>
          <w:p w14:paraId="33C7CB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-8.53549</w:t>
            </w:r>
          </w:p>
        </w:tc>
        <w:tc>
          <w:tcPr>
            <w:tcW w:w="1073" w:type="dxa"/>
            <w:tcBorders>
              <w:top w:val="nil"/>
              <w:left w:val="nil"/>
              <w:bottom w:val="single" w:sz="4" w:space="0" w:color="auto"/>
              <w:right w:val="single" w:sz="4" w:space="0" w:color="auto"/>
            </w:tcBorders>
            <w:shd w:val="clear" w:color="auto" w:fill="auto"/>
            <w:noWrap/>
            <w:vAlign w:val="bottom"/>
            <w:hideMark/>
          </w:tcPr>
          <w:p w14:paraId="12D424F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-0.07984</w:t>
            </w:r>
          </w:p>
        </w:tc>
      </w:tr>
      <w:tr w:rsidR="002027D2" w:rsidRPr="008D1712" w14:paraId="5ABF11D4"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310933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073" w:type="dxa"/>
            <w:tcBorders>
              <w:top w:val="nil"/>
              <w:left w:val="nil"/>
              <w:bottom w:val="single" w:sz="4" w:space="0" w:color="auto"/>
              <w:right w:val="single" w:sz="4" w:space="0" w:color="auto"/>
            </w:tcBorders>
            <w:shd w:val="clear" w:color="auto" w:fill="auto"/>
            <w:noWrap/>
            <w:vAlign w:val="bottom"/>
            <w:hideMark/>
          </w:tcPr>
          <w:p w14:paraId="6DEC77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10.72077</w:t>
            </w:r>
          </w:p>
        </w:tc>
        <w:tc>
          <w:tcPr>
            <w:tcW w:w="1073" w:type="dxa"/>
            <w:tcBorders>
              <w:top w:val="nil"/>
              <w:left w:val="nil"/>
              <w:bottom w:val="single" w:sz="4" w:space="0" w:color="auto"/>
              <w:right w:val="single" w:sz="4" w:space="0" w:color="auto"/>
            </w:tcBorders>
            <w:shd w:val="clear" w:color="auto" w:fill="auto"/>
            <w:noWrap/>
            <w:vAlign w:val="bottom"/>
            <w:hideMark/>
          </w:tcPr>
          <w:p w14:paraId="23B05CA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-9.88098</w:t>
            </w:r>
          </w:p>
        </w:tc>
        <w:tc>
          <w:tcPr>
            <w:tcW w:w="1073" w:type="dxa"/>
            <w:tcBorders>
              <w:top w:val="nil"/>
              <w:left w:val="nil"/>
              <w:bottom w:val="single" w:sz="4" w:space="0" w:color="auto"/>
              <w:right w:val="single" w:sz="4" w:space="0" w:color="auto"/>
            </w:tcBorders>
            <w:shd w:val="clear" w:color="auto" w:fill="auto"/>
            <w:noWrap/>
            <w:vAlign w:val="bottom"/>
            <w:hideMark/>
          </w:tcPr>
          <w:p w14:paraId="3FDEA0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-0.19125</w:t>
            </w:r>
          </w:p>
        </w:tc>
      </w:tr>
      <w:tr w:rsidR="002027D2" w:rsidRPr="008D1712" w14:paraId="4C39BE4F"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6F1BE3F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1C05F89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9.442186</w:t>
            </w:r>
          </w:p>
        </w:tc>
        <w:tc>
          <w:tcPr>
            <w:tcW w:w="1073" w:type="dxa"/>
            <w:tcBorders>
              <w:top w:val="nil"/>
              <w:left w:val="nil"/>
              <w:bottom w:val="single" w:sz="4" w:space="0" w:color="auto"/>
              <w:right w:val="single" w:sz="4" w:space="0" w:color="auto"/>
            </w:tcBorders>
            <w:shd w:val="clear" w:color="auto" w:fill="auto"/>
            <w:noWrap/>
            <w:vAlign w:val="bottom"/>
            <w:hideMark/>
          </w:tcPr>
          <w:p w14:paraId="2C1E7B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-10.5628</w:t>
            </w:r>
          </w:p>
        </w:tc>
        <w:tc>
          <w:tcPr>
            <w:tcW w:w="1073" w:type="dxa"/>
            <w:tcBorders>
              <w:top w:val="nil"/>
              <w:left w:val="nil"/>
              <w:bottom w:val="single" w:sz="4" w:space="0" w:color="auto"/>
              <w:right w:val="single" w:sz="4" w:space="0" w:color="auto"/>
            </w:tcBorders>
            <w:shd w:val="clear" w:color="auto" w:fill="auto"/>
            <w:noWrap/>
            <w:vAlign w:val="bottom"/>
            <w:hideMark/>
          </w:tcPr>
          <w:p w14:paraId="2879302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-0.43253</w:t>
            </w:r>
          </w:p>
        </w:tc>
      </w:tr>
      <w:tr w:rsidR="002027D2" w:rsidRPr="008D1712" w14:paraId="73DB17C3"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E46AA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580C925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8.694022</w:t>
            </w:r>
          </w:p>
        </w:tc>
        <w:tc>
          <w:tcPr>
            <w:tcW w:w="1073" w:type="dxa"/>
            <w:tcBorders>
              <w:top w:val="nil"/>
              <w:left w:val="nil"/>
              <w:bottom w:val="single" w:sz="4" w:space="0" w:color="auto"/>
              <w:right w:val="single" w:sz="4" w:space="0" w:color="auto"/>
            </w:tcBorders>
            <w:shd w:val="clear" w:color="auto" w:fill="auto"/>
            <w:noWrap/>
            <w:vAlign w:val="bottom"/>
            <w:hideMark/>
          </w:tcPr>
          <w:p w14:paraId="7557FC9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-10.9294</w:t>
            </w:r>
          </w:p>
        </w:tc>
        <w:tc>
          <w:tcPr>
            <w:tcW w:w="1073" w:type="dxa"/>
            <w:tcBorders>
              <w:top w:val="nil"/>
              <w:left w:val="nil"/>
              <w:bottom w:val="single" w:sz="4" w:space="0" w:color="auto"/>
              <w:right w:val="single" w:sz="4" w:space="0" w:color="auto"/>
            </w:tcBorders>
            <w:shd w:val="clear" w:color="auto" w:fill="auto"/>
            <w:noWrap/>
            <w:vAlign w:val="bottom"/>
            <w:hideMark/>
          </w:tcPr>
          <w:p w14:paraId="4B82CC0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0.859705</w:t>
            </w:r>
          </w:p>
        </w:tc>
      </w:tr>
      <w:tr w:rsidR="002027D2" w:rsidRPr="008D1712" w14:paraId="2F57A960"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72B9C8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1F200D0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7.348321</w:t>
            </w:r>
          </w:p>
        </w:tc>
        <w:tc>
          <w:tcPr>
            <w:tcW w:w="1073" w:type="dxa"/>
            <w:tcBorders>
              <w:top w:val="nil"/>
              <w:left w:val="nil"/>
              <w:bottom w:val="single" w:sz="4" w:space="0" w:color="auto"/>
              <w:right w:val="single" w:sz="4" w:space="0" w:color="auto"/>
            </w:tcBorders>
            <w:shd w:val="clear" w:color="auto" w:fill="auto"/>
            <w:noWrap/>
            <w:vAlign w:val="bottom"/>
            <w:hideMark/>
          </w:tcPr>
          <w:p w14:paraId="2BA1A6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-11.6139</w:t>
            </w:r>
          </w:p>
        </w:tc>
        <w:tc>
          <w:tcPr>
            <w:tcW w:w="1073" w:type="dxa"/>
            <w:tcBorders>
              <w:top w:val="nil"/>
              <w:left w:val="nil"/>
              <w:bottom w:val="single" w:sz="4" w:space="0" w:color="auto"/>
              <w:right w:val="single" w:sz="4" w:space="0" w:color="auto"/>
            </w:tcBorders>
            <w:shd w:val="clear" w:color="auto" w:fill="auto"/>
            <w:noWrap/>
            <w:vAlign w:val="bottom"/>
            <w:hideMark/>
          </w:tcPr>
          <w:p w14:paraId="73701EB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0.572605</w:t>
            </w:r>
          </w:p>
        </w:tc>
      </w:tr>
      <w:tr w:rsidR="002027D2" w:rsidRPr="008D1712" w14:paraId="2A0D47A4"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1099F9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793D3E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11.92967</w:t>
            </w:r>
          </w:p>
        </w:tc>
        <w:tc>
          <w:tcPr>
            <w:tcW w:w="1073" w:type="dxa"/>
            <w:tcBorders>
              <w:top w:val="nil"/>
              <w:left w:val="nil"/>
              <w:bottom w:val="single" w:sz="4" w:space="0" w:color="auto"/>
              <w:right w:val="single" w:sz="4" w:space="0" w:color="auto"/>
            </w:tcBorders>
            <w:shd w:val="clear" w:color="auto" w:fill="auto"/>
            <w:noWrap/>
            <w:vAlign w:val="bottom"/>
            <w:hideMark/>
          </w:tcPr>
          <w:p w14:paraId="3D9E0B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-10.5982</w:t>
            </w:r>
          </w:p>
        </w:tc>
        <w:tc>
          <w:tcPr>
            <w:tcW w:w="1073" w:type="dxa"/>
            <w:tcBorders>
              <w:top w:val="nil"/>
              <w:left w:val="nil"/>
              <w:bottom w:val="single" w:sz="4" w:space="0" w:color="auto"/>
              <w:right w:val="single" w:sz="4" w:space="0" w:color="auto"/>
            </w:tcBorders>
            <w:shd w:val="clear" w:color="auto" w:fill="auto"/>
            <w:noWrap/>
            <w:vAlign w:val="bottom"/>
            <w:hideMark/>
          </w:tcPr>
          <w:p w14:paraId="733096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-0.01725</w:t>
            </w:r>
          </w:p>
        </w:tc>
      </w:tr>
      <w:tr w:rsidR="002027D2" w:rsidRPr="008D1712" w14:paraId="01FE55E1"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A8227E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C</w:t>
            </w:r>
          </w:p>
        </w:tc>
        <w:tc>
          <w:tcPr>
            <w:tcW w:w="1073" w:type="dxa"/>
            <w:tcBorders>
              <w:top w:val="nil"/>
              <w:left w:val="nil"/>
              <w:bottom w:val="single" w:sz="4" w:space="0" w:color="auto"/>
              <w:right w:val="single" w:sz="4" w:space="0" w:color="auto"/>
            </w:tcBorders>
            <w:shd w:val="clear" w:color="auto" w:fill="auto"/>
            <w:noWrap/>
            <w:vAlign w:val="bottom"/>
            <w:hideMark/>
          </w:tcPr>
          <w:p w14:paraId="4E42CE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12.14257</w:t>
            </w:r>
          </w:p>
        </w:tc>
        <w:tc>
          <w:tcPr>
            <w:tcW w:w="1073" w:type="dxa"/>
            <w:tcBorders>
              <w:top w:val="nil"/>
              <w:left w:val="nil"/>
              <w:bottom w:val="single" w:sz="4" w:space="0" w:color="auto"/>
              <w:right w:val="single" w:sz="4" w:space="0" w:color="auto"/>
            </w:tcBorders>
            <w:shd w:val="clear" w:color="auto" w:fill="auto"/>
            <w:noWrap/>
            <w:vAlign w:val="bottom"/>
            <w:hideMark/>
          </w:tcPr>
          <w:p w14:paraId="740BD7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-11.982</w:t>
            </w:r>
          </w:p>
        </w:tc>
        <w:tc>
          <w:tcPr>
            <w:tcW w:w="1073" w:type="dxa"/>
            <w:tcBorders>
              <w:top w:val="nil"/>
              <w:left w:val="nil"/>
              <w:bottom w:val="single" w:sz="4" w:space="0" w:color="auto"/>
              <w:right w:val="single" w:sz="4" w:space="0" w:color="auto"/>
            </w:tcBorders>
            <w:shd w:val="clear" w:color="auto" w:fill="auto"/>
            <w:noWrap/>
            <w:vAlign w:val="bottom"/>
            <w:hideMark/>
          </w:tcPr>
          <w:p w14:paraId="056801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-0.03186</w:t>
            </w:r>
          </w:p>
        </w:tc>
      </w:tr>
      <w:tr w:rsidR="002027D2" w:rsidRPr="008D1712" w14:paraId="2E99ACC4"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153144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1E2358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13.45527</w:t>
            </w:r>
          </w:p>
        </w:tc>
        <w:tc>
          <w:tcPr>
            <w:tcW w:w="1073" w:type="dxa"/>
            <w:tcBorders>
              <w:top w:val="nil"/>
              <w:left w:val="nil"/>
              <w:bottom w:val="single" w:sz="4" w:space="0" w:color="auto"/>
              <w:right w:val="single" w:sz="4" w:space="0" w:color="auto"/>
            </w:tcBorders>
            <w:shd w:val="clear" w:color="auto" w:fill="auto"/>
            <w:noWrap/>
            <w:vAlign w:val="bottom"/>
            <w:hideMark/>
          </w:tcPr>
          <w:p w14:paraId="4D0F4F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-12.4367</w:t>
            </w:r>
          </w:p>
        </w:tc>
        <w:tc>
          <w:tcPr>
            <w:tcW w:w="1073" w:type="dxa"/>
            <w:tcBorders>
              <w:top w:val="nil"/>
              <w:left w:val="nil"/>
              <w:bottom w:val="single" w:sz="4" w:space="0" w:color="auto"/>
              <w:right w:val="single" w:sz="4" w:space="0" w:color="auto"/>
            </w:tcBorders>
            <w:shd w:val="clear" w:color="auto" w:fill="auto"/>
            <w:noWrap/>
            <w:vAlign w:val="bottom"/>
            <w:hideMark/>
          </w:tcPr>
          <w:p w14:paraId="5F5A84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0.163642</w:t>
            </w:r>
          </w:p>
        </w:tc>
      </w:tr>
      <w:tr w:rsidR="002027D2" w:rsidRPr="008D1712" w14:paraId="5922E6FB"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885B0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1BD5A0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14.50696</w:t>
            </w:r>
          </w:p>
        </w:tc>
        <w:tc>
          <w:tcPr>
            <w:tcW w:w="1073" w:type="dxa"/>
            <w:tcBorders>
              <w:top w:val="nil"/>
              <w:left w:val="nil"/>
              <w:bottom w:val="single" w:sz="4" w:space="0" w:color="auto"/>
              <w:right w:val="single" w:sz="4" w:space="0" w:color="auto"/>
            </w:tcBorders>
            <w:shd w:val="clear" w:color="auto" w:fill="auto"/>
            <w:noWrap/>
            <w:vAlign w:val="bottom"/>
            <w:hideMark/>
          </w:tcPr>
          <w:p w14:paraId="6D7369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-11.5213</w:t>
            </w:r>
          </w:p>
        </w:tc>
        <w:tc>
          <w:tcPr>
            <w:tcW w:w="1073" w:type="dxa"/>
            <w:tcBorders>
              <w:top w:val="nil"/>
              <w:left w:val="nil"/>
              <w:bottom w:val="single" w:sz="4" w:space="0" w:color="auto"/>
              <w:right w:val="single" w:sz="4" w:space="0" w:color="auto"/>
            </w:tcBorders>
            <w:shd w:val="clear" w:color="auto" w:fill="auto"/>
            <w:noWrap/>
            <w:vAlign w:val="bottom"/>
            <w:hideMark/>
          </w:tcPr>
          <w:p w14:paraId="7FB4E0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0.361504</w:t>
            </w:r>
          </w:p>
        </w:tc>
      </w:tr>
      <w:tr w:rsidR="002027D2" w:rsidRPr="008D1712" w14:paraId="58FE3D46"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B0418A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5732A6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14.27794</w:t>
            </w:r>
          </w:p>
        </w:tc>
        <w:tc>
          <w:tcPr>
            <w:tcW w:w="1073" w:type="dxa"/>
            <w:tcBorders>
              <w:top w:val="nil"/>
              <w:left w:val="nil"/>
              <w:bottom w:val="single" w:sz="4" w:space="0" w:color="auto"/>
              <w:right w:val="single" w:sz="4" w:space="0" w:color="auto"/>
            </w:tcBorders>
            <w:shd w:val="clear" w:color="auto" w:fill="auto"/>
            <w:noWrap/>
            <w:vAlign w:val="bottom"/>
            <w:hideMark/>
          </w:tcPr>
          <w:p w14:paraId="4D3C4B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-10.1297</w:t>
            </w:r>
          </w:p>
        </w:tc>
        <w:tc>
          <w:tcPr>
            <w:tcW w:w="1073" w:type="dxa"/>
            <w:tcBorders>
              <w:top w:val="nil"/>
              <w:left w:val="nil"/>
              <w:bottom w:val="single" w:sz="4" w:space="0" w:color="auto"/>
              <w:right w:val="single" w:sz="4" w:space="0" w:color="auto"/>
            </w:tcBorders>
            <w:shd w:val="clear" w:color="auto" w:fill="auto"/>
            <w:noWrap/>
            <w:vAlign w:val="bottom"/>
            <w:hideMark/>
          </w:tcPr>
          <w:p w14:paraId="1D3A19D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0.372699</w:t>
            </w:r>
          </w:p>
        </w:tc>
      </w:tr>
      <w:tr w:rsidR="002027D2" w:rsidRPr="008D1712" w14:paraId="16CB5CE8"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C817D0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7EA70E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12.97271</w:t>
            </w:r>
          </w:p>
        </w:tc>
        <w:tc>
          <w:tcPr>
            <w:tcW w:w="1073" w:type="dxa"/>
            <w:tcBorders>
              <w:top w:val="nil"/>
              <w:left w:val="nil"/>
              <w:bottom w:val="single" w:sz="4" w:space="0" w:color="auto"/>
              <w:right w:val="single" w:sz="4" w:space="0" w:color="auto"/>
            </w:tcBorders>
            <w:shd w:val="clear" w:color="auto" w:fill="auto"/>
            <w:noWrap/>
            <w:vAlign w:val="bottom"/>
            <w:hideMark/>
          </w:tcPr>
          <w:p w14:paraId="69DC6AC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-9.68099</w:t>
            </w:r>
          </w:p>
        </w:tc>
        <w:tc>
          <w:tcPr>
            <w:tcW w:w="1073" w:type="dxa"/>
            <w:tcBorders>
              <w:top w:val="nil"/>
              <w:left w:val="nil"/>
              <w:bottom w:val="single" w:sz="4" w:space="0" w:color="auto"/>
              <w:right w:val="single" w:sz="4" w:space="0" w:color="auto"/>
            </w:tcBorders>
            <w:shd w:val="clear" w:color="auto" w:fill="auto"/>
            <w:noWrap/>
            <w:vAlign w:val="bottom"/>
            <w:hideMark/>
          </w:tcPr>
          <w:p w14:paraId="47F82C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0.184444</w:t>
            </w:r>
          </w:p>
        </w:tc>
      </w:tr>
      <w:tr w:rsidR="002027D2" w:rsidRPr="008D1712" w14:paraId="5178163C"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12B7F7B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36A5F8C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12.41671</w:t>
            </w:r>
          </w:p>
        </w:tc>
        <w:tc>
          <w:tcPr>
            <w:tcW w:w="1073" w:type="dxa"/>
            <w:tcBorders>
              <w:top w:val="nil"/>
              <w:left w:val="nil"/>
              <w:bottom w:val="single" w:sz="4" w:space="0" w:color="auto"/>
              <w:right w:val="single" w:sz="4" w:space="0" w:color="auto"/>
            </w:tcBorders>
            <w:shd w:val="clear" w:color="auto" w:fill="auto"/>
            <w:noWrap/>
            <w:vAlign w:val="bottom"/>
            <w:hideMark/>
          </w:tcPr>
          <w:p w14:paraId="1844A1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-8.26698</w:t>
            </w:r>
          </w:p>
        </w:tc>
        <w:tc>
          <w:tcPr>
            <w:tcW w:w="1073" w:type="dxa"/>
            <w:tcBorders>
              <w:top w:val="nil"/>
              <w:left w:val="nil"/>
              <w:bottom w:val="single" w:sz="4" w:space="0" w:color="auto"/>
              <w:right w:val="single" w:sz="4" w:space="0" w:color="auto"/>
            </w:tcBorders>
            <w:shd w:val="clear" w:color="auto" w:fill="auto"/>
            <w:noWrap/>
            <w:vAlign w:val="bottom"/>
            <w:hideMark/>
          </w:tcPr>
          <w:p w14:paraId="1BE5945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0.115917</w:t>
            </w:r>
          </w:p>
        </w:tc>
      </w:tr>
      <w:tr w:rsidR="002027D2" w:rsidRPr="008D1712" w14:paraId="105C30DD"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6F9CC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382F8F4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12.71323</w:t>
            </w:r>
          </w:p>
        </w:tc>
        <w:tc>
          <w:tcPr>
            <w:tcW w:w="1073" w:type="dxa"/>
            <w:tcBorders>
              <w:top w:val="nil"/>
              <w:left w:val="nil"/>
              <w:bottom w:val="single" w:sz="4" w:space="0" w:color="auto"/>
              <w:right w:val="single" w:sz="4" w:space="0" w:color="auto"/>
            </w:tcBorders>
            <w:shd w:val="clear" w:color="auto" w:fill="auto"/>
            <w:noWrap/>
            <w:vAlign w:val="bottom"/>
            <w:hideMark/>
          </w:tcPr>
          <w:p w14:paraId="139867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-7.48853</w:t>
            </w:r>
          </w:p>
        </w:tc>
        <w:tc>
          <w:tcPr>
            <w:tcW w:w="1073" w:type="dxa"/>
            <w:tcBorders>
              <w:top w:val="nil"/>
              <w:left w:val="nil"/>
              <w:bottom w:val="single" w:sz="4" w:space="0" w:color="auto"/>
              <w:right w:val="single" w:sz="4" w:space="0" w:color="auto"/>
            </w:tcBorders>
            <w:shd w:val="clear" w:color="auto" w:fill="auto"/>
            <w:noWrap/>
            <w:vAlign w:val="bottom"/>
            <w:hideMark/>
          </w:tcPr>
          <w:p w14:paraId="58D577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1.420178</w:t>
            </w:r>
          </w:p>
        </w:tc>
      </w:tr>
      <w:tr w:rsidR="002027D2" w:rsidRPr="008D1712" w14:paraId="750977B1"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BCB570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02D702C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13.01077</w:t>
            </w:r>
          </w:p>
        </w:tc>
        <w:tc>
          <w:tcPr>
            <w:tcW w:w="1073" w:type="dxa"/>
            <w:tcBorders>
              <w:top w:val="nil"/>
              <w:left w:val="nil"/>
              <w:bottom w:val="single" w:sz="4" w:space="0" w:color="auto"/>
              <w:right w:val="single" w:sz="4" w:space="0" w:color="auto"/>
            </w:tcBorders>
            <w:shd w:val="clear" w:color="auto" w:fill="auto"/>
            <w:noWrap/>
            <w:vAlign w:val="bottom"/>
            <w:hideMark/>
          </w:tcPr>
          <w:p w14:paraId="0D929EE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-7.54747</w:t>
            </w:r>
          </w:p>
        </w:tc>
        <w:tc>
          <w:tcPr>
            <w:tcW w:w="1073" w:type="dxa"/>
            <w:tcBorders>
              <w:top w:val="nil"/>
              <w:left w:val="nil"/>
              <w:bottom w:val="single" w:sz="4" w:space="0" w:color="auto"/>
              <w:right w:val="single" w:sz="4" w:space="0" w:color="auto"/>
            </w:tcBorders>
            <w:shd w:val="clear" w:color="auto" w:fill="auto"/>
            <w:noWrap/>
            <w:vAlign w:val="bottom"/>
            <w:hideMark/>
          </w:tcPr>
          <w:p w14:paraId="4CE7D5F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-1.12442</w:t>
            </w:r>
          </w:p>
        </w:tc>
      </w:tr>
      <w:tr w:rsidR="002027D2" w:rsidRPr="008D1712" w14:paraId="3DCF9C63"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741BC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7FE00C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8.901223</w:t>
            </w:r>
          </w:p>
        </w:tc>
        <w:tc>
          <w:tcPr>
            <w:tcW w:w="1073" w:type="dxa"/>
            <w:tcBorders>
              <w:top w:val="nil"/>
              <w:left w:val="nil"/>
              <w:bottom w:val="single" w:sz="4" w:space="0" w:color="auto"/>
              <w:right w:val="single" w:sz="4" w:space="0" w:color="auto"/>
            </w:tcBorders>
            <w:shd w:val="clear" w:color="auto" w:fill="auto"/>
            <w:noWrap/>
            <w:vAlign w:val="bottom"/>
            <w:hideMark/>
          </w:tcPr>
          <w:p w14:paraId="5152A3A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-3.92095</w:t>
            </w:r>
          </w:p>
        </w:tc>
        <w:tc>
          <w:tcPr>
            <w:tcW w:w="1073" w:type="dxa"/>
            <w:tcBorders>
              <w:top w:val="nil"/>
              <w:left w:val="nil"/>
              <w:bottom w:val="single" w:sz="4" w:space="0" w:color="auto"/>
              <w:right w:val="single" w:sz="4" w:space="0" w:color="auto"/>
            </w:tcBorders>
            <w:shd w:val="clear" w:color="auto" w:fill="auto"/>
            <w:noWrap/>
            <w:vAlign w:val="bottom"/>
            <w:hideMark/>
          </w:tcPr>
          <w:p w14:paraId="6A5E46D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0.04416</w:t>
            </w:r>
          </w:p>
        </w:tc>
      </w:tr>
      <w:tr w:rsidR="002027D2" w:rsidRPr="008D1712" w14:paraId="38AC652F"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60AF615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33675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8.243916</w:t>
            </w:r>
          </w:p>
        </w:tc>
        <w:tc>
          <w:tcPr>
            <w:tcW w:w="1073" w:type="dxa"/>
            <w:tcBorders>
              <w:top w:val="nil"/>
              <w:left w:val="nil"/>
              <w:bottom w:val="single" w:sz="4" w:space="0" w:color="auto"/>
              <w:right w:val="single" w:sz="4" w:space="0" w:color="auto"/>
            </w:tcBorders>
            <w:shd w:val="clear" w:color="auto" w:fill="auto"/>
            <w:noWrap/>
            <w:vAlign w:val="bottom"/>
            <w:hideMark/>
          </w:tcPr>
          <w:p w14:paraId="1B5753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-1.334</w:t>
            </w:r>
          </w:p>
        </w:tc>
        <w:tc>
          <w:tcPr>
            <w:tcW w:w="1073" w:type="dxa"/>
            <w:tcBorders>
              <w:top w:val="nil"/>
              <w:left w:val="nil"/>
              <w:bottom w:val="single" w:sz="4" w:space="0" w:color="auto"/>
              <w:right w:val="single" w:sz="4" w:space="0" w:color="auto"/>
            </w:tcBorders>
            <w:shd w:val="clear" w:color="auto" w:fill="auto"/>
            <w:noWrap/>
            <w:vAlign w:val="bottom"/>
            <w:hideMark/>
          </w:tcPr>
          <w:p w14:paraId="002C25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-0.33931</w:t>
            </w:r>
          </w:p>
        </w:tc>
      </w:tr>
      <w:tr w:rsidR="002027D2" w:rsidRPr="008D1712" w14:paraId="035FBA74"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8B291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058FF9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10.87744</w:t>
            </w:r>
          </w:p>
        </w:tc>
        <w:tc>
          <w:tcPr>
            <w:tcW w:w="1073" w:type="dxa"/>
            <w:tcBorders>
              <w:top w:val="nil"/>
              <w:left w:val="nil"/>
              <w:bottom w:val="single" w:sz="4" w:space="0" w:color="auto"/>
              <w:right w:val="single" w:sz="4" w:space="0" w:color="auto"/>
            </w:tcBorders>
            <w:shd w:val="clear" w:color="auto" w:fill="auto"/>
            <w:noWrap/>
            <w:vAlign w:val="bottom"/>
            <w:hideMark/>
          </w:tcPr>
          <w:p w14:paraId="7F572AC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-5.71482</w:t>
            </w:r>
          </w:p>
        </w:tc>
        <w:tc>
          <w:tcPr>
            <w:tcW w:w="1073" w:type="dxa"/>
            <w:tcBorders>
              <w:top w:val="nil"/>
              <w:left w:val="nil"/>
              <w:bottom w:val="single" w:sz="4" w:space="0" w:color="auto"/>
              <w:right w:val="single" w:sz="4" w:space="0" w:color="auto"/>
            </w:tcBorders>
            <w:shd w:val="clear" w:color="auto" w:fill="auto"/>
            <w:noWrap/>
            <w:vAlign w:val="bottom"/>
            <w:hideMark/>
          </w:tcPr>
          <w:p w14:paraId="4E1129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-0.11238</w:t>
            </w:r>
          </w:p>
        </w:tc>
      </w:tr>
      <w:tr w:rsidR="002027D2" w:rsidRPr="008D1712" w14:paraId="0ABC3CE2"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A809D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03271B8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8.848833</w:t>
            </w:r>
          </w:p>
        </w:tc>
        <w:tc>
          <w:tcPr>
            <w:tcW w:w="1073" w:type="dxa"/>
            <w:tcBorders>
              <w:top w:val="nil"/>
              <w:left w:val="nil"/>
              <w:bottom w:val="single" w:sz="4" w:space="0" w:color="auto"/>
              <w:right w:val="single" w:sz="4" w:space="0" w:color="auto"/>
            </w:tcBorders>
            <w:shd w:val="clear" w:color="auto" w:fill="auto"/>
            <w:noWrap/>
            <w:vAlign w:val="bottom"/>
            <w:hideMark/>
          </w:tcPr>
          <w:p w14:paraId="0E57F6B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-8.07271</w:t>
            </w:r>
          </w:p>
        </w:tc>
        <w:tc>
          <w:tcPr>
            <w:tcW w:w="1073" w:type="dxa"/>
            <w:tcBorders>
              <w:top w:val="nil"/>
              <w:left w:val="nil"/>
              <w:bottom w:val="single" w:sz="4" w:space="0" w:color="auto"/>
              <w:right w:val="single" w:sz="4" w:space="0" w:color="auto"/>
            </w:tcBorders>
            <w:shd w:val="clear" w:color="auto" w:fill="auto"/>
            <w:noWrap/>
            <w:vAlign w:val="bottom"/>
            <w:hideMark/>
          </w:tcPr>
          <w:p w14:paraId="5F9FA65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-0.20414</w:t>
            </w:r>
          </w:p>
        </w:tc>
      </w:tr>
      <w:tr w:rsidR="002027D2" w:rsidRPr="008D1712" w14:paraId="22BFCED0"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2785A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0E296E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9.666714</w:t>
            </w:r>
          </w:p>
        </w:tc>
        <w:tc>
          <w:tcPr>
            <w:tcW w:w="1073" w:type="dxa"/>
            <w:tcBorders>
              <w:top w:val="nil"/>
              <w:left w:val="nil"/>
              <w:bottom w:val="single" w:sz="4" w:space="0" w:color="auto"/>
              <w:right w:val="single" w:sz="4" w:space="0" w:color="auto"/>
            </w:tcBorders>
            <w:shd w:val="clear" w:color="auto" w:fill="auto"/>
            <w:noWrap/>
            <w:vAlign w:val="bottom"/>
            <w:hideMark/>
          </w:tcPr>
          <w:p w14:paraId="6677AD1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-11.4671</w:t>
            </w:r>
          </w:p>
        </w:tc>
        <w:tc>
          <w:tcPr>
            <w:tcW w:w="1073" w:type="dxa"/>
            <w:tcBorders>
              <w:top w:val="nil"/>
              <w:left w:val="nil"/>
              <w:bottom w:val="single" w:sz="4" w:space="0" w:color="auto"/>
              <w:right w:val="single" w:sz="4" w:space="0" w:color="auto"/>
            </w:tcBorders>
            <w:shd w:val="clear" w:color="auto" w:fill="auto"/>
            <w:noWrap/>
            <w:vAlign w:val="bottom"/>
            <w:hideMark/>
          </w:tcPr>
          <w:p w14:paraId="1837763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-1.02295</w:t>
            </w:r>
          </w:p>
        </w:tc>
      </w:tr>
      <w:tr w:rsidR="002027D2" w:rsidRPr="008D1712" w14:paraId="303CA18C"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36DD4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177B7C1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8.826809</w:t>
            </w:r>
          </w:p>
        </w:tc>
        <w:tc>
          <w:tcPr>
            <w:tcW w:w="1073" w:type="dxa"/>
            <w:tcBorders>
              <w:top w:val="nil"/>
              <w:left w:val="nil"/>
              <w:bottom w:val="single" w:sz="4" w:space="0" w:color="auto"/>
              <w:right w:val="single" w:sz="4" w:space="0" w:color="auto"/>
            </w:tcBorders>
            <w:shd w:val="clear" w:color="auto" w:fill="auto"/>
            <w:noWrap/>
            <w:vAlign w:val="bottom"/>
            <w:hideMark/>
          </w:tcPr>
          <w:p w14:paraId="775563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-9.91805</w:t>
            </w:r>
          </w:p>
        </w:tc>
        <w:tc>
          <w:tcPr>
            <w:tcW w:w="1073" w:type="dxa"/>
            <w:tcBorders>
              <w:top w:val="nil"/>
              <w:left w:val="nil"/>
              <w:bottom w:val="single" w:sz="4" w:space="0" w:color="auto"/>
              <w:right w:val="single" w:sz="4" w:space="0" w:color="auto"/>
            </w:tcBorders>
            <w:shd w:val="clear" w:color="auto" w:fill="auto"/>
            <w:noWrap/>
            <w:vAlign w:val="bottom"/>
            <w:hideMark/>
          </w:tcPr>
          <w:p w14:paraId="21E6D9C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-1.08285</w:t>
            </w:r>
          </w:p>
        </w:tc>
      </w:tr>
      <w:tr w:rsidR="002027D2" w:rsidRPr="008D1712" w14:paraId="304198AA"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10E48E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3C10C0D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8.532787</w:t>
            </w:r>
          </w:p>
        </w:tc>
        <w:tc>
          <w:tcPr>
            <w:tcW w:w="1073" w:type="dxa"/>
            <w:tcBorders>
              <w:top w:val="nil"/>
              <w:left w:val="nil"/>
              <w:bottom w:val="single" w:sz="4" w:space="0" w:color="auto"/>
              <w:right w:val="single" w:sz="4" w:space="0" w:color="auto"/>
            </w:tcBorders>
            <w:shd w:val="clear" w:color="auto" w:fill="auto"/>
            <w:noWrap/>
            <w:vAlign w:val="bottom"/>
            <w:hideMark/>
          </w:tcPr>
          <w:p w14:paraId="69C274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-10.0122</w:t>
            </w:r>
          </w:p>
        </w:tc>
        <w:tc>
          <w:tcPr>
            <w:tcW w:w="1073" w:type="dxa"/>
            <w:tcBorders>
              <w:top w:val="nil"/>
              <w:left w:val="nil"/>
              <w:bottom w:val="single" w:sz="4" w:space="0" w:color="auto"/>
              <w:right w:val="single" w:sz="4" w:space="0" w:color="auto"/>
            </w:tcBorders>
            <w:shd w:val="clear" w:color="auto" w:fill="auto"/>
            <w:noWrap/>
            <w:vAlign w:val="bottom"/>
            <w:hideMark/>
          </w:tcPr>
          <w:p w14:paraId="63F1045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1.46039</w:t>
            </w:r>
          </w:p>
        </w:tc>
      </w:tr>
      <w:tr w:rsidR="002027D2" w:rsidRPr="008D1712" w14:paraId="131B0D75"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F8A77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5E1DA0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9.329742</w:t>
            </w:r>
          </w:p>
        </w:tc>
        <w:tc>
          <w:tcPr>
            <w:tcW w:w="1073" w:type="dxa"/>
            <w:tcBorders>
              <w:top w:val="nil"/>
              <w:left w:val="nil"/>
              <w:bottom w:val="single" w:sz="4" w:space="0" w:color="auto"/>
              <w:right w:val="single" w:sz="4" w:space="0" w:color="auto"/>
            </w:tcBorders>
            <w:shd w:val="clear" w:color="auto" w:fill="auto"/>
            <w:noWrap/>
            <w:vAlign w:val="bottom"/>
            <w:hideMark/>
          </w:tcPr>
          <w:p w14:paraId="31A916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-11.593</w:t>
            </w:r>
          </w:p>
        </w:tc>
        <w:tc>
          <w:tcPr>
            <w:tcW w:w="1073" w:type="dxa"/>
            <w:tcBorders>
              <w:top w:val="nil"/>
              <w:left w:val="nil"/>
              <w:bottom w:val="single" w:sz="4" w:space="0" w:color="auto"/>
              <w:right w:val="single" w:sz="4" w:space="0" w:color="auto"/>
            </w:tcBorders>
            <w:shd w:val="clear" w:color="auto" w:fill="auto"/>
            <w:noWrap/>
            <w:vAlign w:val="bottom"/>
            <w:hideMark/>
          </w:tcPr>
          <w:p w14:paraId="3EC127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1.475345</w:t>
            </w:r>
          </w:p>
        </w:tc>
      </w:tr>
      <w:tr w:rsidR="002027D2" w:rsidRPr="008D1712" w14:paraId="1897DFED"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FE0088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20B451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6.723798</w:t>
            </w:r>
          </w:p>
        </w:tc>
        <w:tc>
          <w:tcPr>
            <w:tcW w:w="1073" w:type="dxa"/>
            <w:tcBorders>
              <w:top w:val="nil"/>
              <w:left w:val="nil"/>
              <w:bottom w:val="single" w:sz="4" w:space="0" w:color="auto"/>
              <w:right w:val="single" w:sz="4" w:space="0" w:color="auto"/>
            </w:tcBorders>
            <w:shd w:val="clear" w:color="auto" w:fill="auto"/>
            <w:noWrap/>
            <w:vAlign w:val="bottom"/>
            <w:hideMark/>
          </w:tcPr>
          <w:p w14:paraId="40982A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-10.9501</w:t>
            </w:r>
          </w:p>
        </w:tc>
        <w:tc>
          <w:tcPr>
            <w:tcW w:w="1073" w:type="dxa"/>
            <w:tcBorders>
              <w:top w:val="nil"/>
              <w:left w:val="nil"/>
              <w:bottom w:val="single" w:sz="4" w:space="0" w:color="auto"/>
              <w:right w:val="single" w:sz="4" w:space="0" w:color="auto"/>
            </w:tcBorders>
            <w:shd w:val="clear" w:color="auto" w:fill="auto"/>
            <w:noWrap/>
            <w:vAlign w:val="bottom"/>
            <w:hideMark/>
          </w:tcPr>
          <w:p w14:paraId="289FE16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-0.05887</w:t>
            </w:r>
          </w:p>
        </w:tc>
      </w:tr>
      <w:tr w:rsidR="002027D2" w:rsidRPr="008D1712" w14:paraId="1D115344"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15764BF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764CCD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7.519793</w:t>
            </w:r>
          </w:p>
        </w:tc>
        <w:tc>
          <w:tcPr>
            <w:tcW w:w="1073" w:type="dxa"/>
            <w:tcBorders>
              <w:top w:val="nil"/>
              <w:left w:val="nil"/>
              <w:bottom w:val="single" w:sz="4" w:space="0" w:color="auto"/>
              <w:right w:val="single" w:sz="4" w:space="0" w:color="auto"/>
            </w:tcBorders>
            <w:shd w:val="clear" w:color="auto" w:fill="auto"/>
            <w:noWrap/>
            <w:vAlign w:val="bottom"/>
            <w:hideMark/>
          </w:tcPr>
          <w:p w14:paraId="7B6407E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-12.5291</w:t>
            </w:r>
          </w:p>
        </w:tc>
        <w:tc>
          <w:tcPr>
            <w:tcW w:w="1073" w:type="dxa"/>
            <w:tcBorders>
              <w:top w:val="nil"/>
              <w:left w:val="nil"/>
              <w:bottom w:val="single" w:sz="4" w:space="0" w:color="auto"/>
              <w:right w:val="single" w:sz="4" w:space="0" w:color="auto"/>
            </w:tcBorders>
            <w:shd w:val="clear" w:color="auto" w:fill="auto"/>
            <w:noWrap/>
            <w:vAlign w:val="bottom"/>
            <w:hideMark/>
          </w:tcPr>
          <w:p w14:paraId="4790E7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-0.02639</w:t>
            </w:r>
          </w:p>
        </w:tc>
      </w:tr>
      <w:tr w:rsidR="002027D2" w:rsidRPr="008D1712" w14:paraId="4BDD87E2"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CB40F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62B60E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11.33512</w:t>
            </w:r>
          </w:p>
        </w:tc>
        <w:tc>
          <w:tcPr>
            <w:tcW w:w="1073" w:type="dxa"/>
            <w:tcBorders>
              <w:top w:val="nil"/>
              <w:left w:val="nil"/>
              <w:bottom w:val="single" w:sz="4" w:space="0" w:color="auto"/>
              <w:right w:val="single" w:sz="4" w:space="0" w:color="auto"/>
            </w:tcBorders>
            <w:shd w:val="clear" w:color="auto" w:fill="auto"/>
            <w:noWrap/>
            <w:vAlign w:val="bottom"/>
            <w:hideMark/>
          </w:tcPr>
          <w:p w14:paraId="7D58363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-12.7044</w:t>
            </w:r>
          </w:p>
        </w:tc>
        <w:tc>
          <w:tcPr>
            <w:tcW w:w="1073" w:type="dxa"/>
            <w:tcBorders>
              <w:top w:val="nil"/>
              <w:left w:val="nil"/>
              <w:bottom w:val="single" w:sz="4" w:space="0" w:color="auto"/>
              <w:right w:val="single" w:sz="4" w:space="0" w:color="auto"/>
            </w:tcBorders>
            <w:shd w:val="clear" w:color="auto" w:fill="auto"/>
            <w:noWrap/>
            <w:vAlign w:val="bottom"/>
            <w:hideMark/>
          </w:tcPr>
          <w:p w14:paraId="3C23FE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-0.18122</w:t>
            </w:r>
          </w:p>
        </w:tc>
      </w:tr>
      <w:tr w:rsidR="002027D2" w:rsidRPr="008D1712" w14:paraId="090CB23E"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CB2D0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2F5B1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13.66264</w:t>
            </w:r>
          </w:p>
        </w:tc>
        <w:tc>
          <w:tcPr>
            <w:tcW w:w="1073" w:type="dxa"/>
            <w:tcBorders>
              <w:top w:val="nil"/>
              <w:left w:val="nil"/>
              <w:bottom w:val="single" w:sz="4" w:space="0" w:color="auto"/>
              <w:right w:val="single" w:sz="4" w:space="0" w:color="auto"/>
            </w:tcBorders>
            <w:shd w:val="clear" w:color="auto" w:fill="auto"/>
            <w:noWrap/>
            <w:vAlign w:val="bottom"/>
            <w:hideMark/>
          </w:tcPr>
          <w:p w14:paraId="66B3674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-13.5099</w:t>
            </w:r>
          </w:p>
        </w:tc>
        <w:tc>
          <w:tcPr>
            <w:tcW w:w="1073" w:type="dxa"/>
            <w:tcBorders>
              <w:top w:val="nil"/>
              <w:left w:val="nil"/>
              <w:bottom w:val="single" w:sz="4" w:space="0" w:color="auto"/>
              <w:right w:val="single" w:sz="4" w:space="0" w:color="auto"/>
            </w:tcBorders>
            <w:shd w:val="clear" w:color="auto" w:fill="auto"/>
            <w:noWrap/>
            <w:vAlign w:val="bottom"/>
            <w:hideMark/>
          </w:tcPr>
          <w:p w14:paraId="0B8F070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0.163497</w:t>
            </w:r>
          </w:p>
        </w:tc>
      </w:tr>
      <w:tr w:rsidR="002027D2" w:rsidRPr="008D1712" w14:paraId="1DA939E8"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71EB8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Br</w:t>
            </w:r>
          </w:p>
        </w:tc>
        <w:tc>
          <w:tcPr>
            <w:tcW w:w="1073" w:type="dxa"/>
            <w:tcBorders>
              <w:top w:val="nil"/>
              <w:left w:val="nil"/>
              <w:bottom w:val="single" w:sz="4" w:space="0" w:color="auto"/>
              <w:right w:val="single" w:sz="4" w:space="0" w:color="auto"/>
            </w:tcBorders>
            <w:shd w:val="clear" w:color="auto" w:fill="auto"/>
            <w:noWrap/>
            <w:vAlign w:val="bottom"/>
            <w:hideMark/>
          </w:tcPr>
          <w:p w14:paraId="008CBDB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16.2676</w:t>
            </w:r>
          </w:p>
        </w:tc>
        <w:tc>
          <w:tcPr>
            <w:tcW w:w="1073" w:type="dxa"/>
            <w:tcBorders>
              <w:top w:val="nil"/>
              <w:left w:val="nil"/>
              <w:bottom w:val="single" w:sz="4" w:space="0" w:color="auto"/>
              <w:right w:val="single" w:sz="4" w:space="0" w:color="auto"/>
            </w:tcBorders>
            <w:shd w:val="clear" w:color="auto" w:fill="auto"/>
            <w:noWrap/>
            <w:vAlign w:val="bottom"/>
            <w:hideMark/>
          </w:tcPr>
          <w:p w14:paraId="3257CD4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-12.1737</w:t>
            </w:r>
          </w:p>
        </w:tc>
        <w:tc>
          <w:tcPr>
            <w:tcW w:w="1073" w:type="dxa"/>
            <w:tcBorders>
              <w:top w:val="nil"/>
              <w:left w:val="nil"/>
              <w:bottom w:val="single" w:sz="4" w:space="0" w:color="auto"/>
              <w:right w:val="single" w:sz="4" w:space="0" w:color="auto"/>
            </w:tcBorders>
            <w:shd w:val="clear" w:color="auto" w:fill="auto"/>
            <w:noWrap/>
            <w:vAlign w:val="bottom"/>
            <w:hideMark/>
          </w:tcPr>
          <w:p w14:paraId="6D6A2F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0.619406</w:t>
            </w:r>
          </w:p>
        </w:tc>
      </w:tr>
      <w:tr w:rsidR="002027D2" w:rsidRPr="008D1712" w14:paraId="0AB52BBB"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01F2D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7105FA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15.11129</w:t>
            </w:r>
          </w:p>
        </w:tc>
        <w:tc>
          <w:tcPr>
            <w:tcW w:w="1073" w:type="dxa"/>
            <w:tcBorders>
              <w:top w:val="nil"/>
              <w:left w:val="nil"/>
              <w:bottom w:val="single" w:sz="4" w:space="0" w:color="auto"/>
              <w:right w:val="single" w:sz="4" w:space="0" w:color="auto"/>
            </w:tcBorders>
            <w:shd w:val="clear" w:color="auto" w:fill="auto"/>
            <w:noWrap/>
            <w:vAlign w:val="bottom"/>
            <w:hideMark/>
          </w:tcPr>
          <w:p w14:paraId="5A3192C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-9.43654</w:t>
            </w:r>
          </w:p>
        </w:tc>
        <w:tc>
          <w:tcPr>
            <w:tcW w:w="1073" w:type="dxa"/>
            <w:tcBorders>
              <w:top w:val="nil"/>
              <w:left w:val="nil"/>
              <w:bottom w:val="single" w:sz="4" w:space="0" w:color="auto"/>
              <w:right w:val="single" w:sz="4" w:space="0" w:color="auto"/>
            </w:tcBorders>
            <w:shd w:val="clear" w:color="auto" w:fill="auto"/>
            <w:noWrap/>
            <w:vAlign w:val="bottom"/>
            <w:hideMark/>
          </w:tcPr>
          <w:p w14:paraId="3AD7FA9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0.524594</w:t>
            </w:r>
          </w:p>
        </w:tc>
      </w:tr>
      <w:tr w:rsidR="002027D2" w:rsidRPr="008D1712" w14:paraId="4EBFAEF6"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635B533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1952EB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12.26883</w:t>
            </w:r>
          </w:p>
        </w:tc>
        <w:tc>
          <w:tcPr>
            <w:tcW w:w="1073" w:type="dxa"/>
            <w:tcBorders>
              <w:top w:val="nil"/>
              <w:left w:val="nil"/>
              <w:bottom w:val="single" w:sz="4" w:space="0" w:color="auto"/>
              <w:right w:val="single" w:sz="4" w:space="0" w:color="auto"/>
            </w:tcBorders>
            <w:shd w:val="clear" w:color="auto" w:fill="auto"/>
            <w:noWrap/>
            <w:vAlign w:val="bottom"/>
            <w:hideMark/>
          </w:tcPr>
          <w:p w14:paraId="132EF1D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-7.99196</w:t>
            </w:r>
          </w:p>
        </w:tc>
        <w:tc>
          <w:tcPr>
            <w:tcW w:w="1073" w:type="dxa"/>
            <w:tcBorders>
              <w:top w:val="nil"/>
              <w:left w:val="nil"/>
              <w:bottom w:val="single" w:sz="4" w:space="0" w:color="auto"/>
              <w:right w:val="single" w:sz="4" w:space="0" w:color="auto"/>
            </w:tcBorders>
            <w:shd w:val="clear" w:color="auto" w:fill="auto"/>
            <w:noWrap/>
            <w:vAlign w:val="bottom"/>
            <w:hideMark/>
          </w:tcPr>
          <w:p w14:paraId="0B015F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2.294668</w:t>
            </w:r>
          </w:p>
        </w:tc>
      </w:tr>
      <w:tr w:rsidR="002027D2" w:rsidRPr="008D1712" w14:paraId="403BBB4B"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AA7E1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05892F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12.3278</w:t>
            </w:r>
          </w:p>
        </w:tc>
        <w:tc>
          <w:tcPr>
            <w:tcW w:w="1073" w:type="dxa"/>
            <w:tcBorders>
              <w:top w:val="nil"/>
              <w:left w:val="nil"/>
              <w:bottom w:val="single" w:sz="4" w:space="0" w:color="auto"/>
              <w:right w:val="single" w:sz="4" w:space="0" w:color="auto"/>
            </w:tcBorders>
            <w:shd w:val="clear" w:color="auto" w:fill="auto"/>
            <w:noWrap/>
            <w:vAlign w:val="bottom"/>
            <w:hideMark/>
          </w:tcPr>
          <w:p w14:paraId="7AFD395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-6.45664</w:t>
            </w:r>
          </w:p>
        </w:tc>
        <w:tc>
          <w:tcPr>
            <w:tcW w:w="1073" w:type="dxa"/>
            <w:tcBorders>
              <w:top w:val="nil"/>
              <w:left w:val="nil"/>
              <w:bottom w:val="single" w:sz="4" w:space="0" w:color="auto"/>
              <w:right w:val="single" w:sz="4" w:space="0" w:color="auto"/>
            </w:tcBorders>
            <w:shd w:val="clear" w:color="auto" w:fill="auto"/>
            <w:noWrap/>
            <w:vAlign w:val="bottom"/>
            <w:hideMark/>
          </w:tcPr>
          <w:p w14:paraId="5F8D066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1.377032</w:t>
            </w:r>
          </w:p>
        </w:tc>
      </w:tr>
      <w:tr w:rsidR="002027D2" w:rsidRPr="008D1712" w14:paraId="1B8F2428"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E8CFB3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118E7E6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13.80351</w:t>
            </w:r>
          </w:p>
        </w:tc>
        <w:tc>
          <w:tcPr>
            <w:tcW w:w="1073" w:type="dxa"/>
            <w:tcBorders>
              <w:top w:val="nil"/>
              <w:left w:val="nil"/>
              <w:bottom w:val="single" w:sz="4" w:space="0" w:color="auto"/>
              <w:right w:val="single" w:sz="4" w:space="0" w:color="auto"/>
            </w:tcBorders>
            <w:shd w:val="clear" w:color="auto" w:fill="auto"/>
            <w:noWrap/>
            <w:vAlign w:val="bottom"/>
            <w:hideMark/>
          </w:tcPr>
          <w:p w14:paraId="229498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-7.43593</w:t>
            </w:r>
          </w:p>
        </w:tc>
        <w:tc>
          <w:tcPr>
            <w:tcW w:w="1073" w:type="dxa"/>
            <w:tcBorders>
              <w:top w:val="nil"/>
              <w:left w:val="nil"/>
              <w:bottom w:val="single" w:sz="4" w:space="0" w:color="auto"/>
              <w:right w:val="single" w:sz="4" w:space="0" w:color="auto"/>
            </w:tcBorders>
            <w:shd w:val="clear" w:color="auto" w:fill="auto"/>
            <w:noWrap/>
            <w:vAlign w:val="bottom"/>
            <w:hideMark/>
          </w:tcPr>
          <w:p w14:paraId="39981C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1.577435</w:t>
            </w:r>
          </w:p>
        </w:tc>
      </w:tr>
      <w:tr w:rsidR="002027D2" w:rsidRPr="008D1712" w14:paraId="2E8A8C7C"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D6AD9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6737A9F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12.81192</w:t>
            </w:r>
          </w:p>
        </w:tc>
        <w:tc>
          <w:tcPr>
            <w:tcW w:w="1073" w:type="dxa"/>
            <w:tcBorders>
              <w:top w:val="nil"/>
              <w:left w:val="nil"/>
              <w:bottom w:val="single" w:sz="4" w:space="0" w:color="auto"/>
              <w:right w:val="single" w:sz="4" w:space="0" w:color="auto"/>
            </w:tcBorders>
            <w:shd w:val="clear" w:color="auto" w:fill="auto"/>
            <w:noWrap/>
            <w:vAlign w:val="bottom"/>
            <w:hideMark/>
          </w:tcPr>
          <w:p w14:paraId="5D81855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-8.11319</w:t>
            </w:r>
          </w:p>
        </w:tc>
        <w:tc>
          <w:tcPr>
            <w:tcW w:w="1073" w:type="dxa"/>
            <w:tcBorders>
              <w:top w:val="nil"/>
              <w:left w:val="nil"/>
              <w:bottom w:val="single" w:sz="4" w:space="0" w:color="auto"/>
              <w:right w:val="single" w:sz="4" w:space="0" w:color="auto"/>
            </w:tcBorders>
            <w:shd w:val="clear" w:color="auto" w:fill="auto"/>
            <w:noWrap/>
            <w:vAlign w:val="bottom"/>
            <w:hideMark/>
          </w:tcPr>
          <w:p w14:paraId="4CE5FF9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-2.04963</w:t>
            </w:r>
          </w:p>
        </w:tc>
      </w:tr>
      <w:tr w:rsidR="002027D2" w:rsidRPr="008D1712" w14:paraId="68CAAA1C"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143C41F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66BBA78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14.10388</w:t>
            </w:r>
          </w:p>
        </w:tc>
        <w:tc>
          <w:tcPr>
            <w:tcW w:w="1073" w:type="dxa"/>
            <w:tcBorders>
              <w:top w:val="nil"/>
              <w:left w:val="nil"/>
              <w:bottom w:val="single" w:sz="4" w:space="0" w:color="auto"/>
              <w:right w:val="single" w:sz="4" w:space="0" w:color="auto"/>
            </w:tcBorders>
            <w:shd w:val="clear" w:color="auto" w:fill="auto"/>
            <w:noWrap/>
            <w:vAlign w:val="bottom"/>
            <w:hideMark/>
          </w:tcPr>
          <w:p w14:paraId="4816B7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-7.45934</w:t>
            </w:r>
          </w:p>
        </w:tc>
        <w:tc>
          <w:tcPr>
            <w:tcW w:w="1073" w:type="dxa"/>
            <w:tcBorders>
              <w:top w:val="nil"/>
              <w:left w:val="nil"/>
              <w:bottom w:val="single" w:sz="4" w:space="0" w:color="auto"/>
              <w:right w:val="single" w:sz="4" w:space="0" w:color="auto"/>
            </w:tcBorders>
            <w:shd w:val="clear" w:color="auto" w:fill="auto"/>
            <w:noWrap/>
            <w:vAlign w:val="bottom"/>
            <w:hideMark/>
          </w:tcPr>
          <w:p w14:paraId="2A7BC1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-1.007</w:t>
            </w:r>
          </w:p>
        </w:tc>
      </w:tr>
      <w:tr w:rsidR="002027D2" w:rsidRPr="008D1712" w14:paraId="1DDAA0F2"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1ECE34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073" w:type="dxa"/>
            <w:tcBorders>
              <w:top w:val="nil"/>
              <w:left w:val="nil"/>
              <w:bottom w:val="single" w:sz="4" w:space="0" w:color="auto"/>
              <w:right w:val="single" w:sz="4" w:space="0" w:color="auto"/>
            </w:tcBorders>
            <w:shd w:val="clear" w:color="auto" w:fill="auto"/>
            <w:noWrap/>
            <w:vAlign w:val="bottom"/>
            <w:hideMark/>
          </w:tcPr>
          <w:p w14:paraId="37D8760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12.59628</w:t>
            </w:r>
          </w:p>
        </w:tc>
        <w:tc>
          <w:tcPr>
            <w:tcW w:w="1073" w:type="dxa"/>
            <w:tcBorders>
              <w:top w:val="nil"/>
              <w:left w:val="nil"/>
              <w:bottom w:val="single" w:sz="4" w:space="0" w:color="auto"/>
              <w:right w:val="single" w:sz="4" w:space="0" w:color="auto"/>
            </w:tcBorders>
            <w:shd w:val="clear" w:color="auto" w:fill="auto"/>
            <w:noWrap/>
            <w:vAlign w:val="bottom"/>
            <w:hideMark/>
          </w:tcPr>
          <w:p w14:paraId="0634FD2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-6.53382</w:t>
            </w:r>
          </w:p>
        </w:tc>
        <w:tc>
          <w:tcPr>
            <w:tcW w:w="1073" w:type="dxa"/>
            <w:tcBorders>
              <w:top w:val="nil"/>
              <w:left w:val="nil"/>
              <w:bottom w:val="single" w:sz="4" w:space="0" w:color="auto"/>
              <w:right w:val="single" w:sz="4" w:space="0" w:color="auto"/>
            </w:tcBorders>
            <w:shd w:val="clear" w:color="auto" w:fill="auto"/>
            <w:noWrap/>
            <w:vAlign w:val="bottom"/>
            <w:hideMark/>
          </w:tcPr>
          <w:p w14:paraId="39E193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-1.24061</w:t>
            </w:r>
          </w:p>
        </w:tc>
      </w:tr>
      <w:tr w:rsidR="002027D2" w:rsidRPr="008D1712" w14:paraId="48488B28"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675D1B3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79E9C26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2.26191</w:t>
            </w:r>
          </w:p>
        </w:tc>
        <w:tc>
          <w:tcPr>
            <w:tcW w:w="1073" w:type="dxa"/>
            <w:tcBorders>
              <w:top w:val="nil"/>
              <w:left w:val="nil"/>
              <w:bottom w:val="single" w:sz="4" w:space="0" w:color="auto"/>
              <w:right w:val="single" w:sz="4" w:space="0" w:color="auto"/>
            </w:tcBorders>
            <w:shd w:val="clear" w:color="auto" w:fill="auto"/>
            <w:noWrap/>
            <w:vAlign w:val="bottom"/>
            <w:hideMark/>
          </w:tcPr>
          <w:p w14:paraId="17D3D6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-0.44696</w:t>
            </w:r>
          </w:p>
        </w:tc>
        <w:tc>
          <w:tcPr>
            <w:tcW w:w="1073" w:type="dxa"/>
            <w:tcBorders>
              <w:top w:val="nil"/>
              <w:left w:val="nil"/>
              <w:bottom w:val="single" w:sz="4" w:space="0" w:color="auto"/>
              <w:right w:val="single" w:sz="4" w:space="0" w:color="auto"/>
            </w:tcBorders>
            <w:shd w:val="clear" w:color="auto" w:fill="auto"/>
            <w:noWrap/>
            <w:vAlign w:val="bottom"/>
            <w:hideMark/>
          </w:tcPr>
          <w:p w14:paraId="34E4CAE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2.914473</w:t>
            </w:r>
          </w:p>
        </w:tc>
      </w:tr>
      <w:tr w:rsidR="002027D2" w:rsidRPr="008D1712" w14:paraId="618BDCC0"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20F60D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4301D8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3.214786</w:t>
            </w:r>
          </w:p>
        </w:tc>
        <w:tc>
          <w:tcPr>
            <w:tcW w:w="1073" w:type="dxa"/>
            <w:tcBorders>
              <w:top w:val="nil"/>
              <w:left w:val="nil"/>
              <w:bottom w:val="single" w:sz="4" w:space="0" w:color="auto"/>
              <w:right w:val="single" w:sz="4" w:space="0" w:color="auto"/>
            </w:tcBorders>
            <w:shd w:val="clear" w:color="auto" w:fill="auto"/>
            <w:noWrap/>
            <w:vAlign w:val="bottom"/>
            <w:hideMark/>
          </w:tcPr>
          <w:p w14:paraId="38EA67B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0.055423</w:t>
            </w:r>
          </w:p>
        </w:tc>
        <w:tc>
          <w:tcPr>
            <w:tcW w:w="1073" w:type="dxa"/>
            <w:tcBorders>
              <w:top w:val="nil"/>
              <w:left w:val="nil"/>
              <w:bottom w:val="single" w:sz="4" w:space="0" w:color="auto"/>
              <w:right w:val="single" w:sz="4" w:space="0" w:color="auto"/>
            </w:tcBorders>
            <w:shd w:val="clear" w:color="auto" w:fill="auto"/>
            <w:noWrap/>
            <w:vAlign w:val="bottom"/>
            <w:hideMark/>
          </w:tcPr>
          <w:p w14:paraId="1398A2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1.817079</w:t>
            </w:r>
          </w:p>
        </w:tc>
      </w:tr>
      <w:tr w:rsidR="002027D2" w:rsidRPr="008D1712" w14:paraId="010009F8"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DA08A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22E153F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4.517216</w:t>
            </w:r>
          </w:p>
        </w:tc>
        <w:tc>
          <w:tcPr>
            <w:tcW w:w="1073" w:type="dxa"/>
            <w:tcBorders>
              <w:top w:val="nil"/>
              <w:left w:val="nil"/>
              <w:bottom w:val="single" w:sz="4" w:space="0" w:color="auto"/>
              <w:right w:val="single" w:sz="4" w:space="0" w:color="auto"/>
            </w:tcBorders>
            <w:shd w:val="clear" w:color="auto" w:fill="auto"/>
            <w:noWrap/>
            <w:vAlign w:val="bottom"/>
            <w:hideMark/>
          </w:tcPr>
          <w:p w14:paraId="395FC58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0.631644</w:t>
            </w:r>
          </w:p>
        </w:tc>
        <w:tc>
          <w:tcPr>
            <w:tcW w:w="1073" w:type="dxa"/>
            <w:tcBorders>
              <w:top w:val="nil"/>
              <w:left w:val="nil"/>
              <w:bottom w:val="single" w:sz="4" w:space="0" w:color="auto"/>
              <w:right w:val="single" w:sz="4" w:space="0" w:color="auto"/>
            </w:tcBorders>
            <w:shd w:val="clear" w:color="auto" w:fill="auto"/>
            <w:noWrap/>
            <w:vAlign w:val="bottom"/>
            <w:hideMark/>
          </w:tcPr>
          <w:p w14:paraId="2A28F9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2.396836</w:t>
            </w:r>
          </w:p>
        </w:tc>
      </w:tr>
      <w:tr w:rsidR="002027D2" w:rsidRPr="008D1712" w14:paraId="652CAB89"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98B1C9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073" w:type="dxa"/>
            <w:tcBorders>
              <w:top w:val="nil"/>
              <w:left w:val="nil"/>
              <w:bottom w:val="single" w:sz="4" w:space="0" w:color="auto"/>
              <w:right w:val="single" w:sz="4" w:space="0" w:color="auto"/>
            </w:tcBorders>
            <w:shd w:val="clear" w:color="auto" w:fill="auto"/>
            <w:noWrap/>
            <w:vAlign w:val="bottom"/>
            <w:hideMark/>
          </w:tcPr>
          <w:p w14:paraId="68D4170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5.433157</w:t>
            </w:r>
          </w:p>
        </w:tc>
        <w:tc>
          <w:tcPr>
            <w:tcW w:w="1073" w:type="dxa"/>
            <w:tcBorders>
              <w:top w:val="nil"/>
              <w:left w:val="nil"/>
              <w:bottom w:val="single" w:sz="4" w:space="0" w:color="auto"/>
              <w:right w:val="single" w:sz="4" w:space="0" w:color="auto"/>
            </w:tcBorders>
            <w:shd w:val="clear" w:color="auto" w:fill="auto"/>
            <w:noWrap/>
            <w:vAlign w:val="bottom"/>
            <w:hideMark/>
          </w:tcPr>
          <w:p w14:paraId="2B856F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1.119533</w:t>
            </w:r>
          </w:p>
        </w:tc>
        <w:tc>
          <w:tcPr>
            <w:tcW w:w="1073" w:type="dxa"/>
            <w:tcBorders>
              <w:top w:val="nil"/>
              <w:left w:val="nil"/>
              <w:bottom w:val="single" w:sz="4" w:space="0" w:color="auto"/>
              <w:right w:val="single" w:sz="4" w:space="0" w:color="auto"/>
            </w:tcBorders>
            <w:shd w:val="clear" w:color="auto" w:fill="auto"/>
            <w:noWrap/>
            <w:vAlign w:val="bottom"/>
            <w:hideMark/>
          </w:tcPr>
          <w:p w14:paraId="391E945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1.356449</w:t>
            </w:r>
          </w:p>
        </w:tc>
      </w:tr>
      <w:tr w:rsidR="002027D2" w:rsidRPr="008D1712" w14:paraId="705F6FFA"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DBD84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6A9F8A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5.352582</w:t>
            </w:r>
          </w:p>
        </w:tc>
        <w:tc>
          <w:tcPr>
            <w:tcW w:w="1073" w:type="dxa"/>
            <w:tcBorders>
              <w:top w:val="nil"/>
              <w:left w:val="nil"/>
              <w:bottom w:val="single" w:sz="4" w:space="0" w:color="auto"/>
              <w:right w:val="single" w:sz="4" w:space="0" w:color="auto"/>
            </w:tcBorders>
            <w:shd w:val="clear" w:color="auto" w:fill="auto"/>
            <w:noWrap/>
            <w:vAlign w:val="bottom"/>
            <w:hideMark/>
          </w:tcPr>
          <w:p w14:paraId="05A3473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2.441449</w:t>
            </w:r>
          </w:p>
        </w:tc>
        <w:tc>
          <w:tcPr>
            <w:tcW w:w="1073" w:type="dxa"/>
            <w:tcBorders>
              <w:top w:val="nil"/>
              <w:left w:val="nil"/>
              <w:bottom w:val="single" w:sz="4" w:space="0" w:color="auto"/>
              <w:right w:val="single" w:sz="4" w:space="0" w:color="auto"/>
            </w:tcBorders>
            <w:shd w:val="clear" w:color="auto" w:fill="auto"/>
            <w:noWrap/>
            <w:vAlign w:val="bottom"/>
            <w:hideMark/>
          </w:tcPr>
          <w:p w14:paraId="63EF5A1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0.855157</w:t>
            </w:r>
          </w:p>
        </w:tc>
      </w:tr>
      <w:tr w:rsidR="002027D2" w:rsidRPr="008D1712" w14:paraId="16BCB4B0"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1857CB4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7B1EF7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4.496904</w:t>
            </w:r>
          </w:p>
        </w:tc>
        <w:tc>
          <w:tcPr>
            <w:tcW w:w="1073" w:type="dxa"/>
            <w:tcBorders>
              <w:top w:val="nil"/>
              <w:left w:val="nil"/>
              <w:bottom w:val="single" w:sz="4" w:space="0" w:color="auto"/>
              <w:right w:val="single" w:sz="4" w:space="0" w:color="auto"/>
            </w:tcBorders>
            <w:shd w:val="clear" w:color="auto" w:fill="auto"/>
            <w:noWrap/>
            <w:vAlign w:val="bottom"/>
            <w:hideMark/>
          </w:tcPr>
          <w:p w14:paraId="6E0FA1B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3.478557</w:t>
            </w:r>
          </w:p>
        </w:tc>
        <w:tc>
          <w:tcPr>
            <w:tcW w:w="1073" w:type="dxa"/>
            <w:tcBorders>
              <w:top w:val="nil"/>
              <w:left w:val="nil"/>
              <w:bottom w:val="single" w:sz="4" w:space="0" w:color="auto"/>
              <w:right w:val="single" w:sz="4" w:space="0" w:color="auto"/>
            </w:tcBorders>
            <w:shd w:val="clear" w:color="auto" w:fill="auto"/>
            <w:noWrap/>
            <w:vAlign w:val="bottom"/>
            <w:hideMark/>
          </w:tcPr>
          <w:p w14:paraId="68BC315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1.24678</w:t>
            </w:r>
          </w:p>
        </w:tc>
      </w:tr>
      <w:tr w:rsidR="002027D2" w:rsidRPr="008D1712" w14:paraId="59D9E0FA"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606C89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3EE86F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4.632109</w:t>
            </w:r>
          </w:p>
        </w:tc>
        <w:tc>
          <w:tcPr>
            <w:tcW w:w="1073" w:type="dxa"/>
            <w:tcBorders>
              <w:top w:val="nil"/>
              <w:left w:val="nil"/>
              <w:bottom w:val="single" w:sz="4" w:space="0" w:color="auto"/>
              <w:right w:val="single" w:sz="4" w:space="0" w:color="auto"/>
            </w:tcBorders>
            <w:shd w:val="clear" w:color="auto" w:fill="auto"/>
            <w:noWrap/>
            <w:vAlign w:val="bottom"/>
            <w:hideMark/>
          </w:tcPr>
          <w:p w14:paraId="7614148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4.711145</w:t>
            </w:r>
          </w:p>
        </w:tc>
        <w:tc>
          <w:tcPr>
            <w:tcW w:w="1073" w:type="dxa"/>
            <w:tcBorders>
              <w:top w:val="nil"/>
              <w:left w:val="nil"/>
              <w:bottom w:val="single" w:sz="4" w:space="0" w:color="auto"/>
              <w:right w:val="single" w:sz="4" w:space="0" w:color="auto"/>
            </w:tcBorders>
            <w:shd w:val="clear" w:color="auto" w:fill="auto"/>
            <w:noWrap/>
            <w:vAlign w:val="bottom"/>
            <w:hideMark/>
          </w:tcPr>
          <w:p w14:paraId="7B6481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0.590259</w:t>
            </w:r>
          </w:p>
        </w:tc>
      </w:tr>
      <w:tr w:rsidR="002027D2" w:rsidRPr="008D1712" w14:paraId="4DB6A51B"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1698BC5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7C7E80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5.597786</w:t>
            </w:r>
          </w:p>
        </w:tc>
        <w:tc>
          <w:tcPr>
            <w:tcW w:w="1073" w:type="dxa"/>
            <w:tcBorders>
              <w:top w:val="nil"/>
              <w:left w:val="nil"/>
              <w:bottom w:val="single" w:sz="4" w:space="0" w:color="auto"/>
              <w:right w:val="single" w:sz="4" w:space="0" w:color="auto"/>
            </w:tcBorders>
            <w:shd w:val="clear" w:color="auto" w:fill="auto"/>
            <w:noWrap/>
            <w:vAlign w:val="bottom"/>
            <w:hideMark/>
          </w:tcPr>
          <w:p w14:paraId="1C238D8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4.878755</w:t>
            </w:r>
          </w:p>
        </w:tc>
        <w:tc>
          <w:tcPr>
            <w:tcW w:w="1073" w:type="dxa"/>
            <w:tcBorders>
              <w:top w:val="nil"/>
              <w:left w:val="nil"/>
              <w:bottom w:val="single" w:sz="4" w:space="0" w:color="auto"/>
              <w:right w:val="single" w:sz="4" w:space="0" w:color="auto"/>
            </w:tcBorders>
            <w:shd w:val="clear" w:color="auto" w:fill="auto"/>
            <w:noWrap/>
            <w:vAlign w:val="bottom"/>
            <w:hideMark/>
          </w:tcPr>
          <w:p w14:paraId="1AF8969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-0.42075</w:t>
            </w:r>
          </w:p>
        </w:tc>
      </w:tr>
      <w:tr w:rsidR="002027D2" w:rsidRPr="008D1712" w14:paraId="48261D72"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2E8CC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6804010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6.450827</w:t>
            </w:r>
          </w:p>
        </w:tc>
        <w:tc>
          <w:tcPr>
            <w:tcW w:w="1073" w:type="dxa"/>
            <w:tcBorders>
              <w:top w:val="nil"/>
              <w:left w:val="nil"/>
              <w:bottom w:val="single" w:sz="4" w:space="0" w:color="auto"/>
              <w:right w:val="single" w:sz="4" w:space="0" w:color="auto"/>
            </w:tcBorders>
            <w:shd w:val="clear" w:color="auto" w:fill="auto"/>
            <w:noWrap/>
            <w:vAlign w:val="bottom"/>
            <w:hideMark/>
          </w:tcPr>
          <w:p w14:paraId="7CA909C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3.824575</w:t>
            </w:r>
          </w:p>
        </w:tc>
        <w:tc>
          <w:tcPr>
            <w:tcW w:w="1073" w:type="dxa"/>
            <w:tcBorders>
              <w:top w:val="nil"/>
              <w:left w:val="nil"/>
              <w:bottom w:val="single" w:sz="4" w:space="0" w:color="auto"/>
              <w:right w:val="single" w:sz="4" w:space="0" w:color="auto"/>
            </w:tcBorders>
            <w:shd w:val="clear" w:color="auto" w:fill="auto"/>
            <w:noWrap/>
            <w:vAlign w:val="bottom"/>
            <w:hideMark/>
          </w:tcPr>
          <w:p w14:paraId="7BE981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-0.80627</w:t>
            </w:r>
          </w:p>
        </w:tc>
      </w:tr>
      <w:tr w:rsidR="002027D2" w:rsidRPr="008D1712" w14:paraId="41A7CFC9"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944754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52532C7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6.313506</w:t>
            </w:r>
          </w:p>
        </w:tc>
        <w:tc>
          <w:tcPr>
            <w:tcW w:w="1073" w:type="dxa"/>
            <w:tcBorders>
              <w:top w:val="nil"/>
              <w:left w:val="nil"/>
              <w:bottom w:val="single" w:sz="4" w:space="0" w:color="auto"/>
              <w:right w:val="single" w:sz="4" w:space="0" w:color="auto"/>
            </w:tcBorders>
            <w:shd w:val="clear" w:color="auto" w:fill="auto"/>
            <w:noWrap/>
            <w:vAlign w:val="bottom"/>
            <w:hideMark/>
          </w:tcPr>
          <w:p w14:paraId="5BDD696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2.60058</w:t>
            </w:r>
          </w:p>
        </w:tc>
        <w:tc>
          <w:tcPr>
            <w:tcW w:w="1073" w:type="dxa"/>
            <w:tcBorders>
              <w:top w:val="nil"/>
              <w:left w:val="nil"/>
              <w:bottom w:val="single" w:sz="4" w:space="0" w:color="auto"/>
              <w:right w:val="single" w:sz="4" w:space="0" w:color="auto"/>
            </w:tcBorders>
            <w:shd w:val="clear" w:color="auto" w:fill="auto"/>
            <w:noWrap/>
            <w:vAlign w:val="bottom"/>
            <w:hideMark/>
          </w:tcPr>
          <w:p w14:paraId="5822948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-0.15506</w:t>
            </w:r>
          </w:p>
        </w:tc>
      </w:tr>
      <w:tr w:rsidR="002027D2" w:rsidRPr="008D1712" w14:paraId="5C460B3E"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DDB315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3D003F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7.076255</w:t>
            </w:r>
          </w:p>
        </w:tc>
        <w:tc>
          <w:tcPr>
            <w:tcW w:w="1073" w:type="dxa"/>
            <w:tcBorders>
              <w:top w:val="nil"/>
              <w:left w:val="nil"/>
              <w:bottom w:val="single" w:sz="4" w:space="0" w:color="auto"/>
              <w:right w:val="single" w:sz="4" w:space="0" w:color="auto"/>
            </w:tcBorders>
            <w:shd w:val="clear" w:color="auto" w:fill="auto"/>
            <w:noWrap/>
            <w:vAlign w:val="bottom"/>
            <w:hideMark/>
          </w:tcPr>
          <w:p w14:paraId="4D839A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1.296321</w:t>
            </w:r>
          </w:p>
        </w:tc>
        <w:tc>
          <w:tcPr>
            <w:tcW w:w="1073" w:type="dxa"/>
            <w:tcBorders>
              <w:top w:val="nil"/>
              <w:left w:val="nil"/>
              <w:bottom w:val="single" w:sz="4" w:space="0" w:color="auto"/>
              <w:right w:val="single" w:sz="4" w:space="0" w:color="auto"/>
            </w:tcBorders>
            <w:shd w:val="clear" w:color="auto" w:fill="auto"/>
            <w:noWrap/>
            <w:vAlign w:val="bottom"/>
            <w:hideMark/>
          </w:tcPr>
          <w:p w14:paraId="4CCFD5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-0.33354</w:t>
            </w:r>
          </w:p>
        </w:tc>
      </w:tr>
      <w:tr w:rsidR="002027D2" w:rsidRPr="008D1712" w14:paraId="214EADCE"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62A33D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1C13DC0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6.892102</w:t>
            </w:r>
          </w:p>
        </w:tc>
        <w:tc>
          <w:tcPr>
            <w:tcW w:w="1073" w:type="dxa"/>
            <w:tcBorders>
              <w:top w:val="nil"/>
              <w:left w:val="nil"/>
              <w:bottom w:val="single" w:sz="4" w:space="0" w:color="auto"/>
              <w:right w:val="single" w:sz="4" w:space="0" w:color="auto"/>
            </w:tcBorders>
            <w:shd w:val="clear" w:color="auto" w:fill="auto"/>
            <w:noWrap/>
            <w:vAlign w:val="bottom"/>
            <w:hideMark/>
          </w:tcPr>
          <w:p w14:paraId="40EBF9D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0.763401</w:t>
            </w:r>
          </w:p>
        </w:tc>
        <w:tc>
          <w:tcPr>
            <w:tcW w:w="1073" w:type="dxa"/>
            <w:tcBorders>
              <w:top w:val="nil"/>
              <w:left w:val="nil"/>
              <w:bottom w:val="single" w:sz="4" w:space="0" w:color="auto"/>
              <w:right w:val="single" w:sz="4" w:space="0" w:color="auto"/>
            </w:tcBorders>
            <w:shd w:val="clear" w:color="auto" w:fill="auto"/>
            <w:noWrap/>
            <w:vAlign w:val="bottom"/>
            <w:hideMark/>
          </w:tcPr>
          <w:p w14:paraId="37DC810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-1.77735</w:t>
            </w:r>
          </w:p>
        </w:tc>
      </w:tr>
      <w:tr w:rsidR="002027D2" w:rsidRPr="008D1712" w14:paraId="465389C0"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626E7D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43D22E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8.573675</w:t>
            </w:r>
          </w:p>
        </w:tc>
        <w:tc>
          <w:tcPr>
            <w:tcW w:w="1073" w:type="dxa"/>
            <w:tcBorders>
              <w:top w:val="nil"/>
              <w:left w:val="nil"/>
              <w:bottom w:val="single" w:sz="4" w:space="0" w:color="auto"/>
              <w:right w:val="single" w:sz="4" w:space="0" w:color="auto"/>
            </w:tcBorders>
            <w:shd w:val="clear" w:color="auto" w:fill="auto"/>
            <w:noWrap/>
            <w:vAlign w:val="bottom"/>
            <w:hideMark/>
          </w:tcPr>
          <w:p w14:paraId="714762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1.52066</w:t>
            </w:r>
          </w:p>
        </w:tc>
        <w:tc>
          <w:tcPr>
            <w:tcW w:w="1073" w:type="dxa"/>
            <w:tcBorders>
              <w:top w:val="nil"/>
              <w:left w:val="nil"/>
              <w:bottom w:val="single" w:sz="4" w:space="0" w:color="auto"/>
              <w:right w:val="single" w:sz="4" w:space="0" w:color="auto"/>
            </w:tcBorders>
            <w:shd w:val="clear" w:color="auto" w:fill="auto"/>
            <w:noWrap/>
            <w:vAlign w:val="bottom"/>
            <w:hideMark/>
          </w:tcPr>
          <w:p w14:paraId="5A8BF5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0.001584</w:t>
            </w:r>
          </w:p>
        </w:tc>
      </w:tr>
      <w:tr w:rsidR="002027D2" w:rsidRPr="008D1712" w14:paraId="0839952C"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DD870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435552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6.388102</w:t>
            </w:r>
          </w:p>
        </w:tc>
        <w:tc>
          <w:tcPr>
            <w:tcW w:w="1073" w:type="dxa"/>
            <w:tcBorders>
              <w:top w:val="nil"/>
              <w:left w:val="nil"/>
              <w:bottom w:val="single" w:sz="4" w:space="0" w:color="auto"/>
              <w:right w:val="single" w:sz="4" w:space="0" w:color="auto"/>
            </w:tcBorders>
            <w:shd w:val="clear" w:color="auto" w:fill="auto"/>
            <w:noWrap/>
            <w:vAlign w:val="bottom"/>
            <w:hideMark/>
          </w:tcPr>
          <w:p w14:paraId="3B4A1F7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0.392084</w:t>
            </w:r>
          </w:p>
        </w:tc>
        <w:tc>
          <w:tcPr>
            <w:tcW w:w="1073" w:type="dxa"/>
            <w:tcBorders>
              <w:top w:val="nil"/>
              <w:left w:val="nil"/>
              <w:bottom w:val="single" w:sz="4" w:space="0" w:color="auto"/>
              <w:right w:val="single" w:sz="4" w:space="0" w:color="auto"/>
            </w:tcBorders>
            <w:shd w:val="clear" w:color="auto" w:fill="auto"/>
            <w:noWrap/>
            <w:vAlign w:val="bottom"/>
            <w:hideMark/>
          </w:tcPr>
          <w:p w14:paraId="25A6B9F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0.708723</w:t>
            </w:r>
          </w:p>
        </w:tc>
      </w:tr>
      <w:tr w:rsidR="002027D2" w:rsidRPr="008D1712" w14:paraId="0555C7F8"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41C7B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73B2E2E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6.632182</w:t>
            </w:r>
          </w:p>
        </w:tc>
        <w:tc>
          <w:tcPr>
            <w:tcW w:w="1073" w:type="dxa"/>
            <w:tcBorders>
              <w:top w:val="nil"/>
              <w:left w:val="nil"/>
              <w:bottom w:val="single" w:sz="4" w:space="0" w:color="auto"/>
              <w:right w:val="single" w:sz="4" w:space="0" w:color="auto"/>
            </w:tcBorders>
            <w:shd w:val="clear" w:color="auto" w:fill="auto"/>
            <w:noWrap/>
            <w:vAlign w:val="bottom"/>
            <w:hideMark/>
          </w:tcPr>
          <w:p w14:paraId="30B8B9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-0.96319</w:t>
            </w:r>
          </w:p>
        </w:tc>
        <w:tc>
          <w:tcPr>
            <w:tcW w:w="1073" w:type="dxa"/>
            <w:tcBorders>
              <w:top w:val="nil"/>
              <w:left w:val="nil"/>
              <w:bottom w:val="single" w:sz="4" w:space="0" w:color="auto"/>
              <w:right w:val="single" w:sz="4" w:space="0" w:color="auto"/>
            </w:tcBorders>
            <w:shd w:val="clear" w:color="auto" w:fill="auto"/>
            <w:noWrap/>
            <w:vAlign w:val="bottom"/>
            <w:hideMark/>
          </w:tcPr>
          <w:p w14:paraId="39BF922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1.010753</w:t>
            </w:r>
          </w:p>
        </w:tc>
      </w:tr>
      <w:tr w:rsidR="002027D2" w:rsidRPr="008D1712" w14:paraId="2F0C4095"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6E52F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61606E8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2.032891</w:t>
            </w:r>
          </w:p>
        </w:tc>
        <w:tc>
          <w:tcPr>
            <w:tcW w:w="1073" w:type="dxa"/>
            <w:tcBorders>
              <w:top w:val="nil"/>
              <w:left w:val="nil"/>
              <w:bottom w:val="single" w:sz="4" w:space="0" w:color="auto"/>
              <w:right w:val="single" w:sz="4" w:space="0" w:color="auto"/>
            </w:tcBorders>
            <w:shd w:val="clear" w:color="auto" w:fill="auto"/>
            <w:noWrap/>
            <w:vAlign w:val="bottom"/>
            <w:hideMark/>
          </w:tcPr>
          <w:p w14:paraId="4B7E133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0.382013</w:t>
            </w:r>
          </w:p>
        </w:tc>
        <w:tc>
          <w:tcPr>
            <w:tcW w:w="1073" w:type="dxa"/>
            <w:tcBorders>
              <w:top w:val="nil"/>
              <w:left w:val="nil"/>
              <w:bottom w:val="single" w:sz="4" w:space="0" w:color="auto"/>
              <w:right w:val="single" w:sz="4" w:space="0" w:color="auto"/>
            </w:tcBorders>
            <w:shd w:val="clear" w:color="auto" w:fill="auto"/>
            <w:noWrap/>
            <w:vAlign w:val="bottom"/>
            <w:hideMark/>
          </w:tcPr>
          <w:p w14:paraId="3EB4898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3.611111</w:t>
            </w:r>
          </w:p>
        </w:tc>
      </w:tr>
      <w:tr w:rsidR="002027D2" w:rsidRPr="008D1712" w14:paraId="3494E8A8"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4164D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66A32D0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2.773025</w:t>
            </w:r>
          </w:p>
        </w:tc>
        <w:tc>
          <w:tcPr>
            <w:tcW w:w="1073" w:type="dxa"/>
            <w:tcBorders>
              <w:top w:val="nil"/>
              <w:left w:val="nil"/>
              <w:bottom w:val="single" w:sz="4" w:space="0" w:color="auto"/>
              <w:right w:val="single" w:sz="4" w:space="0" w:color="auto"/>
            </w:tcBorders>
            <w:shd w:val="clear" w:color="auto" w:fill="auto"/>
            <w:noWrap/>
            <w:vAlign w:val="bottom"/>
            <w:hideMark/>
          </w:tcPr>
          <w:p w14:paraId="1D030E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-1.22237</w:t>
            </w:r>
          </w:p>
        </w:tc>
        <w:tc>
          <w:tcPr>
            <w:tcW w:w="1073" w:type="dxa"/>
            <w:tcBorders>
              <w:top w:val="nil"/>
              <w:left w:val="nil"/>
              <w:bottom w:val="single" w:sz="4" w:space="0" w:color="auto"/>
              <w:right w:val="single" w:sz="4" w:space="0" w:color="auto"/>
            </w:tcBorders>
            <w:shd w:val="clear" w:color="auto" w:fill="auto"/>
            <w:noWrap/>
            <w:vAlign w:val="bottom"/>
            <w:hideMark/>
          </w:tcPr>
          <w:p w14:paraId="1942D9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3.519897</w:t>
            </w:r>
          </w:p>
        </w:tc>
      </w:tr>
      <w:tr w:rsidR="002027D2" w:rsidRPr="008D1712" w14:paraId="7B88D3F6"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FAE33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68F2C2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2.713257</w:t>
            </w:r>
          </w:p>
        </w:tc>
        <w:tc>
          <w:tcPr>
            <w:tcW w:w="1073" w:type="dxa"/>
            <w:tcBorders>
              <w:top w:val="nil"/>
              <w:left w:val="nil"/>
              <w:bottom w:val="single" w:sz="4" w:space="0" w:color="auto"/>
              <w:right w:val="single" w:sz="4" w:space="0" w:color="auto"/>
            </w:tcBorders>
            <w:shd w:val="clear" w:color="auto" w:fill="auto"/>
            <w:noWrap/>
            <w:vAlign w:val="bottom"/>
            <w:hideMark/>
          </w:tcPr>
          <w:p w14:paraId="4413E53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0.833374</w:t>
            </w:r>
          </w:p>
        </w:tc>
        <w:tc>
          <w:tcPr>
            <w:tcW w:w="1073" w:type="dxa"/>
            <w:tcBorders>
              <w:top w:val="nil"/>
              <w:left w:val="nil"/>
              <w:bottom w:val="single" w:sz="4" w:space="0" w:color="auto"/>
              <w:right w:val="single" w:sz="4" w:space="0" w:color="auto"/>
            </w:tcBorders>
            <w:shd w:val="clear" w:color="auto" w:fill="auto"/>
            <w:noWrap/>
            <w:vAlign w:val="bottom"/>
            <w:hideMark/>
          </w:tcPr>
          <w:p w14:paraId="4A4CB3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1.211302</w:t>
            </w:r>
          </w:p>
        </w:tc>
      </w:tr>
      <w:tr w:rsidR="002027D2" w:rsidRPr="008D1712" w14:paraId="4186F118"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B388FE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53F4B35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3.458968</w:t>
            </w:r>
          </w:p>
        </w:tc>
        <w:tc>
          <w:tcPr>
            <w:tcW w:w="1073" w:type="dxa"/>
            <w:tcBorders>
              <w:top w:val="nil"/>
              <w:left w:val="nil"/>
              <w:bottom w:val="single" w:sz="4" w:space="0" w:color="auto"/>
              <w:right w:val="single" w:sz="4" w:space="0" w:color="auto"/>
            </w:tcBorders>
            <w:shd w:val="clear" w:color="auto" w:fill="auto"/>
            <w:noWrap/>
            <w:vAlign w:val="bottom"/>
            <w:hideMark/>
          </w:tcPr>
          <w:p w14:paraId="6D90A2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-0.77085</w:t>
            </w:r>
          </w:p>
        </w:tc>
        <w:tc>
          <w:tcPr>
            <w:tcW w:w="1073" w:type="dxa"/>
            <w:tcBorders>
              <w:top w:val="nil"/>
              <w:left w:val="nil"/>
              <w:bottom w:val="single" w:sz="4" w:space="0" w:color="auto"/>
              <w:right w:val="single" w:sz="4" w:space="0" w:color="auto"/>
            </w:tcBorders>
            <w:shd w:val="clear" w:color="auto" w:fill="auto"/>
            <w:noWrap/>
            <w:vAlign w:val="bottom"/>
            <w:hideMark/>
          </w:tcPr>
          <w:p w14:paraId="60C004D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1.120282</w:t>
            </w:r>
          </w:p>
        </w:tc>
      </w:tr>
      <w:tr w:rsidR="002027D2" w:rsidRPr="008D1712" w14:paraId="273FD425"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0DBEDA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038E18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5.049287</w:t>
            </w:r>
          </w:p>
        </w:tc>
        <w:tc>
          <w:tcPr>
            <w:tcW w:w="1073" w:type="dxa"/>
            <w:tcBorders>
              <w:top w:val="nil"/>
              <w:left w:val="nil"/>
              <w:bottom w:val="single" w:sz="4" w:space="0" w:color="auto"/>
              <w:right w:val="single" w:sz="4" w:space="0" w:color="auto"/>
            </w:tcBorders>
            <w:shd w:val="clear" w:color="auto" w:fill="auto"/>
            <w:noWrap/>
            <w:vAlign w:val="bottom"/>
            <w:hideMark/>
          </w:tcPr>
          <w:p w14:paraId="6130EB5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-0.11351</w:t>
            </w:r>
          </w:p>
        </w:tc>
        <w:tc>
          <w:tcPr>
            <w:tcW w:w="1073" w:type="dxa"/>
            <w:tcBorders>
              <w:top w:val="nil"/>
              <w:left w:val="nil"/>
              <w:bottom w:val="single" w:sz="4" w:space="0" w:color="auto"/>
              <w:right w:val="single" w:sz="4" w:space="0" w:color="auto"/>
            </w:tcBorders>
            <w:shd w:val="clear" w:color="auto" w:fill="auto"/>
            <w:noWrap/>
            <w:vAlign w:val="bottom"/>
            <w:hideMark/>
          </w:tcPr>
          <w:p w14:paraId="2CC1F0C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3.010968</w:t>
            </w:r>
          </w:p>
        </w:tc>
      </w:tr>
      <w:tr w:rsidR="002027D2" w:rsidRPr="008D1712" w14:paraId="3787CCCD"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6BA69F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87F9F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4.302171</w:t>
            </w:r>
          </w:p>
        </w:tc>
        <w:tc>
          <w:tcPr>
            <w:tcW w:w="1073" w:type="dxa"/>
            <w:tcBorders>
              <w:top w:val="nil"/>
              <w:left w:val="nil"/>
              <w:bottom w:val="single" w:sz="4" w:space="0" w:color="auto"/>
              <w:right w:val="single" w:sz="4" w:space="0" w:color="auto"/>
            </w:tcBorders>
            <w:shd w:val="clear" w:color="auto" w:fill="auto"/>
            <w:noWrap/>
            <w:vAlign w:val="bottom"/>
            <w:hideMark/>
          </w:tcPr>
          <w:p w14:paraId="631D176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1.481156</w:t>
            </w:r>
          </w:p>
        </w:tc>
        <w:tc>
          <w:tcPr>
            <w:tcW w:w="1073" w:type="dxa"/>
            <w:tcBorders>
              <w:top w:val="nil"/>
              <w:left w:val="nil"/>
              <w:bottom w:val="single" w:sz="4" w:space="0" w:color="auto"/>
              <w:right w:val="single" w:sz="4" w:space="0" w:color="auto"/>
            </w:tcBorders>
            <w:shd w:val="clear" w:color="auto" w:fill="auto"/>
            <w:noWrap/>
            <w:vAlign w:val="bottom"/>
            <w:hideMark/>
          </w:tcPr>
          <w:p w14:paraId="6E185B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3.066204</w:t>
            </w:r>
          </w:p>
        </w:tc>
      </w:tr>
      <w:tr w:rsidR="002027D2" w:rsidRPr="008D1712" w14:paraId="590860C3"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6FC8A6D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7FB491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3.742956</w:t>
            </w:r>
          </w:p>
        </w:tc>
        <w:tc>
          <w:tcPr>
            <w:tcW w:w="1073" w:type="dxa"/>
            <w:tcBorders>
              <w:top w:val="nil"/>
              <w:left w:val="nil"/>
              <w:bottom w:val="single" w:sz="4" w:space="0" w:color="auto"/>
              <w:right w:val="single" w:sz="4" w:space="0" w:color="auto"/>
            </w:tcBorders>
            <w:shd w:val="clear" w:color="auto" w:fill="auto"/>
            <w:noWrap/>
            <w:vAlign w:val="bottom"/>
            <w:hideMark/>
          </w:tcPr>
          <w:p w14:paraId="4D451C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3.358403</w:t>
            </w:r>
          </w:p>
        </w:tc>
        <w:tc>
          <w:tcPr>
            <w:tcW w:w="1073" w:type="dxa"/>
            <w:tcBorders>
              <w:top w:val="nil"/>
              <w:left w:val="nil"/>
              <w:bottom w:val="single" w:sz="4" w:space="0" w:color="auto"/>
              <w:right w:val="single" w:sz="4" w:space="0" w:color="auto"/>
            </w:tcBorders>
            <w:shd w:val="clear" w:color="auto" w:fill="auto"/>
            <w:noWrap/>
            <w:vAlign w:val="bottom"/>
            <w:hideMark/>
          </w:tcPr>
          <w:p w14:paraId="6F6D8EB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2.030265</w:t>
            </w:r>
          </w:p>
        </w:tc>
      </w:tr>
      <w:tr w:rsidR="002027D2" w:rsidRPr="008D1712" w14:paraId="10A7BACF"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174FC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7015BD4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3.983949</w:t>
            </w:r>
          </w:p>
        </w:tc>
        <w:tc>
          <w:tcPr>
            <w:tcW w:w="1073" w:type="dxa"/>
            <w:tcBorders>
              <w:top w:val="nil"/>
              <w:left w:val="nil"/>
              <w:bottom w:val="single" w:sz="4" w:space="0" w:color="auto"/>
              <w:right w:val="single" w:sz="4" w:space="0" w:color="auto"/>
            </w:tcBorders>
            <w:shd w:val="clear" w:color="auto" w:fill="auto"/>
            <w:noWrap/>
            <w:vAlign w:val="bottom"/>
            <w:hideMark/>
          </w:tcPr>
          <w:p w14:paraId="0D0BCEA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5.546984</w:t>
            </w:r>
          </w:p>
        </w:tc>
        <w:tc>
          <w:tcPr>
            <w:tcW w:w="1073" w:type="dxa"/>
            <w:tcBorders>
              <w:top w:val="nil"/>
              <w:left w:val="nil"/>
              <w:bottom w:val="single" w:sz="4" w:space="0" w:color="auto"/>
              <w:right w:val="single" w:sz="4" w:space="0" w:color="auto"/>
            </w:tcBorders>
            <w:shd w:val="clear" w:color="auto" w:fill="auto"/>
            <w:noWrap/>
            <w:vAlign w:val="bottom"/>
            <w:hideMark/>
          </w:tcPr>
          <w:p w14:paraId="190284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0.865606</w:t>
            </w:r>
          </w:p>
        </w:tc>
      </w:tr>
      <w:tr w:rsidR="002027D2" w:rsidRPr="008D1712" w14:paraId="7A238472"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DB65D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Br</w:t>
            </w:r>
          </w:p>
        </w:tc>
        <w:tc>
          <w:tcPr>
            <w:tcW w:w="1073" w:type="dxa"/>
            <w:tcBorders>
              <w:top w:val="nil"/>
              <w:left w:val="nil"/>
              <w:bottom w:val="single" w:sz="4" w:space="0" w:color="auto"/>
              <w:right w:val="single" w:sz="4" w:space="0" w:color="auto"/>
            </w:tcBorders>
            <w:shd w:val="clear" w:color="auto" w:fill="auto"/>
            <w:noWrap/>
            <w:vAlign w:val="bottom"/>
            <w:hideMark/>
          </w:tcPr>
          <w:p w14:paraId="282480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5.760402</w:t>
            </w:r>
          </w:p>
        </w:tc>
        <w:tc>
          <w:tcPr>
            <w:tcW w:w="1073" w:type="dxa"/>
            <w:tcBorders>
              <w:top w:val="nil"/>
              <w:left w:val="nil"/>
              <w:bottom w:val="single" w:sz="4" w:space="0" w:color="auto"/>
              <w:right w:val="single" w:sz="4" w:space="0" w:color="auto"/>
            </w:tcBorders>
            <w:shd w:val="clear" w:color="auto" w:fill="auto"/>
            <w:noWrap/>
            <w:vAlign w:val="bottom"/>
            <w:hideMark/>
          </w:tcPr>
          <w:p w14:paraId="1B607C9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6.559728</w:t>
            </w:r>
          </w:p>
        </w:tc>
        <w:tc>
          <w:tcPr>
            <w:tcW w:w="1073" w:type="dxa"/>
            <w:tcBorders>
              <w:top w:val="nil"/>
              <w:left w:val="nil"/>
              <w:bottom w:val="single" w:sz="4" w:space="0" w:color="auto"/>
              <w:right w:val="single" w:sz="4" w:space="0" w:color="auto"/>
            </w:tcBorders>
            <w:shd w:val="clear" w:color="auto" w:fill="auto"/>
            <w:noWrap/>
            <w:vAlign w:val="bottom"/>
            <w:hideMark/>
          </w:tcPr>
          <w:p w14:paraId="5F988B4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-1.28434</w:t>
            </w:r>
          </w:p>
        </w:tc>
      </w:tr>
      <w:tr w:rsidR="002027D2" w:rsidRPr="008D1712" w14:paraId="1C2D5076"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F9CF3F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0348099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7.193531</w:t>
            </w:r>
          </w:p>
        </w:tc>
        <w:tc>
          <w:tcPr>
            <w:tcW w:w="1073" w:type="dxa"/>
            <w:tcBorders>
              <w:top w:val="nil"/>
              <w:left w:val="nil"/>
              <w:bottom w:val="single" w:sz="4" w:space="0" w:color="auto"/>
              <w:right w:val="single" w:sz="4" w:space="0" w:color="auto"/>
            </w:tcBorders>
            <w:shd w:val="clear" w:color="auto" w:fill="auto"/>
            <w:noWrap/>
            <w:vAlign w:val="bottom"/>
            <w:hideMark/>
          </w:tcPr>
          <w:p w14:paraId="7DA4F5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3.980298</w:t>
            </w:r>
          </w:p>
        </w:tc>
        <w:tc>
          <w:tcPr>
            <w:tcW w:w="1073" w:type="dxa"/>
            <w:tcBorders>
              <w:top w:val="nil"/>
              <w:left w:val="nil"/>
              <w:bottom w:val="single" w:sz="4" w:space="0" w:color="auto"/>
              <w:right w:val="single" w:sz="4" w:space="0" w:color="auto"/>
            </w:tcBorders>
            <w:shd w:val="clear" w:color="auto" w:fill="auto"/>
            <w:noWrap/>
            <w:vAlign w:val="bottom"/>
            <w:hideMark/>
          </w:tcPr>
          <w:p w14:paraId="3C6224D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-1.59427</w:t>
            </w:r>
          </w:p>
        </w:tc>
      </w:tr>
      <w:tr w:rsidR="002027D2" w:rsidRPr="008D1712" w14:paraId="5206094E"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1174835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3DDFEE4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7.307377</w:t>
            </w:r>
          </w:p>
        </w:tc>
        <w:tc>
          <w:tcPr>
            <w:tcW w:w="1073" w:type="dxa"/>
            <w:tcBorders>
              <w:top w:val="nil"/>
              <w:left w:val="nil"/>
              <w:bottom w:val="single" w:sz="4" w:space="0" w:color="auto"/>
              <w:right w:val="single" w:sz="4" w:space="0" w:color="auto"/>
            </w:tcBorders>
            <w:shd w:val="clear" w:color="auto" w:fill="auto"/>
            <w:noWrap/>
            <w:vAlign w:val="bottom"/>
            <w:hideMark/>
          </w:tcPr>
          <w:p w14:paraId="52C531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1.493387</w:t>
            </w:r>
          </w:p>
        </w:tc>
        <w:tc>
          <w:tcPr>
            <w:tcW w:w="1073" w:type="dxa"/>
            <w:tcBorders>
              <w:top w:val="nil"/>
              <w:left w:val="nil"/>
              <w:bottom w:val="single" w:sz="4" w:space="0" w:color="auto"/>
              <w:right w:val="single" w:sz="4" w:space="0" w:color="auto"/>
            </w:tcBorders>
            <w:shd w:val="clear" w:color="auto" w:fill="auto"/>
            <w:noWrap/>
            <w:vAlign w:val="bottom"/>
            <w:hideMark/>
          </w:tcPr>
          <w:p w14:paraId="71FB555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-2.49222</w:t>
            </w:r>
          </w:p>
        </w:tc>
      </w:tr>
      <w:tr w:rsidR="002027D2" w:rsidRPr="008D1712" w14:paraId="74CE684C"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C9FC4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073" w:type="dxa"/>
            <w:tcBorders>
              <w:top w:val="nil"/>
              <w:left w:val="nil"/>
              <w:bottom w:val="single" w:sz="4" w:space="0" w:color="auto"/>
              <w:right w:val="single" w:sz="4" w:space="0" w:color="auto"/>
            </w:tcBorders>
            <w:shd w:val="clear" w:color="auto" w:fill="auto"/>
            <w:noWrap/>
            <w:vAlign w:val="bottom"/>
            <w:hideMark/>
          </w:tcPr>
          <w:p w14:paraId="283DD5A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5.82533</w:t>
            </w:r>
          </w:p>
        </w:tc>
        <w:tc>
          <w:tcPr>
            <w:tcW w:w="1073" w:type="dxa"/>
            <w:tcBorders>
              <w:top w:val="nil"/>
              <w:left w:val="nil"/>
              <w:bottom w:val="single" w:sz="4" w:space="0" w:color="auto"/>
              <w:right w:val="single" w:sz="4" w:space="0" w:color="auto"/>
            </w:tcBorders>
            <w:shd w:val="clear" w:color="auto" w:fill="auto"/>
            <w:noWrap/>
            <w:vAlign w:val="bottom"/>
            <w:hideMark/>
          </w:tcPr>
          <w:p w14:paraId="6739DF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0.622711</w:t>
            </w:r>
          </w:p>
        </w:tc>
        <w:tc>
          <w:tcPr>
            <w:tcW w:w="1073" w:type="dxa"/>
            <w:tcBorders>
              <w:top w:val="nil"/>
              <w:left w:val="nil"/>
              <w:bottom w:val="single" w:sz="4" w:space="0" w:color="auto"/>
              <w:right w:val="single" w:sz="4" w:space="0" w:color="auto"/>
            </w:tcBorders>
            <w:shd w:val="clear" w:color="auto" w:fill="auto"/>
            <w:noWrap/>
            <w:vAlign w:val="bottom"/>
            <w:hideMark/>
          </w:tcPr>
          <w:p w14:paraId="3251524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-2.01842</w:t>
            </w:r>
          </w:p>
        </w:tc>
      </w:tr>
      <w:tr w:rsidR="002027D2" w:rsidRPr="008D1712" w14:paraId="23CDD199"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D842B2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277BD8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7.412961</w:t>
            </w:r>
          </w:p>
        </w:tc>
        <w:tc>
          <w:tcPr>
            <w:tcW w:w="1073" w:type="dxa"/>
            <w:tcBorders>
              <w:top w:val="nil"/>
              <w:left w:val="nil"/>
              <w:bottom w:val="single" w:sz="4" w:space="0" w:color="auto"/>
              <w:right w:val="single" w:sz="4" w:space="0" w:color="auto"/>
            </w:tcBorders>
            <w:shd w:val="clear" w:color="auto" w:fill="auto"/>
            <w:noWrap/>
            <w:vAlign w:val="bottom"/>
            <w:hideMark/>
          </w:tcPr>
          <w:p w14:paraId="06AF89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-0.19549</w:t>
            </w:r>
          </w:p>
        </w:tc>
        <w:tc>
          <w:tcPr>
            <w:tcW w:w="1073" w:type="dxa"/>
            <w:tcBorders>
              <w:top w:val="nil"/>
              <w:left w:val="nil"/>
              <w:bottom w:val="single" w:sz="4" w:space="0" w:color="auto"/>
              <w:right w:val="single" w:sz="4" w:space="0" w:color="auto"/>
            </w:tcBorders>
            <w:shd w:val="clear" w:color="auto" w:fill="auto"/>
            <w:noWrap/>
            <w:vAlign w:val="bottom"/>
            <w:hideMark/>
          </w:tcPr>
          <w:p w14:paraId="174A989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-1.93502</w:t>
            </w:r>
          </w:p>
        </w:tc>
      </w:tr>
      <w:tr w:rsidR="002027D2" w:rsidRPr="008D1712" w14:paraId="5D9AD48E"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9EE99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17613F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8.996308</w:t>
            </w:r>
          </w:p>
        </w:tc>
        <w:tc>
          <w:tcPr>
            <w:tcW w:w="1073" w:type="dxa"/>
            <w:tcBorders>
              <w:top w:val="nil"/>
              <w:left w:val="nil"/>
              <w:bottom w:val="single" w:sz="4" w:space="0" w:color="auto"/>
              <w:right w:val="single" w:sz="4" w:space="0" w:color="auto"/>
            </w:tcBorders>
            <w:shd w:val="clear" w:color="auto" w:fill="auto"/>
            <w:noWrap/>
            <w:vAlign w:val="bottom"/>
            <w:hideMark/>
          </w:tcPr>
          <w:p w14:paraId="69E9617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2.259751</w:t>
            </w:r>
          </w:p>
        </w:tc>
        <w:tc>
          <w:tcPr>
            <w:tcW w:w="1073" w:type="dxa"/>
            <w:tcBorders>
              <w:top w:val="nil"/>
              <w:left w:val="nil"/>
              <w:bottom w:val="single" w:sz="4" w:space="0" w:color="auto"/>
              <w:right w:val="single" w:sz="4" w:space="0" w:color="auto"/>
            </w:tcBorders>
            <w:shd w:val="clear" w:color="auto" w:fill="auto"/>
            <w:noWrap/>
            <w:vAlign w:val="bottom"/>
            <w:hideMark/>
          </w:tcPr>
          <w:p w14:paraId="394D17E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-0.69936</w:t>
            </w:r>
          </w:p>
        </w:tc>
      </w:tr>
      <w:tr w:rsidR="002027D2" w:rsidRPr="008D1712" w14:paraId="03E9DBD4"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17D92B0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01552E9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9.160291</w:t>
            </w:r>
          </w:p>
        </w:tc>
        <w:tc>
          <w:tcPr>
            <w:tcW w:w="1073" w:type="dxa"/>
            <w:tcBorders>
              <w:top w:val="nil"/>
              <w:left w:val="nil"/>
              <w:bottom w:val="single" w:sz="4" w:space="0" w:color="auto"/>
              <w:right w:val="single" w:sz="4" w:space="0" w:color="auto"/>
            </w:tcBorders>
            <w:shd w:val="clear" w:color="auto" w:fill="auto"/>
            <w:noWrap/>
            <w:vAlign w:val="bottom"/>
            <w:hideMark/>
          </w:tcPr>
          <w:p w14:paraId="3BE86E4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0.592486</w:t>
            </w:r>
          </w:p>
        </w:tc>
        <w:tc>
          <w:tcPr>
            <w:tcW w:w="1073" w:type="dxa"/>
            <w:tcBorders>
              <w:top w:val="nil"/>
              <w:left w:val="nil"/>
              <w:bottom w:val="single" w:sz="4" w:space="0" w:color="auto"/>
              <w:right w:val="single" w:sz="4" w:space="0" w:color="auto"/>
            </w:tcBorders>
            <w:shd w:val="clear" w:color="auto" w:fill="auto"/>
            <w:noWrap/>
            <w:vAlign w:val="bottom"/>
            <w:hideMark/>
          </w:tcPr>
          <w:p w14:paraId="5EDA9DF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-0.09104</w:t>
            </w:r>
          </w:p>
        </w:tc>
      </w:tr>
      <w:tr w:rsidR="002027D2" w:rsidRPr="008D1712" w14:paraId="7A503750"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DA30D1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333AD4B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8.701643</w:t>
            </w:r>
          </w:p>
        </w:tc>
        <w:tc>
          <w:tcPr>
            <w:tcW w:w="1073" w:type="dxa"/>
            <w:tcBorders>
              <w:top w:val="nil"/>
              <w:left w:val="nil"/>
              <w:bottom w:val="single" w:sz="4" w:space="0" w:color="auto"/>
              <w:right w:val="single" w:sz="4" w:space="0" w:color="auto"/>
            </w:tcBorders>
            <w:shd w:val="clear" w:color="auto" w:fill="auto"/>
            <w:noWrap/>
            <w:vAlign w:val="bottom"/>
            <w:hideMark/>
          </w:tcPr>
          <w:p w14:paraId="73007A9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1.910033</w:t>
            </w:r>
          </w:p>
        </w:tc>
        <w:tc>
          <w:tcPr>
            <w:tcW w:w="1073" w:type="dxa"/>
            <w:tcBorders>
              <w:top w:val="nil"/>
              <w:left w:val="nil"/>
              <w:bottom w:val="single" w:sz="4" w:space="0" w:color="auto"/>
              <w:right w:val="single" w:sz="4" w:space="0" w:color="auto"/>
            </w:tcBorders>
            <w:shd w:val="clear" w:color="auto" w:fill="auto"/>
            <w:noWrap/>
            <w:vAlign w:val="bottom"/>
            <w:hideMark/>
          </w:tcPr>
          <w:p w14:paraId="746C50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1.025189</w:t>
            </w:r>
          </w:p>
        </w:tc>
      </w:tr>
      <w:tr w:rsidR="002027D2" w:rsidRPr="008D1712" w14:paraId="54176918"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266E69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70A8B8F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6.005042</w:t>
            </w:r>
          </w:p>
        </w:tc>
        <w:tc>
          <w:tcPr>
            <w:tcW w:w="1073" w:type="dxa"/>
            <w:tcBorders>
              <w:top w:val="nil"/>
              <w:left w:val="nil"/>
              <w:bottom w:val="single" w:sz="4" w:space="0" w:color="auto"/>
              <w:right w:val="single" w:sz="4" w:space="0" w:color="auto"/>
            </w:tcBorders>
            <w:shd w:val="clear" w:color="auto" w:fill="auto"/>
            <w:noWrap/>
            <w:vAlign w:val="bottom"/>
            <w:hideMark/>
          </w:tcPr>
          <w:p w14:paraId="13CCF0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-1.39187</w:t>
            </w:r>
          </w:p>
        </w:tc>
        <w:tc>
          <w:tcPr>
            <w:tcW w:w="1073" w:type="dxa"/>
            <w:tcBorders>
              <w:top w:val="nil"/>
              <w:left w:val="nil"/>
              <w:bottom w:val="single" w:sz="4" w:space="0" w:color="auto"/>
              <w:right w:val="single" w:sz="4" w:space="0" w:color="auto"/>
            </w:tcBorders>
            <w:shd w:val="clear" w:color="auto" w:fill="auto"/>
            <w:noWrap/>
            <w:vAlign w:val="bottom"/>
            <w:hideMark/>
          </w:tcPr>
          <w:p w14:paraId="38208E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1.79912</w:t>
            </w:r>
          </w:p>
        </w:tc>
      </w:tr>
      <w:tr w:rsidR="002027D2" w:rsidRPr="008D1712" w14:paraId="7F9AC08E"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1279F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081ECCE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6.586139</w:t>
            </w:r>
          </w:p>
        </w:tc>
        <w:tc>
          <w:tcPr>
            <w:tcW w:w="1073" w:type="dxa"/>
            <w:tcBorders>
              <w:top w:val="nil"/>
              <w:left w:val="nil"/>
              <w:bottom w:val="single" w:sz="4" w:space="0" w:color="auto"/>
              <w:right w:val="single" w:sz="4" w:space="0" w:color="auto"/>
            </w:tcBorders>
            <w:shd w:val="clear" w:color="auto" w:fill="auto"/>
            <w:noWrap/>
            <w:vAlign w:val="bottom"/>
            <w:hideMark/>
          </w:tcPr>
          <w:p w14:paraId="20A7F79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-11.9813</w:t>
            </w:r>
          </w:p>
        </w:tc>
        <w:tc>
          <w:tcPr>
            <w:tcW w:w="1073" w:type="dxa"/>
            <w:tcBorders>
              <w:top w:val="nil"/>
              <w:left w:val="nil"/>
              <w:bottom w:val="single" w:sz="4" w:space="0" w:color="auto"/>
              <w:right w:val="single" w:sz="4" w:space="0" w:color="auto"/>
            </w:tcBorders>
            <w:shd w:val="clear" w:color="auto" w:fill="auto"/>
            <w:noWrap/>
            <w:vAlign w:val="bottom"/>
            <w:hideMark/>
          </w:tcPr>
          <w:p w14:paraId="66D11EE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1.851756</w:t>
            </w:r>
          </w:p>
        </w:tc>
      </w:tr>
      <w:tr w:rsidR="002027D2" w:rsidRPr="008D1712" w14:paraId="2D1E51C9"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6ED9FC7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3BB795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0.956228</w:t>
            </w:r>
          </w:p>
        </w:tc>
        <w:tc>
          <w:tcPr>
            <w:tcW w:w="1073" w:type="dxa"/>
            <w:tcBorders>
              <w:top w:val="nil"/>
              <w:left w:val="nil"/>
              <w:bottom w:val="single" w:sz="4" w:space="0" w:color="auto"/>
              <w:right w:val="single" w:sz="4" w:space="0" w:color="auto"/>
            </w:tcBorders>
            <w:shd w:val="clear" w:color="auto" w:fill="auto"/>
            <w:noWrap/>
            <w:vAlign w:val="bottom"/>
            <w:hideMark/>
          </w:tcPr>
          <w:p w14:paraId="0CF257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-1.01403</w:t>
            </w:r>
          </w:p>
        </w:tc>
        <w:tc>
          <w:tcPr>
            <w:tcW w:w="1073" w:type="dxa"/>
            <w:tcBorders>
              <w:top w:val="nil"/>
              <w:left w:val="nil"/>
              <w:bottom w:val="single" w:sz="4" w:space="0" w:color="auto"/>
              <w:right w:val="single" w:sz="4" w:space="0" w:color="auto"/>
            </w:tcBorders>
            <w:shd w:val="clear" w:color="auto" w:fill="auto"/>
            <w:noWrap/>
            <w:vAlign w:val="bottom"/>
            <w:hideMark/>
          </w:tcPr>
          <w:p w14:paraId="4802C3C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2.342304</w:t>
            </w:r>
          </w:p>
        </w:tc>
      </w:tr>
      <w:tr w:rsidR="002027D2" w:rsidRPr="008D1712" w14:paraId="7D128D7B"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F345C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16C76B0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6.364686</w:t>
            </w:r>
          </w:p>
        </w:tc>
        <w:tc>
          <w:tcPr>
            <w:tcW w:w="1073" w:type="dxa"/>
            <w:tcBorders>
              <w:top w:val="nil"/>
              <w:left w:val="nil"/>
              <w:bottom w:val="single" w:sz="4" w:space="0" w:color="auto"/>
              <w:right w:val="single" w:sz="4" w:space="0" w:color="auto"/>
            </w:tcBorders>
            <w:shd w:val="clear" w:color="auto" w:fill="auto"/>
            <w:noWrap/>
            <w:vAlign w:val="bottom"/>
            <w:hideMark/>
          </w:tcPr>
          <w:p w14:paraId="7B616A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-11.0877</w:t>
            </w:r>
          </w:p>
        </w:tc>
        <w:tc>
          <w:tcPr>
            <w:tcW w:w="1073" w:type="dxa"/>
            <w:tcBorders>
              <w:top w:val="nil"/>
              <w:left w:val="nil"/>
              <w:bottom w:val="single" w:sz="4" w:space="0" w:color="auto"/>
              <w:right w:val="single" w:sz="4" w:space="0" w:color="auto"/>
            </w:tcBorders>
            <w:shd w:val="clear" w:color="auto" w:fill="auto"/>
            <w:noWrap/>
            <w:vAlign w:val="bottom"/>
            <w:hideMark/>
          </w:tcPr>
          <w:p w14:paraId="63422F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2.464137</w:t>
            </w:r>
          </w:p>
        </w:tc>
      </w:tr>
      <w:tr w:rsidR="002027D2" w:rsidRPr="008D1712" w14:paraId="410D13DD"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BCAB0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39E2126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7.169145</w:t>
            </w:r>
          </w:p>
        </w:tc>
        <w:tc>
          <w:tcPr>
            <w:tcW w:w="1073" w:type="dxa"/>
            <w:tcBorders>
              <w:top w:val="nil"/>
              <w:left w:val="nil"/>
              <w:bottom w:val="single" w:sz="4" w:space="0" w:color="auto"/>
              <w:right w:val="single" w:sz="4" w:space="0" w:color="auto"/>
            </w:tcBorders>
            <w:shd w:val="clear" w:color="auto" w:fill="auto"/>
            <w:noWrap/>
            <w:vAlign w:val="bottom"/>
            <w:hideMark/>
          </w:tcPr>
          <w:p w14:paraId="30E946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-12.6783</w:t>
            </w:r>
          </w:p>
        </w:tc>
        <w:tc>
          <w:tcPr>
            <w:tcW w:w="1073" w:type="dxa"/>
            <w:tcBorders>
              <w:top w:val="nil"/>
              <w:left w:val="nil"/>
              <w:bottom w:val="single" w:sz="4" w:space="0" w:color="auto"/>
              <w:right w:val="single" w:sz="4" w:space="0" w:color="auto"/>
            </w:tcBorders>
            <w:shd w:val="clear" w:color="auto" w:fill="auto"/>
            <w:noWrap/>
            <w:vAlign w:val="bottom"/>
            <w:hideMark/>
          </w:tcPr>
          <w:p w14:paraId="0039B6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2.478977</w:t>
            </w:r>
          </w:p>
        </w:tc>
      </w:tr>
      <w:tr w:rsidR="002027D2" w:rsidRPr="008D1712" w14:paraId="7574E3B6"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DBFD32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3313C36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5.626854</w:t>
            </w:r>
          </w:p>
        </w:tc>
        <w:tc>
          <w:tcPr>
            <w:tcW w:w="1073" w:type="dxa"/>
            <w:tcBorders>
              <w:top w:val="nil"/>
              <w:left w:val="nil"/>
              <w:bottom w:val="single" w:sz="4" w:space="0" w:color="auto"/>
              <w:right w:val="single" w:sz="4" w:space="0" w:color="auto"/>
            </w:tcBorders>
            <w:shd w:val="clear" w:color="auto" w:fill="auto"/>
            <w:noWrap/>
            <w:vAlign w:val="bottom"/>
            <w:hideMark/>
          </w:tcPr>
          <w:p w14:paraId="183B15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-12.471</w:t>
            </w:r>
          </w:p>
        </w:tc>
        <w:tc>
          <w:tcPr>
            <w:tcW w:w="1073" w:type="dxa"/>
            <w:tcBorders>
              <w:top w:val="nil"/>
              <w:left w:val="nil"/>
              <w:bottom w:val="single" w:sz="4" w:space="0" w:color="auto"/>
              <w:right w:val="single" w:sz="4" w:space="0" w:color="auto"/>
            </w:tcBorders>
            <w:shd w:val="clear" w:color="auto" w:fill="auto"/>
            <w:noWrap/>
            <w:vAlign w:val="bottom"/>
            <w:hideMark/>
          </w:tcPr>
          <w:p w14:paraId="2DBAE1C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1.615165</w:t>
            </w:r>
          </w:p>
        </w:tc>
      </w:tr>
      <w:tr w:rsidR="002027D2" w:rsidRPr="008D1712" w14:paraId="628E74D2"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050BB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5433E7D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1.1546</w:t>
            </w:r>
          </w:p>
        </w:tc>
        <w:tc>
          <w:tcPr>
            <w:tcW w:w="1073" w:type="dxa"/>
            <w:tcBorders>
              <w:top w:val="nil"/>
              <w:left w:val="nil"/>
              <w:bottom w:val="single" w:sz="4" w:space="0" w:color="auto"/>
              <w:right w:val="single" w:sz="4" w:space="0" w:color="auto"/>
            </w:tcBorders>
            <w:shd w:val="clear" w:color="auto" w:fill="auto"/>
            <w:noWrap/>
            <w:vAlign w:val="bottom"/>
            <w:hideMark/>
          </w:tcPr>
          <w:p w14:paraId="665224B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-1.83788</w:t>
            </w:r>
          </w:p>
        </w:tc>
        <w:tc>
          <w:tcPr>
            <w:tcW w:w="1073" w:type="dxa"/>
            <w:tcBorders>
              <w:top w:val="nil"/>
              <w:left w:val="nil"/>
              <w:bottom w:val="single" w:sz="4" w:space="0" w:color="auto"/>
              <w:right w:val="single" w:sz="4" w:space="0" w:color="auto"/>
            </w:tcBorders>
            <w:shd w:val="clear" w:color="auto" w:fill="auto"/>
            <w:noWrap/>
            <w:vAlign w:val="bottom"/>
            <w:hideMark/>
          </w:tcPr>
          <w:p w14:paraId="7857FCE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1.632208</w:t>
            </w:r>
          </w:p>
        </w:tc>
      </w:tr>
      <w:tr w:rsidR="002027D2" w:rsidRPr="008D1712" w14:paraId="783C496C"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E24980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2CE7E7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0.384313</w:t>
            </w:r>
          </w:p>
        </w:tc>
        <w:tc>
          <w:tcPr>
            <w:tcW w:w="1073" w:type="dxa"/>
            <w:tcBorders>
              <w:top w:val="nil"/>
              <w:left w:val="nil"/>
              <w:bottom w:val="single" w:sz="4" w:space="0" w:color="auto"/>
              <w:right w:val="single" w:sz="4" w:space="0" w:color="auto"/>
            </w:tcBorders>
            <w:shd w:val="clear" w:color="auto" w:fill="auto"/>
            <w:noWrap/>
            <w:vAlign w:val="bottom"/>
            <w:hideMark/>
          </w:tcPr>
          <w:p w14:paraId="579DA05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-0.23941</w:t>
            </w:r>
          </w:p>
        </w:tc>
        <w:tc>
          <w:tcPr>
            <w:tcW w:w="1073" w:type="dxa"/>
            <w:tcBorders>
              <w:top w:val="nil"/>
              <w:left w:val="nil"/>
              <w:bottom w:val="single" w:sz="4" w:space="0" w:color="auto"/>
              <w:right w:val="single" w:sz="4" w:space="0" w:color="auto"/>
            </w:tcBorders>
            <w:shd w:val="clear" w:color="auto" w:fill="auto"/>
            <w:noWrap/>
            <w:vAlign w:val="bottom"/>
            <w:hideMark/>
          </w:tcPr>
          <w:p w14:paraId="551DEDE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1.802387</w:t>
            </w:r>
          </w:p>
        </w:tc>
      </w:tr>
      <w:tr w:rsidR="002027D2" w:rsidRPr="008D1712" w14:paraId="17E84215"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BD9AF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2925A76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0.308733</w:t>
            </w:r>
          </w:p>
        </w:tc>
        <w:tc>
          <w:tcPr>
            <w:tcW w:w="1073" w:type="dxa"/>
            <w:tcBorders>
              <w:top w:val="nil"/>
              <w:left w:val="nil"/>
              <w:bottom w:val="single" w:sz="4" w:space="0" w:color="auto"/>
              <w:right w:val="single" w:sz="4" w:space="0" w:color="auto"/>
            </w:tcBorders>
            <w:shd w:val="clear" w:color="auto" w:fill="auto"/>
            <w:noWrap/>
            <w:vAlign w:val="bottom"/>
            <w:hideMark/>
          </w:tcPr>
          <w:p w14:paraId="24951E1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-1.40794</w:t>
            </w:r>
          </w:p>
        </w:tc>
        <w:tc>
          <w:tcPr>
            <w:tcW w:w="1073" w:type="dxa"/>
            <w:tcBorders>
              <w:top w:val="nil"/>
              <w:left w:val="nil"/>
              <w:bottom w:val="single" w:sz="4" w:space="0" w:color="auto"/>
              <w:right w:val="single" w:sz="4" w:space="0" w:color="auto"/>
            </w:tcBorders>
            <w:shd w:val="clear" w:color="auto" w:fill="auto"/>
            <w:noWrap/>
            <w:vAlign w:val="bottom"/>
            <w:hideMark/>
          </w:tcPr>
          <w:p w14:paraId="07B0779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3.143205</w:t>
            </w:r>
          </w:p>
        </w:tc>
      </w:tr>
      <w:tr w:rsidR="002027D2" w:rsidRPr="008D1712" w14:paraId="35D99E28"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43BE6E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4915625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6.965571</w:t>
            </w:r>
          </w:p>
        </w:tc>
        <w:tc>
          <w:tcPr>
            <w:tcW w:w="1073" w:type="dxa"/>
            <w:tcBorders>
              <w:top w:val="nil"/>
              <w:left w:val="nil"/>
              <w:bottom w:val="single" w:sz="4" w:space="0" w:color="auto"/>
              <w:right w:val="single" w:sz="4" w:space="0" w:color="auto"/>
            </w:tcBorders>
            <w:shd w:val="clear" w:color="auto" w:fill="auto"/>
            <w:noWrap/>
            <w:vAlign w:val="bottom"/>
            <w:hideMark/>
          </w:tcPr>
          <w:p w14:paraId="546A6F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-3.95167</w:t>
            </w:r>
          </w:p>
        </w:tc>
        <w:tc>
          <w:tcPr>
            <w:tcW w:w="1073" w:type="dxa"/>
            <w:tcBorders>
              <w:top w:val="nil"/>
              <w:left w:val="nil"/>
              <w:bottom w:val="single" w:sz="4" w:space="0" w:color="auto"/>
              <w:right w:val="single" w:sz="4" w:space="0" w:color="auto"/>
            </w:tcBorders>
            <w:shd w:val="clear" w:color="auto" w:fill="auto"/>
            <w:noWrap/>
            <w:vAlign w:val="bottom"/>
            <w:hideMark/>
          </w:tcPr>
          <w:p w14:paraId="123928A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1.573821</w:t>
            </w:r>
          </w:p>
        </w:tc>
      </w:tr>
      <w:tr w:rsidR="002027D2" w:rsidRPr="008D1712" w14:paraId="5706B842"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89538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073" w:type="dxa"/>
            <w:tcBorders>
              <w:top w:val="nil"/>
              <w:left w:val="nil"/>
              <w:bottom w:val="single" w:sz="4" w:space="0" w:color="auto"/>
              <w:right w:val="single" w:sz="4" w:space="0" w:color="auto"/>
            </w:tcBorders>
            <w:shd w:val="clear" w:color="auto" w:fill="auto"/>
            <w:noWrap/>
            <w:vAlign w:val="bottom"/>
            <w:hideMark/>
          </w:tcPr>
          <w:p w14:paraId="0F9DBEA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6.335232</w:t>
            </w:r>
          </w:p>
        </w:tc>
        <w:tc>
          <w:tcPr>
            <w:tcW w:w="1073" w:type="dxa"/>
            <w:tcBorders>
              <w:top w:val="nil"/>
              <w:left w:val="nil"/>
              <w:bottom w:val="single" w:sz="4" w:space="0" w:color="auto"/>
              <w:right w:val="single" w:sz="4" w:space="0" w:color="auto"/>
            </w:tcBorders>
            <w:shd w:val="clear" w:color="auto" w:fill="auto"/>
            <w:noWrap/>
            <w:vAlign w:val="bottom"/>
            <w:hideMark/>
          </w:tcPr>
          <w:p w14:paraId="31A8276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-5.1139</w:t>
            </w:r>
          </w:p>
        </w:tc>
        <w:tc>
          <w:tcPr>
            <w:tcW w:w="1073" w:type="dxa"/>
            <w:tcBorders>
              <w:top w:val="nil"/>
              <w:left w:val="nil"/>
              <w:bottom w:val="single" w:sz="4" w:space="0" w:color="auto"/>
              <w:right w:val="single" w:sz="4" w:space="0" w:color="auto"/>
            </w:tcBorders>
            <w:shd w:val="clear" w:color="auto" w:fill="auto"/>
            <w:noWrap/>
            <w:vAlign w:val="bottom"/>
            <w:hideMark/>
          </w:tcPr>
          <w:p w14:paraId="1AFC2AE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0.774899</w:t>
            </w:r>
          </w:p>
        </w:tc>
      </w:tr>
      <w:tr w:rsidR="002027D2" w:rsidRPr="008D1712" w14:paraId="3ADF2B7A"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7D79B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657E5A6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7.466852</w:t>
            </w:r>
          </w:p>
        </w:tc>
        <w:tc>
          <w:tcPr>
            <w:tcW w:w="1073" w:type="dxa"/>
            <w:tcBorders>
              <w:top w:val="nil"/>
              <w:left w:val="nil"/>
              <w:bottom w:val="single" w:sz="4" w:space="0" w:color="auto"/>
              <w:right w:val="single" w:sz="4" w:space="0" w:color="auto"/>
            </w:tcBorders>
            <w:shd w:val="clear" w:color="auto" w:fill="auto"/>
            <w:noWrap/>
            <w:vAlign w:val="bottom"/>
            <w:hideMark/>
          </w:tcPr>
          <w:p w14:paraId="3B5E285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-6.0416</w:t>
            </w:r>
          </w:p>
        </w:tc>
        <w:tc>
          <w:tcPr>
            <w:tcW w:w="1073" w:type="dxa"/>
            <w:tcBorders>
              <w:top w:val="nil"/>
              <w:left w:val="nil"/>
              <w:bottom w:val="single" w:sz="4" w:space="0" w:color="auto"/>
              <w:right w:val="single" w:sz="4" w:space="0" w:color="auto"/>
            </w:tcBorders>
            <w:shd w:val="clear" w:color="auto" w:fill="auto"/>
            <w:noWrap/>
            <w:vAlign w:val="bottom"/>
            <w:hideMark/>
          </w:tcPr>
          <w:p w14:paraId="263E30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0.353218</w:t>
            </w:r>
          </w:p>
        </w:tc>
      </w:tr>
      <w:tr w:rsidR="002027D2" w:rsidRPr="008D1712" w14:paraId="59E5AD49"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1E93C91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2696C5D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5.592449</w:t>
            </w:r>
          </w:p>
        </w:tc>
        <w:tc>
          <w:tcPr>
            <w:tcW w:w="1073" w:type="dxa"/>
            <w:tcBorders>
              <w:top w:val="nil"/>
              <w:left w:val="nil"/>
              <w:bottom w:val="single" w:sz="4" w:space="0" w:color="auto"/>
              <w:right w:val="single" w:sz="4" w:space="0" w:color="auto"/>
            </w:tcBorders>
            <w:shd w:val="clear" w:color="auto" w:fill="auto"/>
            <w:noWrap/>
            <w:vAlign w:val="bottom"/>
            <w:hideMark/>
          </w:tcPr>
          <w:p w14:paraId="013153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-4.59679</w:t>
            </w:r>
          </w:p>
        </w:tc>
        <w:tc>
          <w:tcPr>
            <w:tcW w:w="1073" w:type="dxa"/>
            <w:tcBorders>
              <w:top w:val="nil"/>
              <w:left w:val="nil"/>
              <w:bottom w:val="single" w:sz="4" w:space="0" w:color="auto"/>
              <w:right w:val="single" w:sz="4" w:space="0" w:color="auto"/>
            </w:tcBorders>
            <w:shd w:val="clear" w:color="auto" w:fill="auto"/>
            <w:noWrap/>
            <w:vAlign w:val="bottom"/>
            <w:hideMark/>
          </w:tcPr>
          <w:p w14:paraId="5C5C3EE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-0.43149</w:t>
            </w:r>
          </w:p>
        </w:tc>
      </w:tr>
      <w:tr w:rsidR="002027D2" w:rsidRPr="008D1712" w14:paraId="729A5F8B"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B35A38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33CE91D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5.371557</w:t>
            </w:r>
          </w:p>
        </w:tc>
        <w:tc>
          <w:tcPr>
            <w:tcW w:w="1073" w:type="dxa"/>
            <w:tcBorders>
              <w:top w:val="nil"/>
              <w:left w:val="nil"/>
              <w:bottom w:val="single" w:sz="4" w:space="0" w:color="auto"/>
              <w:right w:val="single" w:sz="4" w:space="0" w:color="auto"/>
            </w:tcBorders>
            <w:shd w:val="clear" w:color="auto" w:fill="auto"/>
            <w:noWrap/>
            <w:vAlign w:val="bottom"/>
            <w:hideMark/>
          </w:tcPr>
          <w:p w14:paraId="16BD8FE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-5.86839</w:t>
            </w:r>
          </w:p>
        </w:tc>
        <w:tc>
          <w:tcPr>
            <w:tcW w:w="1073" w:type="dxa"/>
            <w:tcBorders>
              <w:top w:val="nil"/>
              <w:left w:val="nil"/>
              <w:bottom w:val="single" w:sz="4" w:space="0" w:color="auto"/>
              <w:right w:val="single" w:sz="4" w:space="0" w:color="auto"/>
            </w:tcBorders>
            <w:shd w:val="clear" w:color="auto" w:fill="auto"/>
            <w:noWrap/>
            <w:vAlign w:val="bottom"/>
            <w:hideMark/>
          </w:tcPr>
          <w:p w14:paraId="0145ECC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1.651851</w:t>
            </w:r>
          </w:p>
        </w:tc>
      </w:tr>
      <w:tr w:rsidR="002027D2" w:rsidRPr="008D1712" w14:paraId="59E190C6"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75046F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DC048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6.1263</w:t>
            </w:r>
          </w:p>
        </w:tc>
        <w:tc>
          <w:tcPr>
            <w:tcW w:w="1073" w:type="dxa"/>
            <w:tcBorders>
              <w:top w:val="nil"/>
              <w:left w:val="nil"/>
              <w:bottom w:val="single" w:sz="4" w:space="0" w:color="auto"/>
              <w:right w:val="single" w:sz="4" w:space="0" w:color="auto"/>
            </w:tcBorders>
            <w:shd w:val="clear" w:color="auto" w:fill="auto"/>
            <w:noWrap/>
            <w:vAlign w:val="bottom"/>
            <w:hideMark/>
          </w:tcPr>
          <w:p w14:paraId="6499FDE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-3.37571</w:t>
            </w:r>
          </w:p>
        </w:tc>
        <w:tc>
          <w:tcPr>
            <w:tcW w:w="1073" w:type="dxa"/>
            <w:tcBorders>
              <w:top w:val="nil"/>
              <w:left w:val="nil"/>
              <w:bottom w:val="single" w:sz="4" w:space="0" w:color="auto"/>
              <w:right w:val="single" w:sz="4" w:space="0" w:color="auto"/>
            </w:tcBorders>
            <w:shd w:val="clear" w:color="auto" w:fill="auto"/>
            <w:noWrap/>
            <w:vAlign w:val="bottom"/>
            <w:hideMark/>
          </w:tcPr>
          <w:p w14:paraId="02ADA00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1.9887</w:t>
            </w:r>
          </w:p>
        </w:tc>
      </w:tr>
      <w:tr w:rsidR="002027D2" w:rsidRPr="008D1712" w14:paraId="5A4BBC2D"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D7BE069"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545CFCE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7.500212</w:t>
            </w:r>
          </w:p>
        </w:tc>
        <w:tc>
          <w:tcPr>
            <w:tcW w:w="1073" w:type="dxa"/>
            <w:tcBorders>
              <w:top w:val="nil"/>
              <w:left w:val="nil"/>
              <w:bottom w:val="single" w:sz="4" w:space="0" w:color="auto"/>
              <w:right w:val="single" w:sz="4" w:space="0" w:color="auto"/>
            </w:tcBorders>
            <w:shd w:val="clear" w:color="auto" w:fill="auto"/>
            <w:noWrap/>
            <w:vAlign w:val="bottom"/>
            <w:hideMark/>
          </w:tcPr>
          <w:p w14:paraId="0E5E0A5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-4.44524</w:t>
            </w:r>
          </w:p>
        </w:tc>
        <w:tc>
          <w:tcPr>
            <w:tcW w:w="1073" w:type="dxa"/>
            <w:tcBorders>
              <w:top w:val="nil"/>
              <w:left w:val="nil"/>
              <w:bottom w:val="single" w:sz="4" w:space="0" w:color="auto"/>
              <w:right w:val="single" w:sz="4" w:space="0" w:color="auto"/>
            </w:tcBorders>
            <w:shd w:val="clear" w:color="auto" w:fill="auto"/>
            <w:noWrap/>
            <w:vAlign w:val="bottom"/>
            <w:hideMark/>
          </w:tcPr>
          <w:p w14:paraId="48BEC9A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2.404975</w:t>
            </w:r>
          </w:p>
        </w:tc>
      </w:tr>
      <w:tr w:rsidR="002027D2" w:rsidRPr="008D1712" w14:paraId="360F8D2E"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67EEB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6E18CAB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7.077203</w:t>
            </w:r>
          </w:p>
        </w:tc>
        <w:tc>
          <w:tcPr>
            <w:tcW w:w="1073" w:type="dxa"/>
            <w:tcBorders>
              <w:top w:val="nil"/>
              <w:left w:val="nil"/>
              <w:bottom w:val="single" w:sz="4" w:space="0" w:color="auto"/>
              <w:right w:val="single" w:sz="4" w:space="0" w:color="auto"/>
            </w:tcBorders>
            <w:shd w:val="clear" w:color="auto" w:fill="auto"/>
            <w:noWrap/>
            <w:vAlign w:val="bottom"/>
            <w:hideMark/>
          </w:tcPr>
          <w:p w14:paraId="4824DC1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-6.60754</w:t>
            </w:r>
          </w:p>
        </w:tc>
        <w:tc>
          <w:tcPr>
            <w:tcW w:w="1073" w:type="dxa"/>
            <w:tcBorders>
              <w:top w:val="nil"/>
              <w:left w:val="nil"/>
              <w:bottom w:val="single" w:sz="4" w:space="0" w:color="auto"/>
              <w:right w:val="single" w:sz="4" w:space="0" w:color="auto"/>
            </w:tcBorders>
            <w:shd w:val="clear" w:color="auto" w:fill="auto"/>
            <w:noWrap/>
            <w:vAlign w:val="bottom"/>
            <w:hideMark/>
          </w:tcPr>
          <w:p w14:paraId="491B441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-0.51447</w:t>
            </w:r>
          </w:p>
        </w:tc>
      </w:tr>
      <w:tr w:rsidR="002027D2" w:rsidRPr="008D1712" w14:paraId="61248DC7"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DA7F65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7FA2AFF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7.595889</w:t>
            </w:r>
          </w:p>
        </w:tc>
        <w:tc>
          <w:tcPr>
            <w:tcW w:w="1073" w:type="dxa"/>
            <w:tcBorders>
              <w:top w:val="nil"/>
              <w:left w:val="nil"/>
              <w:bottom w:val="single" w:sz="4" w:space="0" w:color="auto"/>
              <w:right w:val="single" w:sz="4" w:space="0" w:color="auto"/>
            </w:tcBorders>
            <w:shd w:val="clear" w:color="auto" w:fill="auto"/>
            <w:noWrap/>
            <w:vAlign w:val="bottom"/>
            <w:hideMark/>
          </w:tcPr>
          <w:p w14:paraId="1F45655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-6.76011</w:t>
            </w:r>
          </w:p>
        </w:tc>
        <w:tc>
          <w:tcPr>
            <w:tcW w:w="1073" w:type="dxa"/>
            <w:tcBorders>
              <w:top w:val="nil"/>
              <w:left w:val="nil"/>
              <w:bottom w:val="single" w:sz="4" w:space="0" w:color="auto"/>
              <w:right w:val="single" w:sz="4" w:space="0" w:color="auto"/>
            </w:tcBorders>
            <w:shd w:val="clear" w:color="auto" w:fill="auto"/>
            <w:noWrap/>
            <w:vAlign w:val="bottom"/>
            <w:hideMark/>
          </w:tcPr>
          <w:p w14:paraId="444D36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1.182358</w:t>
            </w:r>
          </w:p>
        </w:tc>
      </w:tr>
      <w:tr w:rsidR="002027D2" w:rsidRPr="008D1712" w14:paraId="0344E513"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25FE9E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49E12B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6.301673</w:t>
            </w:r>
          </w:p>
        </w:tc>
        <w:tc>
          <w:tcPr>
            <w:tcW w:w="1073" w:type="dxa"/>
            <w:tcBorders>
              <w:top w:val="nil"/>
              <w:left w:val="nil"/>
              <w:bottom w:val="single" w:sz="4" w:space="0" w:color="auto"/>
              <w:right w:val="single" w:sz="4" w:space="0" w:color="auto"/>
            </w:tcBorders>
            <w:shd w:val="clear" w:color="auto" w:fill="auto"/>
            <w:noWrap/>
            <w:vAlign w:val="bottom"/>
            <w:hideMark/>
          </w:tcPr>
          <w:p w14:paraId="7F42079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-4.09895</w:t>
            </w:r>
          </w:p>
        </w:tc>
        <w:tc>
          <w:tcPr>
            <w:tcW w:w="1073" w:type="dxa"/>
            <w:tcBorders>
              <w:top w:val="nil"/>
              <w:left w:val="nil"/>
              <w:bottom w:val="single" w:sz="4" w:space="0" w:color="auto"/>
              <w:right w:val="single" w:sz="4" w:space="0" w:color="auto"/>
            </w:tcBorders>
            <w:shd w:val="clear" w:color="auto" w:fill="auto"/>
            <w:noWrap/>
            <w:vAlign w:val="bottom"/>
            <w:hideMark/>
          </w:tcPr>
          <w:p w14:paraId="2329523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-1.10469</w:t>
            </w:r>
          </w:p>
        </w:tc>
      </w:tr>
      <w:tr w:rsidR="002027D2" w:rsidRPr="008D1712" w14:paraId="428EB3FC"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514C77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0936127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4.828412</w:t>
            </w:r>
          </w:p>
        </w:tc>
        <w:tc>
          <w:tcPr>
            <w:tcW w:w="1073" w:type="dxa"/>
            <w:tcBorders>
              <w:top w:val="nil"/>
              <w:left w:val="nil"/>
              <w:bottom w:val="single" w:sz="4" w:space="0" w:color="auto"/>
              <w:right w:val="single" w:sz="4" w:space="0" w:color="auto"/>
            </w:tcBorders>
            <w:shd w:val="clear" w:color="auto" w:fill="auto"/>
            <w:noWrap/>
            <w:vAlign w:val="bottom"/>
            <w:hideMark/>
          </w:tcPr>
          <w:p w14:paraId="7A6EC9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-3.87909</w:t>
            </w:r>
          </w:p>
        </w:tc>
        <w:tc>
          <w:tcPr>
            <w:tcW w:w="1073" w:type="dxa"/>
            <w:tcBorders>
              <w:top w:val="nil"/>
              <w:left w:val="nil"/>
              <w:bottom w:val="single" w:sz="4" w:space="0" w:color="auto"/>
              <w:right w:val="single" w:sz="4" w:space="0" w:color="auto"/>
            </w:tcBorders>
            <w:shd w:val="clear" w:color="auto" w:fill="auto"/>
            <w:noWrap/>
            <w:vAlign w:val="bottom"/>
            <w:hideMark/>
          </w:tcPr>
          <w:p w14:paraId="072C1E2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-0.09825</w:t>
            </w:r>
          </w:p>
        </w:tc>
      </w:tr>
      <w:tr w:rsidR="002027D2" w:rsidRPr="008D1712" w14:paraId="11A8184F"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79BAC4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2A2C0E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5.114148</w:t>
            </w:r>
          </w:p>
        </w:tc>
        <w:tc>
          <w:tcPr>
            <w:tcW w:w="1073" w:type="dxa"/>
            <w:tcBorders>
              <w:top w:val="nil"/>
              <w:left w:val="nil"/>
              <w:bottom w:val="single" w:sz="4" w:space="0" w:color="auto"/>
              <w:right w:val="single" w:sz="4" w:space="0" w:color="auto"/>
            </w:tcBorders>
            <w:shd w:val="clear" w:color="auto" w:fill="auto"/>
            <w:noWrap/>
            <w:vAlign w:val="bottom"/>
            <w:hideMark/>
          </w:tcPr>
          <w:p w14:paraId="7724243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-5.44909</w:t>
            </w:r>
          </w:p>
        </w:tc>
        <w:tc>
          <w:tcPr>
            <w:tcW w:w="1073" w:type="dxa"/>
            <w:tcBorders>
              <w:top w:val="nil"/>
              <w:left w:val="nil"/>
              <w:bottom w:val="single" w:sz="4" w:space="0" w:color="auto"/>
              <w:right w:val="single" w:sz="4" w:space="0" w:color="auto"/>
            </w:tcBorders>
            <w:shd w:val="clear" w:color="auto" w:fill="auto"/>
            <w:noWrap/>
            <w:vAlign w:val="bottom"/>
            <w:hideMark/>
          </w:tcPr>
          <w:p w14:paraId="408D8EB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-0.93681</w:t>
            </w:r>
          </w:p>
        </w:tc>
      </w:tr>
      <w:tr w:rsidR="002027D2" w:rsidRPr="008D1712" w14:paraId="6385BB6E"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8B959C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79B6014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5.87619</w:t>
            </w:r>
          </w:p>
        </w:tc>
        <w:tc>
          <w:tcPr>
            <w:tcW w:w="1073" w:type="dxa"/>
            <w:tcBorders>
              <w:top w:val="nil"/>
              <w:left w:val="nil"/>
              <w:bottom w:val="single" w:sz="4" w:space="0" w:color="auto"/>
              <w:right w:val="single" w:sz="4" w:space="0" w:color="auto"/>
            </w:tcBorders>
            <w:shd w:val="clear" w:color="auto" w:fill="auto"/>
            <w:noWrap/>
            <w:vAlign w:val="bottom"/>
            <w:hideMark/>
          </w:tcPr>
          <w:p w14:paraId="565C06D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-6.13802</w:t>
            </w:r>
          </w:p>
        </w:tc>
        <w:tc>
          <w:tcPr>
            <w:tcW w:w="1073" w:type="dxa"/>
            <w:tcBorders>
              <w:top w:val="nil"/>
              <w:left w:val="nil"/>
              <w:bottom w:val="single" w:sz="4" w:space="0" w:color="auto"/>
              <w:right w:val="single" w:sz="4" w:space="0" w:color="auto"/>
            </w:tcBorders>
            <w:shd w:val="clear" w:color="auto" w:fill="auto"/>
            <w:noWrap/>
            <w:vAlign w:val="bottom"/>
            <w:hideMark/>
          </w:tcPr>
          <w:p w14:paraId="237F3E4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2.59126</w:t>
            </w:r>
          </w:p>
        </w:tc>
      </w:tr>
      <w:tr w:rsidR="002027D2" w:rsidRPr="008D1712" w14:paraId="0426637C"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1C74524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lastRenderedPageBreak/>
              <w:t>H</w:t>
            </w:r>
          </w:p>
        </w:tc>
        <w:tc>
          <w:tcPr>
            <w:tcW w:w="1073" w:type="dxa"/>
            <w:tcBorders>
              <w:top w:val="nil"/>
              <w:left w:val="nil"/>
              <w:bottom w:val="single" w:sz="4" w:space="0" w:color="auto"/>
              <w:right w:val="single" w:sz="4" w:space="0" w:color="auto"/>
            </w:tcBorders>
            <w:shd w:val="clear" w:color="auto" w:fill="auto"/>
            <w:noWrap/>
            <w:vAlign w:val="bottom"/>
            <w:hideMark/>
          </w:tcPr>
          <w:p w14:paraId="3585A6D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5.043237</w:t>
            </w:r>
          </w:p>
        </w:tc>
        <w:tc>
          <w:tcPr>
            <w:tcW w:w="1073" w:type="dxa"/>
            <w:tcBorders>
              <w:top w:val="nil"/>
              <w:left w:val="nil"/>
              <w:bottom w:val="single" w:sz="4" w:space="0" w:color="auto"/>
              <w:right w:val="single" w:sz="4" w:space="0" w:color="auto"/>
            </w:tcBorders>
            <w:shd w:val="clear" w:color="auto" w:fill="auto"/>
            <w:noWrap/>
            <w:vAlign w:val="bottom"/>
            <w:hideMark/>
          </w:tcPr>
          <w:p w14:paraId="635F5F2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-6.77699</w:t>
            </w:r>
          </w:p>
        </w:tc>
        <w:tc>
          <w:tcPr>
            <w:tcW w:w="1073" w:type="dxa"/>
            <w:tcBorders>
              <w:top w:val="nil"/>
              <w:left w:val="nil"/>
              <w:bottom w:val="single" w:sz="4" w:space="0" w:color="auto"/>
              <w:right w:val="single" w:sz="4" w:space="0" w:color="auto"/>
            </w:tcBorders>
            <w:shd w:val="clear" w:color="auto" w:fill="auto"/>
            <w:noWrap/>
            <w:vAlign w:val="bottom"/>
            <w:hideMark/>
          </w:tcPr>
          <w:p w14:paraId="5CD2201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1.125451</w:t>
            </w:r>
          </w:p>
        </w:tc>
      </w:tr>
      <w:tr w:rsidR="002027D2" w:rsidRPr="008D1712" w14:paraId="05D86A5A"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FC33DF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102C6C1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4.503643</w:t>
            </w:r>
          </w:p>
        </w:tc>
        <w:tc>
          <w:tcPr>
            <w:tcW w:w="1073" w:type="dxa"/>
            <w:tcBorders>
              <w:top w:val="nil"/>
              <w:left w:val="nil"/>
              <w:bottom w:val="single" w:sz="4" w:space="0" w:color="auto"/>
              <w:right w:val="single" w:sz="4" w:space="0" w:color="auto"/>
            </w:tcBorders>
            <w:shd w:val="clear" w:color="auto" w:fill="auto"/>
            <w:noWrap/>
            <w:vAlign w:val="bottom"/>
            <w:hideMark/>
          </w:tcPr>
          <w:p w14:paraId="133AAB6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-5.22639</w:t>
            </w:r>
          </w:p>
        </w:tc>
        <w:tc>
          <w:tcPr>
            <w:tcW w:w="1073" w:type="dxa"/>
            <w:tcBorders>
              <w:top w:val="nil"/>
              <w:left w:val="nil"/>
              <w:bottom w:val="single" w:sz="4" w:space="0" w:color="auto"/>
              <w:right w:val="single" w:sz="4" w:space="0" w:color="auto"/>
            </w:tcBorders>
            <w:shd w:val="clear" w:color="auto" w:fill="auto"/>
            <w:noWrap/>
            <w:vAlign w:val="bottom"/>
            <w:hideMark/>
          </w:tcPr>
          <w:p w14:paraId="4CCD94F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1.862744</w:t>
            </w:r>
          </w:p>
        </w:tc>
      </w:tr>
      <w:tr w:rsidR="002027D2" w:rsidRPr="008D1712" w14:paraId="5266231F"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A74AF0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073" w:type="dxa"/>
            <w:tcBorders>
              <w:top w:val="nil"/>
              <w:left w:val="nil"/>
              <w:bottom w:val="single" w:sz="4" w:space="0" w:color="auto"/>
              <w:right w:val="single" w:sz="4" w:space="0" w:color="auto"/>
            </w:tcBorders>
            <w:shd w:val="clear" w:color="auto" w:fill="auto"/>
            <w:noWrap/>
            <w:vAlign w:val="bottom"/>
            <w:hideMark/>
          </w:tcPr>
          <w:p w14:paraId="496B591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10.00065</w:t>
            </w:r>
          </w:p>
        </w:tc>
        <w:tc>
          <w:tcPr>
            <w:tcW w:w="1073" w:type="dxa"/>
            <w:tcBorders>
              <w:top w:val="nil"/>
              <w:left w:val="nil"/>
              <w:bottom w:val="single" w:sz="4" w:space="0" w:color="auto"/>
              <w:right w:val="single" w:sz="4" w:space="0" w:color="auto"/>
            </w:tcBorders>
            <w:shd w:val="clear" w:color="auto" w:fill="auto"/>
            <w:noWrap/>
            <w:vAlign w:val="bottom"/>
            <w:hideMark/>
          </w:tcPr>
          <w:p w14:paraId="36458E0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-3.32431</w:t>
            </w:r>
          </w:p>
        </w:tc>
        <w:tc>
          <w:tcPr>
            <w:tcW w:w="1073" w:type="dxa"/>
            <w:tcBorders>
              <w:top w:val="nil"/>
              <w:left w:val="nil"/>
              <w:bottom w:val="single" w:sz="4" w:space="0" w:color="auto"/>
              <w:right w:val="single" w:sz="4" w:space="0" w:color="auto"/>
            </w:tcBorders>
            <w:shd w:val="clear" w:color="auto" w:fill="auto"/>
            <w:noWrap/>
            <w:vAlign w:val="bottom"/>
            <w:hideMark/>
          </w:tcPr>
          <w:p w14:paraId="2565EDF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-0.55026</w:t>
            </w:r>
          </w:p>
        </w:tc>
      </w:tr>
      <w:tr w:rsidR="002027D2" w:rsidRPr="008D1712" w14:paraId="55B7E831"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335E3DA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4170A80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10.59938</w:t>
            </w:r>
          </w:p>
        </w:tc>
        <w:tc>
          <w:tcPr>
            <w:tcW w:w="1073" w:type="dxa"/>
            <w:tcBorders>
              <w:top w:val="nil"/>
              <w:left w:val="nil"/>
              <w:bottom w:val="single" w:sz="4" w:space="0" w:color="auto"/>
              <w:right w:val="single" w:sz="4" w:space="0" w:color="auto"/>
            </w:tcBorders>
            <w:shd w:val="clear" w:color="auto" w:fill="auto"/>
            <w:noWrap/>
            <w:vAlign w:val="bottom"/>
            <w:hideMark/>
          </w:tcPr>
          <w:p w14:paraId="19EC003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-2.07221</w:t>
            </w:r>
          </w:p>
        </w:tc>
        <w:tc>
          <w:tcPr>
            <w:tcW w:w="1073" w:type="dxa"/>
            <w:tcBorders>
              <w:top w:val="nil"/>
              <w:left w:val="nil"/>
              <w:bottom w:val="single" w:sz="4" w:space="0" w:color="auto"/>
              <w:right w:val="single" w:sz="4" w:space="0" w:color="auto"/>
            </w:tcBorders>
            <w:shd w:val="clear" w:color="auto" w:fill="auto"/>
            <w:noWrap/>
            <w:vAlign w:val="bottom"/>
            <w:hideMark/>
          </w:tcPr>
          <w:p w14:paraId="0DD23E9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-0.05187</w:t>
            </w:r>
          </w:p>
        </w:tc>
      </w:tr>
      <w:tr w:rsidR="002027D2" w:rsidRPr="008D1712" w14:paraId="0993DB64"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B5388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1EAD406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12.12917</w:t>
            </w:r>
          </w:p>
        </w:tc>
        <w:tc>
          <w:tcPr>
            <w:tcW w:w="1073" w:type="dxa"/>
            <w:tcBorders>
              <w:top w:val="nil"/>
              <w:left w:val="nil"/>
              <w:bottom w:val="single" w:sz="4" w:space="0" w:color="auto"/>
              <w:right w:val="single" w:sz="4" w:space="0" w:color="auto"/>
            </w:tcBorders>
            <w:shd w:val="clear" w:color="auto" w:fill="auto"/>
            <w:noWrap/>
            <w:vAlign w:val="bottom"/>
            <w:hideMark/>
          </w:tcPr>
          <w:p w14:paraId="778BDCC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-2.14708</w:t>
            </w:r>
          </w:p>
        </w:tc>
        <w:tc>
          <w:tcPr>
            <w:tcW w:w="1073" w:type="dxa"/>
            <w:tcBorders>
              <w:top w:val="nil"/>
              <w:left w:val="nil"/>
              <w:bottom w:val="single" w:sz="4" w:space="0" w:color="auto"/>
              <w:right w:val="single" w:sz="4" w:space="0" w:color="auto"/>
            </w:tcBorders>
            <w:shd w:val="clear" w:color="auto" w:fill="auto"/>
            <w:noWrap/>
            <w:vAlign w:val="bottom"/>
            <w:hideMark/>
          </w:tcPr>
          <w:p w14:paraId="4BA1645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-0.14373</w:t>
            </w:r>
          </w:p>
        </w:tc>
      </w:tr>
      <w:tr w:rsidR="002027D2" w:rsidRPr="008D1712" w14:paraId="42DDD8D6"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854472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N</w:t>
            </w:r>
          </w:p>
        </w:tc>
        <w:tc>
          <w:tcPr>
            <w:tcW w:w="1073" w:type="dxa"/>
            <w:tcBorders>
              <w:top w:val="nil"/>
              <w:left w:val="nil"/>
              <w:bottom w:val="single" w:sz="4" w:space="0" w:color="auto"/>
              <w:right w:val="single" w:sz="4" w:space="0" w:color="auto"/>
            </w:tcBorders>
            <w:shd w:val="clear" w:color="auto" w:fill="auto"/>
            <w:noWrap/>
            <w:vAlign w:val="bottom"/>
            <w:hideMark/>
          </w:tcPr>
          <w:p w14:paraId="2439482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12.48897</w:t>
            </w:r>
          </w:p>
        </w:tc>
        <w:tc>
          <w:tcPr>
            <w:tcW w:w="1073" w:type="dxa"/>
            <w:tcBorders>
              <w:top w:val="nil"/>
              <w:left w:val="nil"/>
              <w:bottom w:val="single" w:sz="4" w:space="0" w:color="auto"/>
              <w:right w:val="single" w:sz="4" w:space="0" w:color="auto"/>
            </w:tcBorders>
            <w:shd w:val="clear" w:color="auto" w:fill="auto"/>
            <w:noWrap/>
            <w:vAlign w:val="bottom"/>
            <w:hideMark/>
          </w:tcPr>
          <w:p w14:paraId="4491DC7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-2.36301</w:t>
            </w:r>
          </w:p>
        </w:tc>
        <w:tc>
          <w:tcPr>
            <w:tcW w:w="1073" w:type="dxa"/>
            <w:tcBorders>
              <w:top w:val="nil"/>
              <w:left w:val="nil"/>
              <w:bottom w:val="single" w:sz="4" w:space="0" w:color="auto"/>
              <w:right w:val="single" w:sz="4" w:space="0" w:color="auto"/>
            </w:tcBorders>
            <w:shd w:val="clear" w:color="auto" w:fill="auto"/>
            <w:noWrap/>
            <w:vAlign w:val="bottom"/>
            <w:hideMark/>
          </w:tcPr>
          <w:p w14:paraId="2AC42C22"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-1.54235</w:t>
            </w:r>
          </w:p>
        </w:tc>
      </w:tr>
      <w:tr w:rsidR="002027D2" w:rsidRPr="008D1712" w14:paraId="7C32F82E"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3D4645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1619DB8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12.00013</w:t>
            </w:r>
          </w:p>
        </w:tc>
        <w:tc>
          <w:tcPr>
            <w:tcW w:w="1073" w:type="dxa"/>
            <w:tcBorders>
              <w:top w:val="nil"/>
              <w:left w:val="nil"/>
              <w:bottom w:val="single" w:sz="4" w:space="0" w:color="auto"/>
              <w:right w:val="single" w:sz="4" w:space="0" w:color="auto"/>
            </w:tcBorders>
            <w:shd w:val="clear" w:color="auto" w:fill="auto"/>
            <w:noWrap/>
            <w:vAlign w:val="bottom"/>
            <w:hideMark/>
          </w:tcPr>
          <w:p w14:paraId="7906E0C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-3.658</w:t>
            </w:r>
          </w:p>
        </w:tc>
        <w:tc>
          <w:tcPr>
            <w:tcW w:w="1073" w:type="dxa"/>
            <w:tcBorders>
              <w:top w:val="nil"/>
              <w:left w:val="nil"/>
              <w:bottom w:val="single" w:sz="4" w:space="0" w:color="auto"/>
              <w:right w:val="single" w:sz="4" w:space="0" w:color="auto"/>
            </w:tcBorders>
            <w:shd w:val="clear" w:color="auto" w:fill="auto"/>
            <w:noWrap/>
            <w:vAlign w:val="bottom"/>
            <w:hideMark/>
          </w:tcPr>
          <w:p w14:paraId="17E9B78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-2.0022</w:t>
            </w:r>
          </w:p>
        </w:tc>
      </w:tr>
      <w:tr w:rsidR="002027D2" w:rsidRPr="008D1712" w14:paraId="5A158F67"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A67EEC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C</w:t>
            </w:r>
          </w:p>
        </w:tc>
        <w:tc>
          <w:tcPr>
            <w:tcW w:w="1073" w:type="dxa"/>
            <w:tcBorders>
              <w:top w:val="nil"/>
              <w:left w:val="nil"/>
              <w:bottom w:val="single" w:sz="4" w:space="0" w:color="auto"/>
              <w:right w:val="single" w:sz="4" w:space="0" w:color="auto"/>
            </w:tcBorders>
            <w:shd w:val="clear" w:color="auto" w:fill="auto"/>
            <w:noWrap/>
            <w:vAlign w:val="bottom"/>
            <w:hideMark/>
          </w:tcPr>
          <w:p w14:paraId="103F27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10.47041</w:t>
            </w:r>
          </w:p>
        </w:tc>
        <w:tc>
          <w:tcPr>
            <w:tcW w:w="1073" w:type="dxa"/>
            <w:tcBorders>
              <w:top w:val="nil"/>
              <w:left w:val="nil"/>
              <w:bottom w:val="single" w:sz="4" w:space="0" w:color="auto"/>
              <w:right w:val="single" w:sz="4" w:space="0" w:color="auto"/>
            </w:tcBorders>
            <w:shd w:val="clear" w:color="auto" w:fill="auto"/>
            <w:noWrap/>
            <w:vAlign w:val="bottom"/>
            <w:hideMark/>
          </w:tcPr>
          <w:p w14:paraId="61D2750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-3.68167</w:t>
            </w:r>
          </w:p>
        </w:tc>
        <w:tc>
          <w:tcPr>
            <w:tcW w:w="1073" w:type="dxa"/>
            <w:tcBorders>
              <w:top w:val="nil"/>
              <w:left w:val="nil"/>
              <w:bottom w:val="single" w:sz="4" w:space="0" w:color="auto"/>
              <w:right w:val="single" w:sz="4" w:space="0" w:color="auto"/>
            </w:tcBorders>
            <w:shd w:val="clear" w:color="auto" w:fill="auto"/>
            <w:noWrap/>
            <w:vAlign w:val="bottom"/>
            <w:hideMark/>
          </w:tcPr>
          <w:p w14:paraId="61DF99A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-1.90788</w:t>
            </w:r>
          </w:p>
        </w:tc>
      </w:tr>
      <w:tr w:rsidR="002027D2" w:rsidRPr="008D1712" w14:paraId="2014788D"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82B3B1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7D8583B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10.27456</w:t>
            </w:r>
          </w:p>
        </w:tc>
        <w:tc>
          <w:tcPr>
            <w:tcW w:w="1073" w:type="dxa"/>
            <w:tcBorders>
              <w:top w:val="nil"/>
              <w:left w:val="nil"/>
              <w:bottom w:val="single" w:sz="4" w:space="0" w:color="auto"/>
              <w:right w:val="single" w:sz="4" w:space="0" w:color="auto"/>
            </w:tcBorders>
            <w:shd w:val="clear" w:color="auto" w:fill="auto"/>
            <w:noWrap/>
            <w:vAlign w:val="bottom"/>
            <w:hideMark/>
          </w:tcPr>
          <w:p w14:paraId="061AF87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-1.90864</w:t>
            </w:r>
          </w:p>
        </w:tc>
        <w:tc>
          <w:tcPr>
            <w:tcW w:w="1073" w:type="dxa"/>
            <w:tcBorders>
              <w:top w:val="nil"/>
              <w:left w:val="nil"/>
              <w:bottom w:val="single" w:sz="4" w:space="0" w:color="auto"/>
              <w:right w:val="single" w:sz="4" w:space="0" w:color="auto"/>
            </w:tcBorders>
            <w:shd w:val="clear" w:color="auto" w:fill="auto"/>
            <w:noWrap/>
            <w:vAlign w:val="bottom"/>
            <w:hideMark/>
          </w:tcPr>
          <w:p w14:paraId="53B9F5B8"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0.987414</w:t>
            </w:r>
          </w:p>
        </w:tc>
      </w:tr>
      <w:tr w:rsidR="002027D2" w:rsidRPr="008D1712" w14:paraId="0EAFE974"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C61717E"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514BD86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10.28234</w:t>
            </w:r>
          </w:p>
        </w:tc>
        <w:tc>
          <w:tcPr>
            <w:tcW w:w="1073" w:type="dxa"/>
            <w:tcBorders>
              <w:top w:val="nil"/>
              <w:left w:val="nil"/>
              <w:bottom w:val="single" w:sz="4" w:space="0" w:color="auto"/>
              <w:right w:val="single" w:sz="4" w:space="0" w:color="auto"/>
            </w:tcBorders>
            <w:shd w:val="clear" w:color="auto" w:fill="auto"/>
            <w:noWrap/>
            <w:vAlign w:val="bottom"/>
            <w:hideMark/>
          </w:tcPr>
          <w:p w14:paraId="65BA856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-1.21239</w:t>
            </w:r>
          </w:p>
        </w:tc>
        <w:tc>
          <w:tcPr>
            <w:tcW w:w="1073" w:type="dxa"/>
            <w:tcBorders>
              <w:top w:val="nil"/>
              <w:left w:val="nil"/>
              <w:bottom w:val="single" w:sz="4" w:space="0" w:color="auto"/>
              <w:right w:val="single" w:sz="4" w:space="0" w:color="auto"/>
            </w:tcBorders>
            <w:shd w:val="clear" w:color="auto" w:fill="auto"/>
            <w:noWrap/>
            <w:vAlign w:val="bottom"/>
            <w:hideMark/>
          </w:tcPr>
          <w:p w14:paraId="3F9D4013"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-0.67615</w:t>
            </w:r>
          </w:p>
        </w:tc>
      </w:tr>
      <w:tr w:rsidR="002027D2" w:rsidRPr="008D1712" w14:paraId="561ECE94"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D9BC4B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2BD71F9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12.49925</w:t>
            </w:r>
          </w:p>
        </w:tc>
        <w:tc>
          <w:tcPr>
            <w:tcW w:w="1073" w:type="dxa"/>
            <w:tcBorders>
              <w:top w:val="nil"/>
              <w:left w:val="nil"/>
              <w:bottom w:val="single" w:sz="4" w:space="0" w:color="auto"/>
              <w:right w:val="single" w:sz="4" w:space="0" w:color="auto"/>
            </w:tcBorders>
            <w:shd w:val="clear" w:color="auto" w:fill="auto"/>
            <w:noWrap/>
            <w:vAlign w:val="bottom"/>
            <w:hideMark/>
          </w:tcPr>
          <w:p w14:paraId="76E4902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-2.95082</w:t>
            </w:r>
          </w:p>
        </w:tc>
        <w:tc>
          <w:tcPr>
            <w:tcW w:w="1073" w:type="dxa"/>
            <w:tcBorders>
              <w:top w:val="nil"/>
              <w:left w:val="nil"/>
              <w:bottom w:val="single" w:sz="4" w:space="0" w:color="auto"/>
              <w:right w:val="single" w:sz="4" w:space="0" w:color="auto"/>
            </w:tcBorders>
            <w:shd w:val="clear" w:color="auto" w:fill="auto"/>
            <w:noWrap/>
            <w:vAlign w:val="bottom"/>
            <w:hideMark/>
          </w:tcPr>
          <w:p w14:paraId="397B9C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0.537848</w:t>
            </w:r>
          </w:p>
        </w:tc>
      </w:tr>
      <w:tr w:rsidR="002027D2" w:rsidRPr="008D1712" w14:paraId="12D5C4CE"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76E7E98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39F6606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12.54998</w:t>
            </w:r>
          </w:p>
        </w:tc>
        <w:tc>
          <w:tcPr>
            <w:tcW w:w="1073" w:type="dxa"/>
            <w:tcBorders>
              <w:top w:val="nil"/>
              <w:left w:val="nil"/>
              <w:bottom w:val="single" w:sz="4" w:space="0" w:color="auto"/>
              <w:right w:val="single" w:sz="4" w:space="0" w:color="auto"/>
            </w:tcBorders>
            <w:shd w:val="clear" w:color="auto" w:fill="auto"/>
            <w:noWrap/>
            <w:vAlign w:val="bottom"/>
            <w:hideMark/>
          </w:tcPr>
          <w:p w14:paraId="3BDDBF4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-1.18678</w:t>
            </w:r>
          </w:p>
        </w:tc>
        <w:tc>
          <w:tcPr>
            <w:tcW w:w="1073" w:type="dxa"/>
            <w:tcBorders>
              <w:top w:val="nil"/>
              <w:left w:val="nil"/>
              <w:bottom w:val="single" w:sz="4" w:space="0" w:color="auto"/>
              <w:right w:val="single" w:sz="4" w:space="0" w:color="auto"/>
            </w:tcBorders>
            <w:shd w:val="clear" w:color="auto" w:fill="auto"/>
            <w:noWrap/>
            <w:vAlign w:val="bottom"/>
            <w:hideMark/>
          </w:tcPr>
          <w:p w14:paraId="44FF57B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0.200007</w:t>
            </w:r>
          </w:p>
        </w:tc>
      </w:tr>
      <w:tr w:rsidR="002027D2" w:rsidRPr="008D1712" w14:paraId="36663DE0"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2DEBCFD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A90CC4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13.49857</w:t>
            </w:r>
          </w:p>
        </w:tc>
        <w:tc>
          <w:tcPr>
            <w:tcW w:w="1073" w:type="dxa"/>
            <w:tcBorders>
              <w:top w:val="nil"/>
              <w:left w:val="nil"/>
              <w:bottom w:val="single" w:sz="4" w:space="0" w:color="auto"/>
              <w:right w:val="single" w:sz="4" w:space="0" w:color="auto"/>
            </w:tcBorders>
            <w:shd w:val="clear" w:color="auto" w:fill="auto"/>
            <w:noWrap/>
            <w:vAlign w:val="bottom"/>
            <w:hideMark/>
          </w:tcPr>
          <w:p w14:paraId="2FFAD9C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-2.2718</w:t>
            </w:r>
          </w:p>
        </w:tc>
        <w:tc>
          <w:tcPr>
            <w:tcW w:w="1073" w:type="dxa"/>
            <w:tcBorders>
              <w:top w:val="nil"/>
              <w:left w:val="nil"/>
              <w:bottom w:val="single" w:sz="4" w:space="0" w:color="auto"/>
              <w:right w:val="single" w:sz="4" w:space="0" w:color="auto"/>
            </w:tcBorders>
            <w:shd w:val="clear" w:color="auto" w:fill="auto"/>
            <w:noWrap/>
            <w:vAlign w:val="bottom"/>
            <w:hideMark/>
          </w:tcPr>
          <w:p w14:paraId="458264E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-1.69054</w:t>
            </w:r>
          </w:p>
        </w:tc>
      </w:tr>
      <w:tr w:rsidR="002027D2" w:rsidRPr="008D1712" w14:paraId="73781A1D"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0B607E30"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0FD5B9A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12.4159</w:t>
            </w:r>
          </w:p>
        </w:tc>
        <w:tc>
          <w:tcPr>
            <w:tcW w:w="1073" w:type="dxa"/>
            <w:tcBorders>
              <w:top w:val="nil"/>
              <w:left w:val="nil"/>
              <w:bottom w:val="single" w:sz="4" w:space="0" w:color="auto"/>
              <w:right w:val="single" w:sz="4" w:space="0" w:color="auto"/>
            </w:tcBorders>
            <w:shd w:val="clear" w:color="auto" w:fill="auto"/>
            <w:noWrap/>
            <w:vAlign w:val="bottom"/>
            <w:hideMark/>
          </w:tcPr>
          <w:p w14:paraId="1540EB3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-4.5039</w:t>
            </w:r>
          </w:p>
        </w:tc>
        <w:tc>
          <w:tcPr>
            <w:tcW w:w="1073" w:type="dxa"/>
            <w:tcBorders>
              <w:top w:val="nil"/>
              <w:left w:val="nil"/>
              <w:bottom w:val="single" w:sz="4" w:space="0" w:color="auto"/>
              <w:right w:val="single" w:sz="4" w:space="0" w:color="auto"/>
            </w:tcBorders>
            <w:shd w:val="clear" w:color="auto" w:fill="auto"/>
            <w:noWrap/>
            <w:vAlign w:val="bottom"/>
            <w:hideMark/>
          </w:tcPr>
          <w:p w14:paraId="768BFD0F"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-1.4033</w:t>
            </w:r>
          </w:p>
        </w:tc>
      </w:tr>
      <w:tr w:rsidR="002027D2" w:rsidRPr="008D1712" w14:paraId="3664AF55"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618EB98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3B6F642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12.29471</w:t>
            </w:r>
          </w:p>
        </w:tc>
        <w:tc>
          <w:tcPr>
            <w:tcW w:w="1073" w:type="dxa"/>
            <w:tcBorders>
              <w:top w:val="nil"/>
              <w:left w:val="nil"/>
              <w:bottom w:val="single" w:sz="4" w:space="0" w:color="auto"/>
              <w:right w:val="single" w:sz="4" w:space="0" w:color="auto"/>
            </w:tcBorders>
            <w:shd w:val="clear" w:color="auto" w:fill="auto"/>
            <w:noWrap/>
            <w:vAlign w:val="bottom"/>
            <w:hideMark/>
          </w:tcPr>
          <w:p w14:paraId="3B62014A"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-3.81035</w:t>
            </w:r>
          </w:p>
        </w:tc>
        <w:tc>
          <w:tcPr>
            <w:tcW w:w="1073" w:type="dxa"/>
            <w:tcBorders>
              <w:top w:val="nil"/>
              <w:left w:val="nil"/>
              <w:bottom w:val="single" w:sz="4" w:space="0" w:color="auto"/>
              <w:right w:val="single" w:sz="4" w:space="0" w:color="auto"/>
            </w:tcBorders>
            <w:shd w:val="clear" w:color="auto" w:fill="auto"/>
            <w:noWrap/>
            <w:vAlign w:val="bottom"/>
            <w:hideMark/>
          </w:tcPr>
          <w:p w14:paraId="39D8348C"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-3.0546</w:t>
            </w:r>
          </w:p>
        </w:tc>
      </w:tr>
      <w:tr w:rsidR="002027D2" w:rsidRPr="008D1712" w14:paraId="52F9BB6A"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4FA72CDD"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5B710415"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10.07394</w:t>
            </w:r>
          </w:p>
        </w:tc>
        <w:tc>
          <w:tcPr>
            <w:tcW w:w="1073" w:type="dxa"/>
            <w:tcBorders>
              <w:top w:val="nil"/>
              <w:left w:val="nil"/>
              <w:bottom w:val="single" w:sz="4" w:space="0" w:color="auto"/>
              <w:right w:val="single" w:sz="4" w:space="0" w:color="auto"/>
            </w:tcBorders>
            <w:shd w:val="clear" w:color="auto" w:fill="auto"/>
            <w:noWrap/>
            <w:vAlign w:val="bottom"/>
            <w:hideMark/>
          </w:tcPr>
          <w:p w14:paraId="19B685C1"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-4.66937</w:t>
            </w:r>
          </w:p>
        </w:tc>
        <w:tc>
          <w:tcPr>
            <w:tcW w:w="1073" w:type="dxa"/>
            <w:tcBorders>
              <w:top w:val="nil"/>
              <w:left w:val="nil"/>
              <w:bottom w:val="single" w:sz="4" w:space="0" w:color="auto"/>
              <w:right w:val="single" w:sz="4" w:space="0" w:color="auto"/>
            </w:tcBorders>
            <w:shd w:val="clear" w:color="auto" w:fill="auto"/>
            <w:noWrap/>
            <w:vAlign w:val="bottom"/>
            <w:hideMark/>
          </w:tcPr>
          <w:p w14:paraId="0A35F4B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-2.18457</w:t>
            </w:r>
          </w:p>
        </w:tc>
      </w:tr>
      <w:tr w:rsidR="002027D2" w:rsidRPr="008D1712" w14:paraId="427A7F7D" w14:textId="77777777" w:rsidTr="00323CC4">
        <w:trPr>
          <w:trHeight w:val="288"/>
          <w:jc w:val="center"/>
        </w:trPr>
        <w:tc>
          <w:tcPr>
            <w:tcW w:w="413" w:type="dxa"/>
            <w:tcBorders>
              <w:top w:val="nil"/>
              <w:left w:val="single" w:sz="4" w:space="0" w:color="auto"/>
              <w:bottom w:val="single" w:sz="4" w:space="0" w:color="auto"/>
              <w:right w:val="single" w:sz="4" w:space="0" w:color="auto"/>
            </w:tcBorders>
            <w:shd w:val="clear" w:color="auto" w:fill="auto"/>
            <w:noWrap/>
            <w:vAlign w:val="bottom"/>
            <w:hideMark/>
          </w:tcPr>
          <w:p w14:paraId="5197AE6B"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H</w:t>
            </w:r>
          </w:p>
        </w:tc>
        <w:tc>
          <w:tcPr>
            <w:tcW w:w="1073" w:type="dxa"/>
            <w:tcBorders>
              <w:top w:val="nil"/>
              <w:left w:val="nil"/>
              <w:bottom w:val="single" w:sz="4" w:space="0" w:color="auto"/>
              <w:right w:val="single" w:sz="4" w:space="0" w:color="auto"/>
            </w:tcBorders>
            <w:shd w:val="clear" w:color="auto" w:fill="auto"/>
            <w:noWrap/>
            <w:vAlign w:val="bottom"/>
            <w:hideMark/>
          </w:tcPr>
          <w:p w14:paraId="430B21B4"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10.06599</w:t>
            </w:r>
          </w:p>
        </w:tc>
        <w:tc>
          <w:tcPr>
            <w:tcW w:w="1073" w:type="dxa"/>
            <w:tcBorders>
              <w:top w:val="nil"/>
              <w:left w:val="nil"/>
              <w:bottom w:val="single" w:sz="4" w:space="0" w:color="auto"/>
              <w:right w:val="single" w:sz="4" w:space="0" w:color="auto"/>
            </w:tcBorders>
            <w:shd w:val="clear" w:color="auto" w:fill="auto"/>
            <w:noWrap/>
            <w:vAlign w:val="bottom"/>
            <w:hideMark/>
          </w:tcPr>
          <w:p w14:paraId="1D18C046"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-2.92963</w:t>
            </w:r>
          </w:p>
        </w:tc>
        <w:tc>
          <w:tcPr>
            <w:tcW w:w="1073" w:type="dxa"/>
            <w:tcBorders>
              <w:top w:val="nil"/>
              <w:left w:val="nil"/>
              <w:bottom w:val="single" w:sz="4" w:space="0" w:color="auto"/>
              <w:right w:val="single" w:sz="4" w:space="0" w:color="auto"/>
            </w:tcBorders>
            <w:shd w:val="clear" w:color="auto" w:fill="auto"/>
            <w:noWrap/>
            <w:vAlign w:val="bottom"/>
            <w:hideMark/>
          </w:tcPr>
          <w:p w14:paraId="5994F4A7" w14:textId="77777777" w:rsidR="002027D2" w:rsidRPr="008D1712" w:rsidRDefault="002027D2" w:rsidP="008D1712">
            <w:pPr>
              <w:jc w:val="center"/>
              <w:rPr>
                <w:rFonts w:ascii="Arial" w:eastAsia="Times New Roman" w:hAnsi="Arial" w:cs="Arial"/>
                <w:color w:val="000000"/>
                <w:sz w:val="24"/>
                <w:szCs w:val="24"/>
              </w:rPr>
            </w:pPr>
            <w:r w:rsidRPr="008D1712">
              <w:rPr>
                <w:rFonts w:ascii="Arial" w:eastAsia="Times New Roman" w:hAnsi="Arial" w:cs="Arial"/>
                <w:color w:val="000000"/>
                <w:sz w:val="24"/>
                <w:szCs w:val="24"/>
              </w:rPr>
              <w:t>-2.61734</w:t>
            </w:r>
          </w:p>
        </w:tc>
      </w:tr>
    </w:tbl>
    <w:p w14:paraId="066ADA46"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S2.</w:t>
      </w:r>
      <w:r w:rsidRPr="000452A8">
        <w:rPr>
          <w:rFonts w:ascii="Arial" w:hAnsi="Arial" w:cs="Arial"/>
          <w:b/>
          <w:bCs/>
          <w:sz w:val="24"/>
          <w:szCs w:val="24"/>
        </w:rPr>
        <w:t>51:</w:t>
      </w:r>
      <w:r w:rsidRPr="008D1712">
        <w:rPr>
          <w:rFonts w:ascii="Arial" w:hAnsi="Arial" w:cs="Arial"/>
          <w:b/>
          <w:bCs/>
          <w:sz w:val="24"/>
          <w:szCs w:val="24"/>
        </w:rPr>
        <w:t xml:space="preserve"> </w:t>
      </w:r>
      <w:r w:rsidRPr="008D1712">
        <w:rPr>
          <w:rFonts w:ascii="Arial" w:hAnsi="Arial" w:cs="Arial"/>
          <w:sz w:val="24"/>
          <w:szCs w:val="24"/>
        </w:rPr>
        <w:t xml:space="preserve">Coordinates (Angstroms) and energy (a.u.) of </w:t>
      </w:r>
      <w:r w:rsidRPr="008D1712">
        <w:rPr>
          <w:rFonts w:ascii="Arial" w:hAnsi="Arial" w:cs="Arial"/>
          <w:b/>
          <w:bCs/>
          <w:sz w:val="24"/>
          <w:szCs w:val="24"/>
        </w:rPr>
        <w:t>CY Br.</w:t>
      </w:r>
      <w:r w:rsidRPr="008D1712">
        <w:rPr>
          <w:rFonts w:ascii="Arial" w:hAnsi="Arial" w:cs="Arial"/>
          <w:sz w:val="24"/>
          <w:szCs w:val="24"/>
        </w:rPr>
        <w:t xml:space="preserve"> Geometries were optimized using PBE functional and 6-31+G* basis set.</w:t>
      </w:r>
    </w:p>
    <w:p w14:paraId="4C4464B4" w14:textId="77777777" w:rsidR="002027D2" w:rsidRPr="0087590E" w:rsidRDefault="002027D2" w:rsidP="0087590E">
      <w:pPr>
        <w:rPr>
          <w:rFonts w:ascii="Arial" w:hAnsi="Arial" w:cs="Arial"/>
          <w:sz w:val="24"/>
          <w:szCs w:val="24"/>
        </w:rPr>
      </w:pPr>
    </w:p>
    <w:p w14:paraId="76D82CD9" w14:textId="77777777" w:rsidR="002027D2" w:rsidRPr="0087590E" w:rsidRDefault="002027D2" w:rsidP="0087590E">
      <w:pPr>
        <w:rPr>
          <w:rFonts w:ascii="Arial" w:hAnsi="Arial" w:cs="Arial"/>
          <w:sz w:val="24"/>
          <w:szCs w:val="24"/>
        </w:rPr>
      </w:pPr>
    </w:p>
    <w:p w14:paraId="5E3D6A68" w14:textId="77777777" w:rsidR="002027D2" w:rsidRPr="0087590E" w:rsidRDefault="002027D2" w:rsidP="0087590E">
      <w:pPr>
        <w:rPr>
          <w:rFonts w:ascii="Arial" w:hAnsi="Arial" w:cs="Arial"/>
          <w:sz w:val="24"/>
          <w:szCs w:val="24"/>
        </w:rPr>
      </w:pPr>
    </w:p>
    <w:p w14:paraId="7527EF12" w14:textId="77777777" w:rsidR="002027D2" w:rsidRPr="0087590E" w:rsidRDefault="002027D2" w:rsidP="0087590E">
      <w:pPr>
        <w:rPr>
          <w:rFonts w:ascii="Arial" w:hAnsi="Arial" w:cs="Arial"/>
          <w:sz w:val="24"/>
          <w:szCs w:val="24"/>
        </w:rPr>
      </w:pPr>
    </w:p>
    <w:p w14:paraId="180B76D5" w14:textId="77777777" w:rsidR="002027D2" w:rsidRPr="0087590E" w:rsidRDefault="002027D2" w:rsidP="0087590E">
      <w:pPr>
        <w:rPr>
          <w:rFonts w:ascii="Arial" w:hAnsi="Arial" w:cs="Arial"/>
          <w:sz w:val="24"/>
          <w:szCs w:val="24"/>
        </w:rPr>
      </w:pPr>
    </w:p>
    <w:p w14:paraId="0ADA956F" w14:textId="77777777" w:rsidR="002027D2" w:rsidRPr="0087590E" w:rsidRDefault="002027D2" w:rsidP="0087590E">
      <w:pPr>
        <w:rPr>
          <w:rFonts w:ascii="Arial" w:hAnsi="Arial" w:cs="Arial"/>
          <w:sz w:val="24"/>
          <w:szCs w:val="24"/>
        </w:rPr>
      </w:pPr>
    </w:p>
    <w:p w14:paraId="7EA384CF" w14:textId="77777777" w:rsidR="002027D2" w:rsidRPr="0087590E" w:rsidRDefault="002027D2" w:rsidP="0087590E">
      <w:pPr>
        <w:rPr>
          <w:rFonts w:ascii="Arial" w:hAnsi="Arial" w:cs="Arial"/>
          <w:sz w:val="24"/>
          <w:szCs w:val="24"/>
        </w:rPr>
      </w:pPr>
    </w:p>
    <w:p w14:paraId="5844AC92" w14:textId="77777777" w:rsidR="002027D2" w:rsidRDefault="002027D2" w:rsidP="0087590E">
      <w:pPr>
        <w:rPr>
          <w:rFonts w:ascii="Arial" w:hAnsi="Arial" w:cs="Arial"/>
          <w:b/>
          <w:bCs/>
          <w:sz w:val="24"/>
          <w:szCs w:val="24"/>
        </w:rPr>
      </w:pPr>
    </w:p>
    <w:p w14:paraId="5D9D4663" w14:textId="77777777" w:rsidR="002027D2" w:rsidRPr="0087590E" w:rsidRDefault="002027D2" w:rsidP="0087590E">
      <w:pPr>
        <w:rPr>
          <w:rFonts w:ascii="Arial" w:hAnsi="Arial" w:cs="Arial"/>
          <w:b/>
          <w:bCs/>
          <w:sz w:val="24"/>
          <w:szCs w:val="24"/>
        </w:rPr>
      </w:pPr>
    </w:p>
    <w:p w14:paraId="75A22CA3" w14:textId="77777777" w:rsidR="002027D2" w:rsidRPr="0087590E" w:rsidRDefault="002027D2" w:rsidP="0087590E">
      <w:pPr>
        <w:rPr>
          <w:rFonts w:ascii="Arial" w:hAnsi="Arial" w:cs="Arial"/>
          <w:b/>
          <w:sz w:val="24"/>
          <w:szCs w:val="24"/>
        </w:rPr>
      </w:pPr>
      <w:r w:rsidRPr="0087590E">
        <w:rPr>
          <w:rFonts w:ascii="Arial" w:hAnsi="Arial" w:cs="Arial"/>
          <w:b/>
          <w:sz w:val="24"/>
          <w:szCs w:val="24"/>
        </w:rPr>
        <w:lastRenderedPageBreak/>
        <w:t>Chapter 3:</w:t>
      </w:r>
    </w:p>
    <w:p w14:paraId="69975FE6" w14:textId="77777777" w:rsidR="002027D2" w:rsidRPr="0087590E" w:rsidRDefault="002027D2" w:rsidP="008D1712">
      <w:pPr>
        <w:jc w:val="center"/>
        <w:rPr>
          <w:rFonts w:ascii="Arial" w:hAnsi="Arial" w:cs="Arial"/>
          <w:b/>
          <w:bCs/>
          <w:sz w:val="24"/>
          <w:szCs w:val="24"/>
        </w:rPr>
      </w:pPr>
      <w:r w:rsidRPr="0087590E">
        <w:rPr>
          <w:rFonts w:ascii="Arial" w:hAnsi="Arial" w:cs="Arial"/>
          <w:b/>
          <w:bCs/>
          <w:noProof/>
          <w:sz w:val="24"/>
          <w:szCs w:val="24"/>
        </w:rPr>
        <w:drawing>
          <wp:inline distT="0" distB="0" distL="0" distR="0" wp14:anchorId="046BC6E7" wp14:editId="35BA4F82">
            <wp:extent cx="5816774" cy="4803633"/>
            <wp:effectExtent l="0" t="0" r="0" b="0"/>
            <wp:docPr id="4870763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44107" cy="4826205"/>
                    </a:xfrm>
                    <a:prstGeom prst="rect">
                      <a:avLst/>
                    </a:prstGeom>
                    <a:noFill/>
                  </pic:spPr>
                </pic:pic>
              </a:graphicData>
            </a:graphic>
          </wp:inline>
        </w:drawing>
      </w:r>
    </w:p>
    <w:p w14:paraId="6F46EFF7" w14:textId="77777777" w:rsidR="002027D2" w:rsidRPr="008D1712" w:rsidRDefault="002027D2" w:rsidP="00297884">
      <w:pPr>
        <w:spacing w:line="480" w:lineRule="auto"/>
        <w:jc w:val="both"/>
        <w:rPr>
          <w:rFonts w:ascii="Arial" w:hAnsi="Arial" w:cs="Arial"/>
          <w:b/>
          <w:bCs/>
          <w:sz w:val="24"/>
          <w:szCs w:val="24"/>
        </w:rPr>
      </w:pPr>
      <w:bookmarkStart w:id="61" w:name="_Hlk149574418"/>
      <w:r>
        <w:rPr>
          <w:rFonts w:ascii="Arial" w:hAnsi="Arial" w:cs="Arial"/>
          <w:b/>
          <w:bCs/>
          <w:sz w:val="24"/>
          <w:szCs w:val="24"/>
        </w:rPr>
        <w:t>Figure</w:t>
      </w:r>
      <w:r w:rsidRPr="0087590E">
        <w:rPr>
          <w:rFonts w:ascii="Arial" w:hAnsi="Arial" w:cs="Arial"/>
          <w:b/>
          <w:bCs/>
          <w:sz w:val="24"/>
          <w:szCs w:val="24"/>
        </w:rPr>
        <w:t xml:space="preserve"> S3.1</w:t>
      </w:r>
      <w:r w:rsidRPr="006266DF">
        <w:rPr>
          <w:rFonts w:ascii="Arial" w:hAnsi="Arial" w:cs="Arial"/>
          <w:b/>
          <w:bCs/>
          <w:sz w:val="24"/>
          <w:szCs w:val="24"/>
        </w:rPr>
        <w:t>:</w:t>
      </w:r>
      <w:r w:rsidRPr="008D1712">
        <w:rPr>
          <w:rFonts w:ascii="Arial" w:hAnsi="Arial" w:cs="Arial"/>
          <w:sz w:val="24"/>
          <w:szCs w:val="24"/>
          <w:vertAlign w:val="superscript"/>
        </w:rPr>
        <w:t xml:space="preserve"> 1</w:t>
      </w:r>
      <w:r w:rsidRPr="008D1712">
        <w:rPr>
          <w:rFonts w:ascii="Arial" w:hAnsi="Arial" w:cs="Arial"/>
          <w:sz w:val="24"/>
          <w:szCs w:val="24"/>
        </w:rPr>
        <w:t xml:space="preserve">H NMR spectrum of </w:t>
      </w:r>
      <w:r w:rsidRPr="008D1712">
        <w:rPr>
          <w:rFonts w:ascii="Arial" w:hAnsi="Arial" w:cs="Arial"/>
          <w:b/>
          <w:bCs/>
          <w:sz w:val="24"/>
          <w:szCs w:val="24"/>
        </w:rPr>
        <w:t>compound 9.</w:t>
      </w:r>
    </w:p>
    <w:bookmarkEnd w:id="61"/>
    <w:p w14:paraId="0F70C8C6" w14:textId="77777777" w:rsidR="002027D2" w:rsidRPr="008D1712" w:rsidRDefault="002027D2" w:rsidP="008D1712">
      <w:pPr>
        <w:spacing w:line="480" w:lineRule="auto"/>
        <w:jc w:val="center"/>
        <w:rPr>
          <w:rFonts w:ascii="Arial" w:hAnsi="Arial" w:cs="Arial"/>
          <w:b/>
          <w:bCs/>
          <w:sz w:val="24"/>
          <w:szCs w:val="24"/>
        </w:rPr>
      </w:pPr>
    </w:p>
    <w:p w14:paraId="74D31916" w14:textId="77777777" w:rsidR="002027D2" w:rsidRPr="008D1712" w:rsidRDefault="002027D2" w:rsidP="008D1712">
      <w:pPr>
        <w:spacing w:line="480" w:lineRule="auto"/>
        <w:jc w:val="center"/>
        <w:rPr>
          <w:rFonts w:ascii="Arial" w:hAnsi="Arial" w:cs="Arial"/>
          <w:b/>
          <w:bCs/>
          <w:sz w:val="24"/>
          <w:szCs w:val="24"/>
        </w:rPr>
      </w:pPr>
    </w:p>
    <w:p w14:paraId="617653EE"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4788F28D" wp14:editId="6BCDEEF3">
            <wp:extent cx="5816774" cy="4161671"/>
            <wp:effectExtent l="0" t="0" r="0" b="0"/>
            <wp:docPr id="17568467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50528" cy="4185821"/>
                    </a:xfrm>
                    <a:prstGeom prst="rect">
                      <a:avLst/>
                    </a:prstGeom>
                    <a:noFill/>
                  </pic:spPr>
                </pic:pic>
              </a:graphicData>
            </a:graphic>
          </wp:inline>
        </w:drawing>
      </w:r>
    </w:p>
    <w:p w14:paraId="137EC3E1"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S3.2</w:t>
      </w:r>
      <w:r w:rsidRPr="006266DF">
        <w:rPr>
          <w:rFonts w:ascii="Arial" w:hAnsi="Arial" w:cs="Arial"/>
          <w:b/>
          <w:bCs/>
          <w:sz w:val="24"/>
          <w:szCs w:val="24"/>
        </w:rPr>
        <w:t>:</w:t>
      </w:r>
      <w:r w:rsidRPr="008D1712">
        <w:rPr>
          <w:rFonts w:ascii="Arial" w:hAnsi="Arial" w:cs="Arial"/>
          <w:sz w:val="24"/>
          <w:szCs w:val="24"/>
          <w:vertAlign w:val="superscript"/>
        </w:rPr>
        <w:t xml:space="preserve"> 1</w:t>
      </w:r>
      <w:r w:rsidRPr="008D1712">
        <w:rPr>
          <w:rFonts w:ascii="Arial" w:hAnsi="Arial" w:cs="Arial"/>
          <w:sz w:val="24"/>
          <w:szCs w:val="24"/>
        </w:rPr>
        <w:t xml:space="preserve">H NMR spectrum of </w:t>
      </w:r>
      <w:r w:rsidRPr="008D1712">
        <w:rPr>
          <w:rFonts w:ascii="Arial" w:hAnsi="Arial" w:cs="Arial"/>
          <w:b/>
          <w:bCs/>
          <w:sz w:val="24"/>
          <w:szCs w:val="24"/>
        </w:rPr>
        <w:t>compound 10.</w:t>
      </w:r>
    </w:p>
    <w:p w14:paraId="012D503B" w14:textId="77777777" w:rsidR="002027D2" w:rsidRPr="008D1712" w:rsidRDefault="002027D2" w:rsidP="008D1712">
      <w:pPr>
        <w:spacing w:line="480" w:lineRule="auto"/>
        <w:jc w:val="center"/>
        <w:rPr>
          <w:rFonts w:ascii="Arial" w:hAnsi="Arial" w:cs="Arial"/>
          <w:b/>
          <w:bCs/>
          <w:sz w:val="24"/>
          <w:szCs w:val="24"/>
        </w:rPr>
      </w:pPr>
    </w:p>
    <w:p w14:paraId="426B9178" w14:textId="77777777" w:rsidR="002027D2" w:rsidRPr="008D1712" w:rsidRDefault="002027D2" w:rsidP="008D1712">
      <w:pPr>
        <w:spacing w:line="480" w:lineRule="auto"/>
        <w:jc w:val="center"/>
        <w:rPr>
          <w:rFonts w:ascii="Arial" w:hAnsi="Arial" w:cs="Arial"/>
          <w:b/>
          <w:bCs/>
          <w:sz w:val="24"/>
          <w:szCs w:val="24"/>
        </w:rPr>
      </w:pPr>
    </w:p>
    <w:p w14:paraId="33B87E9D"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5654D76A" wp14:editId="0FD8D028">
            <wp:extent cx="5721883" cy="4229100"/>
            <wp:effectExtent l="0" t="0" r="0" b="0"/>
            <wp:docPr id="7823446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2">
                      <a:extLst>
                        <a:ext uri="{28A0092B-C50C-407E-A947-70E740481C1C}">
                          <a14:useLocalDpi xmlns:a14="http://schemas.microsoft.com/office/drawing/2010/main" val="0"/>
                        </a:ext>
                      </a:extLst>
                    </a:blip>
                    <a:srcRect t="5091" r="6288"/>
                    <a:stretch/>
                  </pic:blipFill>
                  <pic:spPr bwMode="auto">
                    <a:xfrm>
                      <a:off x="0" y="0"/>
                      <a:ext cx="5757869" cy="4255698"/>
                    </a:xfrm>
                    <a:prstGeom prst="rect">
                      <a:avLst/>
                    </a:prstGeom>
                    <a:noFill/>
                    <a:ln>
                      <a:noFill/>
                    </a:ln>
                    <a:extLst>
                      <a:ext uri="{53640926-AAD7-44D8-BBD7-CCE9431645EC}">
                        <a14:shadowObscured xmlns:a14="http://schemas.microsoft.com/office/drawing/2010/main"/>
                      </a:ext>
                    </a:extLst>
                  </pic:spPr>
                </pic:pic>
              </a:graphicData>
            </a:graphic>
          </wp:inline>
        </w:drawing>
      </w:r>
    </w:p>
    <w:p w14:paraId="47DE200E"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S3.3</w:t>
      </w:r>
      <w:r w:rsidRPr="006266DF">
        <w:rPr>
          <w:rFonts w:ascii="Arial" w:hAnsi="Arial" w:cs="Arial"/>
          <w:b/>
          <w:bCs/>
          <w:sz w:val="24"/>
          <w:szCs w:val="24"/>
        </w:rPr>
        <w:t>:</w:t>
      </w:r>
      <w:r w:rsidRPr="008D1712">
        <w:rPr>
          <w:rFonts w:ascii="Arial" w:hAnsi="Arial" w:cs="Arial"/>
          <w:sz w:val="24"/>
          <w:szCs w:val="24"/>
          <w:vertAlign w:val="superscript"/>
        </w:rPr>
        <w:t xml:space="preserve"> 1</w:t>
      </w:r>
      <w:r w:rsidRPr="008D1712">
        <w:rPr>
          <w:rFonts w:ascii="Arial" w:hAnsi="Arial" w:cs="Arial"/>
          <w:sz w:val="24"/>
          <w:szCs w:val="24"/>
        </w:rPr>
        <w:t xml:space="preserve">H NMR spectrum of </w:t>
      </w:r>
      <w:r w:rsidRPr="008D1712">
        <w:rPr>
          <w:rFonts w:ascii="Arial" w:hAnsi="Arial" w:cs="Arial"/>
          <w:b/>
          <w:bCs/>
          <w:sz w:val="24"/>
          <w:szCs w:val="24"/>
        </w:rPr>
        <w:t>compound 11A.</w:t>
      </w:r>
    </w:p>
    <w:p w14:paraId="2F809CD1" w14:textId="77777777" w:rsidR="002027D2" w:rsidRPr="008D1712" w:rsidRDefault="002027D2" w:rsidP="008D1712">
      <w:pPr>
        <w:spacing w:line="480" w:lineRule="auto"/>
        <w:jc w:val="center"/>
        <w:rPr>
          <w:rFonts w:ascii="Arial" w:hAnsi="Arial" w:cs="Arial"/>
          <w:b/>
          <w:bCs/>
          <w:sz w:val="24"/>
          <w:szCs w:val="24"/>
        </w:rPr>
      </w:pPr>
    </w:p>
    <w:p w14:paraId="740CCEB2" w14:textId="77777777" w:rsidR="002027D2" w:rsidRPr="008D1712" w:rsidRDefault="002027D2" w:rsidP="008D1712">
      <w:pPr>
        <w:spacing w:line="480" w:lineRule="auto"/>
        <w:jc w:val="center"/>
        <w:rPr>
          <w:rFonts w:ascii="Arial" w:hAnsi="Arial" w:cs="Arial"/>
          <w:b/>
          <w:bCs/>
          <w:sz w:val="24"/>
          <w:szCs w:val="24"/>
        </w:rPr>
      </w:pPr>
    </w:p>
    <w:p w14:paraId="2A627B86"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0BB64F6C" wp14:editId="6C11A13F">
            <wp:extent cx="5709339" cy="4482548"/>
            <wp:effectExtent l="0" t="0" r="5715" b="0"/>
            <wp:docPr id="9144822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1934" cy="4523842"/>
                    </a:xfrm>
                    <a:prstGeom prst="rect">
                      <a:avLst/>
                    </a:prstGeom>
                    <a:noFill/>
                  </pic:spPr>
                </pic:pic>
              </a:graphicData>
            </a:graphic>
          </wp:inline>
        </w:drawing>
      </w:r>
    </w:p>
    <w:p w14:paraId="1F299D12"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S3.4</w:t>
      </w:r>
      <w:r w:rsidRPr="006266DF">
        <w:rPr>
          <w:rFonts w:ascii="Arial" w:hAnsi="Arial" w:cs="Arial"/>
          <w:b/>
          <w:bCs/>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compound 11A.</w:t>
      </w:r>
    </w:p>
    <w:p w14:paraId="1A7B89C4" w14:textId="77777777" w:rsidR="002027D2" w:rsidRPr="008D1712" w:rsidRDefault="002027D2" w:rsidP="008D1712">
      <w:pPr>
        <w:spacing w:line="480" w:lineRule="auto"/>
        <w:jc w:val="center"/>
        <w:rPr>
          <w:rFonts w:ascii="Arial" w:hAnsi="Arial" w:cs="Arial"/>
          <w:b/>
          <w:bCs/>
          <w:sz w:val="24"/>
          <w:szCs w:val="24"/>
        </w:rPr>
      </w:pPr>
    </w:p>
    <w:p w14:paraId="1060EFF5" w14:textId="77777777" w:rsidR="002027D2" w:rsidRPr="008D1712" w:rsidRDefault="002027D2" w:rsidP="008D1712">
      <w:pPr>
        <w:spacing w:line="480" w:lineRule="auto"/>
        <w:jc w:val="center"/>
        <w:rPr>
          <w:rFonts w:ascii="Arial" w:hAnsi="Arial" w:cs="Arial"/>
          <w:b/>
          <w:bCs/>
          <w:sz w:val="24"/>
          <w:szCs w:val="24"/>
        </w:rPr>
      </w:pPr>
    </w:p>
    <w:p w14:paraId="71E255FA"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7B63E4DF" wp14:editId="425029EF">
            <wp:extent cx="5573841" cy="4114800"/>
            <wp:effectExtent l="0" t="0" r="8255" b="0"/>
            <wp:docPr id="14562450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94407" cy="4129982"/>
                    </a:xfrm>
                    <a:prstGeom prst="rect">
                      <a:avLst/>
                    </a:prstGeom>
                    <a:noFill/>
                  </pic:spPr>
                </pic:pic>
              </a:graphicData>
            </a:graphic>
          </wp:inline>
        </w:drawing>
      </w:r>
    </w:p>
    <w:p w14:paraId="13095F12"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S3.5</w:t>
      </w:r>
      <w:r w:rsidRPr="006266DF">
        <w:rPr>
          <w:rFonts w:ascii="Arial" w:hAnsi="Arial" w:cs="Arial"/>
          <w:b/>
          <w:bCs/>
          <w:sz w:val="24"/>
          <w:szCs w:val="24"/>
        </w:rPr>
        <w:t>:</w:t>
      </w:r>
      <w:r w:rsidRPr="008D1712">
        <w:rPr>
          <w:rFonts w:ascii="Arial" w:hAnsi="Arial" w:cs="Arial"/>
          <w:sz w:val="24"/>
          <w:szCs w:val="24"/>
          <w:vertAlign w:val="superscript"/>
        </w:rPr>
        <w:t xml:space="preserve"> 1</w:t>
      </w:r>
      <w:r w:rsidRPr="008D1712">
        <w:rPr>
          <w:rFonts w:ascii="Arial" w:hAnsi="Arial" w:cs="Arial"/>
          <w:sz w:val="24"/>
          <w:szCs w:val="24"/>
        </w:rPr>
        <w:t xml:space="preserve">H NMR spectrum of </w:t>
      </w:r>
      <w:r w:rsidRPr="008D1712">
        <w:rPr>
          <w:rFonts w:ascii="Arial" w:hAnsi="Arial" w:cs="Arial"/>
          <w:b/>
          <w:bCs/>
          <w:sz w:val="24"/>
          <w:szCs w:val="24"/>
        </w:rPr>
        <w:t>compound 11B.</w:t>
      </w:r>
    </w:p>
    <w:p w14:paraId="6990E3C5" w14:textId="77777777" w:rsidR="002027D2" w:rsidRPr="008D1712" w:rsidRDefault="002027D2" w:rsidP="008D1712">
      <w:pPr>
        <w:spacing w:line="480" w:lineRule="auto"/>
        <w:jc w:val="center"/>
        <w:rPr>
          <w:rFonts w:ascii="Arial" w:hAnsi="Arial" w:cs="Arial"/>
          <w:b/>
          <w:bCs/>
          <w:sz w:val="24"/>
          <w:szCs w:val="24"/>
        </w:rPr>
      </w:pPr>
    </w:p>
    <w:p w14:paraId="767ED92D" w14:textId="77777777" w:rsidR="002027D2" w:rsidRPr="008D1712" w:rsidRDefault="002027D2" w:rsidP="008D1712">
      <w:pPr>
        <w:spacing w:line="480" w:lineRule="auto"/>
        <w:jc w:val="center"/>
        <w:rPr>
          <w:rFonts w:ascii="Arial" w:hAnsi="Arial" w:cs="Arial"/>
          <w:b/>
          <w:bCs/>
          <w:sz w:val="24"/>
          <w:szCs w:val="24"/>
        </w:rPr>
      </w:pPr>
    </w:p>
    <w:p w14:paraId="7B5E80AA" w14:textId="77777777" w:rsidR="002027D2" w:rsidRPr="008D1712" w:rsidRDefault="002027D2" w:rsidP="008D1712">
      <w:pPr>
        <w:spacing w:line="480" w:lineRule="auto"/>
        <w:jc w:val="center"/>
        <w:rPr>
          <w:rFonts w:ascii="Arial" w:hAnsi="Arial" w:cs="Arial"/>
          <w:b/>
          <w:bCs/>
          <w:sz w:val="24"/>
          <w:szCs w:val="24"/>
        </w:rPr>
      </w:pPr>
    </w:p>
    <w:p w14:paraId="737AFA8F" w14:textId="77777777" w:rsidR="002027D2" w:rsidRPr="008D1712" w:rsidRDefault="002027D2" w:rsidP="008D1712">
      <w:pPr>
        <w:spacing w:line="480" w:lineRule="auto"/>
        <w:jc w:val="center"/>
        <w:rPr>
          <w:rFonts w:ascii="Arial" w:hAnsi="Arial" w:cs="Arial"/>
          <w:b/>
          <w:bCs/>
          <w:sz w:val="24"/>
          <w:szCs w:val="24"/>
        </w:rPr>
      </w:pPr>
    </w:p>
    <w:p w14:paraId="4FEB2314"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18659775" wp14:editId="0C7030FC">
            <wp:extent cx="5625049" cy="4457700"/>
            <wp:effectExtent l="0" t="0" r="0" b="0"/>
            <wp:docPr id="11505033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41512" cy="4470746"/>
                    </a:xfrm>
                    <a:prstGeom prst="rect">
                      <a:avLst/>
                    </a:prstGeom>
                    <a:noFill/>
                  </pic:spPr>
                </pic:pic>
              </a:graphicData>
            </a:graphic>
          </wp:inline>
        </w:drawing>
      </w:r>
    </w:p>
    <w:p w14:paraId="0AAD9C19"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S3.6</w:t>
      </w:r>
      <w:r w:rsidRPr="006266DF">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compound 11B.</w:t>
      </w:r>
    </w:p>
    <w:p w14:paraId="414A18CA" w14:textId="77777777" w:rsidR="002027D2" w:rsidRPr="008D1712" w:rsidRDefault="002027D2" w:rsidP="008D1712">
      <w:pPr>
        <w:spacing w:line="480" w:lineRule="auto"/>
        <w:jc w:val="center"/>
        <w:rPr>
          <w:rFonts w:ascii="Arial" w:hAnsi="Arial" w:cs="Arial"/>
          <w:b/>
          <w:bCs/>
          <w:sz w:val="24"/>
          <w:szCs w:val="24"/>
        </w:rPr>
      </w:pPr>
    </w:p>
    <w:p w14:paraId="52A5CF94" w14:textId="77777777" w:rsidR="002027D2" w:rsidRPr="008D1712" w:rsidRDefault="002027D2" w:rsidP="008D1712">
      <w:pPr>
        <w:spacing w:line="480" w:lineRule="auto"/>
        <w:jc w:val="center"/>
        <w:rPr>
          <w:rFonts w:ascii="Arial" w:hAnsi="Arial" w:cs="Arial"/>
          <w:b/>
          <w:bCs/>
          <w:sz w:val="24"/>
          <w:szCs w:val="24"/>
        </w:rPr>
      </w:pPr>
    </w:p>
    <w:p w14:paraId="3E194492" w14:textId="77777777" w:rsidR="002027D2" w:rsidRPr="008D1712" w:rsidRDefault="002027D2" w:rsidP="008D1712">
      <w:pPr>
        <w:spacing w:line="480" w:lineRule="auto"/>
        <w:jc w:val="center"/>
        <w:rPr>
          <w:rFonts w:ascii="Arial" w:hAnsi="Arial" w:cs="Arial"/>
          <w:b/>
          <w:bCs/>
          <w:sz w:val="24"/>
          <w:szCs w:val="24"/>
        </w:rPr>
      </w:pPr>
    </w:p>
    <w:p w14:paraId="6A686CC7" w14:textId="77777777" w:rsidR="002027D2" w:rsidRPr="008D1712" w:rsidRDefault="002027D2" w:rsidP="008D1712">
      <w:pPr>
        <w:spacing w:line="480" w:lineRule="auto"/>
        <w:jc w:val="center"/>
        <w:rPr>
          <w:rFonts w:ascii="Arial" w:hAnsi="Arial" w:cs="Arial"/>
          <w:b/>
          <w:bCs/>
          <w:sz w:val="24"/>
          <w:szCs w:val="24"/>
        </w:rPr>
      </w:pPr>
    </w:p>
    <w:p w14:paraId="43220308"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4713DFFB" wp14:editId="60846F02">
            <wp:extent cx="5685961" cy="4572000"/>
            <wp:effectExtent l="0" t="0" r="0" b="0"/>
            <wp:docPr id="2742572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6">
                      <a:extLst>
                        <a:ext uri="{28A0092B-C50C-407E-A947-70E740481C1C}">
                          <a14:useLocalDpi xmlns:a14="http://schemas.microsoft.com/office/drawing/2010/main" val="0"/>
                        </a:ext>
                      </a:extLst>
                    </a:blip>
                    <a:srcRect r="7113"/>
                    <a:stretch/>
                  </pic:blipFill>
                  <pic:spPr bwMode="auto">
                    <a:xfrm>
                      <a:off x="0" y="0"/>
                      <a:ext cx="5731182" cy="4608362"/>
                    </a:xfrm>
                    <a:prstGeom prst="rect">
                      <a:avLst/>
                    </a:prstGeom>
                    <a:noFill/>
                    <a:ln>
                      <a:noFill/>
                    </a:ln>
                    <a:extLst>
                      <a:ext uri="{53640926-AAD7-44D8-BBD7-CCE9431645EC}">
                        <a14:shadowObscured xmlns:a14="http://schemas.microsoft.com/office/drawing/2010/main"/>
                      </a:ext>
                    </a:extLst>
                  </pic:spPr>
                </pic:pic>
              </a:graphicData>
            </a:graphic>
          </wp:inline>
        </w:drawing>
      </w:r>
    </w:p>
    <w:p w14:paraId="0ADB2399"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w:t>
      </w:r>
      <w:r w:rsidRPr="006266DF">
        <w:rPr>
          <w:rFonts w:ascii="Arial" w:hAnsi="Arial" w:cs="Arial"/>
          <w:b/>
          <w:bCs/>
          <w:sz w:val="24"/>
          <w:szCs w:val="24"/>
        </w:rPr>
        <w:t>7:</w:t>
      </w:r>
      <w:r w:rsidRPr="008D1712">
        <w:rPr>
          <w:rFonts w:ascii="Arial" w:hAnsi="Arial" w:cs="Arial"/>
          <w:sz w:val="24"/>
          <w:szCs w:val="24"/>
          <w:vertAlign w:val="superscript"/>
        </w:rPr>
        <w:t xml:space="preserve"> 1</w:t>
      </w:r>
      <w:r w:rsidRPr="008D1712">
        <w:rPr>
          <w:rFonts w:ascii="Arial" w:hAnsi="Arial" w:cs="Arial"/>
          <w:sz w:val="24"/>
          <w:szCs w:val="24"/>
        </w:rPr>
        <w:t xml:space="preserve">H NMR spectrum of </w:t>
      </w:r>
      <w:r w:rsidRPr="008D1712">
        <w:rPr>
          <w:rFonts w:ascii="Arial" w:hAnsi="Arial" w:cs="Arial"/>
          <w:b/>
          <w:bCs/>
          <w:sz w:val="24"/>
          <w:szCs w:val="24"/>
        </w:rPr>
        <w:t>compound 12A.</w:t>
      </w:r>
    </w:p>
    <w:p w14:paraId="13F16852" w14:textId="77777777" w:rsidR="002027D2" w:rsidRPr="008D1712" w:rsidRDefault="002027D2" w:rsidP="008D1712">
      <w:pPr>
        <w:spacing w:line="480" w:lineRule="auto"/>
        <w:jc w:val="center"/>
        <w:rPr>
          <w:rFonts w:ascii="Arial" w:hAnsi="Arial" w:cs="Arial"/>
          <w:b/>
          <w:bCs/>
          <w:sz w:val="24"/>
          <w:szCs w:val="24"/>
        </w:rPr>
      </w:pPr>
    </w:p>
    <w:p w14:paraId="2F3BCD0F" w14:textId="77777777" w:rsidR="002027D2" w:rsidRPr="008D1712" w:rsidRDefault="002027D2" w:rsidP="008D1712">
      <w:pPr>
        <w:spacing w:line="480" w:lineRule="auto"/>
        <w:jc w:val="center"/>
        <w:rPr>
          <w:rFonts w:ascii="Arial" w:hAnsi="Arial" w:cs="Arial"/>
          <w:b/>
          <w:bCs/>
          <w:sz w:val="24"/>
          <w:szCs w:val="24"/>
        </w:rPr>
      </w:pPr>
    </w:p>
    <w:p w14:paraId="243685ED" w14:textId="77777777" w:rsidR="002027D2" w:rsidRPr="008D1712" w:rsidRDefault="002027D2" w:rsidP="008D1712">
      <w:pPr>
        <w:spacing w:line="480" w:lineRule="auto"/>
        <w:jc w:val="center"/>
        <w:rPr>
          <w:rFonts w:ascii="Arial" w:hAnsi="Arial" w:cs="Arial"/>
          <w:b/>
          <w:bCs/>
          <w:sz w:val="24"/>
          <w:szCs w:val="24"/>
        </w:rPr>
      </w:pPr>
    </w:p>
    <w:p w14:paraId="5ABCA7E4"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53A37CDD" wp14:editId="41F9FBA8">
            <wp:extent cx="5626200" cy="5029200"/>
            <wp:effectExtent l="0" t="0" r="0" b="0"/>
            <wp:docPr id="20531622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7">
                      <a:extLst>
                        <a:ext uri="{28A0092B-C50C-407E-A947-70E740481C1C}">
                          <a14:useLocalDpi xmlns:a14="http://schemas.microsoft.com/office/drawing/2010/main" val="0"/>
                        </a:ext>
                      </a:extLst>
                    </a:blip>
                    <a:srcRect r="13781" b="-573"/>
                    <a:stretch/>
                  </pic:blipFill>
                  <pic:spPr bwMode="auto">
                    <a:xfrm>
                      <a:off x="0" y="0"/>
                      <a:ext cx="5646989" cy="5047783"/>
                    </a:xfrm>
                    <a:prstGeom prst="rect">
                      <a:avLst/>
                    </a:prstGeom>
                    <a:noFill/>
                    <a:ln>
                      <a:noFill/>
                    </a:ln>
                    <a:extLst>
                      <a:ext uri="{53640926-AAD7-44D8-BBD7-CCE9431645EC}">
                        <a14:shadowObscured xmlns:a14="http://schemas.microsoft.com/office/drawing/2010/main"/>
                      </a:ext>
                    </a:extLst>
                  </pic:spPr>
                </pic:pic>
              </a:graphicData>
            </a:graphic>
          </wp:inline>
        </w:drawing>
      </w:r>
    </w:p>
    <w:p w14:paraId="1281CB05"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S3.8</w:t>
      </w:r>
      <w:r w:rsidRPr="006266DF">
        <w:rPr>
          <w:rFonts w:ascii="Arial" w:hAnsi="Arial" w:cs="Arial"/>
          <w:b/>
          <w:bCs/>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compound 12A.</w:t>
      </w:r>
    </w:p>
    <w:p w14:paraId="18563597" w14:textId="77777777" w:rsidR="002027D2" w:rsidRPr="008D1712" w:rsidRDefault="002027D2" w:rsidP="008D1712">
      <w:pPr>
        <w:spacing w:line="480" w:lineRule="auto"/>
        <w:jc w:val="center"/>
        <w:rPr>
          <w:rFonts w:ascii="Arial" w:hAnsi="Arial" w:cs="Arial"/>
          <w:b/>
          <w:bCs/>
          <w:sz w:val="24"/>
          <w:szCs w:val="24"/>
        </w:rPr>
      </w:pPr>
    </w:p>
    <w:p w14:paraId="3E52B33A" w14:textId="77777777" w:rsidR="002027D2" w:rsidRPr="008D1712" w:rsidRDefault="002027D2" w:rsidP="008D1712">
      <w:pPr>
        <w:spacing w:line="480" w:lineRule="auto"/>
        <w:jc w:val="center"/>
        <w:rPr>
          <w:rFonts w:ascii="Arial" w:hAnsi="Arial" w:cs="Arial"/>
          <w:b/>
          <w:bCs/>
          <w:sz w:val="24"/>
          <w:szCs w:val="24"/>
        </w:rPr>
      </w:pPr>
    </w:p>
    <w:p w14:paraId="05B29BF4" w14:textId="77777777" w:rsidR="002027D2" w:rsidRPr="008D1712" w:rsidRDefault="002027D2" w:rsidP="008D1712">
      <w:pPr>
        <w:spacing w:line="480" w:lineRule="auto"/>
        <w:jc w:val="center"/>
        <w:rPr>
          <w:rFonts w:ascii="Arial" w:hAnsi="Arial" w:cs="Arial"/>
          <w:b/>
          <w:bCs/>
          <w:sz w:val="24"/>
          <w:szCs w:val="24"/>
        </w:rPr>
      </w:pPr>
    </w:p>
    <w:p w14:paraId="301597FD" w14:textId="77777777" w:rsidR="002027D2" w:rsidRPr="008D1712" w:rsidRDefault="002027D2" w:rsidP="008D1712">
      <w:pPr>
        <w:spacing w:line="480" w:lineRule="auto"/>
        <w:jc w:val="center"/>
        <w:rPr>
          <w:rFonts w:ascii="Arial" w:hAnsi="Arial" w:cs="Arial"/>
          <w:b/>
          <w:bCs/>
          <w:sz w:val="24"/>
          <w:szCs w:val="24"/>
        </w:rPr>
      </w:pPr>
    </w:p>
    <w:p w14:paraId="47748F2A" w14:textId="77777777" w:rsidR="002027D2" w:rsidRPr="008D1712" w:rsidRDefault="002027D2" w:rsidP="008D1712">
      <w:pPr>
        <w:spacing w:line="480" w:lineRule="auto"/>
        <w:jc w:val="center"/>
        <w:rPr>
          <w:rFonts w:ascii="Arial" w:hAnsi="Arial" w:cs="Arial"/>
          <w:b/>
          <w:bCs/>
          <w:sz w:val="24"/>
          <w:szCs w:val="24"/>
        </w:rPr>
      </w:pPr>
    </w:p>
    <w:p w14:paraId="5DA51852" w14:textId="77777777" w:rsidR="002027D2" w:rsidRPr="008D1712" w:rsidRDefault="002027D2" w:rsidP="008D1712">
      <w:pPr>
        <w:spacing w:line="480" w:lineRule="auto"/>
        <w:jc w:val="center"/>
        <w:rPr>
          <w:rFonts w:ascii="Arial" w:hAnsi="Arial" w:cs="Arial"/>
          <w:b/>
          <w:bCs/>
          <w:sz w:val="24"/>
          <w:szCs w:val="24"/>
        </w:rPr>
      </w:pPr>
    </w:p>
    <w:p w14:paraId="21A2E85E" w14:textId="77777777" w:rsidR="002027D2" w:rsidRPr="008D1712" w:rsidRDefault="002027D2" w:rsidP="008D1712">
      <w:pPr>
        <w:spacing w:line="480" w:lineRule="auto"/>
        <w:jc w:val="center"/>
        <w:rPr>
          <w:rFonts w:ascii="Arial" w:hAnsi="Arial" w:cs="Arial"/>
          <w:b/>
          <w:bCs/>
          <w:sz w:val="24"/>
          <w:szCs w:val="24"/>
        </w:rPr>
      </w:pPr>
    </w:p>
    <w:p w14:paraId="01B92B2E" w14:textId="77777777" w:rsidR="002027D2" w:rsidRPr="008D1712" w:rsidRDefault="002027D2" w:rsidP="008D1712">
      <w:pPr>
        <w:spacing w:line="480" w:lineRule="auto"/>
        <w:jc w:val="center"/>
        <w:rPr>
          <w:rFonts w:ascii="Arial" w:hAnsi="Arial" w:cs="Arial"/>
          <w:b/>
          <w:bCs/>
          <w:sz w:val="24"/>
          <w:szCs w:val="24"/>
        </w:rPr>
      </w:pPr>
    </w:p>
    <w:p w14:paraId="37BA2CB3"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drawing>
          <wp:inline distT="0" distB="0" distL="0" distR="0" wp14:anchorId="2E383FE9" wp14:editId="3EF8AC5B">
            <wp:extent cx="5642513" cy="4572000"/>
            <wp:effectExtent l="0" t="0" r="0" b="0"/>
            <wp:docPr id="11539062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98">
                      <a:extLst>
                        <a:ext uri="{28A0092B-C50C-407E-A947-70E740481C1C}">
                          <a14:useLocalDpi xmlns:a14="http://schemas.microsoft.com/office/drawing/2010/main" val="0"/>
                        </a:ext>
                      </a:extLst>
                    </a:blip>
                    <a:srcRect r="8794"/>
                    <a:stretch/>
                  </pic:blipFill>
                  <pic:spPr bwMode="auto">
                    <a:xfrm>
                      <a:off x="0" y="0"/>
                      <a:ext cx="5665936" cy="4590979"/>
                    </a:xfrm>
                    <a:prstGeom prst="rect">
                      <a:avLst/>
                    </a:prstGeom>
                    <a:noFill/>
                    <a:ln>
                      <a:noFill/>
                    </a:ln>
                    <a:extLst>
                      <a:ext uri="{53640926-AAD7-44D8-BBD7-CCE9431645EC}">
                        <a14:shadowObscured xmlns:a14="http://schemas.microsoft.com/office/drawing/2010/main"/>
                      </a:ext>
                    </a:extLst>
                  </pic:spPr>
                </pic:pic>
              </a:graphicData>
            </a:graphic>
          </wp:inline>
        </w:drawing>
      </w:r>
    </w:p>
    <w:p w14:paraId="7C519037"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S3.9</w:t>
      </w:r>
      <w:r w:rsidRPr="006266DF">
        <w:rPr>
          <w:rFonts w:ascii="Arial" w:hAnsi="Arial" w:cs="Arial"/>
          <w:b/>
          <w:bCs/>
          <w:sz w:val="24"/>
          <w:szCs w:val="24"/>
        </w:rPr>
        <w:t>:</w:t>
      </w:r>
      <w:r w:rsidRPr="006266DF">
        <w:rPr>
          <w:rFonts w:ascii="Arial" w:hAnsi="Arial" w:cs="Arial"/>
          <w:b/>
          <w:bCs/>
          <w:sz w:val="24"/>
          <w:szCs w:val="24"/>
          <w:vertAlign w:val="superscript"/>
        </w:rPr>
        <w:t xml:space="preserve"> </w:t>
      </w:r>
      <w:r w:rsidRPr="008D1712">
        <w:rPr>
          <w:rFonts w:ascii="Arial" w:hAnsi="Arial" w:cs="Arial"/>
          <w:sz w:val="24"/>
          <w:szCs w:val="24"/>
          <w:vertAlign w:val="superscript"/>
        </w:rPr>
        <w:t>1</w:t>
      </w:r>
      <w:r w:rsidRPr="008D1712">
        <w:rPr>
          <w:rFonts w:ascii="Arial" w:hAnsi="Arial" w:cs="Arial"/>
          <w:sz w:val="24"/>
          <w:szCs w:val="24"/>
        </w:rPr>
        <w:t xml:space="preserve">H NMR spectrum of </w:t>
      </w:r>
      <w:r w:rsidRPr="008D1712">
        <w:rPr>
          <w:rFonts w:ascii="Arial" w:hAnsi="Arial" w:cs="Arial"/>
          <w:b/>
          <w:bCs/>
          <w:sz w:val="24"/>
          <w:szCs w:val="24"/>
        </w:rPr>
        <w:t>compound 12B.</w:t>
      </w:r>
    </w:p>
    <w:p w14:paraId="60167FDF" w14:textId="77777777" w:rsidR="002027D2" w:rsidRPr="008D1712" w:rsidRDefault="002027D2" w:rsidP="008D1712">
      <w:pPr>
        <w:spacing w:line="480" w:lineRule="auto"/>
        <w:jc w:val="center"/>
        <w:rPr>
          <w:rFonts w:ascii="Arial" w:hAnsi="Arial" w:cs="Arial"/>
          <w:b/>
          <w:bCs/>
          <w:sz w:val="24"/>
          <w:szCs w:val="24"/>
        </w:rPr>
      </w:pPr>
    </w:p>
    <w:p w14:paraId="5A346B72" w14:textId="77777777" w:rsidR="002027D2" w:rsidRPr="008D1712" w:rsidRDefault="002027D2" w:rsidP="008D1712">
      <w:pPr>
        <w:spacing w:line="480" w:lineRule="auto"/>
        <w:jc w:val="center"/>
        <w:rPr>
          <w:rFonts w:ascii="Arial" w:hAnsi="Arial" w:cs="Arial"/>
          <w:b/>
          <w:bCs/>
          <w:sz w:val="24"/>
          <w:szCs w:val="24"/>
        </w:rPr>
      </w:pPr>
    </w:p>
    <w:p w14:paraId="280AE1A9"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64F8E950" wp14:editId="3C1B7C20">
            <wp:extent cx="5723906" cy="5231343"/>
            <wp:effectExtent l="0" t="0" r="0" b="7620"/>
            <wp:docPr id="18828351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99">
                      <a:extLst>
                        <a:ext uri="{28A0092B-C50C-407E-A947-70E740481C1C}">
                          <a14:useLocalDpi xmlns:a14="http://schemas.microsoft.com/office/drawing/2010/main" val="0"/>
                        </a:ext>
                      </a:extLst>
                    </a:blip>
                    <a:srcRect r="26030"/>
                    <a:stretch/>
                  </pic:blipFill>
                  <pic:spPr bwMode="auto">
                    <a:xfrm>
                      <a:off x="0" y="0"/>
                      <a:ext cx="5743178" cy="5248957"/>
                    </a:xfrm>
                    <a:prstGeom prst="rect">
                      <a:avLst/>
                    </a:prstGeom>
                    <a:noFill/>
                    <a:ln>
                      <a:noFill/>
                    </a:ln>
                    <a:extLst>
                      <a:ext uri="{53640926-AAD7-44D8-BBD7-CCE9431645EC}">
                        <a14:shadowObscured xmlns:a14="http://schemas.microsoft.com/office/drawing/2010/main"/>
                      </a:ext>
                    </a:extLst>
                  </pic:spPr>
                </pic:pic>
              </a:graphicData>
            </a:graphic>
          </wp:inline>
        </w:drawing>
      </w:r>
    </w:p>
    <w:p w14:paraId="447FE3CA"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S3.10</w:t>
      </w:r>
      <w:r w:rsidRPr="006266DF">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compound 12B.</w:t>
      </w:r>
    </w:p>
    <w:p w14:paraId="79529C96" w14:textId="77777777" w:rsidR="002027D2" w:rsidRPr="008D1712" w:rsidRDefault="002027D2" w:rsidP="008D1712">
      <w:pPr>
        <w:spacing w:line="480" w:lineRule="auto"/>
        <w:jc w:val="center"/>
        <w:rPr>
          <w:rFonts w:ascii="Arial" w:hAnsi="Arial" w:cs="Arial"/>
          <w:b/>
          <w:bCs/>
          <w:sz w:val="24"/>
          <w:szCs w:val="24"/>
        </w:rPr>
      </w:pPr>
    </w:p>
    <w:p w14:paraId="714E2F62" w14:textId="77777777" w:rsidR="002027D2" w:rsidRPr="008D1712" w:rsidRDefault="002027D2" w:rsidP="008D1712">
      <w:pPr>
        <w:spacing w:line="480" w:lineRule="auto"/>
        <w:jc w:val="center"/>
        <w:rPr>
          <w:rFonts w:ascii="Arial" w:hAnsi="Arial" w:cs="Arial"/>
          <w:b/>
          <w:bCs/>
          <w:sz w:val="24"/>
          <w:szCs w:val="24"/>
        </w:rPr>
      </w:pPr>
    </w:p>
    <w:p w14:paraId="5F7CBD68"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0575BE35" wp14:editId="110E9DEC">
            <wp:extent cx="5715000" cy="4042399"/>
            <wp:effectExtent l="0" t="0" r="0" b="0"/>
            <wp:docPr id="167836990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00">
                      <a:extLst>
                        <a:ext uri="{28A0092B-C50C-407E-A947-70E740481C1C}">
                          <a14:useLocalDpi xmlns:a14="http://schemas.microsoft.com/office/drawing/2010/main" val="0"/>
                        </a:ext>
                      </a:extLst>
                    </a:blip>
                    <a:srcRect r="6367"/>
                    <a:stretch/>
                  </pic:blipFill>
                  <pic:spPr bwMode="auto">
                    <a:xfrm>
                      <a:off x="0" y="0"/>
                      <a:ext cx="5737282" cy="4058160"/>
                    </a:xfrm>
                    <a:prstGeom prst="rect">
                      <a:avLst/>
                    </a:prstGeom>
                    <a:noFill/>
                    <a:ln>
                      <a:noFill/>
                    </a:ln>
                    <a:extLst>
                      <a:ext uri="{53640926-AAD7-44D8-BBD7-CCE9431645EC}">
                        <a14:shadowObscured xmlns:a14="http://schemas.microsoft.com/office/drawing/2010/main"/>
                      </a:ext>
                    </a:extLst>
                  </pic:spPr>
                </pic:pic>
              </a:graphicData>
            </a:graphic>
          </wp:inline>
        </w:drawing>
      </w:r>
    </w:p>
    <w:p w14:paraId="4F7B33E5"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S3.1</w:t>
      </w:r>
      <w:r w:rsidRPr="006266DF">
        <w:rPr>
          <w:rFonts w:ascii="Arial" w:hAnsi="Arial" w:cs="Arial"/>
          <w:b/>
          <w:bCs/>
          <w:sz w:val="24"/>
          <w:szCs w:val="24"/>
        </w:rPr>
        <w:t>1:</w:t>
      </w:r>
      <w:r w:rsidRPr="008D1712">
        <w:rPr>
          <w:rFonts w:ascii="Arial" w:hAnsi="Arial" w:cs="Arial"/>
          <w:sz w:val="24"/>
          <w:szCs w:val="24"/>
          <w:vertAlign w:val="superscript"/>
        </w:rPr>
        <w:t xml:space="preserve"> 1</w:t>
      </w:r>
      <w:r w:rsidRPr="008D1712">
        <w:rPr>
          <w:rFonts w:ascii="Arial" w:hAnsi="Arial" w:cs="Arial"/>
          <w:sz w:val="24"/>
          <w:szCs w:val="24"/>
        </w:rPr>
        <w:t xml:space="preserve">H NMR spectrum of </w:t>
      </w:r>
      <w:r w:rsidRPr="008D1712">
        <w:rPr>
          <w:rFonts w:ascii="Arial" w:hAnsi="Arial" w:cs="Arial"/>
          <w:b/>
          <w:bCs/>
          <w:sz w:val="24"/>
          <w:szCs w:val="24"/>
        </w:rPr>
        <w:t>compound 13A.</w:t>
      </w:r>
    </w:p>
    <w:p w14:paraId="4482AE5C" w14:textId="77777777" w:rsidR="002027D2" w:rsidRPr="008D1712" w:rsidRDefault="002027D2" w:rsidP="008D1712">
      <w:pPr>
        <w:spacing w:line="480" w:lineRule="auto"/>
        <w:jc w:val="center"/>
        <w:rPr>
          <w:rFonts w:ascii="Arial" w:hAnsi="Arial" w:cs="Arial"/>
          <w:b/>
          <w:bCs/>
          <w:sz w:val="24"/>
          <w:szCs w:val="24"/>
        </w:rPr>
      </w:pPr>
    </w:p>
    <w:p w14:paraId="6467D4EA" w14:textId="77777777" w:rsidR="002027D2" w:rsidRPr="008D1712" w:rsidRDefault="002027D2" w:rsidP="008D1712">
      <w:pPr>
        <w:spacing w:line="480" w:lineRule="auto"/>
        <w:jc w:val="center"/>
        <w:rPr>
          <w:rFonts w:ascii="Arial" w:hAnsi="Arial" w:cs="Arial"/>
          <w:b/>
          <w:bCs/>
          <w:sz w:val="24"/>
          <w:szCs w:val="24"/>
        </w:rPr>
      </w:pPr>
    </w:p>
    <w:p w14:paraId="7E5FF882" w14:textId="77777777" w:rsidR="002027D2" w:rsidRPr="008D1712" w:rsidRDefault="002027D2" w:rsidP="008D1712">
      <w:pPr>
        <w:spacing w:line="480" w:lineRule="auto"/>
        <w:jc w:val="center"/>
        <w:rPr>
          <w:rFonts w:ascii="Arial" w:hAnsi="Arial" w:cs="Arial"/>
          <w:b/>
          <w:bCs/>
          <w:sz w:val="24"/>
          <w:szCs w:val="24"/>
        </w:rPr>
      </w:pPr>
    </w:p>
    <w:p w14:paraId="42CD9BD2" w14:textId="77777777" w:rsidR="002027D2" w:rsidRPr="008D1712" w:rsidRDefault="002027D2" w:rsidP="008D1712">
      <w:pPr>
        <w:spacing w:line="480" w:lineRule="auto"/>
        <w:jc w:val="center"/>
        <w:rPr>
          <w:rFonts w:ascii="Arial" w:hAnsi="Arial" w:cs="Arial"/>
          <w:b/>
          <w:bCs/>
          <w:sz w:val="24"/>
          <w:szCs w:val="24"/>
        </w:rPr>
      </w:pPr>
    </w:p>
    <w:p w14:paraId="64DFA639"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78CD0FB8" wp14:editId="6DE0ED64">
            <wp:extent cx="5843905" cy="4845757"/>
            <wp:effectExtent l="0" t="0" r="4445" b="0"/>
            <wp:docPr id="82903775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01">
                      <a:extLst>
                        <a:ext uri="{28A0092B-C50C-407E-A947-70E740481C1C}">
                          <a14:useLocalDpi xmlns:a14="http://schemas.microsoft.com/office/drawing/2010/main" val="0"/>
                        </a:ext>
                      </a:extLst>
                    </a:blip>
                    <a:srcRect t="2597" r="12912"/>
                    <a:stretch/>
                  </pic:blipFill>
                  <pic:spPr bwMode="auto">
                    <a:xfrm>
                      <a:off x="0" y="0"/>
                      <a:ext cx="5885837" cy="4880527"/>
                    </a:xfrm>
                    <a:prstGeom prst="rect">
                      <a:avLst/>
                    </a:prstGeom>
                    <a:noFill/>
                    <a:ln>
                      <a:noFill/>
                    </a:ln>
                    <a:extLst>
                      <a:ext uri="{53640926-AAD7-44D8-BBD7-CCE9431645EC}">
                        <a14:shadowObscured xmlns:a14="http://schemas.microsoft.com/office/drawing/2010/main"/>
                      </a:ext>
                    </a:extLst>
                  </pic:spPr>
                </pic:pic>
              </a:graphicData>
            </a:graphic>
          </wp:inline>
        </w:drawing>
      </w:r>
    </w:p>
    <w:p w14:paraId="72F8B7DD"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S3.12</w:t>
      </w:r>
      <w:r w:rsidRPr="006266DF">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compound 13A.</w:t>
      </w:r>
    </w:p>
    <w:p w14:paraId="4AB28D59" w14:textId="77777777" w:rsidR="002027D2" w:rsidRPr="008D1712" w:rsidRDefault="002027D2" w:rsidP="008D1712">
      <w:pPr>
        <w:spacing w:line="480" w:lineRule="auto"/>
        <w:jc w:val="center"/>
        <w:rPr>
          <w:rFonts w:ascii="Arial" w:hAnsi="Arial" w:cs="Arial"/>
          <w:b/>
          <w:bCs/>
          <w:sz w:val="24"/>
          <w:szCs w:val="24"/>
        </w:rPr>
      </w:pPr>
    </w:p>
    <w:p w14:paraId="3EE5771C" w14:textId="77777777" w:rsidR="002027D2" w:rsidRPr="008D1712" w:rsidRDefault="002027D2" w:rsidP="008D1712">
      <w:pPr>
        <w:spacing w:line="480" w:lineRule="auto"/>
        <w:jc w:val="center"/>
        <w:rPr>
          <w:rFonts w:ascii="Arial" w:hAnsi="Arial" w:cs="Arial"/>
          <w:b/>
          <w:bCs/>
          <w:sz w:val="24"/>
          <w:szCs w:val="24"/>
        </w:rPr>
      </w:pPr>
    </w:p>
    <w:p w14:paraId="0417369B" w14:textId="77777777" w:rsidR="002027D2" w:rsidRPr="008D1712" w:rsidRDefault="002027D2" w:rsidP="008D1712">
      <w:pPr>
        <w:spacing w:line="480" w:lineRule="auto"/>
        <w:jc w:val="center"/>
        <w:rPr>
          <w:rFonts w:ascii="Arial" w:hAnsi="Arial" w:cs="Arial"/>
          <w:b/>
          <w:bCs/>
          <w:sz w:val="24"/>
          <w:szCs w:val="24"/>
        </w:rPr>
      </w:pPr>
    </w:p>
    <w:p w14:paraId="09968C16"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690016BA" wp14:editId="4374D215">
            <wp:extent cx="5754757" cy="4618990"/>
            <wp:effectExtent l="0" t="0" r="0" b="0"/>
            <wp:docPr id="448426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2">
                      <a:extLst>
                        <a:ext uri="{28A0092B-C50C-407E-A947-70E740481C1C}">
                          <a14:useLocalDpi xmlns:a14="http://schemas.microsoft.com/office/drawing/2010/main" val="0"/>
                        </a:ext>
                      </a:extLst>
                    </a:blip>
                    <a:srcRect r="5269"/>
                    <a:stretch/>
                  </pic:blipFill>
                  <pic:spPr bwMode="auto">
                    <a:xfrm>
                      <a:off x="0" y="0"/>
                      <a:ext cx="5777151" cy="4636964"/>
                    </a:xfrm>
                    <a:prstGeom prst="rect">
                      <a:avLst/>
                    </a:prstGeom>
                    <a:noFill/>
                    <a:ln>
                      <a:noFill/>
                    </a:ln>
                    <a:extLst>
                      <a:ext uri="{53640926-AAD7-44D8-BBD7-CCE9431645EC}">
                        <a14:shadowObscured xmlns:a14="http://schemas.microsoft.com/office/drawing/2010/main"/>
                      </a:ext>
                    </a:extLst>
                  </pic:spPr>
                </pic:pic>
              </a:graphicData>
            </a:graphic>
          </wp:inline>
        </w:drawing>
      </w:r>
    </w:p>
    <w:p w14:paraId="6F88EF2C"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S3.13</w:t>
      </w:r>
      <w:r w:rsidRPr="006266DF">
        <w:rPr>
          <w:rFonts w:ascii="Arial" w:hAnsi="Arial" w:cs="Arial"/>
          <w:b/>
          <w:bCs/>
          <w:sz w:val="24"/>
          <w:szCs w:val="24"/>
        </w:rPr>
        <w:t>:</w:t>
      </w:r>
      <w:r w:rsidRPr="008D1712">
        <w:rPr>
          <w:rFonts w:ascii="Arial" w:hAnsi="Arial" w:cs="Arial"/>
          <w:sz w:val="24"/>
          <w:szCs w:val="24"/>
          <w:vertAlign w:val="superscript"/>
        </w:rPr>
        <w:t xml:space="preserve"> 1</w:t>
      </w:r>
      <w:r w:rsidRPr="008D1712">
        <w:rPr>
          <w:rFonts w:ascii="Arial" w:hAnsi="Arial" w:cs="Arial"/>
          <w:sz w:val="24"/>
          <w:szCs w:val="24"/>
        </w:rPr>
        <w:t xml:space="preserve">H NMR spectrum of </w:t>
      </w:r>
      <w:r w:rsidRPr="008D1712">
        <w:rPr>
          <w:rFonts w:ascii="Arial" w:hAnsi="Arial" w:cs="Arial"/>
          <w:b/>
          <w:bCs/>
          <w:sz w:val="24"/>
          <w:szCs w:val="24"/>
        </w:rPr>
        <w:t>compound 13B.</w:t>
      </w:r>
    </w:p>
    <w:p w14:paraId="734C5A40" w14:textId="77777777" w:rsidR="002027D2" w:rsidRPr="008D1712" w:rsidRDefault="002027D2" w:rsidP="008D1712">
      <w:pPr>
        <w:spacing w:line="480" w:lineRule="auto"/>
        <w:jc w:val="center"/>
        <w:rPr>
          <w:rFonts w:ascii="Arial" w:hAnsi="Arial" w:cs="Arial"/>
          <w:b/>
          <w:bCs/>
          <w:sz w:val="24"/>
          <w:szCs w:val="24"/>
        </w:rPr>
      </w:pPr>
    </w:p>
    <w:p w14:paraId="532F3F69" w14:textId="77777777" w:rsidR="002027D2" w:rsidRPr="008D1712" w:rsidRDefault="002027D2" w:rsidP="008D1712">
      <w:pPr>
        <w:spacing w:line="480" w:lineRule="auto"/>
        <w:jc w:val="center"/>
        <w:rPr>
          <w:rFonts w:ascii="Arial" w:hAnsi="Arial" w:cs="Arial"/>
          <w:b/>
          <w:bCs/>
          <w:sz w:val="24"/>
          <w:szCs w:val="24"/>
        </w:rPr>
      </w:pPr>
    </w:p>
    <w:p w14:paraId="56A08A37"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73AC5AC6" wp14:editId="36235464">
            <wp:extent cx="5754757" cy="5043170"/>
            <wp:effectExtent l="0" t="0" r="0" b="5080"/>
            <wp:docPr id="3899171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03">
                      <a:extLst>
                        <a:ext uri="{28A0092B-C50C-407E-A947-70E740481C1C}">
                          <a14:useLocalDpi xmlns:a14="http://schemas.microsoft.com/office/drawing/2010/main" val="0"/>
                        </a:ext>
                      </a:extLst>
                    </a:blip>
                    <a:srcRect r="4595"/>
                    <a:stretch/>
                  </pic:blipFill>
                  <pic:spPr bwMode="auto">
                    <a:xfrm>
                      <a:off x="0" y="0"/>
                      <a:ext cx="5791262" cy="5075161"/>
                    </a:xfrm>
                    <a:prstGeom prst="rect">
                      <a:avLst/>
                    </a:prstGeom>
                    <a:noFill/>
                    <a:ln>
                      <a:noFill/>
                    </a:ln>
                    <a:extLst>
                      <a:ext uri="{53640926-AAD7-44D8-BBD7-CCE9431645EC}">
                        <a14:shadowObscured xmlns:a14="http://schemas.microsoft.com/office/drawing/2010/main"/>
                      </a:ext>
                    </a:extLst>
                  </pic:spPr>
                </pic:pic>
              </a:graphicData>
            </a:graphic>
          </wp:inline>
        </w:drawing>
      </w:r>
    </w:p>
    <w:p w14:paraId="67E34F79"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S3.14</w:t>
      </w:r>
      <w:r w:rsidRPr="006266DF">
        <w:rPr>
          <w:rFonts w:ascii="Arial" w:hAnsi="Arial" w:cs="Arial"/>
          <w:b/>
          <w:bCs/>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compound 13B.</w:t>
      </w:r>
    </w:p>
    <w:p w14:paraId="166CB997" w14:textId="77777777" w:rsidR="002027D2" w:rsidRPr="008D1712" w:rsidRDefault="002027D2" w:rsidP="008D1712">
      <w:pPr>
        <w:spacing w:line="480" w:lineRule="auto"/>
        <w:jc w:val="center"/>
        <w:rPr>
          <w:rFonts w:ascii="Arial" w:hAnsi="Arial" w:cs="Arial"/>
          <w:b/>
          <w:bCs/>
          <w:sz w:val="24"/>
          <w:szCs w:val="24"/>
        </w:rPr>
      </w:pPr>
    </w:p>
    <w:p w14:paraId="64188728" w14:textId="77777777" w:rsidR="002027D2" w:rsidRPr="008D1712" w:rsidRDefault="002027D2" w:rsidP="008D1712">
      <w:pPr>
        <w:spacing w:line="480" w:lineRule="auto"/>
        <w:jc w:val="center"/>
        <w:rPr>
          <w:rFonts w:ascii="Arial" w:hAnsi="Arial" w:cs="Arial"/>
          <w:b/>
          <w:bCs/>
          <w:sz w:val="24"/>
          <w:szCs w:val="24"/>
        </w:rPr>
      </w:pPr>
    </w:p>
    <w:p w14:paraId="1C05F74E" w14:textId="77777777" w:rsidR="002027D2" w:rsidRPr="008D1712" w:rsidRDefault="002027D2" w:rsidP="008D1712">
      <w:pPr>
        <w:spacing w:line="480" w:lineRule="auto"/>
        <w:jc w:val="center"/>
        <w:rPr>
          <w:rFonts w:ascii="Arial" w:hAnsi="Arial" w:cs="Arial"/>
          <w:b/>
          <w:bCs/>
          <w:sz w:val="24"/>
          <w:szCs w:val="24"/>
        </w:rPr>
      </w:pPr>
    </w:p>
    <w:p w14:paraId="2BED22C9"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046960EA" wp14:editId="59B7A9A7">
            <wp:extent cx="5723906" cy="4883062"/>
            <wp:effectExtent l="0" t="0" r="0" b="0"/>
            <wp:docPr id="1986596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48374" cy="4903935"/>
                    </a:xfrm>
                    <a:prstGeom prst="rect">
                      <a:avLst/>
                    </a:prstGeom>
                    <a:noFill/>
                  </pic:spPr>
                </pic:pic>
              </a:graphicData>
            </a:graphic>
          </wp:inline>
        </w:drawing>
      </w:r>
    </w:p>
    <w:p w14:paraId="435C3C61" w14:textId="77777777" w:rsidR="002027D2" w:rsidRPr="008D1712" w:rsidRDefault="002027D2" w:rsidP="008D1712">
      <w:pPr>
        <w:spacing w:line="480" w:lineRule="auto"/>
        <w:jc w:val="center"/>
        <w:rPr>
          <w:rFonts w:ascii="Arial" w:hAnsi="Arial" w:cs="Arial"/>
          <w:b/>
          <w:bCs/>
          <w:sz w:val="24"/>
          <w:szCs w:val="24"/>
        </w:rPr>
      </w:pPr>
    </w:p>
    <w:p w14:paraId="44853A64"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S3.15</w:t>
      </w:r>
      <w:r w:rsidRPr="006266DF">
        <w:rPr>
          <w:rFonts w:ascii="Arial" w:hAnsi="Arial" w:cs="Arial"/>
          <w:b/>
          <w:bCs/>
          <w:sz w:val="24"/>
          <w:szCs w:val="24"/>
        </w:rPr>
        <w:t>:</w:t>
      </w:r>
      <w:r w:rsidRPr="008D1712">
        <w:rPr>
          <w:rFonts w:ascii="Arial" w:hAnsi="Arial" w:cs="Arial"/>
          <w:sz w:val="24"/>
          <w:szCs w:val="24"/>
          <w:vertAlign w:val="superscript"/>
        </w:rPr>
        <w:t xml:space="preserve"> 1</w:t>
      </w:r>
      <w:r w:rsidRPr="008D1712">
        <w:rPr>
          <w:rFonts w:ascii="Arial" w:hAnsi="Arial" w:cs="Arial"/>
          <w:sz w:val="24"/>
          <w:szCs w:val="24"/>
        </w:rPr>
        <w:t xml:space="preserve">H NMR spectrum of </w:t>
      </w:r>
      <w:r w:rsidRPr="008D1712">
        <w:rPr>
          <w:rFonts w:ascii="Arial" w:hAnsi="Arial" w:cs="Arial"/>
          <w:b/>
          <w:bCs/>
          <w:sz w:val="24"/>
          <w:szCs w:val="24"/>
        </w:rPr>
        <w:t>compound 14A.</w:t>
      </w:r>
    </w:p>
    <w:p w14:paraId="461DF069" w14:textId="77777777" w:rsidR="002027D2" w:rsidRPr="008D1712" w:rsidRDefault="002027D2" w:rsidP="008D1712">
      <w:pPr>
        <w:spacing w:line="480" w:lineRule="auto"/>
        <w:jc w:val="center"/>
        <w:rPr>
          <w:rFonts w:ascii="Arial" w:hAnsi="Arial" w:cs="Arial"/>
          <w:b/>
          <w:bCs/>
          <w:sz w:val="24"/>
          <w:szCs w:val="24"/>
        </w:rPr>
      </w:pPr>
    </w:p>
    <w:p w14:paraId="059CBD12" w14:textId="77777777" w:rsidR="002027D2" w:rsidRPr="008D1712" w:rsidRDefault="002027D2" w:rsidP="008D1712">
      <w:pPr>
        <w:spacing w:line="480" w:lineRule="auto"/>
        <w:jc w:val="center"/>
        <w:rPr>
          <w:rFonts w:ascii="Arial" w:hAnsi="Arial" w:cs="Arial"/>
          <w:b/>
          <w:bCs/>
          <w:sz w:val="24"/>
          <w:szCs w:val="24"/>
        </w:rPr>
      </w:pPr>
    </w:p>
    <w:p w14:paraId="690E159B" w14:textId="77777777" w:rsidR="002027D2" w:rsidRPr="008D1712" w:rsidRDefault="002027D2" w:rsidP="008D1712">
      <w:pPr>
        <w:spacing w:line="480" w:lineRule="auto"/>
        <w:jc w:val="center"/>
        <w:rPr>
          <w:rFonts w:ascii="Arial" w:hAnsi="Arial" w:cs="Arial"/>
          <w:b/>
          <w:bCs/>
          <w:sz w:val="24"/>
          <w:szCs w:val="24"/>
        </w:rPr>
      </w:pPr>
    </w:p>
    <w:p w14:paraId="5C5FD2BE" w14:textId="77777777" w:rsidR="002027D2" w:rsidRPr="008D1712" w:rsidRDefault="002027D2" w:rsidP="008D1712">
      <w:pPr>
        <w:spacing w:line="480" w:lineRule="auto"/>
        <w:jc w:val="center"/>
        <w:rPr>
          <w:rFonts w:ascii="Arial" w:hAnsi="Arial" w:cs="Arial"/>
          <w:b/>
          <w:bCs/>
          <w:sz w:val="24"/>
          <w:szCs w:val="24"/>
        </w:rPr>
      </w:pPr>
    </w:p>
    <w:p w14:paraId="6324B164"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75F451CB" wp14:editId="38F2C8B1">
            <wp:extent cx="5510151" cy="4901059"/>
            <wp:effectExtent l="0" t="0" r="0" b="0"/>
            <wp:docPr id="19402995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531127" cy="4919716"/>
                    </a:xfrm>
                    <a:prstGeom prst="rect">
                      <a:avLst/>
                    </a:prstGeom>
                    <a:noFill/>
                  </pic:spPr>
                </pic:pic>
              </a:graphicData>
            </a:graphic>
          </wp:inline>
        </w:drawing>
      </w:r>
    </w:p>
    <w:p w14:paraId="11B63886"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S3.16</w:t>
      </w:r>
      <w:r w:rsidRPr="006266DF">
        <w:rPr>
          <w:rFonts w:ascii="Arial" w:hAnsi="Arial" w:cs="Arial"/>
          <w:b/>
          <w:bCs/>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compound 14A.</w:t>
      </w:r>
    </w:p>
    <w:p w14:paraId="16A33570" w14:textId="77777777" w:rsidR="002027D2" w:rsidRPr="008D1712" w:rsidRDefault="002027D2" w:rsidP="008D1712">
      <w:pPr>
        <w:spacing w:line="480" w:lineRule="auto"/>
        <w:jc w:val="center"/>
        <w:rPr>
          <w:rFonts w:ascii="Arial" w:hAnsi="Arial" w:cs="Arial"/>
          <w:b/>
          <w:bCs/>
          <w:sz w:val="24"/>
          <w:szCs w:val="24"/>
        </w:rPr>
      </w:pPr>
    </w:p>
    <w:p w14:paraId="0E45CB7A" w14:textId="77777777" w:rsidR="002027D2" w:rsidRPr="008D1712" w:rsidRDefault="002027D2" w:rsidP="008D1712">
      <w:pPr>
        <w:spacing w:line="480" w:lineRule="auto"/>
        <w:jc w:val="center"/>
        <w:rPr>
          <w:rFonts w:ascii="Arial" w:hAnsi="Arial" w:cs="Arial"/>
          <w:b/>
          <w:bCs/>
          <w:sz w:val="24"/>
          <w:szCs w:val="24"/>
        </w:rPr>
      </w:pPr>
    </w:p>
    <w:p w14:paraId="269BCD3B" w14:textId="77777777" w:rsidR="002027D2" w:rsidRPr="008D1712" w:rsidRDefault="002027D2" w:rsidP="008D1712">
      <w:pPr>
        <w:spacing w:line="480" w:lineRule="auto"/>
        <w:jc w:val="center"/>
        <w:rPr>
          <w:rFonts w:ascii="Arial" w:hAnsi="Arial" w:cs="Arial"/>
          <w:b/>
          <w:bCs/>
          <w:sz w:val="24"/>
          <w:szCs w:val="24"/>
        </w:rPr>
      </w:pPr>
    </w:p>
    <w:p w14:paraId="421D15F8" w14:textId="77777777" w:rsidR="002027D2" w:rsidRPr="008D1712" w:rsidRDefault="002027D2" w:rsidP="008D1712">
      <w:pPr>
        <w:spacing w:line="480" w:lineRule="auto"/>
        <w:jc w:val="center"/>
        <w:rPr>
          <w:rFonts w:ascii="Arial" w:hAnsi="Arial" w:cs="Arial"/>
          <w:b/>
          <w:bCs/>
          <w:sz w:val="24"/>
          <w:szCs w:val="24"/>
        </w:rPr>
      </w:pPr>
    </w:p>
    <w:p w14:paraId="70E09425" w14:textId="77777777" w:rsidR="002027D2" w:rsidRPr="008D1712" w:rsidRDefault="002027D2" w:rsidP="008D1712">
      <w:pPr>
        <w:spacing w:line="480" w:lineRule="auto"/>
        <w:jc w:val="center"/>
        <w:rPr>
          <w:rFonts w:ascii="Arial" w:hAnsi="Arial" w:cs="Arial"/>
          <w:b/>
          <w:bCs/>
          <w:sz w:val="24"/>
          <w:szCs w:val="24"/>
        </w:rPr>
      </w:pPr>
    </w:p>
    <w:p w14:paraId="72A05376" w14:textId="77777777" w:rsidR="002027D2" w:rsidRPr="008D1712" w:rsidRDefault="002027D2" w:rsidP="008D1712">
      <w:pPr>
        <w:spacing w:line="480" w:lineRule="auto"/>
        <w:jc w:val="center"/>
        <w:rPr>
          <w:rFonts w:ascii="Arial" w:hAnsi="Arial" w:cs="Arial"/>
          <w:b/>
          <w:bCs/>
          <w:sz w:val="24"/>
          <w:szCs w:val="24"/>
        </w:rPr>
      </w:pPr>
    </w:p>
    <w:p w14:paraId="0BAED82C"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5509F029" wp14:editId="794F4822">
            <wp:extent cx="5829300" cy="4784069"/>
            <wp:effectExtent l="0" t="0" r="0" b="0"/>
            <wp:docPr id="160157035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71940" cy="4819063"/>
                    </a:xfrm>
                    <a:prstGeom prst="rect">
                      <a:avLst/>
                    </a:prstGeom>
                    <a:noFill/>
                  </pic:spPr>
                </pic:pic>
              </a:graphicData>
            </a:graphic>
          </wp:inline>
        </w:drawing>
      </w:r>
    </w:p>
    <w:p w14:paraId="4DA7BEAA"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S3.17</w:t>
      </w:r>
      <w:r w:rsidRPr="006266DF">
        <w:rPr>
          <w:rFonts w:ascii="Arial" w:hAnsi="Arial" w:cs="Arial"/>
          <w:b/>
          <w:bCs/>
          <w:sz w:val="24"/>
          <w:szCs w:val="24"/>
        </w:rPr>
        <w:t>:</w:t>
      </w:r>
      <w:r w:rsidRPr="006266DF">
        <w:rPr>
          <w:rFonts w:ascii="Arial" w:hAnsi="Arial" w:cs="Arial"/>
          <w:b/>
          <w:bCs/>
          <w:sz w:val="24"/>
          <w:szCs w:val="24"/>
          <w:vertAlign w:val="superscript"/>
        </w:rPr>
        <w:t xml:space="preserve"> </w:t>
      </w:r>
      <w:r w:rsidRPr="008D1712">
        <w:rPr>
          <w:rFonts w:ascii="Arial" w:hAnsi="Arial" w:cs="Arial"/>
          <w:sz w:val="24"/>
          <w:szCs w:val="24"/>
          <w:vertAlign w:val="superscript"/>
        </w:rPr>
        <w:t>1</w:t>
      </w:r>
      <w:r w:rsidRPr="008D1712">
        <w:rPr>
          <w:rFonts w:ascii="Arial" w:hAnsi="Arial" w:cs="Arial"/>
          <w:sz w:val="24"/>
          <w:szCs w:val="24"/>
        </w:rPr>
        <w:t xml:space="preserve">H NMR spectrum of </w:t>
      </w:r>
      <w:r w:rsidRPr="008D1712">
        <w:rPr>
          <w:rFonts w:ascii="Arial" w:hAnsi="Arial" w:cs="Arial"/>
          <w:b/>
          <w:bCs/>
          <w:sz w:val="24"/>
          <w:szCs w:val="24"/>
        </w:rPr>
        <w:t>compound 14B.</w:t>
      </w:r>
    </w:p>
    <w:p w14:paraId="374A5FD1" w14:textId="77777777" w:rsidR="002027D2" w:rsidRPr="008D1712" w:rsidRDefault="002027D2" w:rsidP="008D1712">
      <w:pPr>
        <w:spacing w:line="480" w:lineRule="auto"/>
        <w:jc w:val="center"/>
        <w:rPr>
          <w:rFonts w:ascii="Arial" w:hAnsi="Arial" w:cs="Arial"/>
          <w:b/>
          <w:bCs/>
          <w:sz w:val="24"/>
          <w:szCs w:val="24"/>
        </w:rPr>
      </w:pPr>
    </w:p>
    <w:p w14:paraId="3B4AA985" w14:textId="77777777" w:rsidR="002027D2" w:rsidRPr="008D1712" w:rsidRDefault="002027D2" w:rsidP="008D1712">
      <w:pPr>
        <w:spacing w:line="480" w:lineRule="auto"/>
        <w:jc w:val="center"/>
        <w:rPr>
          <w:rFonts w:ascii="Arial" w:hAnsi="Arial" w:cs="Arial"/>
          <w:b/>
          <w:bCs/>
          <w:sz w:val="24"/>
          <w:szCs w:val="24"/>
        </w:rPr>
      </w:pPr>
    </w:p>
    <w:p w14:paraId="3A562FEE" w14:textId="77777777" w:rsidR="002027D2" w:rsidRPr="008D1712" w:rsidRDefault="002027D2" w:rsidP="008D1712">
      <w:pPr>
        <w:spacing w:line="480" w:lineRule="auto"/>
        <w:jc w:val="center"/>
        <w:rPr>
          <w:rFonts w:ascii="Arial" w:hAnsi="Arial" w:cs="Arial"/>
          <w:b/>
          <w:bCs/>
          <w:sz w:val="24"/>
          <w:szCs w:val="24"/>
        </w:rPr>
      </w:pPr>
    </w:p>
    <w:p w14:paraId="1779846C" w14:textId="77777777" w:rsidR="002027D2" w:rsidRPr="008D1712" w:rsidRDefault="002027D2" w:rsidP="008D1712">
      <w:pPr>
        <w:spacing w:line="480" w:lineRule="auto"/>
        <w:jc w:val="center"/>
        <w:rPr>
          <w:rFonts w:ascii="Arial" w:hAnsi="Arial" w:cs="Arial"/>
          <w:b/>
          <w:bCs/>
          <w:sz w:val="24"/>
          <w:szCs w:val="24"/>
        </w:rPr>
      </w:pPr>
    </w:p>
    <w:p w14:paraId="2BD9D73C" w14:textId="77777777" w:rsidR="002027D2" w:rsidRPr="008D1712" w:rsidRDefault="002027D2" w:rsidP="008D1712">
      <w:pPr>
        <w:spacing w:line="480" w:lineRule="auto"/>
        <w:jc w:val="center"/>
        <w:rPr>
          <w:rFonts w:ascii="Arial" w:hAnsi="Arial" w:cs="Arial"/>
          <w:b/>
          <w:bCs/>
          <w:sz w:val="24"/>
          <w:szCs w:val="24"/>
        </w:rPr>
      </w:pPr>
    </w:p>
    <w:p w14:paraId="5F22F4E2" w14:textId="77777777" w:rsidR="002027D2" w:rsidRPr="008D1712" w:rsidRDefault="002027D2" w:rsidP="008D1712">
      <w:pPr>
        <w:spacing w:line="480" w:lineRule="auto"/>
        <w:jc w:val="center"/>
        <w:rPr>
          <w:rFonts w:ascii="Arial" w:hAnsi="Arial" w:cs="Arial"/>
          <w:b/>
          <w:bCs/>
          <w:sz w:val="24"/>
          <w:szCs w:val="24"/>
        </w:rPr>
      </w:pPr>
    </w:p>
    <w:p w14:paraId="5B196501"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718F2820" wp14:editId="1C03437F">
            <wp:extent cx="5775813" cy="4239491"/>
            <wp:effectExtent l="0" t="0" r="0" b="8890"/>
            <wp:docPr id="20065508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830896" cy="4279922"/>
                    </a:xfrm>
                    <a:prstGeom prst="rect">
                      <a:avLst/>
                    </a:prstGeom>
                    <a:noFill/>
                  </pic:spPr>
                </pic:pic>
              </a:graphicData>
            </a:graphic>
          </wp:inline>
        </w:drawing>
      </w:r>
    </w:p>
    <w:p w14:paraId="7844CE92" w14:textId="77777777" w:rsidR="002027D2" w:rsidRPr="008D1712" w:rsidRDefault="002027D2" w:rsidP="00297884">
      <w:pPr>
        <w:spacing w:line="480"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S3.18</w:t>
      </w:r>
      <w:r w:rsidRPr="006266DF">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sz w:val="24"/>
          <w:szCs w:val="24"/>
          <w:vertAlign w:val="superscript"/>
        </w:rPr>
        <w:t>13</w:t>
      </w:r>
      <w:r w:rsidRPr="008D1712">
        <w:rPr>
          <w:rFonts w:ascii="Arial" w:hAnsi="Arial" w:cs="Arial"/>
          <w:sz w:val="24"/>
          <w:szCs w:val="24"/>
        </w:rPr>
        <w:t xml:space="preserve">C NMR spectrum of </w:t>
      </w:r>
      <w:r w:rsidRPr="008D1712">
        <w:rPr>
          <w:rFonts w:ascii="Arial" w:hAnsi="Arial" w:cs="Arial"/>
          <w:b/>
          <w:bCs/>
          <w:sz w:val="24"/>
          <w:szCs w:val="24"/>
        </w:rPr>
        <w:t>compound 14B.</w:t>
      </w:r>
    </w:p>
    <w:p w14:paraId="02B5B6DF" w14:textId="77777777" w:rsidR="002027D2" w:rsidRPr="008D1712" w:rsidRDefault="002027D2" w:rsidP="008D1712">
      <w:pPr>
        <w:spacing w:line="480" w:lineRule="auto"/>
        <w:jc w:val="center"/>
        <w:rPr>
          <w:rFonts w:ascii="Arial" w:hAnsi="Arial" w:cs="Arial"/>
          <w:b/>
          <w:bCs/>
          <w:sz w:val="24"/>
          <w:szCs w:val="24"/>
        </w:rPr>
      </w:pPr>
    </w:p>
    <w:p w14:paraId="103537FF" w14:textId="77777777" w:rsidR="002027D2" w:rsidRPr="008D1712" w:rsidRDefault="002027D2" w:rsidP="008D1712">
      <w:pPr>
        <w:spacing w:line="480" w:lineRule="auto"/>
        <w:jc w:val="center"/>
        <w:rPr>
          <w:rFonts w:ascii="Arial" w:hAnsi="Arial" w:cs="Arial"/>
          <w:b/>
          <w:bCs/>
          <w:sz w:val="24"/>
          <w:szCs w:val="24"/>
        </w:rPr>
      </w:pPr>
    </w:p>
    <w:p w14:paraId="64B1E0D8" w14:textId="77777777" w:rsidR="002027D2" w:rsidRPr="008D1712" w:rsidRDefault="002027D2" w:rsidP="008D1712">
      <w:pPr>
        <w:spacing w:line="480" w:lineRule="auto"/>
        <w:jc w:val="center"/>
        <w:rPr>
          <w:rFonts w:ascii="Arial" w:hAnsi="Arial" w:cs="Arial"/>
          <w:b/>
          <w:bCs/>
          <w:sz w:val="24"/>
          <w:szCs w:val="24"/>
        </w:rPr>
      </w:pPr>
    </w:p>
    <w:p w14:paraId="170B9996" w14:textId="77777777" w:rsidR="002027D2" w:rsidRDefault="002027D2" w:rsidP="008D1712">
      <w:pPr>
        <w:spacing w:line="480" w:lineRule="auto"/>
        <w:jc w:val="center"/>
        <w:rPr>
          <w:rFonts w:ascii="Arial" w:hAnsi="Arial" w:cs="Arial"/>
          <w:b/>
          <w:bCs/>
          <w:sz w:val="24"/>
          <w:szCs w:val="24"/>
        </w:rPr>
      </w:pPr>
    </w:p>
    <w:p w14:paraId="330FBE2C" w14:textId="77777777" w:rsidR="002027D2" w:rsidRPr="008D1712" w:rsidRDefault="002027D2" w:rsidP="008D1712">
      <w:pPr>
        <w:spacing w:line="480" w:lineRule="auto"/>
        <w:jc w:val="center"/>
        <w:rPr>
          <w:rFonts w:ascii="Arial" w:hAnsi="Arial" w:cs="Arial"/>
          <w:b/>
          <w:bCs/>
          <w:sz w:val="24"/>
          <w:szCs w:val="24"/>
        </w:rPr>
      </w:pPr>
    </w:p>
    <w:p w14:paraId="7DFF7E0A" w14:textId="77777777" w:rsidR="002027D2" w:rsidRPr="008D1712" w:rsidRDefault="002027D2" w:rsidP="008D1712">
      <w:pPr>
        <w:spacing w:line="480" w:lineRule="auto"/>
        <w:jc w:val="center"/>
        <w:rPr>
          <w:rFonts w:ascii="Arial" w:hAnsi="Arial" w:cs="Arial"/>
          <w:b/>
          <w:bCs/>
          <w:sz w:val="24"/>
          <w:szCs w:val="24"/>
        </w:rPr>
      </w:pPr>
    </w:p>
    <w:p w14:paraId="4D934097" w14:textId="77777777" w:rsidR="002027D2" w:rsidRPr="008D1712" w:rsidRDefault="002027D2" w:rsidP="008D1712">
      <w:pPr>
        <w:spacing w:line="480" w:lineRule="auto"/>
        <w:jc w:val="center"/>
        <w:rPr>
          <w:rFonts w:ascii="Arial" w:hAnsi="Arial" w:cs="Arial"/>
          <w:b/>
          <w:bCs/>
          <w:sz w:val="24"/>
          <w:szCs w:val="24"/>
        </w:rPr>
      </w:pPr>
    </w:p>
    <w:p w14:paraId="2521BD8B" w14:textId="77777777" w:rsidR="002027D2" w:rsidRPr="008D1712" w:rsidRDefault="002027D2" w:rsidP="008D1712">
      <w:pPr>
        <w:spacing w:line="480" w:lineRule="auto"/>
        <w:jc w:val="center"/>
        <w:rPr>
          <w:rFonts w:ascii="Arial" w:hAnsi="Arial" w:cs="Arial"/>
          <w:b/>
          <w:bCs/>
          <w:sz w:val="24"/>
          <w:szCs w:val="24"/>
        </w:rPr>
      </w:pPr>
      <w:r w:rsidRPr="008D1712">
        <w:rPr>
          <w:rFonts w:ascii="Arial" w:hAnsi="Arial" w:cs="Arial"/>
          <w:b/>
          <w:bCs/>
          <w:noProof/>
          <w:sz w:val="24"/>
          <w:szCs w:val="24"/>
        </w:rPr>
        <w:lastRenderedPageBreak/>
        <w:drawing>
          <wp:inline distT="0" distB="0" distL="0" distR="0" wp14:anchorId="444119F5" wp14:editId="0FC3BCAF">
            <wp:extent cx="5812761" cy="6032665"/>
            <wp:effectExtent l="0" t="0" r="0" b="0"/>
            <wp:docPr id="746909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838796" cy="6059685"/>
                    </a:xfrm>
                    <a:prstGeom prst="rect">
                      <a:avLst/>
                    </a:prstGeom>
                    <a:noFill/>
                  </pic:spPr>
                </pic:pic>
              </a:graphicData>
            </a:graphic>
          </wp:inline>
        </w:drawing>
      </w:r>
    </w:p>
    <w:p w14:paraId="1A714B6D"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S3.19</w:t>
      </w:r>
      <w:r w:rsidRPr="006266DF">
        <w:rPr>
          <w:rFonts w:ascii="Arial" w:hAnsi="Arial" w:cs="Arial"/>
          <w:b/>
          <w:bCs/>
          <w:sz w:val="24"/>
          <w:szCs w:val="24"/>
        </w:rPr>
        <w:t>:</w:t>
      </w:r>
      <w:r w:rsidRPr="008D1712">
        <w:rPr>
          <w:rFonts w:ascii="Arial" w:hAnsi="Arial" w:cs="Arial"/>
          <w:sz w:val="24"/>
          <w:szCs w:val="24"/>
        </w:rPr>
        <w:t xml:space="preserve"> Metal sensitivity evaluation of </w:t>
      </w:r>
      <w:r w:rsidRPr="008D1712">
        <w:rPr>
          <w:rFonts w:ascii="Arial" w:hAnsi="Arial" w:cs="Arial"/>
          <w:b/>
          <w:bCs/>
          <w:sz w:val="24"/>
          <w:szCs w:val="24"/>
        </w:rPr>
        <w:t>compound 11A</w:t>
      </w:r>
      <w:r w:rsidRPr="008D1712">
        <w:rPr>
          <w:rFonts w:ascii="Arial" w:hAnsi="Arial" w:cs="Arial"/>
          <w:sz w:val="24"/>
          <w:szCs w:val="24"/>
        </w:rPr>
        <w:t xml:space="preserve"> and </w:t>
      </w:r>
      <w:r w:rsidRPr="008D1712">
        <w:rPr>
          <w:rFonts w:ascii="Arial" w:hAnsi="Arial" w:cs="Arial"/>
          <w:b/>
          <w:bCs/>
          <w:sz w:val="24"/>
          <w:szCs w:val="24"/>
        </w:rPr>
        <w:t xml:space="preserve">compound 14B </w:t>
      </w:r>
      <w:r w:rsidRPr="008D1712">
        <w:rPr>
          <w:rFonts w:ascii="Arial" w:hAnsi="Arial" w:cs="Arial"/>
          <w:sz w:val="24"/>
          <w:szCs w:val="24"/>
        </w:rPr>
        <w:t>through absorbance (A, B), optoacoustic imaging (C, D), and fluorescence intensity (E, F). No p-values to report.</w:t>
      </w:r>
    </w:p>
    <w:p w14:paraId="0767447B"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22C19C6E" wp14:editId="6B59434D">
            <wp:extent cx="4329720" cy="6673755"/>
            <wp:effectExtent l="0" t="0" r="0" b="0"/>
            <wp:docPr id="20603667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343961" cy="6695706"/>
                    </a:xfrm>
                    <a:prstGeom prst="rect">
                      <a:avLst/>
                    </a:prstGeom>
                    <a:noFill/>
                  </pic:spPr>
                </pic:pic>
              </a:graphicData>
            </a:graphic>
          </wp:inline>
        </w:drawing>
      </w:r>
    </w:p>
    <w:p w14:paraId="1FBAD8C9"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S3.20</w:t>
      </w:r>
      <w:r w:rsidRPr="006266DF">
        <w:rPr>
          <w:rFonts w:ascii="Arial" w:hAnsi="Arial" w:cs="Arial"/>
          <w:b/>
          <w:bCs/>
          <w:sz w:val="24"/>
          <w:szCs w:val="24"/>
        </w:rPr>
        <w:t xml:space="preserve">: </w:t>
      </w:r>
      <w:r w:rsidRPr="008D1712">
        <w:rPr>
          <w:rFonts w:ascii="Arial" w:hAnsi="Arial" w:cs="Arial"/>
          <w:sz w:val="24"/>
          <w:szCs w:val="24"/>
        </w:rPr>
        <w:t>Single-wavelength measurements of compound 11A (A, C, E, G, I) and compound 11B (B, D, F, H, J). Single wavelength measurements (red diamonds) are compared to entire spectral measurements in 50% ethanol (green – A, B), acetone (blue – C, D), dichloromethane (purple – E, F), acetic acid (red – G, H), and diethyl ether (gray – I, J).</w:t>
      </w:r>
    </w:p>
    <w:p w14:paraId="5E1B500A"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6BA41E08" wp14:editId="774DB870">
            <wp:extent cx="4449974" cy="6632812"/>
            <wp:effectExtent l="0" t="0" r="0" b="0"/>
            <wp:docPr id="21072218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479730" cy="6677163"/>
                    </a:xfrm>
                    <a:prstGeom prst="rect">
                      <a:avLst/>
                    </a:prstGeom>
                    <a:noFill/>
                  </pic:spPr>
                </pic:pic>
              </a:graphicData>
            </a:graphic>
          </wp:inline>
        </w:drawing>
      </w:r>
    </w:p>
    <w:p w14:paraId="58DA723D"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S3.21</w:t>
      </w:r>
      <w:r w:rsidRPr="006266DF">
        <w:rPr>
          <w:rFonts w:ascii="Arial" w:hAnsi="Arial" w:cs="Arial"/>
          <w:b/>
          <w:bCs/>
          <w:sz w:val="24"/>
          <w:szCs w:val="24"/>
        </w:rPr>
        <w:t>:</w:t>
      </w:r>
      <w:r w:rsidRPr="008D1712">
        <w:rPr>
          <w:rFonts w:ascii="Arial" w:hAnsi="Arial" w:cs="Arial"/>
          <w:sz w:val="24"/>
          <w:szCs w:val="24"/>
        </w:rPr>
        <w:t xml:space="preserve"> Single-wavelength measurements of compound 12A (A, C, E, G, I) and compound 12B (B, D, F, H, J). Single wavelength measurements (red diamonds) are compared to entire spectral measurements in 50% ethanol (green – A, B), acetone (blue – C, D), dichloromethane (purple – E, F), acetic acid (red – G, H), and diethyl ether (gray – I, J).</w:t>
      </w:r>
    </w:p>
    <w:p w14:paraId="4F5D697F"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1AD2D8AA" wp14:editId="54CB318E">
            <wp:extent cx="4516825" cy="6632812"/>
            <wp:effectExtent l="0" t="0" r="0" b="0"/>
            <wp:docPr id="8318053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537387" cy="6663007"/>
                    </a:xfrm>
                    <a:prstGeom prst="rect">
                      <a:avLst/>
                    </a:prstGeom>
                    <a:noFill/>
                  </pic:spPr>
                </pic:pic>
              </a:graphicData>
            </a:graphic>
          </wp:inline>
        </w:drawing>
      </w:r>
    </w:p>
    <w:p w14:paraId="4DA51716"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S3.22</w:t>
      </w:r>
      <w:r w:rsidRPr="006266DF">
        <w:rPr>
          <w:rFonts w:ascii="Arial" w:hAnsi="Arial" w:cs="Arial"/>
          <w:b/>
          <w:bCs/>
          <w:sz w:val="24"/>
          <w:szCs w:val="24"/>
        </w:rPr>
        <w:t xml:space="preserve">: </w:t>
      </w:r>
      <w:r w:rsidRPr="008D1712">
        <w:rPr>
          <w:rFonts w:ascii="Arial" w:hAnsi="Arial" w:cs="Arial"/>
          <w:sz w:val="24"/>
          <w:szCs w:val="24"/>
        </w:rPr>
        <w:t>Single-wavelength measurements of compound 13A (A, C, E, G, I) and compound 13B (B, D, F, H, J). Single wavelength measurements (red diamonds) are compared to entire spectral measurements in 50% ethanol (green – A, B), acetone (blue – C, D), dichloromethane (purple – E, F), acetic acid (red – G, H), and diethyl ether (gray – I, J).</w:t>
      </w:r>
    </w:p>
    <w:p w14:paraId="51737AB0"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0363A372" wp14:editId="09EF6B05">
            <wp:extent cx="4633416" cy="6687403"/>
            <wp:effectExtent l="0" t="0" r="0" b="0"/>
            <wp:docPr id="18515368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643960" cy="6702621"/>
                    </a:xfrm>
                    <a:prstGeom prst="rect">
                      <a:avLst/>
                    </a:prstGeom>
                    <a:noFill/>
                  </pic:spPr>
                </pic:pic>
              </a:graphicData>
            </a:graphic>
          </wp:inline>
        </w:drawing>
      </w:r>
    </w:p>
    <w:p w14:paraId="563687A8"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S3.23</w:t>
      </w:r>
      <w:r w:rsidRPr="006266DF">
        <w:rPr>
          <w:rFonts w:ascii="Arial" w:hAnsi="Arial" w:cs="Arial"/>
          <w:b/>
          <w:bCs/>
          <w:sz w:val="24"/>
          <w:szCs w:val="24"/>
        </w:rPr>
        <w:t xml:space="preserve">: </w:t>
      </w:r>
      <w:r w:rsidRPr="008D1712">
        <w:rPr>
          <w:rFonts w:ascii="Arial" w:hAnsi="Arial" w:cs="Arial"/>
          <w:sz w:val="24"/>
          <w:szCs w:val="24"/>
        </w:rPr>
        <w:t>Single-wavelength measurements of compound 14A (A, C, E, G, I) and compound 14B (B, D, F, H, J). Single wavelength measurements (red diamonds) are compared to entire spectral measurements in 50% ethanol (green – A, B), acetone (blue – C, D), dichloromethane (purple – E, F), acetic acid (red – G, H), and diethyl ether (gray – I, J).</w:t>
      </w:r>
    </w:p>
    <w:p w14:paraId="04FF0A15" w14:textId="77777777" w:rsidR="002027D2" w:rsidRPr="008D1712" w:rsidRDefault="002027D2" w:rsidP="008D1712">
      <w:pPr>
        <w:spacing w:line="480" w:lineRule="auto"/>
        <w:jc w:val="center"/>
        <w:rPr>
          <w:rFonts w:ascii="Arial" w:hAnsi="Arial" w:cs="Arial"/>
          <w:sz w:val="24"/>
          <w:szCs w:val="24"/>
        </w:rPr>
      </w:pPr>
      <w:r>
        <w:rPr>
          <w:rFonts w:ascii="Arial" w:hAnsi="Arial" w:cs="Arial"/>
          <w:noProof/>
          <w:sz w:val="24"/>
          <w:szCs w:val="24"/>
        </w:rPr>
        <w:lastRenderedPageBreak/>
        <w:drawing>
          <wp:inline distT="0" distB="0" distL="0" distR="0" wp14:anchorId="38E6211C" wp14:editId="6F90FF31">
            <wp:extent cx="5723236" cy="6640727"/>
            <wp:effectExtent l="0" t="0" r="0" b="8255"/>
            <wp:docPr id="19871261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70924" cy="6696060"/>
                    </a:xfrm>
                    <a:prstGeom prst="rect">
                      <a:avLst/>
                    </a:prstGeom>
                    <a:noFill/>
                  </pic:spPr>
                </pic:pic>
              </a:graphicData>
            </a:graphic>
          </wp:inline>
        </w:drawing>
      </w:r>
    </w:p>
    <w:p w14:paraId="47327722" w14:textId="77777777" w:rsidR="002027D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S3.24</w:t>
      </w:r>
      <w:r w:rsidRPr="006266DF">
        <w:rPr>
          <w:rFonts w:ascii="Arial" w:hAnsi="Arial" w:cs="Arial"/>
          <w:b/>
          <w:bCs/>
          <w:sz w:val="24"/>
          <w:szCs w:val="24"/>
        </w:rPr>
        <w:t>:</w:t>
      </w:r>
      <w:r w:rsidRPr="008D1712">
        <w:rPr>
          <w:rFonts w:ascii="Arial" w:hAnsi="Arial" w:cs="Arial"/>
          <w:sz w:val="24"/>
          <w:szCs w:val="24"/>
        </w:rPr>
        <w:t xml:space="preserve"> </w:t>
      </w:r>
      <w:r w:rsidRPr="008D1712">
        <w:rPr>
          <w:rFonts w:ascii="Arial" w:hAnsi="Arial" w:cs="Arial"/>
          <w:i/>
          <w:iCs/>
          <w:sz w:val="24"/>
          <w:szCs w:val="24"/>
        </w:rPr>
        <w:t xml:space="preserve">In vivo </w:t>
      </w:r>
      <w:r w:rsidRPr="008D1712">
        <w:rPr>
          <w:rFonts w:ascii="Arial" w:hAnsi="Arial" w:cs="Arial"/>
          <w:sz w:val="24"/>
          <w:szCs w:val="24"/>
        </w:rPr>
        <w:t xml:space="preserve">evaluation of compounds 11A-14B. A) Visualization of </w:t>
      </w:r>
      <w:r w:rsidRPr="008D1712">
        <w:rPr>
          <w:rFonts w:ascii="Arial" w:hAnsi="Arial" w:cs="Arial"/>
          <w:i/>
          <w:iCs/>
          <w:sz w:val="24"/>
          <w:szCs w:val="24"/>
        </w:rPr>
        <w:t xml:space="preserve">in vivo </w:t>
      </w:r>
      <w:r w:rsidRPr="008D1712">
        <w:rPr>
          <w:rFonts w:ascii="Arial" w:hAnsi="Arial" w:cs="Arial"/>
          <w:sz w:val="24"/>
          <w:szCs w:val="24"/>
        </w:rPr>
        <w:t>optoacoustic signal. B) Quantification of signal from A. Compound 14B spectra was utilized as the reference spectra for all quantification.</w:t>
      </w:r>
    </w:p>
    <w:p w14:paraId="1859F2C5" w14:textId="77777777" w:rsidR="005556B5" w:rsidRDefault="005556B5" w:rsidP="005556B5">
      <w:pPr>
        <w:spacing w:line="276" w:lineRule="auto"/>
        <w:jc w:val="both"/>
        <w:rPr>
          <w:rFonts w:ascii="Arial" w:hAnsi="Arial" w:cs="Arial"/>
          <w:sz w:val="24"/>
          <w:szCs w:val="24"/>
        </w:rPr>
      </w:pPr>
    </w:p>
    <w:p w14:paraId="527A6ACA" w14:textId="77777777" w:rsidR="005556B5" w:rsidRPr="008D1712" w:rsidRDefault="005556B5" w:rsidP="005556B5">
      <w:pPr>
        <w:spacing w:line="276" w:lineRule="auto"/>
        <w:jc w:val="both"/>
        <w:rPr>
          <w:rFonts w:ascii="Arial" w:hAnsi="Arial" w:cs="Arial"/>
          <w:sz w:val="24"/>
          <w:szCs w:val="24"/>
        </w:rPr>
      </w:pPr>
    </w:p>
    <w:p w14:paraId="76113355" w14:textId="77777777" w:rsidR="002027D2" w:rsidRPr="008D1712" w:rsidRDefault="002027D2" w:rsidP="008D1712">
      <w:pPr>
        <w:spacing w:line="480" w:lineRule="auto"/>
        <w:rPr>
          <w:rFonts w:ascii="Arial" w:hAnsi="Arial" w:cs="Arial"/>
          <w:sz w:val="24"/>
          <w:szCs w:val="24"/>
        </w:rPr>
      </w:pPr>
      <w:r w:rsidRPr="008D1712">
        <w:rPr>
          <w:rFonts w:ascii="Arial" w:hAnsi="Arial" w:cs="Arial"/>
          <w:b/>
          <w:sz w:val="24"/>
          <w:szCs w:val="24"/>
        </w:rPr>
        <w:lastRenderedPageBreak/>
        <w:t>Chapter 4:</w:t>
      </w:r>
    </w:p>
    <w:p w14:paraId="0CEB37DF"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289AFAB5" wp14:editId="5C90A7A0">
            <wp:extent cx="5829300" cy="1459036"/>
            <wp:effectExtent l="0" t="0" r="0" b="0"/>
            <wp:docPr id="110105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14046" cy="1480247"/>
                    </a:xfrm>
                    <a:prstGeom prst="rect">
                      <a:avLst/>
                    </a:prstGeom>
                    <a:noFill/>
                  </pic:spPr>
                </pic:pic>
              </a:graphicData>
            </a:graphic>
          </wp:inline>
        </w:drawing>
      </w:r>
    </w:p>
    <w:p w14:paraId="36CB2062"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S4.1</w:t>
      </w:r>
      <w:r w:rsidRPr="006266DF">
        <w:rPr>
          <w:rFonts w:ascii="Arial" w:hAnsi="Arial" w:cs="Arial"/>
          <w:b/>
          <w:bCs/>
          <w:sz w:val="24"/>
          <w:szCs w:val="24"/>
        </w:rPr>
        <w:t xml:space="preserve">: </w:t>
      </w:r>
      <w:r w:rsidRPr="008D1712">
        <w:rPr>
          <w:rFonts w:ascii="Arial" w:hAnsi="Arial" w:cs="Arial"/>
          <w:sz w:val="24"/>
          <w:szCs w:val="24"/>
        </w:rPr>
        <w:t>Simulation of contrast agent IR780 exfiltration from MSN pores while coated via A) Chitosan, B) 2KPEG, or C) 35KPEG. Samples were added to 10% phosphate buffered saline at a biological pH level of 7.4 or a hypoxic pH level of 6.6.</w:t>
      </w:r>
    </w:p>
    <w:p w14:paraId="29A61630" w14:textId="77777777" w:rsidR="002027D2" w:rsidRDefault="002027D2" w:rsidP="008D1712">
      <w:pPr>
        <w:spacing w:line="480" w:lineRule="auto"/>
        <w:jc w:val="center"/>
        <w:rPr>
          <w:rFonts w:ascii="Arial" w:hAnsi="Arial" w:cs="Arial"/>
          <w:b/>
          <w:bCs/>
          <w:sz w:val="24"/>
          <w:szCs w:val="24"/>
        </w:rPr>
      </w:pPr>
    </w:p>
    <w:p w14:paraId="63ADE6F5" w14:textId="77777777" w:rsidR="002027D2" w:rsidRDefault="002027D2" w:rsidP="008D1712">
      <w:pPr>
        <w:spacing w:line="480" w:lineRule="auto"/>
        <w:jc w:val="center"/>
        <w:rPr>
          <w:rFonts w:ascii="Arial" w:hAnsi="Arial" w:cs="Arial"/>
          <w:b/>
          <w:bCs/>
          <w:sz w:val="24"/>
          <w:szCs w:val="24"/>
        </w:rPr>
      </w:pPr>
    </w:p>
    <w:p w14:paraId="218235B3" w14:textId="77777777" w:rsidR="002027D2" w:rsidRDefault="002027D2" w:rsidP="008D1712">
      <w:pPr>
        <w:spacing w:line="480" w:lineRule="auto"/>
        <w:jc w:val="center"/>
        <w:rPr>
          <w:rFonts w:ascii="Arial" w:hAnsi="Arial" w:cs="Arial"/>
          <w:b/>
          <w:bCs/>
          <w:sz w:val="24"/>
          <w:szCs w:val="24"/>
        </w:rPr>
      </w:pPr>
    </w:p>
    <w:p w14:paraId="1B52CEB3" w14:textId="77777777" w:rsidR="002027D2" w:rsidRDefault="002027D2" w:rsidP="008D1712">
      <w:pPr>
        <w:spacing w:line="480" w:lineRule="auto"/>
        <w:jc w:val="center"/>
        <w:rPr>
          <w:rFonts w:ascii="Arial" w:hAnsi="Arial" w:cs="Arial"/>
          <w:b/>
          <w:bCs/>
          <w:sz w:val="24"/>
          <w:szCs w:val="24"/>
        </w:rPr>
      </w:pPr>
    </w:p>
    <w:p w14:paraId="52D0651E" w14:textId="77777777" w:rsidR="002027D2" w:rsidRDefault="002027D2" w:rsidP="008D1712">
      <w:pPr>
        <w:spacing w:line="480" w:lineRule="auto"/>
        <w:jc w:val="center"/>
        <w:rPr>
          <w:rFonts w:ascii="Arial" w:hAnsi="Arial" w:cs="Arial"/>
          <w:b/>
          <w:bCs/>
          <w:sz w:val="24"/>
          <w:szCs w:val="24"/>
        </w:rPr>
      </w:pPr>
    </w:p>
    <w:p w14:paraId="1FC423AA" w14:textId="77777777" w:rsidR="002027D2" w:rsidRDefault="002027D2" w:rsidP="008D1712">
      <w:pPr>
        <w:spacing w:line="480" w:lineRule="auto"/>
        <w:jc w:val="center"/>
        <w:rPr>
          <w:rFonts w:ascii="Arial" w:hAnsi="Arial" w:cs="Arial"/>
          <w:b/>
          <w:bCs/>
          <w:sz w:val="24"/>
          <w:szCs w:val="24"/>
        </w:rPr>
      </w:pPr>
    </w:p>
    <w:p w14:paraId="4298FC96" w14:textId="77777777" w:rsidR="002027D2" w:rsidRDefault="002027D2" w:rsidP="008D1712">
      <w:pPr>
        <w:spacing w:line="480" w:lineRule="auto"/>
        <w:jc w:val="center"/>
        <w:rPr>
          <w:rFonts w:ascii="Arial" w:hAnsi="Arial" w:cs="Arial"/>
          <w:b/>
          <w:bCs/>
          <w:sz w:val="24"/>
          <w:szCs w:val="24"/>
        </w:rPr>
      </w:pPr>
    </w:p>
    <w:p w14:paraId="021ED971" w14:textId="77777777" w:rsidR="002027D2" w:rsidRDefault="002027D2" w:rsidP="008D1712">
      <w:pPr>
        <w:spacing w:line="480" w:lineRule="auto"/>
        <w:jc w:val="center"/>
        <w:rPr>
          <w:rFonts w:ascii="Arial" w:hAnsi="Arial" w:cs="Arial"/>
          <w:b/>
          <w:bCs/>
          <w:sz w:val="24"/>
          <w:szCs w:val="24"/>
        </w:rPr>
      </w:pPr>
    </w:p>
    <w:p w14:paraId="74887A72" w14:textId="77777777" w:rsidR="002027D2" w:rsidRDefault="002027D2" w:rsidP="008D1712">
      <w:pPr>
        <w:spacing w:line="480" w:lineRule="auto"/>
        <w:jc w:val="center"/>
        <w:rPr>
          <w:rFonts w:ascii="Arial" w:hAnsi="Arial" w:cs="Arial"/>
          <w:b/>
          <w:bCs/>
          <w:sz w:val="24"/>
          <w:szCs w:val="24"/>
        </w:rPr>
      </w:pPr>
    </w:p>
    <w:p w14:paraId="32CE62AD" w14:textId="77777777" w:rsidR="002027D2" w:rsidRDefault="002027D2" w:rsidP="008D1712">
      <w:pPr>
        <w:spacing w:line="480" w:lineRule="auto"/>
        <w:jc w:val="center"/>
        <w:rPr>
          <w:rFonts w:ascii="Arial" w:hAnsi="Arial" w:cs="Arial"/>
          <w:b/>
          <w:bCs/>
          <w:sz w:val="24"/>
          <w:szCs w:val="24"/>
        </w:rPr>
      </w:pPr>
    </w:p>
    <w:p w14:paraId="32AC499C" w14:textId="77777777" w:rsidR="002027D2" w:rsidRDefault="002027D2" w:rsidP="008D1712">
      <w:pPr>
        <w:spacing w:line="480" w:lineRule="auto"/>
        <w:rPr>
          <w:rFonts w:ascii="Arial" w:hAnsi="Arial" w:cs="Arial"/>
          <w:b/>
          <w:bCs/>
          <w:sz w:val="24"/>
          <w:szCs w:val="24"/>
        </w:rPr>
      </w:pPr>
    </w:p>
    <w:p w14:paraId="2C9CD3A6" w14:textId="77777777" w:rsidR="005556B5" w:rsidRPr="008D1712" w:rsidRDefault="005556B5" w:rsidP="008D1712">
      <w:pPr>
        <w:spacing w:line="480" w:lineRule="auto"/>
        <w:rPr>
          <w:rFonts w:ascii="Arial" w:hAnsi="Arial" w:cs="Arial"/>
          <w:b/>
          <w:bCs/>
          <w:sz w:val="24"/>
          <w:szCs w:val="24"/>
        </w:rPr>
      </w:pPr>
    </w:p>
    <w:p w14:paraId="1690B972" w14:textId="77777777" w:rsidR="002027D2" w:rsidRPr="008D1712" w:rsidRDefault="002027D2" w:rsidP="008D1712">
      <w:pPr>
        <w:spacing w:line="480" w:lineRule="auto"/>
        <w:rPr>
          <w:rFonts w:ascii="Arial" w:hAnsi="Arial" w:cs="Arial"/>
          <w:b/>
          <w:sz w:val="24"/>
          <w:szCs w:val="24"/>
        </w:rPr>
      </w:pPr>
      <w:r w:rsidRPr="008D1712">
        <w:rPr>
          <w:rFonts w:ascii="Arial" w:hAnsi="Arial" w:cs="Arial"/>
          <w:b/>
          <w:sz w:val="24"/>
          <w:szCs w:val="24"/>
        </w:rPr>
        <w:lastRenderedPageBreak/>
        <w:t>Chapter 5:</w:t>
      </w:r>
    </w:p>
    <w:p w14:paraId="492700BD"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347B95F8" wp14:editId="043513B4">
            <wp:extent cx="3072809" cy="3072809"/>
            <wp:effectExtent l="0" t="0" r="0" b="0"/>
            <wp:docPr id="8243601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077455" cy="3077455"/>
                    </a:xfrm>
                    <a:prstGeom prst="rect">
                      <a:avLst/>
                    </a:prstGeom>
                    <a:noFill/>
                  </pic:spPr>
                </pic:pic>
              </a:graphicData>
            </a:graphic>
          </wp:inline>
        </w:drawing>
      </w:r>
    </w:p>
    <w:p w14:paraId="0370DF8F" w14:textId="4CF7A043" w:rsidR="002027D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S5.1</w:t>
      </w:r>
      <w:r w:rsidRPr="006266DF">
        <w:rPr>
          <w:rFonts w:ascii="Arial" w:hAnsi="Arial" w:cs="Arial"/>
          <w:b/>
          <w:bCs/>
          <w:sz w:val="24"/>
          <w:szCs w:val="24"/>
        </w:rPr>
        <w:t xml:space="preserve">: </w:t>
      </w:r>
      <w:r w:rsidRPr="008D1712">
        <w:rPr>
          <w:rFonts w:ascii="Arial" w:hAnsi="Arial" w:cs="Arial"/>
          <w:sz w:val="24"/>
          <w:szCs w:val="24"/>
        </w:rPr>
        <w:t>3D model of V7 peptide using EzMol. V7 consists of 26 amino acids and is approximately 2.6 nm in length. The CYS residue utilized to attach the V7 peptide to the nanoparticle via SMCC is noted in red.</w:t>
      </w:r>
    </w:p>
    <w:p w14:paraId="1C3D300B" w14:textId="77777777" w:rsidR="002027D2" w:rsidRPr="008D1712" w:rsidRDefault="002027D2" w:rsidP="008D1712">
      <w:pPr>
        <w:spacing w:line="480" w:lineRule="auto"/>
        <w:jc w:val="center"/>
        <w:rPr>
          <w:rFonts w:ascii="Arial" w:hAnsi="Arial" w:cs="Arial"/>
          <w:sz w:val="24"/>
          <w:szCs w:val="24"/>
        </w:rPr>
      </w:pPr>
    </w:p>
    <w:p w14:paraId="7268C739"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0341943F" wp14:editId="05E0DCAD">
            <wp:extent cx="5738866" cy="1881963"/>
            <wp:effectExtent l="0" t="0" r="0" b="4445"/>
            <wp:docPr id="9671416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71820" cy="1892770"/>
                    </a:xfrm>
                    <a:prstGeom prst="rect">
                      <a:avLst/>
                    </a:prstGeom>
                    <a:noFill/>
                  </pic:spPr>
                </pic:pic>
              </a:graphicData>
            </a:graphic>
          </wp:inline>
        </w:drawing>
      </w:r>
    </w:p>
    <w:p w14:paraId="38AFBC82"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S5.2</w:t>
      </w:r>
      <w:r w:rsidRPr="006266DF">
        <w:rPr>
          <w:rFonts w:ascii="Arial" w:hAnsi="Arial" w:cs="Arial"/>
          <w:b/>
          <w:bCs/>
          <w:sz w:val="24"/>
          <w:szCs w:val="24"/>
        </w:rPr>
        <w:t>:</w:t>
      </w:r>
      <w:r w:rsidRPr="008D1712">
        <w:rPr>
          <w:rFonts w:ascii="Arial" w:hAnsi="Arial" w:cs="Arial"/>
          <w:b/>
          <w:bCs/>
          <w:sz w:val="24"/>
          <w:szCs w:val="24"/>
        </w:rPr>
        <w:t xml:space="preserve"> </w:t>
      </w:r>
      <w:r w:rsidRPr="008D1712">
        <w:rPr>
          <w:rFonts w:ascii="Arial" w:hAnsi="Arial" w:cs="Arial"/>
          <w:sz w:val="24"/>
          <w:szCs w:val="24"/>
        </w:rPr>
        <w:t>Characterization if IR780 dyes within TROS. Graphs depict A) IR780 standard curve, B) measurement of optical density compared to IR780 dye within TROS, and C) number of dye molecules per particle for given concentrations of IR780 in TROS.</w:t>
      </w:r>
    </w:p>
    <w:p w14:paraId="48DFA928" w14:textId="77777777" w:rsidR="002027D2" w:rsidRPr="008D1712" w:rsidRDefault="002027D2" w:rsidP="008D1712">
      <w:pPr>
        <w:spacing w:line="480" w:lineRule="auto"/>
        <w:jc w:val="center"/>
        <w:rPr>
          <w:rFonts w:ascii="Arial" w:hAnsi="Arial" w:cs="Arial"/>
          <w:sz w:val="24"/>
          <w:szCs w:val="24"/>
        </w:rPr>
      </w:pPr>
    </w:p>
    <w:p w14:paraId="47694CE1"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lastRenderedPageBreak/>
        <w:drawing>
          <wp:inline distT="0" distB="0" distL="0" distR="0" wp14:anchorId="1E7E9DA3" wp14:editId="7A7236F1">
            <wp:extent cx="5741265" cy="2041451"/>
            <wp:effectExtent l="0" t="0" r="0" b="0"/>
            <wp:docPr id="20360906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81521" cy="2055765"/>
                    </a:xfrm>
                    <a:prstGeom prst="rect">
                      <a:avLst/>
                    </a:prstGeom>
                    <a:noFill/>
                  </pic:spPr>
                </pic:pic>
              </a:graphicData>
            </a:graphic>
          </wp:inline>
        </w:drawing>
      </w:r>
    </w:p>
    <w:p w14:paraId="2DB73C6A" w14:textId="77777777" w:rsidR="002027D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S5.3</w:t>
      </w:r>
      <w:r w:rsidRPr="006266DF">
        <w:rPr>
          <w:rFonts w:ascii="Arial" w:hAnsi="Arial" w:cs="Arial"/>
          <w:b/>
          <w:bCs/>
          <w:sz w:val="24"/>
          <w:szCs w:val="24"/>
        </w:rPr>
        <w:t>:</w:t>
      </w:r>
      <w:r w:rsidRPr="008D1712">
        <w:rPr>
          <w:rFonts w:ascii="Arial" w:hAnsi="Arial" w:cs="Arial"/>
          <w:sz w:val="24"/>
          <w:szCs w:val="24"/>
        </w:rPr>
        <w:t xml:space="preserve"> Evaluation of cell viability following TROS and V7-TROS treatment. (A) No significant toxicity was observed in malignant (S2VP10 and MiaPaca-2) or non-malignant (THLE-2 and NK-2) cells at any particle size for V7 actively targeted TROS (p&gt;0.05). (B) No significant toxicity was observed in malignant (S2VP10 and MiaPaca-2) or non-malignant (THLE-2 and NK-2) cells at any particle size for passively targeted TROS p&gt;0.05.</w:t>
      </w:r>
    </w:p>
    <w:p w14:paraId="50DF393C" w14:textId="77777777" w:rsidR="005556B5" w:rsidRPr="008D1712" w:rsidRDefault="005556B5" w:rsidP="005556B5">
      <w:pPr>
        <w:spacing w:line="276" w:lineRule="auto"/>
        <w:jc w:val="both"/>
        <w:rPr>
          <w:rFonts w:ascii="Arial" w:hAnsi="Arial" w:cs="Arial"/>
          <w:sz w:val="24"/>
          <w:szCs w:val="24"/>
        </w:rPr>
      </w:pPr>
    </w:p>
    <w:p w14:paraId="69957ED4"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0AB2AA1C" wp14:editId="0334BB48">
            <wp:extent cx="4999587" cy="2933205"/>
            <wp:effectExtent l="0" t="0" r="0" b="635"/>
            <wp:docPr id="13330735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017379" cy="2943643"/>
                    </a:xfrm>
                    <a:prstGeom prst="rect">
                      <a:avLst/>
                    </a:prstGeom>
                    <a:noFill/>
                  </pic:spPr>
                </pic:pic>
              </a:graphicData>
            </a:graphic>
          </wp:inline>
        </w:drawing>
      </w:r>
    </w:p>
    <w:p w14:paraId="272F806E" w14:textId="77777777" w:rsidR="002027D2" w:rsidRPr="008D171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S5.4</w:t>
      </w:r>
      <w:r w:rsidRPr="006266DF">
        <w:rPr>
          <w:rFonts w:ascii="Arial" w:hAnsi="Arial" w:cs="Arial"/>
          <w:b/>
          <w:bCs/>
          <w:sz w:val="24"/>
          <w:szCs w:val="24"/>
        </w:rPr>
        <w:t xml:space="preserve">: </w:t>
      </w:r>
      <w:r w:rsidRPr="008D1712">
        <w:rPr>
          <w:rFonts w:ascii="Arial" w:hAnsi="Arial" w:cs="Arial"/>
          <w:sz w:val="24"/>
          <w:szCs w:val="24"/>
        </w:rPr>
        <w:t xml:space="preserve">MSOT detection of sub-millimeter DPAC tumor via V7-TMOS </w:t>
      </w:r>
      <w:r w:rsidRPr="008D1712">
        <w:rPr>
          <w:rFonts w:ascii="Arial" w:hAnsi="Arial" w:cs="Arial"/>
          <w:i/>
          <w:iCs/>
          <w:sz w:val="24"/>
          <w:szCs w:val="24"/>
        </w:rPr>
        <w:t>in vivo</w:t>
      </w:r>
      <w:r w:rsidRPr="008D1712">
        <w:rPr>
          <w:rFonts w:ascii="Arial" w:hAnsi="Arial" w:cs="Arial"/>
          <w:sz w:val="24"/>
          <w:szCs w:val="24"/>
        </w:rPr>
        <w:t xml:space="preserve">. A) Orthotopic sub-millimeter (0.72 mm) PDAC tumor detected using V7-TMOS B) Orthotopic sub-millimeter (0.23 mm) PDAC tumor detected using V7-TMOS C) Orthotopic sub-millimeter (0.72 mm) PDAC tumor detected using oxy/deoxyhemoglobin D) Orthotopic sub-millimeter (0.23 mm) PDAC tumor not detected using oxy/deoxyhemoglobin. E) NIR </w:t>
      </w:r>
      <w:r w:rsidRPr="008D1712">
        <w:rPr>
          <w:rFonts w:ascii="Arial" w:hAnsi="Arial" w:cs="Arial"/>
          <w:sz w:val="24"/>
          <w:szCs w:val="24"/>
        </w:rPr>
        <w:lastRenderedPageBreak/>
        <w:t xml:space="preserve">fluorescence was able to detect PDAC tumor of size 0.72 mm. F) NIR fluorescence was unable to detect PDAC tumor of size 0.23 mm. G) Confirmation of sub-millimeter tumor using NIR fluorescence </w:t>
      </w:r>
      <w:r w:rsidRPr="008D1712">
        <w:rPr>
          <w:rFonts w:ascii="Arial" w:hAnsi="Arial" w:cs="Arial"/>
          <w:i/>
          <w:iCs/>
          <w:sz w:val="24"/>
          <w:szCs w:val="24"/>
        </w:rPr>
        <w:t>ex vivo</w:t>
      </w:r>
      <w:r w:rsidRPr="008D1712">
        <w:rPr>
          <w:rFonts w:ascii="Arial" w:hAnsi="Arial" w:cs="Arial"/>
          <w:sz w:val="24"/>
          <w:szCs w:val="24"/>
        </w:rPr>
        <w:t>.</w:t>
      </w:r>
    </w:p>
    <w:p w14:paraId="645EC7A3" w14:textId="77777777" w:rsidR="002027D2" w:rsidRPr="008D1712" w:rsidRDefault="002027D2" w:rsidP="008D1712">
      <w:pPr>
        <w:spacing w:line="480" w:lineRule="auto"/>
        <w:jc w:val="center"/>
        <w:rPr>
          <w:rFonts w:ascii="Arial" w:hAnsi="Arial" w:cs="Arial"/>
          <w:sz w:val="24"/>
          <w:szCs w:val="24"/>
        </w:rPr>
      </w:pPr>
    </w:p>
    <w:p w14:paraId="231DA397" w14:textId="77777777" w:rsidR="002027D2" w:rsidRPr="008D1712" w:rsidRDefault="002027D2" w:rsidP="008D1712">
      <w:pPr>
        <w:spacing w:line="480" w:lineRule="auto"/>
        <w:jc w:val="center"/>
        <w:rPr>
          <w:rFonts w:ascii="Arial" w:hAnsi="Arial" w:cs="Arial"/>
          <w:sz w:val="24"/>
          <w:szCs w:val="24"/>
        </w:rPr>
      </w:pPr>
      <w:r w:rsidRPr="008D1712">
        <w:rPr>
          <w:rFonts w:ascii="Arial" w:hAnsi="Arial" w:cs="Arial"/>
          <w:noProof/>
          <w:sz w:val="24"/>
          <w:szCs w:val="24"/>
        </w:rPr>
        <w:drawing>
          <wp:inline distT="0" distB="0" distL="0" distR="0" wp14:anchorId="19017B19" wp14:editId="68DC1B90">
            <wp:extent cx="3382403" cy="2902688"/>
            <wp:effectExtent l="0" t="0" r="8890" b="0"/>
            <wp:docPr id="1412264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64849" name=""/>
                    <pic:cNvPicPr/>
                  </pic:nvPicPr>
                  <pic:blipFill>
                    <a:blip r:embed="rId119"/>
                    <a:stretch>
                      <a:fillRect/>
                    </a:stretch>
                  </pic:blipFill>
                  <pic:spPr>
                    <a:xfrm>
                      <a:off x="0" y="0"/>
                      <a:ext cx="3392741" cy="2911560"/>
                    </a:xfrm>
                    <a:prstGeom prst="rect">
                      <a:avLst/>
                    </a:prstGeom>
                  </pic:spPr>
                </pic:pic>
              </a:graphicData>
            </a:graphic>
          </wp:inline>
        </w:drawing>
      </w:r>
    </w:p>
    <w:p w14:paraId="7C56939A" w14:textId="3DF73B03" w:rsidR="00033A72" w:rsidRPr="00162F92" w:rsidRDefault="002027D2" w:rsidP="005556B5">
      <w:pPr>
        <w:spacing w:line="276" w:lineRule="auto"/>
        <w:jc w:val="both"/>
        <w:rPr>
          <w:rFonts w:ascii="Arial" w:hAnsi="Arial" w:cs="Arial"/>
          <w:sz w:val="24"/>
          <w:szCs w:val="24"/>
        </w:rPr>
      </w:pPr>
      <w:r>
        <w:rPr>
          <w:rFonts w:ascii="Arial" w:hAnsi="Arial" w:cs="Arial"/>
          <w:b/>
          <w:bCs/>
          <w:sz w:val="24"/>
          <w:szCs w:val="24"/>
        </w:rPr>
        <w:t>Figure</w:t>
      </w:r>
      <w:r w:rsidRPr="008D1712">
        <w:rPr>
          <w:rFonts w:ascii="Arial" w:hAnsi="Arial" w:cs="Arial"/>
          <w:b/>
          <w:bCs/>
          <w:sz w:val="24"/>
          <w:szCs w:val="24"/>
        </w:rPr>
        <w:t xml:space="preserve"> S5.5</w:t>
      </w:r>
      <w:r w:rsidRPr="006266DF">
        <w:rPr>
          <w:rFonts w:ascii="Arial" w:hAnsi="Arial" w:cs="Arial"/>
          <w:b/>
          <w:bCs/>
          <w:sz w:val="24"/>
          <w:szCs w:val="24"/>
        </w:rPr>
        <w:t>:</w:t>
      </w:r>
      <w:r w:rsidRPr="008D1712">
        <w:rPr>
          <w:rFonts w:ascii="Arial" w:hAnsi="Arial" w:cs="Arial"/>
          <w:sz w:val="24"/>
          <w:szCs w:val="24"/>
        </w:rPr>
        <w:t xml:space="preserve"> Assessment of blood retention of V7-TROS and TROS signal at timepoints of 0, 4h, 8h, and 24h post intravenous injection. Signal was measured using a region of interest analysis at a single snapshot at each timepoint in the aorta. The levels of V7-TMOS and V7-TEOS in the blood (represented by the aorta) were not statistically different (p=0.57), however both V7-TMOS and V7-TEOS were significantly higher than V7-TPOS (p=0.046).</w:t>
      </w:r>
    </w:p>
    <w:sectPr w:rsidR="00033A72" w:rsidRPr="00162F92" w:rsidSect="00C8290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060F6" w14:textId="77777777" w:rsidR="00FE729D" w:rsidRDefault="00FE729D">
      <w:pPr>
        <w:spacing w:after="0" w:line="240" w:lineRule="auto"/>
      </w:pPr>
      <w:r>
        <w:separator/>
      </w:r>
    </w:p>
  </w:endnote>
  <w:endnote w:type="continuationSeparator" w:id="0">
    <w:p w14:paraId="0BF7C31E" w14:textId="77777777" w:rsidR="00FE729D" w:rsidRDefault="00FE7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7D5A9" w14:textId="77777777" w:rsidR="00B135F4" w:rsidRDefault="00B135F4">
    <w:pPr>
      <w:pStyle w:val="Footer"/>
      <w:jc w:val="right"/>
    </w:pPr>
  </w:p>
  <w:p w14:paraId="781C9772" w14:textId="77777777" w:rsidR="00B135F4" w:rsidRDefault="00B135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340544"/>
      <w:docPartObj>
        <w:docPartGallery w:val="Page Numbers (Bottom of Page)"/>
        <w:docPartUnique/>
      </w:docPartObj>
    </w:sdtPr>
    <w:sdtEndPr>
      <w:rPr>
        <w:noProof/>
      </w:rPr>
    </w:sdtEndPr>
    <w:sdtContent>
      <w:p w14:paraId="7FDB669B" w14:textId="77777777" w:rsidR="00B135F4"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FC4BA9" w14:textId="77777777" w:rsidR="00B135F4" w:rsidRDefault="00B13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04C70" w14:textId="77777777" w:rsidR="00FE729D" w:rsidRDefault="00FE729D">
      <w:pPr>
        <w:spacing w:after="0" w:line="240" w:lineRule="auto"/>
      </w:pPr>
      <w:r>
        <w:separator/>
      </w:r>
    </w:p>
  </w:footnote>
  <w:footnote w:type="continuationSeparator" w:id="0">
    <w:p w14:paraId="790799F4" w14:textId="77777777" w:rsidR="00FE729D" w:rsidRDefault="00FE72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A4CE5"/>
    <w:multiLevelType w:val="hybridMultilevel"/>
    <w:tmpl w:val="1406937C"/>
    <w:lvl w:ilvl="0" w:tplc="66DC867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F00FA9"/>
    <w:multiLevelType w:val="hybridMultilevel"/>
    <w:tmpl w:val="4FF27E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0195705">
    <w:abstractNumId w:val="0"/>
  </w:num>
  <w:num w:numId="2" w16cid:durableId="1048649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027D2"/>
    <w:rsid w:val="00033A72"/>
    <w:rsid w:val="00061F19"/>
    <w:rsid w:val="00124C98"/>
    <w:rsid w:val="00162F92"/>
    <w:rsid w:val="00176621"/>
    <w:rsid w:val="00193135"/>
    <w:rsid w:val="001B7E04"/>
    <w:rsid w:val="002027D2"/>
    <w:rsid w:val="00241657"/>
    <w:rsid w:val="00282F47"/>
    <w:rsid w:val="002F07BD"/>
    <w:rsid w:val="00317018"/>
    <w:rsid w:val="0032416F"/>
    <w:rsid w:val="003272F3"/>
    <w:rsid w:val="00335A40"/>
    <w:rsid w:val="00350329"/>
    <w:rsid w:val="0047360B"/>
    <w:rsid w:val="004B4BA2"/>
    <w:rsid w:val="004B7279"/>
    <w:rsid w:val="005556B5"/>
    <w:rsid w:val="005633B0"/>
    <w:rsid w:val="0057785B"/>
    <w:rsid w:val="005F09F8"/>
    <w:rsid w:val="00684634"/>
    <w:rsid w:val="0075533B"/>
    <w:rsid w:val="0080413E"/>
    <w:rsid w:val="00817D01"/>
    <w:rsid w:val="0083124A"/>
    <w:rsid w:val="0085481E"/>
    <w:rsid w:val="008F24D5"/>
    <w:rsid w:val="00936CD4"/>
    <w:rsid w:val="00971B91"/>
    <w:rsid w:val="00A41E0E"/>
    <w:rsid w:val="00A57850"/>
    <w:rsid w:val="00AA5B01"/>
    <w:rsid w:val="00AB4259"/>
    <w:rsid w:val="00B135F4"/>
    <w:rsid w:val="00B766EB"/>
    <w:rsid w:val="00C20C72"/>
    <w:rsid w:val="00C96415"/>
    <w:rsid w:val="00CA4B4A"/>
    <w:rsid w:val="00CB654B"/>
    <w:rsid w:val="00E67763"/>
    <w:rsid w:val="00EB0BCC"/>
    <w:rsid w:val="00ED4731"/>
    <w:rsid w:val="00F161D8"/>
    <w:rsid w:val="00F52C58"/>
    <w:rsid w:val="00FB3FDE"/>
    <w:rsid w:val="00FE7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1BB9"/>
  <w15:chartTrackingRefBased/>
  <w15:docId w15:val="{ACAC588F-B717-4682-9F70-55B1D2CA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7D2"/>
  </w:style>
  <w:style w:type="paragraph" w:styleId="Heading1">
    <w:name w:val="heading 1"/>
    <w:basedOn w:val="Normal"/>
    <w:next w:val="Normal"/>
    <w:link w:val="Heading1Char"/>
    <w:uiPriority w:val="9"/>
    <w:qFormat/>
    <w:rsid w:val="002027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027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7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027D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027D2"/>
    <w:pPr>
      <w:ind w:left="720"/>
      <w:contextualSpacing/>
    </w:pPr>
  </w:style>
  <w:style w:type="paragraph" w:styleId="Header">
    <w:name w:val="header"/>
    <w:basedOn w:val="Normal"/>
    <w:link w:val="HeaderChar"/>
    <w:uiPriority w:val="99"/>
    <w:unhideWhenUsed/>
    <w:rsid w:val="00202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7D2"/>
  </w:style>
  <w:style w:type="paragraph" w:styleId="Footer">
    <w:name w:val="footer"/>
    <w:basedOn w:val="Normal"/>
    <w:link w:val="FooterChar"/>
    <w:uiPriority w:val="99"/>
    <w:unhideWhenUsed/>
    <w:rsid w:val="00202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7D2"/>
  </w:style>
  <w:style w:type="paragraph" w:customStyle="1" w:styleId="EndNoteBibliographyTitle">
    <w:name w:val="EndNote Bibliography Title"/>
    <w:basedOn w:val="Normal"/>
    <w:link w:val="EndNoteBibliographyTitleChar"/>
    <w:rsid w:val="002027D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027D2"/>
    <w:rPr>
      <w:rFonts w:ascii="Calibri" w:hAnsi="Calibri" w:cs="Calibri"/>
      <w:noProof/>
    </w:rPr>
  </w:style>
  <w:style w:type="paragraph" w:customStyle="1" w:styleId="EndNoteBibliography">
    <w:name w:val="EndNote Bibliography"/>
    <w:basedOn w:val="Normal"/>
    <w:link w:val="EndNoteBibliographyChar"/>
    <w:rsid w:val="002027D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027D2"/>
    <w:rPr>
      <w:rFonts w:ascii="Calibri" w:hAnsi="Calibri" w:cs="Calibri"/>
      <w:noProof/>
    </w:rPr>
  </w:style>
  <w:style w:type="character" w:styleId="CommentReference">
    <w:name w:val="annotation reference"/>
    <w:basedOn w:val="DefaultParagraphFont"/>
    <w:uiPriority w:val="99"/>
    <w:semiHidden/>
    <w:unhideWhenUsed/>
    <w:rsid w:val="002027D2"/>
    <w:rPr>
      <w:sz w:val="16"/>
      <w:szCs w:val="16"/>
    </w:rPr>
  </w:style>
  <w:style w:type="paragraph" w:styleId="CommentText">
    <w:name w:val="annotation text"/>
    <w:basedOn w:val="Normal"/>
    <w:link w:val="CommentTextChar"/>
    <w:uiPriority w:val="99"/>
    <w:unhideWhenUsed/>
    <w:rsid w:val="002027D2"/>
    <w:pPr>
      <w:spacing w:line="240" w:lineRule="auto"/>
    </w:pPr>
    <w:rPr>
      <w:sz w:val="20"/>
      <w:szCs w:val="20"/>
    </w:rPr>
  </w:style>
  <w:style w:type="character" w:customStyle="1" w:styleId="CommentTextChar">
    <w:name w:val="Comment Text Char"/>
    <w:basedOn w:val="DefaultParagraphFont"/>
    <w:link w:val="CommentText"/>
    <w:uiPriority w:val="99"/>
    <w:rsid w:val="002027D2"/>
    <w:rPr>
      <w:sz w:val="20"/>
      <w:szCs w:val="20"/>
    </w:rPr>
  </w:style>
  <w:style w:type="paragraph" w:styleId="CommentSubject">
    <w:name w:val="annotation subject"/>
    <w:basedOn w:val="CommentText"/>
    <w:next w:val="CommentText"/>
    <w:link w:val="CommentSubjectChar"/>
    <w:uiPriority w:val="99"/>
    <w:semiHidden/>
    <w:unhideWhenUsed/>
    <w:rsid w:val="002027D2"/>
    <w:rPr>
      <w:b/>
      <w:bCs/>
    </w:rPr>
  </w:style>
  <w:style w:type="character" w:customStyle="1" w:styleId="CommentSubjectChar">
    <w:name w:val="Comment Subject Char"/>
    <w:basedOn w:val="CommentTextChar"/>
    <w:link w:val="CommentSubject"/>
    <w:uiPriority w:val="99"/>
    <w:semiHidden/>
    <w:rsid w:val="002027D2"/>
    <w:rPr>
      <w:b/>
      <w:bCs/>
      <w:sz w:val="20"/>
      <w:szCs w:val="20"/>
    </w:rPr>
  </w:style>
  <w:style w:type="character" w:styleId="Hyperlink">
    <w:name w:val="Hyperlink"/>
    <w:basedOn w:val="DefaultParagraphFont"/>
    <w:uiPriority w:val="99"/>
    <w:unhideWhenUsed/>
    <w:rsid w:val="002027D2"/>
    <w:rPr>
      <w:color w:val="0563C1" w:themeColor="hyperlink"/>
      <w:u w:val="single"/>
    </w:rPr>
  </w:style>
  <w:style w:type="character" w:styleId="UnresolvedMention">
    <w:name w:val="Unresolved Mention"/>
    <w:basedOn w:val="DefaultParagraphFont"/>
    <w:uiPriority w:val="99"/>
    <w:semiHidden/>
    <w:unhideWhenUsed/>
    <w:rsid w:val="002027D2"/>
    <w:rPr>
      <w:color w:val="605E5C"/>
      <w:shd w:val="clear" w:color="auto" w:fill="E1DFDD"/>
    </w:rPr>
  </w:style>
  <w:style w:type="table" w:styleId="TableGrid">
    <w:name w:val="Table Grid"/>
    <w:basedOn w:val="TableNormal"/>
    <w:uiPriority w:val="39"/>
    <w:rsid w:val="002027D2"/>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027D2"/>
    <w:rPr>
      <w:color w:val="808080"/>
    </w:rPr>
  </w:style>
  <w:style w:type="paragraph" w:styleId="NormalWeb">
    <w:name w:val="Normal (Web)"/>
    <w:basedOn w:val="Normal"/>
    <w:uiPriority w:val="99"/>
    <w:unhideWhenUsed/>
    <w:rsid w:val="002027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fault">
    <w:name w:val="Default"/>
    <w:rsid w:val="002027D2"/>
    <w:pPr>
      <w:autoSpaceDE w:val="0"/>
      <w:autoSpaceDN w:val="0"/>
      <w:adjustRightInd w:val="0"/>
      <w:spacing w:after="0" w:line="240" w:lineRule="auto"/>
    </w:pPr>
    <w:rPr>
      <w:rFonts w:ascii="Arial" w:hAnsi="Arial" w:cs="Arial"/>
      <w:color w:val="000000"/>
      <w:kern w:val="0"/>
      <w:sz w:val="24"/>
      <w:szCs w:val="24"/>
      <w14:ligatures w14:val="none"/>
    </w:rPr>
  </w:style>
  <w:style w:type="paragraph" w:styleId="BalloonText">
    <w:name w:val="Balloon Text"/>
    <w:basedOn w:val="Normal"/>
    <w:link w:val="BalloonTextChar"/>
    <w:uiPriority w:val="99"/>
    <w:semiHidden/>
    <w:unhideWhenUsed/>
    <w:rsid w:val="002027D2"/>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2027D2"/>
    <w:rPr>
      <w:rFonts w:ascii="Segoe UI" w:hAnsi="Segoe UI" w:cs="Segoe UI"/>
      <w:kern w:val="0"/>
      <w:sz w:val="18"/>
      <w:szCs w:val="18"/>
      <w14:ligatures w14:val="none"/>
    </w:rPr>
  </w:style>
  <w:style w:type="paragraph" w:styleId="Revision">
    <w:name w:val="Revision"/>
    <w:hidden/>
    <w:uiPriority w:val="99"/>
    <w:semiHidden/>
    <w:rsid w:val="002027D2"/>
    <w:pPr>
      <w:spacing w:after="0" w:line="240" w:lineRule="auto"/>
    </w:pPr>
    <w:rPr>
      <w:kern w:val="0"/>
      <w14:ligatures w14:val="none"/>
    </w:rPr>
  </w:style>
  <w:style w:type="paragraph" w:customStyle="1" w:styleId="TAMainText">
    <w:name w:val="TA_Main_Text"/>
    <w:basedOn w:val="Normal"/>
    <w:autoRedefine/>
    <w:rsid w:val="002027D2"/>
    <w:pPr>
      <w:spacing w:after="60" w:line="480" w:lineRule="auto"/>
      <w:ind w:firstLine="180"/>
      <w:jc w:val="both"/>
    </w:pPr>
    <w:rPr>
      <w:rFonts w:ascii="Times New Roman" w:eastAsia="Times New Roman" w:hAnsi="Times New Roman" w:cs="Times New Roman"/>
      <w:kern w:val="21"/>
      <w:sz w:val="24"/>
      <w:szCs w:val="24"/>
      <w14:ligatures w14:val="none"/>
    </w:rPr>
  </w:style>
  <w:style w:type="paragraph" w:styleId="TOCHeading">
    <w:name w:val="TOC Heading"/>
    <w:basedOn w:val="Heading1"/>
    <w:next w:val="Normal"/>
    <w:uiPriority w:val="39"/>
    <w:semiHidden/>
    <w:unhideWhenUsed/>
    <w:qFormat/>
    <w:rsid w:val="002027D2"/>
    <w:pPr>
      <w:outlineLvl w:val="9"/>
    </w:pPr>
  </w:style>
  <w:style w:type="paragraph" w:customStyle="1" w:styleId="Style1">
    <w:name w:val="Style1"/>
    <w:basedOn w:val="Normal"/>
    <w:link w:val="Style1Char"/>
    <w:autoRedefine/>
    <w:rsid w:val="002027D2"/>
    <w:rPr>
      <w:rFonts w:ascii="Arial" w:hAnsi="Arial" w:cs="Arial"/>
      <w:b/>
      <w:bCs/>
      <w:sz w:val="24"/>
      <w:szCs w:val="24"/>
    </w:rPr>
  </w:style>
  <w:style w:type="character" w:customStyle="1" w:styleId="Style1Char">
    <w:name w:val="Style1 Char"/>
    <w:basedOn w:val="DefaultParagraphFont"/>
    <w:link w:val="Style1"/>
    <w:rsid w:val="002027D2"/>
    <w:rPr>
      <w:rFonts w:ascii="Arial" w:hAnsi="Arial" w:cs="Arial"/>
      <w:b/>
      <w:bCs/>
      <w:sz w:val="24"/>
      <w:szCs w:val="24"/>
    </w:rPr>
  </w:style>
  <w:style w:type="paragraph" w:customStyle="1" w:styleId="Style2">
    <w:name w:val="Style2"/>
    <w:basedOn w:val="Normal"/>
    <w:link w:val="Style2Char"/>
    <w:rsid w:val="002027D2"/>
    <w:rPr>
      <w:rFonts w:ascii="Arial" w:hAnsi="Arial" w:cs="Arial"/>
      <w:b/>
      <w:bCs/>
      <w:sz w:val="24"/>
      <w:szCs w:val="24"/>
    </w:rPr>
  </w:style>
  <w:style w:type="character" w:customStyle="1" w:styleId="Style2Char">
    <w:name w:val="Style2 Char"/>
    <w:basedOn w:val="DefaultParagraphFont"/>
    <w:link w:val="Style2"/>
    <w:rsid w:val="002027D2"/>
    <w:rPr>
      <w:rFonts w:ascii="Arial" w:hAnsi="Arial" w:cs="Arial"/>
      <w:b/>
      <w:bCs/>
      <w:sz w:val="24"/>
      <w:szCs w:val="24"/>
    </w:rPr>
  </w:style>
  <w:style w:type="paragraph" w:styleId="TOC1">
    <w:name w:val="toc 1"/>
    <w:basedOn w:val="Style1"/>
    <w:next w:val="Normal"/>
    <w:autoRedefine/>
    <w:uiPriority w:val="39"/>
    <w:unhideWhenUsed/>
    <w:rsid w:val="002027D2"/>
    <w:pPr>
      <w:spacing w:after="100"/>
    </w:pPr>
    <w:rPr>
      <w:b w:val="0"/>
    </w:rPr>
  </w:style>
  <w:style w:type="paragraph" w:styleId="TOC2">
    <w:name w:val="toc 2"/>
    <w:basedOn w:val="Style2"/>
    <w:next w:val="Normal"/>
    <w:autoRedefine/>
    <w:uiPriority w:val="39"/>
    <w:unhideWhenUsed/>
    <w:rsid w:val="002027D2"/>
    <w:pPr>
      <w:spacing w:after="100"/>
      <w:ind w:left="220"/>
    </w:pPr>
    <w:rPr>
      <w:b w:val="0"/>
    </w:rPr>
  </w:style>
  <w:style w:type="paragraph" w:styleId="TOC3">
    <w:name w:val="toc 3"/>
    <w:basedOn w:val="Normal"/>
    <w:next w:val="Normal"/>
    <w:autoRedefine/>
    <w:uiPriority w:val="39"/>
    <w:unhideWhenUsed/>
    <w:rsid w:val="002027D2"/>
    <w:pPr>
      <w:spacing w:after="100"/>
      <w:ind w:left="440"/>
    </w:pPr>
    <w:rPr>
      <w:rFonts w:eastAsiaTheme="minorEastAsia" w:cs="Times New Roman"/>
      <w:kern w:val="0"/>
      <w14:ligatures w14:val="none"/>
    </w:rPr>
  </w:style>
  <w:style w:type="paragraph" w:customStyle="1" w:styleId="Style3">
    <w:name w:val="Style3"/>
    <w:basedOn w:val="Heading1"/>
    <w:link w:val="Style3Char"/>
    <w:rsid w:val="002027D2"/>
    <w:rPr>
      <w:rFonts w:ascii="Arial" w:hAnsi="Arial"/>
      <w:b/>
      <w:sz w:val="24"/>
    </w:rPr>
  </w:style>
  <w:style w:type="character" w:customStyle="1" w:styleId="Style3Char">
    <w:name w:val="Style3 Char"/>
    <w:basedOn w:val="Heading1Char"/>
    <w:link w:val="Style3"/>
    <w:rsid w:val="002027D2"/>
    <w:rPr>
      <w:rFonts w:ascii="Arial" w:eastAsiaTheme="majorEastAsia" w:hAnsi="Arial" w:cstheme="majorBidi"/>
      <w:b/>
      <w:color w:val="2F5496" w:themeColor="accent1" w:themeShade="BF"/>
      <w:sz w:val="24"/>
      <w:szCs w:val="32"/>
    </w:rPr>
  </w:style>
  <w:style w:type="paragraph" w:customStyle="1" w:styleId="Style4">
    <w:name w:val="Style4"/>
    <w:basedOn w:val="Heading2"/>
    <w:link w:val="Style4Char"/>
    <w:rsid w:val="002027D2"/>
    <w:rPr>
      <w:rFonts w:ascii="Arial" w:hAnsi="Arial"/>
      <w:b/>
      <w:sz w:val="24"/>
    </w:rPr>
  </w:style>
  <w:style w:type="character" w:customStyle="1" w:styleId="Style4Char">
    <w:name w:val="Style4 Char"/>
    <w:basedOn w:val="Heading2Char"/>
    <w:link w:val="Style4"/>
    <w:rsid w:val="002027D2"/>
    <w:rPr>
      <w:rFonts w:ascii="Arial" w:eastAsiaTheme="majorEastAsia" w:hAnsi="Arial" w:cstheme="majorBidi"/>
      <w:b/>
      <w:color w:val="2F5496" w:themeColor="accent1" w:themeShade="BF"/>
      <w:sz w:val="24"/>
      <w:szCs w:val="26"/>
    </w:rPr>
  </w:style>
  <w:style w:type="paragraph" w:styleId="TOC5">
    <w:name w:val="toc 5"/>
    <w:basedOn w:val="Normal"/>
    <w:next w:val="Normal"/>
    <w:autoRedefine/>
    <w:uiPriority w:val="39"/>
    <w:semiHidden/>
    <w:unhideWhenUsed/>
    <w:rsid w:val="002027D2"/>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5.png"/><Relationship Id="rId21" Type="http://schemas.openxmlformats.org/officeDocument/2006/relationships/image" Target="media/image9.png"/><Relationship Id="rId42" Type="http://schemas.openxmlformats.org/officeDocument/2006/relationships/image" Target="media/image30.tif"/><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6" Type="http://schemas.openxmlformats.org/officeDocument/2006/relationships/image" Target="media/image4.png"/><Relationship Id="rId107" Type="http://schemas.openxmlformats.org/officeDocument/2006/relationships/image" Target="media/image95.png"/><Relationship Id="rId11" Type="http://schemas.openxmlformats.org/officeDocument/2006/relationships/footer" Target="footer1.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5" Type="http://schemas.openxmlformats.org/officeDocument/2006/relationships/numbering" Target="numbering.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tiff"/><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1.png"/><Relationship Id="rId118" Type="http://schemas.openxmlformats.org/officeDocument/2006/relationships/image" Target="media/image106.png"/><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footer" Target="footer2.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tif"/><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2.tiff"/><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tiff"/><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4.pn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png"/><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A27EFC47F02945A4835FEC0AF56FF6" ma:contentTypeVersion="7" ma:contentTypeDescription="Create a new document." ma:contentTypeScope="" ma:versionID="c2dd7690d426e9aebd04844a4d11220d">
  <xsd:schema xmlns:xsd="http://www.w3.org/2001/XMLSchema" xmlns:xs="http://www.w3.org/2001/XMLSchema" xmlns:p="http://schemas.microsoft.com/office/2006/metadata/properties" xmlns:ns3="7cc7e3c4-ea8e-4b61-8351-c76dcb48c733" xmlns:ns4="da3a1f26-d45a-43b2-8c19-c3bd613248b8" targetNamespace="http://schemas.microsoft.com/office/2006/metadata/properties" ma:root="true" ma:fieldsID="bec04c76ac1b7e7f74d2b9b98eb2d05f" ns3:_="" ns4:_="">
    <xsd:import namespace="7cc7e3c4-ea8e-4b61-8351-c76dcb48c733"/>
    <xsd:import namespace="da3a1f26-d45a-43b2-8c19-c3bd613248b8"/>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7e3c4-ea8e-4b61-8351-c76dcb48c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3a1f26-d45a-43b2-8c19-c3bd613248b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cc7e3c4-ea8e-4b61-8351-c76dcb48c73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F675E-C763-4000-B27D-EE31DB844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7e3c4-ea8e-4b61-8351-c76dcb48c733"/>
    <ds:schemaRef ds:uri="da3a1f26-d45a-43b2-8c19-c3bd61324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6F24E-1B5B-453B-8B21-62BF9F8EB018}">
  <ds:schemaRefs>
    <ds:schemaRef ds:uri="http://schemas.microsoft.com/office/2006/metadata/properties"/>
    <ds:schemaRef ds:uri="http://schemas.microsoft.com/office/infopath/2007/PartnerControls"/>
    <ds:schemaRef ds:uri="7cc7e3c4-ea8e-4b61-8351-c76dcb48c733"/>
  </ds:schemaRefs>
</ds:datastoreItem>
</file>

<file path=customXml/itemProps3.xml><?xml version="1.0" encoding="utf-8"?>
<ds:datastoreItem xmlns:ds="http://schemas.openxmlformats.org/officeDocument/2006/customXml" ds:itemID="{B7626182-46D7-4CC6-8DE7-944C502C8AA3}">
  <ds:schemaRefs>
    <ds:schemaRef ds:uri="http://schemas.openxmlformats.org/officeDocument/2006/bibliography"/>
  </ds:schemaRefs>
</ds:datastoreItem>
</file>

<file path=customXml/itemProps4.xml><?xml version="1.0" encoding="utf-8"?>
<ds:datastoreItem xmlns:ds="http://schemas.openxmlformats.org/officeDocument/2006/customXml" ds:itemID="{FB15EA5D-6D51-4579-9CBB-57F4DBEFEA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46304</Words>
  <Characters>263939</Characters>
  <Application>Microsoft Office Word</Application>
  <DocSecurity>0</DocSecurity>
  <Lines>2199</Lines>
  <Paragraphs>619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MacCuaig, Bill M.</dc:creator>
  <cp:keywords/>
  <dc:description/>
  <cp:lastModifiedBy>MacCuaig, Bill M.</cp:lastModifiedBy>
  <cp:revision>19</cp:revision>
  <cp:lastPrinted>2023-12-08T19:15:00Z</cp:lastPrinted>
  <dcterms:created xsi:type="dcterms:W3CDTF">2023-12-07T18:54:00Z</dcterms:created>
  <dcterms:modified xsi:type="dcterms:W3CDTF">2023-12-08T19:15:00Z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0x010100F1A27EFC47F02945A4835FEC0AF56FF6</vt:lpwstr>
  </property>
</Properties>
</file>