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02911265"/>
    <w:p w14:paraId="1A14CA41" w14:textId="77777777" w:rsidR="00C83CE0" w:rsidRDefault="00C83CE0" w:rsidP="00C83CE0">
      <w:pPr>
        <w:jc w:val="right"/>
        <w:outlineLvl w:val="0"/>
        <w:rPr>
          <w:rFonts w:eastAsia="Times New Roman"/>
          <w:b/>
          <w:bCs/>
        </w:rPr>
      </w:pPr>
      <w:r>
        <w:rPr>
          <w:rFonts w:ascii="AppleSystemUIFontItalic" w:hAnsi="AppleSystemUIFontItalic" w:cs="AppleSystemUIFontItalic"/>
          <w:b/>
          <w:iCs/>
          <w:noProof/>
          <w:color w:val="353535"/>
        </w:rPr>
        <mc:AlternateContent>
          <mc:Choice Requires="wps">
            <w:drawing>
              <wp:anchor distT="0" distB="0" distL="114300" distR="114300" simplePos="0" relativeHeight="251659264" behindDoc="0" locked="0" layoutInCell="1" allowOverlap="1" wp14:anchorId="662D0628" wp14:editId="6852217E">
                <wp:simplePos x="0" y="0"/>
                <wp:positionH relativeFrom="column">
                  <wp:posOffset>914400</wp:posOffset>
                </wp:positionH>
                <wp:positionV relativeFrom="paragraph">
                  <wp:posOffset>-457200</wp:posOffset>
                </wp:positionV>
                <wp:extent cx="3771900" cy="1014095"/>
                <wp:effectExtent l="0" t="0" r="12700" b="1905"/>
                <wp:wrapSquare wrapText="bothSides"/>
                <wp:docPr id="1" name="Text Box 1"/>
                <wp:cNvGraphicFramePr/>
                <a:graphic xmlns:a="http://schemas.openxmlformats.org/drawingml/2006/main">
                  <a:graphicData uri="http://schemas.microsoft.com/office/word/2010/wordprocessingShape">
                    <wps:wsp>
                      <wps:cNvSpPr txBox="1"/>
                      <wps:spPr>
                        <a:xfrm>
                          <a:off x="0" y="0"/>
                          <a:ext cx="3771900" cy="1014095"/>
                        </a:xfrm>
                        <a:prstGeom prst="rect">
                          <a:avLst/>
                        </a:prstGeom>
                        <a:solidFill>
                          <a:srgbClr val="008000"/>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pic="http://schemas.openxmlformats.org/drawingml/2006/picture" xmlns:a14="http://schemas.microsoft.com/office/drawing/2010/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49624F" w14:textId="0BA3C1CE" w:rsidR="00C83CE0" w:rsidRDefault="00C83CE0" w:rsidP="00C83CE0">
                            <w:pPr>
                              <w:spacing w:line="240" w:lineRule="auto"/>
                              <w:jc w:val="center"/>
                              <w:rPr>
                                <w:i/>
                                <w:color w:val="FFFFFF" w:themeColor="background1"/>
                                <w:sz w:val="44"/>
                                <w:szCs w:val="44"/>
                              </w:rPr>
                            </w:pPr>
                            <w:r w:rsidRPr="002B2D44">
                              <w:rPr>
                                <w:i/>
                                <w:color w:val="FFFFFF" w:themeColor="background1"/>
                                <w:sz w:val="44"/>
                                <w:szCs w:val="44"/>
                              </w:rPr>
                              <w:t xml:space="preserve">Journal of </w:t>
                            </w:r>
                          </w:p>
                          <w:p w14:paraId="244EA3A0" w14:textId="77777777" w:rsidR="00C83CE0" w:rsidRPr="00C83CE0" w:rsidRDefault="00C83CE0" w:rsidP="00C83CE0">
                            <w:pPr>
                              <w:spacing w:line="240" w:lineRule="auto"/>
                              <w:jc w:val="center"/>
                              <w:rPr>
                                <w:i/>
                                <w:color w:val="FFFFFF" w:themeColor="background1"/>
                              </w:rPr>
                            </w:pPr>
                          </w:p>
                          <w:p w14:paraId="7A4D4883" w14:textId="77777777" w:rsidR="00C83CE0" w:rsidRPr="002B2D44" w:rsidRDefault="00C83CE0" w:rsidP="00C83CE0">
                            <w:pPr>
                              <w:spacing w:line="240" w:lineRule="auto"/>
                              <w:jc w:val="center"/>
                              <w:rPr>
                                <w:sz w:val="44"/>
                                <w:szCs w:val="44"/>
                              </w:rPr>
                            </w:pPr>
                            <w:r w:rsidRPr="002B2D44">
                              <w:rPr>
                                <w:color w:val="FFFFFF" w:themeColor="background1"/>
                                <w:sz w:val="44"/>
                                <w:szCs w:val="44"/>
                              </w:rPr>
                              <w:t>Supply Chain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2D0628" id="_x0000_t202" coordsize="21600,21600" o:spt="202" path="m,l,21600r21600,l21600,xe">
                <v:stroke joinstyle="miter"/>
                <v:path gradientshapeok="t" o:connecttype="rect"/>
              </v:shapetype>
              <v:shape id="Text Box 1" o:spid="_x0000_s1026" type="#_x0000_t202" style="position:absolute;left:0;text-align:left;margin-left:1in;margin-top:-36pt;width:297pt;height:79.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" fillcolor="green" stroked="f">
                <v:textbox>
                  <w:txbxContent>
                    <w:p w14:paraId="6049624F" w14:textId="0BA3C1CE" w:rsidR="00C83CE0" w:rsidRDefault="00C83CE0" w:rsidP="00C83CE0">
                      <w:pPr>
                        <w:spacing w:line="240" w:lineRule="auto"/>
                        <w:jc w:val="center"/>
                        <w:rPr>
                          <w:i/>
                          <w:color w:val="FFFFFF" w:themeColor="background1"/>
                          <w:sz w:val="44"/>
                          <w:szCs w:val="44"/>
                        </w:rPr>
                      </w:pPr>
                      <w:r w:rsidRPr="002B2D44">
                        <w:rPr>
                          <w:i/>
                          <w:color w:val="FFFFFF" w:themeColor="background1"/>
                          <w:sz w:val="44"/>
                          <w:szCs w:val="44"/>
                        </w:rPr>
                        <w:t xml:space="preserve">Journal of </w:t>
                      </w:r>
                    </w:p>
                    <w:p w14:paraId="244EA3A0" w14:textId="77777777" w:rsidR="00C83CE0" w:rsidRPr="00C83CE0" w:rsidRDefault="00C83CE0" w:rsidP="00C83CE0">
                      <w:pPr>
                        <w:spacing w:line="240" w:lineRule="auto"/>
                        <w:jc w:val="center"/>
                        <w:rPr>
                          <w:i/>
                          <w:color w:val="FFFFFF" w:themeColor="background1"/>
                        </w:rPr>
                      </w:pPr>
                    </w:p>
                    <w:p w14:paraId="7A4D4883" w14:textId="77777777" w:rsidR="00C83CE0" w:rsidRPr="002B2D44" w:rsidRDefault="00C83CE0" w:rsidP="00C83CE0">
                      <w:pPr>
                        <w:spacing w:line="240" w:lineRule="auto"/>
                        <w:jc w:val="center"/>
                        <w:rPr>
                          <w:sz w:val="44"/>
                          <w:szCs w:val="44"/>
                        </w:rPr>
                      </w:pPr>
                      <w:r w:rsidRPr="002B2D44">
                        <w:rPr>
                          <w:color w:val="FFFFFF" w:themeColor="background1"/>
                          <w:sz w:val="44"/>
                          <w:szCs w:val="44"/>
                        </w:rPr>
                        <w:t>Supply Chain Management</w:t>
                      </w:r>
                    </w:p>
                  </w:txbxContent>
                </v:textbox>
                <w10:wrap type="square"/>
              </v:shape>
            </w:pict>
          </mc:Fallback>
        </mc:AlternateContent>
      </w:r>
    </w:p>
    <w:sdt>
      <w:sdtPr>
        <w:rPr>
          <w:rFonts w:asciiTheme="minorHAnsi" w:hAnsiTheme="minorHAnsi"/>
          <w:color w:val="4F81BD" w:themeColor="accent1"/>
          <w:sz w:val="22"/>
        </w:rPr>
        <w:id w:val="1376113018"/>
        <w:docPartObj>
          <w:docPartGallery w:val="Cover Pages"/>
          <w:docPartUnique/>
        </w:docPartObj>
      </w:sdtPr>
      <w:sdtEndPr>
        <w:rPr>
          <w:rFonts w:ascii="Times New Roman" w:hAnsi="Times New Roman"/>
          <w:b/>
          <w:color w:val="auto"/>
          <w:sz w:val="24"/>
        </w:rPr>
      </w:sdtEndPr>
      <w:sdtContent>
        <w:p w14:paraId="2A9FEAB2" w14:textId="77777777" w:rsidR="00C83CE0" w:rsidRDefault="00C83CE0" w:rsidP="00C83CE0">
          <w:pPr>
            <w:jc w:val="center"/>
            <w:rPr>
              <w:rFonts w:asciiTheme="minorHAnsi" w:hAnsiTheme="minorHAnsi"/>
              <w:color w:val="4F81BD" w:themeColor="accent1"/>
              <w:sz w:val="22"/>
            </w:rPr>
          </w:pPr>
        </w:p>
        <w:p w14:paraId="53FB794B" w14:textId="77777777" w:rsidR="00C83CE0" w:rsidRDefault="00C83CE0" w:rsidP="00C83CE0">
          <w:pPr>
            <w:spacing w:line="240" w:lineRule="auto"/>
            <w:jc w:val="center"/>
          </w:pPr>
        </w:p>
        <w:p w14:paraId="60CA7AC9" w14:textId="77777777" w:rsidR="00C83CE0" w:rsidRDefault="00C83CE0" w:rsidP="00C83CE0">
          <w:pPr>
            <w:rPr>
              <w:b/>
              <w:bCs/>
              <w:sz w:val="32"/>
              <w:szCs w:val="32"/>
            </w:rPr>
          </w:pPr>
        </w:p>
        <w:p w14:paraId="6582FF5A" w14:textId="0E71C4FA" w:rsidR="00C83CE0" w:rsidRDefault="00C83CE0" w:rsidP="00C83CE0">
          <w:pPr>
            <w:spacing w:line="240" w:lineRule="auto"/>
            <w:ind w:firstLine="0"/>
            <w:jc w:val="center"/>
            <w:rPr>
              <w:b/>
            </w:rPr>
          </w:pPr>
          <w:r w:rsidRPr="00C83CE0">
            <w:rPr>
              <w:b/>
              <w:bCs/>
              <w:sz w:val="32"/>
              <w:szCs w:val="32"/>
            </w:rPr>
            <w:t xml:space="preserve">The Structure </w:t>
          </w:r>
          <w:r>
            <w:rPr>
              <w:b/>
              <w:bCs/>
              <w:sz w:val="32"/>
              <w:szCs w:val="32"/>
            </w:rPr>
            <w:t>o</w:t>
          </w:r>
          <w:r w:rsidRPr="00C83CE0">
            <w:rPr>
              <w:b/>
              <w:bCs/>
              <w:sz w:val="32"/>
              <w:szCs w:val="32"/>
            </w:rPr>
            <w:t xml:space="preserve">f Absorptive Capacity </w:t>
          </w:r>
          <w:r>
            <w:rPr>
              <w:b/>
              <w:bCs/>
              <w:sz w:val="32"/>
              <w:szCs w:val="32"/>
            </w:rPr>
            <w:t>i</w:t>
          </w:r>
          <w:r w:rsidRPr="00C83CE0">
            <w:rPr>
              <w:b/>
              <w:bCs/>
              <w:sz w:val="32"/>
              <w:szCs w:val="32"/>
            </w:rPr>
            <w:t>n Three Product Development Strategies</w:t>
          </w:r>
        </w:p>
        <w:p w14:paraId="0BB59EDA" w14:textId="0D04D8D2" w:rsidR="00C83CE0" w:rsidRPr="00F97CBF" w:rsidRDefault="00C83CE0" w:rsidP="00C83CE0">
          <w:pPr>
            <w:jc w:val="center"/>
            <w:rPr>
              <w:b/>
            </w:rPr>
          </w:pPr>
          <w:r w:rsidRPr="00C83CE0">
            <w:rPr>
              <w:b/>
              <w:bCs/>
            </w:rPr>
            <w:t>Paul F. Skilton, Ednilson Bernardes, Mei Li and Steven A. Creek</w:t>
          </w:r>
        </w:p>
        <w:p w14:paraId="7EEE5013" w14:textId="77777777" w:rsidR="00C83CE0" w:rsidRDefault="00C83CE0" w:rsidP="00C83CE0">
          <w:pPr>
            <w:rPr>
              <w:b/>
              <w:bCs/>
            </w:rPr>
          </w:pPr>
        </w:p>
        <w:p w14:paraId="519BD65A" w14:textId="0DFEB18E" w:rsidR="00C83CE0" w:rsidRPr="00F97CBF" w:rsidRDefault="00C83CE0" w:rsidP="00C83CE0">
          <w:pPr>
            <w:spacing w:line="240" w:lineRule="auto"/>
            <w:contextualSpacing/>
            <w:rPr>
              <w:rFonts w:eastAsia="Times New Roman"/>
              <w:b/>
              <w:bCs/>
            </w:rPr>
          </w:pPr>
          <w:r w:rsidRPr="5938A41A">
            <w:rPr>
              <w:b/>
              <w:bCs/>
            </w:rPr>
            <w:t xml:space="preserve">Article information: </w:t>
          </w:r>
          <w:r>
            <w:t xml:space="preserve">Paul F. Skilton, </w:t>
          </w:r>
          <w:r w:rsidRPr="00C83CE0">
            <w:t>Ednilson Bernardes</w:t>
          </w:r>
          <w:r>
            <w:t xml:space="preserve">, </w:t>
          </w:r>
          <w:r w:rsidRPr="00C83CE0">
            <w:t xml:space="preserve">Mei Li </w:t>
          </w:r>
          <w:r>
            <w:t xml:space="preserve">and </w:t>
          </w:r>
          <w:r w:rsidRPr="00C83CE0">
            <w:t xml:space="preserve">Steven A. Creek </w:t>
          </w:r>
          <w:r>
            <w:t>(2018), “</w:t>
          </w:r>
          <w:r w:rsidRPr="00C83CE0">
            <w:t>The Structure of Absorptive Capacity in Three Product Development Strategies</w:t>
          </w:r>
          <w:r>
            <w:t>” Journal of Supply Chain Management, Vol. 56.</w:t>
          </w:r>
        </w:p>
        <w:p w14:paraId="627B2DA2" w14:textId="77777777" w:rsidR="00C83CE0" w:rsidRDefault="00C83CE0" w:rsidP="00C83CE0">
          <w:pPr>
            <w:rPr>
              <w:b/>
            </w:rPr>
          </w:pPr>
        </w:p>
        <w:p w14:paraId="2A92921E" w14:textId="77777777" w:rsidR="00C83CE0" w:rsidRPr="004C7009" w:rsidRDefault="00C83CE0" w:rsidP="00C83CE0">
          <w:pPr>
            <w:ind w:firstLine="0"/>
            <w:rPr>
              <w:rFonts w:eastAsia="Times New Roman"/>
              <w:b/>
              <w:bCs/>
            </w:rPr>
          </w:pPr>
          <w:r w:rsidRPr="5938A41A">
            <w:rPr>
              <w:b/>
              <w:bCs/>
            </w:rPr>
            <w:t>Abstract</w:t>
          </w:r>
        </w:p>
        <w:sdt>
          <w:sdtPr>
            <w:id w:val="-581378012"/>
            <w:docPartObj>
              <w:docPartGallery w:val="Cover Pages"/>
              <w:docPartUnique/>
            </w:docPartObj>
          </w:sdtPr>
          <w:sdtEndPr>
            <w:rPr>
              <w:b/>
            </w:rPr>
          </w:sdtEndPr>
          <w:sdtContent>
            <w:p w14:paraId="105F520E" w14:textId="0917F067" w:rsidR="00C83CE0" w:rsidRPr="00C83CE0" w:rsidRDefault="00C83CE0" w:rsidP="00C83CE0">
              <w:pPr>
                <w:spacing w:line="240" w:lineRule="auto"/>
                <w:ind w:firstLine="0"/>
              </w:pPr>
              <w:r w:rsidRPr="00C83CE0">
                <w:t xml:space="preserve">This study develops and tests theory about different forms of absorptive capacity that support radical, differentiation and imitation product development strategies. Absorptive capacity theory provides a generalized explanation for how firms exploit their embeddedness in relationships with buyers and suppliers. We develop and test theory that relates combinations of four components of absorptive capacity (R&amp;D capability, product development capability, cooperative embeddedness and competitive embeddedness) to success rates in three product development strategies. We used data from the American pharmaceutical industry to estimate generalized linear mixed models. Our results confirm known relationships between R&amp;D capability, alliance network position and the development of radically new </w:t>
              </w:r>
              <w:proofErr w:type="gramStart"/>
              <w:r w:rsidRPr="00C83CE0">
                <w:t>products, but</w:t>
              </w:r>
              <w:proofErr w:type="gramEnd"/>
              <w:r w:rsidRPr="00C83CE0">
                <w:t xml:space="preserve"> reveal different sets of factors that influence differentiation and imitation. We describe a previously undetected influence of competitive embeddedness on the development of radically new products, a contrasting absorptive capacity structure for generic product development, and a mixed structure for differentiated product development.</w:t>
              </w:r>
            </w:p>
            <w:p w14:paraId="22795D7E" w14:textId="77777777" w:rsidR="00C83CE0" w:rsidRDefault="00C83CE0" w:rsidP="00C83CE0">
              <w:pPr>
                <w:spacing w:line="240" w:lineRule="auto"/>
                <w:rPr>
                  <w:b/>
                  <w:bCs/>
                </w:rPr>
              </w:pPr>
            </w:p>
            <w:p w14:paraId="0FB58F71" w14:textId="314AED2B" w:rsidR="00C83CE0" w:rsidRDefault="00C83CE0" w:rsidP="00C83CE0">
              <w:pPr>
                <w:spacing w:line="240" w:lineRule="auto"/>
                <w:rPr>
                  <w:b/>
                </w:rPr>
              </w:pPr>
              <w:r w:rsidRPr="5938A41A">
                <w:rPr>
                  <w:b/>
                  <w:bCs/>
                </w:rPr>
                <w:t>Keywords</w:t>
              </w:r>
              <w:r>
                <w:t xml:space="preserve">: </w:t>
              </w:r>
              <w:r w:rsidRPr="00C83CE0">
                <w:t>New Product Development, Partnering (Alliances), Strategy Development</w:t>
              </w:r>
              <w:r w:rsidRPr="5938A41A">
                <w:rPr>
                  <w:rFonts w:eastAsia="Times New Roman"/>
                </w:rPr>
                <w:br w:type="page"/>
              </w:r>
            </w:p>
          </w:sdtContent>
        </w:sdt>
      </w:sdtContent>
    </w:sdt>
    <w:p w14:paraId="0A0A4499" w14:textId="02263B17" w:rsidR="00DF5D1A" w:rsidRDefault="00C83CE0" w:rsidP="00C83CE0">
      <w:pPr>
        <w:pStyle w:val="Heading1"/>
      </w:pPr>
      <w:r>
        <w:lastRenderedPageBreak/>
        <w:t xml:space="preserve"> </w:t>
      </w:r>
      <w:r w:rsidR="000C1AED">
        <w:t>Introduction</w:t>
      </w:r>
    </w:p>
    <w:p w14:paraId="37BE23AC" w14:textId="56518067" w:rsidR="00497E9D" w:rsidRDefault="0027080D" w:rsidP="002C4ECF">
      <w:r>
        <w:t xml:space="preserve">New product development (NPD) has </w:t>
      </w:r>
      <w:r w:rsidR="00AB4962">
        <w:t>long</w:t>
      </w:r>
      <w:r>
        <w:t xml:space="preserve"> been recognized as a key driver of competitive advantage (Machado et al. 2014; Brown &amp; Eisenhardt, 1995; Bowen et al. 1994).</w:t>
      </w:r>
      <w:r w:rsidR="001F196E">
        <w:t xml:space="preserve"> </w:t>
      </w:r>
      <w:r w:rsidR="00690D3B">
        <w:t>The quest for advantage through NPD</w:t>
      </w:r>
      <w:r w:rsidR="00A33C11">
        <w:t xml:space="preserve"> </w:t>
      </w:r>
      <w:r w:rsidR="00690D3B">
        <w:t>is accompanied by high levels of risk (LaMattina, 2018).</w:t>
      </w:r>
      <w:r w:rsidR="00A33C11">
        <w:t xml:space="preserve"> </w:t>
      </w:r>
      <w:r w:rsidR="001F196E">
        <w:t xml:space="preserve">In the </w:t>
      </w:r>
      <w:r w:rsidR="00690D3B">
        <w:t>p</w:t>
      </w:r>
      <w:r w:rsidR="001F196E">
        <w:t>harmaceutical industry</w:t>
      </w:r>
      <w:r w:rsidR="00AB4962">
        <w:t xml:space="preserve"> the average cost of</w:t>
      </w:r>
      <w:r w:rsidR="00A33C11">
        <w:t xml:space="preserve"> </w:t>
      </w:r>
      <w:r w:rsidR="00F84DF4" w:rsidRPr="00C024AE">
        <w:t xml:space="preserve">bringing a new drug to market is estimated </w:t>
      </w:r>
      <w:r w:rsidR="00AB4962">
        <w:t>at</w:t>
      </w:r>
      <w:r w:rsidR="00F84DF4" w:rsidRPr="00C024AE">
        <w:t xml:space="preserve"> $2.7 billion (Aitken</w:t>
      </w:r>
      <w:r w:rsidR="00C21DF5">
        <w:t xml:space="preserve"> et al.</w:t>
      </w:r>
      <w:r w:rsidR="00F84DF4" w:rsidRPr="00C024AE">
        <w:t>, 2019)</w:t>
      </w:r>
      <w:r w:rsidR="00F84DF4">
        <w:t xml:space="preserve">. </w:t>
      </w:r>
      <w:r w:rsidR="00AB4962">
        <w:t>The average new drug</w:t>
      </w:r>
      <w:r w:rsidR="00C024AE" w:rsidRPr="00C024AE">
        <w:t xml:space="preserve"> entering clinical </w:t>
      </w:r>
      <w:r w:rsidR="0079090F">
        <w:t>testing</w:t>
      </w:r>
      <w:r w:rsidR="00C024AE" w:rsidRPr="00C024AE">
        <w:t xml:space="preserve"> </w:t>
      </w:r>
      <w:r w:rsidR="00AB4962">
        <w:t>has</w:t>
      </w:r>
      <w:r w:rsidR="00C024AE" w:rsidRPr="00C024AE">
        <w:t xml:space="preserve"> over 70% likelihood of failing to reach the market</w:t>
      </w:r>
      <w:r w:rsidR="00FD27A3">
        <w:t xml:space="preserve">. </w:t>
      </w:r>
      <w:r w:rsidR="00497E9D">
        <w:t xml:space="preserve">AbbVie recently announced its termination of </w:t>
      </w:r>
      <w:r w:rsidR="00E959C7">
        <w:t xml:space="preserve">its </w:t>
      </w:r>
      <w:r w:rsidR="00497E9D">
        <w:t>Rova-T development program</w:t>
      </w:r>
      <w:r w:rsidR="0041576E">
        <w:t>, writing off</w:t>
      </w:r>
      <w:r w:rsidR="00497E9D">
        <w:t xml:space="preserve"> $5.8 billion </w:t>
      </w:r>
      <w:r w:rsidR="0041576E">
        <w:t xml:space="preserve">in development costs </w:t>
      </w:r>
      <w:r w:rsidR="00497E9D">
        <w:t>(</w:t>
      </w:r>
      <w:r w:rsidR="000A3545">
        <w:t>Keown, 2019</w:t>
      </w:r>
      <w:r w:rsidR="00497E9D">
        <w:t>).</w:t>
      </w:r>
      <w:r w:rsidR="0041576E">
        <w:t xml:space="preserve"> Rova-T was projected to have annual ‘peak sales’ of over $5 billion, justifying the cost if the product had survived clinical trials.</w:t>
      </w:r>
    </w:p>
    <w:p w14:paraId="0CE3D1E9" w14:textId="28C09FD4" w:rsidR="00C35A49" w:rsidRDefault="00A33C11" w:rsidP="00C35A49">
      <w:r>
        <w:t xml:space="preserve"> </w:t>
      </w:r>
      <w:r w:rsidRPr="00C024AE">
        <w:t xml:space="preserve"> </w:t>
      </w:r>
      <w:r w:rsidR="00C024AE" w:rsidRPr="00C024AE">
        <w:t xml:space="preserve">The </w:t>
      </w:r>
      <w:r w:rsidR="00BB3F43">
        <w:t>high risk and high sales</w:t>
      </w:r>
      <w:r w:rsidR="00C024AE" w:rsidRPr="00C024AE">
        <w:t xml:space="preserve"> potential </w:t>
      </w:r>
      <w:r w:rsidR="00BB3F43">
        <w:t>for new product</w:t>
      </w:r>
      <w:r w:rsidR="00E959C7">
        <w:t xml:space="preserve"> development</w:t>
      </w:r>
      <w:r w:rsidR="00BB3F43">
        <w:t xml:space="preserve"> </w:t>
      </w:r>
      <w:r w:rsidR="002216C1">
        <w:t>create</w:t>
      </w:r>
      <w:r w:rsidR="00C024AE" w:rsidRPr="00C024AE">
        <w:t xml:space="preserve"> tremendous pressure to succeed. Among the factors that account for success </w:t>
      </w:r>
      <w:r w:rsidR="00DF4AA5">
        <w:t>in product development</w:t>
      </w:r>
      <w:r w:rsidR="00C024AE" w:rsidRPr="00C024AE">
        <w:t xml:space="preserve"> are technological competence</w:t>
      </w:r>
      <w:r w:rsidR="008535EB">
        <w:t xml:space="preserve"> (Acur et al. 2010)</w:t>
      </w:r>
      <w:r w:rsidR="00C024AE" w:rsidRPr="00C024AE">
        <w:t xml:space="preserve"> and a profound understanding of unmet customer’s needs</w:t>
      </w:r>
      <w:r w:rsidR="008535EB">
        <w:t xml:space="preserve"> (Bhuiyan, 2011)</w:t>
      </w:r>
      <w:r w:rsidR="00C024AE" w:rsidRPr="00C024AE">
        <w:t xml:space="preserve">. </w:t>
      </w:r>
      <w:r w:rsidR="00C35A49" w:rsidRPr="00C024AE">
        <w:t xml:space="preserve">As such, embeddedness in an environment that creates access to external knowledge (Barney, 2012; Choi &amp; Krause, 2006; Zhang, Zhao, &amp; Lyles, 2018), and capabilities for assimilating and applying knowledge </w:t>
      </w:r>
      <w:r w:rsidR="00C35A49">
        <w:t>(</w:t>
      </w:r>
      <w:r w:rsidR="00C35A49" w:rsidRPr="00C024AE">
        <w:t>Defee &amp; Fugate, 2010; Dobrzykowski, Leuschner, Hong, &amp; Roh, 2015</w:t>
      </w:r>
      <w:r w:rsidR="00C35A49">
        <w:t xml:space="preserve">) </w:t>
      </w:r>
      <w:r w:rsidR="00C35A49" w:rsidRPr="00C024AE">
        <w:t>are paramount, not only in the pharmaceutical, but across many contemporary industries. Those aspects constitute components of a firm’s absorptive capacity (Cohen and Levinthal, 1990).</w:t>
      </w:r>
    </w:p>
    <w:p w14:paraId="420434DD" w14:textId="003E5279" w:rsidR="008702F6" w:rsidRDefault="00523124" w:rsidP="00A675EF">
      <w:r w:rsidRPr="00DC5212">
        <w:t>Zahra and George (2002) define absorptive capacity as “a set of routines through which firms acquire, assimilate, transform, and exploit knowledge</w:t>
      </w:r>
      <w:r w:rsidR="00DB461E">
        <w:t>”</w:t>
      </w:r>
      <w:r w:rsidRPr="00DC5212">
        <w:t xml:space="preserve"> (p. 186). This formulation of the theory implies that the details of absorptive capacity should differ according to context.</w:t>
      </w:r>
      <w:r>
        <w:t xml:space="preserve"> </w:t>
      </w:r>
      <w:r w:rsidR="00BE4FF2">
        <w:t>As a dynamic capability, a</w:t>
      </w:r>
      <w:r w:rsidR="00A675EF">
        <w:t xml:space="preserve">bsorptive capacity results from bundles of resources and behaviors that can </w:t>
      </w:r>
      <w:r w:rsidR="00A675EF">
        <w:lastRenderedPageBreak/>
        <w:t xml:space="preserve">be reconfigured to function in different settings or to achieve different outcomes (Barney, 2012; Blome, Schoenherr &amp; Rexhausen, 2013; Eisenhardt &amp; Martin, 2000; Pisano, 2017; Sirmon, Hitt &amp; Ireland, 2007; Teece, 2017; Winter, 2003). </w:t>
      </w:r>
      <w:r w:rsidR="000A2E50" w:rsidRPr="00DC5212">
        <w:t>Tsai (2001) extend</w:t>
      </w:r>
      <w:r w:rsidR="000A2E50">
        <w:t>ed</w:t>
      </w:r>
      <w:r w:rsidR="000A2E50" w:rsidRPr="00DC5212">
        <w:t xml:space="preserve"> the theory by discussing absorptive capacity as a function of network position </w:t>
      </w:r>
      <w:r w:rsidR="000A2E50">
        <w:t>which he treated as giving</w:t>
      </w:r>
      <w:r w:rsidR="000A2E50" w:rsidRPr="00DC5212">
        <w:t xml:space="preserve"> access to knowledge developed elsewhere.</w:t>
      </w:r>
      <w:r w:rsidR="000A2E50">
        <w:t xml:space="preserve"> This creates a link to contemporary supply chain management theory, which understands firms as embedded in networks of relationships (Autry &amp; Griffith, 2008; Bellamy, Ghosh &amp; Hora, 2014; Gomes-Casseres, 2015; Narasimhan &amp; Narayanan, 2013; Skilton, 2014; Wagner, 2012). </w:t>
      </w:r>
      <w:r w:rsidR="00F0786B">
        <w:t>Absorptive</w:t>
      </w:r>
      <w:r w:rsidR="00A675EF">
        <w:t xml:space="preserve"> capacity can draw on different kinds of external knowledge, acquired through different forms of embeddedness, assimilated in different ways</w:t>
      </w:r>
      <w:r w:rsidR="001D274C">
        <w:t>,</w:t>
      </w:r>
      <w:r w:rsidR="00A675EF">
        <w:t xml:space="preserve"> and converted into products or action through different means. </w:t>
      </w:r>
      <w:r w:rsidR="00A675EF" w:rsidRPr="008702F6">
        <w:t xml:space="preserve">Given the role of external firms </w:t>
      </w:r>
      <w:r w:rsidR="006937C9">
        <w:t xml:space="preserve">as sources of knowledge </w:t>
      </w:r>
      <w:r w:rsidR="00A675EF" w:rsidRPr="008702F6">
        <w:t xml:space="preserve">in the process, supply managers and supply chain management </w:t>
      </w:r>
      <w:r w:rsidR="00AB4962">
        <w:t>scholars</w:t>
      </w:r>
      <w:r w:rsidR="00A675EF" w:rsidRPr="008702F6">
        <w:t xml:space="preserve"> must understand product development strategies vis-à-vis a firm’s absorptive </w:t>
      </w:r>
      <w:r w:rsidR="00EB3378">
        <w:t>capacity</w:t>
      </w:r>
      <w:r w:rsidR="00A675EF" w:rsidRPr="008702F6">
        <w:t>.</w:t>
      </w:r>
      <w:r w:rsidR="00A675EF">
        <w:t xml:space="preserve"> </w:t>
      </w:r>
    </w:p>
    <w:p w14:paraId="15B6CBE1" w14:textId="63C1EA24" w:rsidR="00A675EF" w:rsidRDefault="00A675EF" w:rsidP="00A675EF">
      <w:r>
        <w:t xml:space="preserve">We extend this </w:t>
      </w:r>
      <w:r w:rsidR="008E5A67">
        <w:t>concept</w:t>
      </w:r>
      <w:r>
        <w:t xml:space="preserve"> by arguing that</w:t>
      </w:r>
      <w:r w:rsidR="00E959C7">
        <w:t xml:space="preserve"> while</w:t>
      </w:r>
      <w:r>
        <w:t xml:space="preserve"> cooperative relationships</w:t>
      </w:r>
      <w:r w:rsidR="00E959C7">
        <w:t xml:space="preserve"> </w:t>
      </w:r>
      <w:r w:rsidR="00EB3378">
        <w:t>contribute to absorptive capacity and</w:t>
      </w:r>
      <w:r w:rsidR="00E959C7">
        <w:t xml:space="preserve"> facilitate new product development (Calantone, Cavusgil &amp; Zhao, 2002; Carnovale &amp; Yeniyurt, 2015; Menguc, Auh &amp; Yannopoulos, 2015; Petersen, Handfield &amp; Ragatz, 2003), </w:t>
      </w:r>
      <w:r w:rsidR="00EB3378">
        <w:t>firms</w:t>
      </w:r>
      <w:r>
        <w:t xml:space="preserve"> </w:t>
      </w:r>
      <w:r w:rsidR="00FC0733">
        <w:t xml:space="preserve">also </w:t>
      </w:r>
      <w:r>
        <w:t>learn by competing with each other</w:t>
      </w:r>
      <w:r w:rsidR="00E959C7">
        <w:t xml:space="preserve">. </w:t>
      </w:r>
      <w:r>
        <w:t xml:space="preserve">Just as outcomes can be improved by cooperative access to external </w:t>
      </w:r>
      <w:r w:rsidR="00E959C7">
        <w:t>knowledge and capabilities</w:t>
      </w:r>
      <w:r>
        <w:t xml:space="preserve">, outcomes can be enhanced by knowledge and other resources accessed through competitive positions (Gao, Xie &amp; Zhou, 2015; Kristal, Huang &amp; Roth, 2007; Pisano, 2017; Skilton &amp; Bernardes, 2015). Asking </w:t>
      </w:r>
      <w:r w:rsidR="00EB3378">
        <w:t>how much</w:t>
      </w:r>
      <w:r>
        <w:t xml:space="preserve"> each kind of embeddedness matters </w:t>
      </w:r>
      <w:r w:rsidR="000A2E50">
        <w:t xml:space="preserve">in </w:t>
      </w:r>
      <w:r w:rsidR="00EB3378">
        <w:t>each</w:t>
      </w:r>
      <w:r w:rsidR="000A2E50">
        <w:t xml:space="preserve"> context </w:t>
      </w:r>
      <w:r>
        <w:t xml:space="preserve">opens the door to a new synthesis </w:t>
      </w:r>
      <w:r w:rsidR="00E959C7">
        <w:t xml:space="preserve">of absorptive capacity </w:t>
      </w:r>
      <w:r>
        <w:t xml:space="preserve">that may generalize to many </w:t>
      </w:r>
      <w:r w:rsidR="00E959C7">
        <w:t>areas</w:t>
      </w:r>
      <w:r>
        <w:t xml:space="preserve"> of supply chain research. </w:t>
      </w:r>
    </w:p>
    <w:p w14:paraId="4EF5EB22" w14:textId="4710AE4D" w:rsidR="007D3CF9" w:rsidRDefault="000A2E50" w:rsidP="00D44334">
      <w:r>
        <w:t>W</w:t>
      </w:r>
      <w:r w:rsidR="00C024AE" w:rsidRPr="00C024AE">
        <w:t xml:space="preserve">e use a </w:t>
      </w:r>
      <w:r w:rsidR="00AB4962">
        <w:t>spectrum</w:t>
      </w:r>
      <w:r w:rsidR="00C024AE" w:rsidRPr="00C024AE">
        <w:t xml:space="preserve"> of product development strategies to provide context </w:t>
      </w:r>
      <w:r w:rsidR="00BE4FF2">
        <w:t>for</w:t>
      </w:r>
      <w:r w:rsidR="00EB3378">
        <w:t xml:space="preserve"> theory about</w:t>
      </w:r>
      <w:r w:rsidR="00C024AE" w:rsidRPr="00C024AE">
        <w:t xml:space="preserve"> </w:t>
      </w:r>
      <w:r>
        <w:t>configurations of</w:t>
      </w:r>
      <w:r w:rsidR="00C024AE" w:rsidRPr="00C024AE">
        <w:t xml:space="preserve"> absorptive capacity. </w:t>
      </w:r>
      <w:r w:rsidR="00EB3378">
        <w:t>The</w:t>
      </w:r>
      <w:r w:rsidR="00C024AE" w:rsidRPr="00C024AE">
        <w:t xml:space="preserve"> spectrum range</w:t>
      </w:r>
      <w:r>
        <w:t>s</w:t>
      </w:r>
      <w:r w:rsidR="00C024AE" w:rsidRPr="00C024AE">
        <w:t xml:space="preserve"> from </w:t>
      </w:r>
      <w:r w:rsidR="00AB4962">
        <w:t>imitation</w:t>
      </w:r>
      <w:r w:rsidR="001B242D">
        <w:t>,</w:t>
      </w:r>
      <w:r w:rsidR="00AB4962">
        <w:t xml:space="preserve"> </w:t>
      </w:r>
      <w:r w:rsidR="001B242D">
        <w:t xml:space="preserve">which </w:t>
      </w:r>
      <w:r w:rsidR="00AB4962">
        <w:t>copies</w:t>
      </w:r>
      <w:r w:rsidR="00C024AE" w:rsidRPr="00C024AE">
        <w:t xml:space="preserve"> </w:t>
      </w:r>
      <w:r w:rsidR="00C024AE" w:rsidRPr="00C024AE">
        <w:lastRenderedPageBreak/>
        <w:t xml:space="preserve">products </w:t>
      </w:r>
      <w:r w:rsidR="00AB4962">
        <w:t>already on</w:t>
      </w:r>
      <w:r w:rsidR="00C024AE" w:rsidRPr="00C024AE">
        <w:t xml:space="preserve"> the market</w:t>
      </w:r>
      <w:r w:rsidR="001B242D">
        <w:t>,</w:t>
      </w:r>
      <w:r w:rsidR="00C024AE" w:rsidRPr="00C024AE">
        <w:t xml:space="preserve"> to </w:t>
      </w:r>
      <w:r>
        <w:t>innovation</w:t>
      </w:r>
      <w:r w:rsidR="001B242D">
        <w:t>,</w:t>
      </w:r>
      <w:r>
        <w:t xml:space="preserve"> </w:t>
      </w:r>
      <w:r w:rsidR="001B242D">
        <w:t xml:space="preserve">which </w:t>
      </w:r>
      <w:r>
        <w:t xml:space="preserve">brings </w:t>
      </w:r>
      <w:r w:rsidR="007D3CF9">
        <w:t xml:space="preserve">radically </w:t>
      </w:r>
      <w:r>
        <w:t>new</w:t>
      </w:r>
      <w:r w:rsidR="00C024AE" w:rsidRPr="00C024AE">
        <w:t xml:space="preserve"> products to the world (</w:t>
      </w:r>
      <w:r w:rsidR="005E44F4" w:rsidRPr="00C024AE">
        <w:t>Abernathy</w:t>
      </w:r>
      <w:r w:rsidR="005E44F4">
        <w:t xml:space="preserve"> &amp; Utterback</w:t>
      </w:r>
      <w:r w:rsidR="005E44F4" w:rsidRPr="00C024AE">
        <w:t>, 197</w:t>
      </w:r>
      <w:r w:rsidR="005E44F4">
        <w:t xml:space="preserve">8; </w:t>
      </w:r>
      <w:r w:rsidR="00C024AE" w:rsidRPr="00C024AE">
        <w:t>Henderson &amp; Clark, 1990). In the midrange,</w:t>
      </w:r>
      <w:r>
        <w:t xml:space="preserve"> differentiation produces</w:t>
      </w:r>
      <w:r w:rsidR="00C024AE" w:rsidRPr="00C024AE">
        <w:t xml:space="preserve"> many new products </w:t>
      </w:r>
      <w:r>
        <w:t xml:space="preserve">that </w:t>
      </w:r>
      <w:r w:rsidR="00C024AE" w:rsidRPr="00C024AE">
        <w:t xml:space="preserve">combine old and new features </w:t>
      </w:r>
      <w:r>
        <w:t>and</w:t>
      </w:r>
      <w:r w:rsidR="00C024AE" w:rsidRPr="00C024AE">
        <w:t xml:space="preserve"> appeal to new segments of market</w:t>
      </w:r>
      <w:r>
        <w:t>s</w:t>
      </w:r>
      <w:r w:rsidR="00C024AE" w:rsidRPr="00C024AE">
        <w:t xml:space="preserve">. </w:t>
      </w:r>
      <w:r w:rsidR="00A675EF">
        <w:t>Imitation and differentiation should benefit from an awareness of competitor products</w:t>
      </w:r>
      <w:r w:rsidR="00E06E9F">
        <w:t xml:space="preserve"> and capabilities for recombination, </w:t>
      </w:r>
      <w:r w:rsidR="00A675EF">
        <w:t xml:space="preserve">but </w:t>
      </w:r>
      <w:r w:rsidR="00E06E9F">
        <w:t>these</w:t>
      </w:r>
      <w:r w:rsidR="00A675EF">
        <w:t xml:space="preserve"> may matter less when </w:t>
      </w:r>
      <w:r w:rsidR="00EB3378">
        <w:t>innovative</w:t>
      </w:r>
      <w:r w:rsidR="00C9011D">
        <w:t xml:space="preserve"> product</w:t>
      </w:r>
      <w:r w:rsidR="00EB3378">
        <w:t>s</w:t>
      </w:r>
      <w:r w:rsidR="00C9011D">
        <w:t xml:space="preserve"> will be</w:t>
      </w:r>
      <w:r w:rsidR="00A675EF">
        <w:t xml:space="preserve"> new to the world. Knowledge flowing from partners about new ideas and technologies</w:t>
      </w:r>
      <w:r w:rsidR="001B242D">
        <w:t>,</w:t>
      </w:r>
      <w:r w:rsidR="00A675EF">
        <w:t xml:space="preserve"> </w:t>
      </w:r>
      <w:r w:rsidR="00E06E9F">
        <w:t xml:space="preserve">and capabilities for developing new processes </w:t>
      </w:r>
      <w:r w:rsidR="00A675EF">
        <w:t xml:space="preserve">may be critical for developing innovative products but less useful for imitation. Our research question follows from this: how do alternative </w:t>
      </w:r>
      <w:r w:rsidR="00C9011D">
        <w:t xml:space="preserve">configurations of </w:t>
      </w:r>
      <w:r w:rsidR="00A675EF">
        <w:t xml:space="preserve">internal capabilities, cooperative embeddedness, and competitive embeddedness </w:t>
      </w:r>
      <w:r w:rsidR="00C9011D">
        <w:t>support</w:t>
      </w:r>
      <w:r w:rsidR="00A675EF">
        <w:t xml:space="preserve"> firms’ performance in different product development strategies?</w:t>
      </w:r>
      <w:r w:rsidR="00D44334">
        <w:t xml:space="preserve"> </w:t>
      </w:r>
    </w:p>
    <w:p w14:paraId="6ED6261C" w14:textId="799B4431" w:rsidR="003F67EF" w:rsidRDefault="00112C06" w:rsidP="003F67EF">
      <w:r w:rsidRPr="00112C06">
        <w:t>We develop and test theory to answer this question using data from the global pharmaceutical industry</w:t>
      </w:r>
      <w:r w:rsidR="006D4211">
        <w:t>. This industry</w:t>
      </w:r>
      <w:r w:rsidRPr="00112C06">
        <w:t xml:space="preserve"> is highly competitive </w:t>
      </w:r>
      <w:r w:rsidR="006D4211">
        <w:t xml:space="preserve">but </w:t>
      </w:r>
      <w:r w:rsidR="000A2E50">
        <w:t xml:space="preserve">frequently </w:t>
      </w:r>
      <w:r w:rsidR="006D4211" w:rsidRPr="00112C06">
        <w:t>use</w:t>
      </w:r>
      <w:r w:rsidR="006D4211">
        <w:t>s</w:t>
      </w:r>
      <w:r w:rsidR="006D4211" w:rsidRPr="00112C06">
        <w:t xml:space="preserve"> alliances to innovate (Guedri &amp; McGuire, 2013; Hess &amp; Rothaermel, 2011; Schilling, 2015).</w:t>
      </w:r>
      <w:r w:rsidR="00EB3378">
        <w:t xml:space="preserve"> </w:t>
      </w:r>
      <w:r w:rsidR="00CF5F14">
        <w:t>New-to-world products,</w:t>
      </w:r>
      <w:r w:rsidR="003F67EF">
        <w:t xml:space="preserve"> differentiated products</w:t>
      </w:r>
      <w:r w:rsidR="00CF5F14">
        <w:t>,</w:t>
      </w:r>
      <w:r w:rsidR="003F67EF">
        <w:t xml:space="preserve"> and generic </w:t>
      </w:r>
      <w:r w:rsidR="00EB3378">
        <w:t>products are tested and approved</w:t>
      </w:r>
      <w:r w:rsidR="003F67EF">
        <w:t xml:space="preserve"> under the guidance of regulatory agencies like the United States Food and Drug Administration (FDA).</w:t>
      </w:r>
      <w:r w:rsidRPr="00112C06">
        <w:t xml:space="preserve"> </w:t>
      </w:r>
      <w:r w:rsidR="003F67EF">
        <w:t xml:space="preserve">The FDA plays a critical role in the global pharmaceutical industry because </w:t>
      </w:r>
      <w:r w:rsidR="00BE4FF2">
        <w:t>it routinely grants periods of</w:t>
      </w:r>
      <w:r w:rsidR="0058065C">
        <w:t xml:space="preserve"> U.S. </w:t>
      </w:r>
      <w:r w:rsidR="00BE4FF2">
        <w:t xml:space="preserve">market exclusivity to </w:t>
      </w:r>
      <w:r w:rsidR="00EB3378">
        <w:t>new and differentiated products</w:t>
      </w:r>
      <w:r w:rsidR="00BE4FF2">
        <w:t>.</w:t>
      </w:r>
      <w:r w:rsidR="00EB3378">
        <w:t xml:space="preserve"> </w:t>
      </w:r>
      <w:r w:rsidR="003F67EF">
        <w:t xml:space="preserve">Many new-to-world drugs </w:t>
      </w:r>
      <w:r w:rsidR="002216C1">
        <w:t xml:space="preserve">introduced by global competitors </w:t>
      </w:r>
      <w:r w:rsidR="003F67EF">
        <w:t xml:space="preserve">are </w:t>
      </w:r>
      <w:r w:rsidR="002216C1">
        <w:t xml:space="preserve">approved and </w:t>
      </w:r>
      <w:r w:rsidR="003F67EF">
        <w:t>patented in the United States. These protections limit global competition and facilitate approval in other markets. Under</w:t>
      </w:r>
      <w:r w:rsidR="0058065C">
        <w:t xml:space="preserve"> U.S. </w:t>
      </w:r>
      <w:r w:rsidR="003F67EF">
        <w:t>law, protections</w:t>
      </w:r>
      <w:r w:rsidR="003F67EF" w:rsidRPr="00E06E9F">
        <w:t xml:space="preserve"> expire from three to twenty years after approval</w:t>
      </w:r>
      <w:r w:rsidR="003F67EF">
        <w:t>, after which</w:t>
      </w:r>
      <w:r w:rsidR="003F67EF" w:rsidRPr="00E06E9F">
        <w:t xml:space="preserve"> competitors are free </w:t>
      </w:r>
      <w:r w:rsidR="00EB3378">
        <w:t xml:space="preserve">to </w:t>
      </w:r>
      <w:r w:rsidR="003F67EF" w:rsidRPr="00E06E9F">
        <w:t>produce approved generic versions</w:t>
      </w:r>
      <w:r w:rsidR="003F67EF">
        <w:t xml:space="preserve"> (Grabowski &amp; Kyle, 2007)</w:t>
      </w:r>
      <w:r w:rsidR="003F67EF" w:rsidRPr="00E06E9F">
        <w:t>.</w:t>
      </w:r>
      <w:r w:rsidR="003F67EF">
        <w:t xml:space="preserve"> </w:t>
      </w:r>
      <w:r w:rsidR="00CF5F14">
        <w:t>The</w:t>
      </w:r>
      <w:r w:rsidR="0058065C">
        <w:t xml:space="preserve"> U.S. </w:t>
      </w:r>
      <w:r w:rsidR="00CF5F14">
        <w:t>regulatory system enables the three product development strategies (Morton, 1999) and thus sets the stage for variations in absorptive capacity.</w:t>
      </w:r>
    </w:p>
    <w:p w14:paraId="633E080B" w14:textId="2A8F18A7" w:rsidR="00A83209" w:rsidRPr="002F5A14" w:rsidRDefault="00A675EF" w:rsidP="00A675EF">
      <w:r>
        <w:lastRenderedPageBreak/>
        <w:t>Our primary contribution is to develop and test theory about the different forms of absorptive capacity that contribute to different product development strategies</w:t>
      </w:r>
      <w:r w:rsidR="00BE4FF2">
        <w:t>, and what that means for supply chain management</w:t>
      </w:r>
      <w:r>
        <w:t xml:space="preserve">. We explain how the number of products introduced using each strategy during an outcome period is related to measures of internal capability, cooperative embeddedness, and competitive embeddedness from a leading period. As part of this contribution, we develop and test </w:t>
      </w:r>
      <w:r w:rsidR="006D4211">
        <w:t>a new measure of</w:t>
      </w:r>
      <w:r>
        <w:t xml:space="preserve"> competitive embeddedness. </w:t>
      </w:r>
    </w:p>
    <w:bookmarkEnd w:id="0"/>
    <w:p w14:paraId="7906A52F" w14:textId="37D8A1A0" w:rsidR="001B41DC" w:rsidRDefault="001B41DC" w:rsidP="001B41DC">
      <w:pPr>
        <w:pStyle w:val="Heading1"/>
      </w:pPr>
      <w:r w:rsidRPr="002F5A14">
        <w:t>Theory Development</w:t>
      </w:r>
    </w:p>
    <w:p w14:paraId="172B13A3" w14:textId="3B52C972" w:rsidR="007D593C" w:rsidRDefault="007D593C" w:rsidP="007D593C">
      <w:r>
        <w:t xml:space="preserve">Because we are interested in how absorptive capacity is configured in different contexts, we look at </w:t>
      </w:r>
      <w:r w:rsidR="00F53667">
        <w:t xml:space="preserve">its impact on </w:t>
      </w:r>
      <w:r>
        <w:t xml:space="preserve">the outcomes of three product development strategies (Abernathy &amp; Utterback, 1978). </w:t>
      </w:r>
      <w:r w:rsidRPr="004770B0">
        <w:t xml:space="preserve">Radical innovation </w:t>
      </w:r>
      <w:r>
        <w:t>occurs when firms discover new knowledge or invent new processes</w:t>
      </w:r>
      <w:r w:rsidRPr="004770B0">
        <w:t xml:space="preserve"> </w:t>
      </w:r>
      <w:r>
        <w:t xml:space="preserve">and use them to </w:t>
      </w:r>
      <w:r w:rsidR="00802341">
        <w:t>introduce</w:t>
      </w:r>
      <w:r>
        <w:t xml:space="preserve"> new-to-world products. Henderson and Clark (1990) describe radical innovations as those that alter both the components and architecture of technologies. Most discussion of absorptive capacity are oriented toward the outcomes of radical innovation processes </w:t>
      </w:r>
      <w:r w:rsidR="00802341">
        <w:t xml:space="preserve">in the form of patents or new product introductions </w:t>
      </w:r>
      <w:r>
        <w:t>(</w:t>
      </w:r>
      <w:r w:rsidR="00F53667" w:rsidRPr="00DC5212">
        <w:t>Cohen &amp; Levinthal, 1990; Defee &amp; Fugate, 2010; Dobrzykowski</w:t>
      </w:r>
      <w:r w:rsidR="00F53667">
        <w:t xml:space="preserve"> et al.,</w:t>
      </w:r>
      <w:r w:rsidR="00F53667" w:rsidRPr="00DC5212">
        <w:t xml:space="preserve"> 2015; Lane &amp; Lubatkin, 1998; Tsai, 2001; Zahra &amp; George, 2002; Zhang, Zhao &amp; Lyles, 2018</w:t>
      </w:r>
      <w:r>
        <w:t>).</w:t>
      </w:r>
    </w:p>
    <w:p w14:paraId="6A9D1939" w14:textId="7570D08D" w:rsidR="007D593C" w:rsidRDefault="007D593C" w:rsidP="007D593C">
      <w:r w:rsidRPr="0023513C">
        <w:t xml:space="preserve">Differentiated products serve unmet needs within existing markets or extend markets to new segments (Porter, 1980). Three of Henderson and Clark’s (1990) forms of innovation fit this description. Architectural, modular, and incremental innovation typically build on a firm’s existing products and should be more achievable with a firm’s </w:t>
      </w:r>
      <w:r>
        <w:t xml:space="preserve">own </w:t>
      </w:r>
      <w:r w:rsidRPr="0023513C">
        <w:t xml:space="preserve">resources. </w:t>
      </w:r>
      <w:r>
        <w:t xml:space="preserve">There has been little </w:t>
      </w:r>
      <w:r w:rsidR="00802341">
        <w:t>research</w:t>
      </w:r>
      <w:r>
        <w:t xml:space="preserve"> that connects the </w:t>
      </w:r>
      <w:r w:rsidR="00D4192A">
        <w:t>outcomes</w:t>
      </w:r>
      <w:r>
        <w:t xml:space="preserve"> of differentiation to absorptive capacity</w:t>
      </w:r>
      <w:r w:rsidR="00802341">
        <w:t xml:space="preserve">. Differentiation </w:t>
      </w:r>
      <w:r w:rsidR="002216C1">
        <w:t xml:space="preserve">often </w:t>
      </w:r>
      <w:r w:rsidR="00802341">
        <w:t xml:space="preserve">does not lend itself to patenting and, while many differentiated products are introduced, </w:t>
      </w:r>
      <w:r w:rsidR="002216C1">
        <w:t>technical differences between them are sometimes small</w:t>
      </w:r>
      <w:r w:rsidR="00802341">
        <w:t>.</w:t>
      </w:r>
    </w:p>
    <w:p w14:paraId="5145F7D7" w14:textId="1229D966" w:rsidR="00D4192A" w:rsidRDefault="007D593C" w:rsidP="007D593C">
      <w:r w:rsidRPr="00384CBC">
        <w:lastRenderedPageBreak/>
        <w:t xml:space="preserve">Scholars have long argued that imitative processes are less complicated and uncertain than innovation processes (Helfat &amp; Lieberman, 2002). Imitation involves copying </w:t>
      </w:r>
      <w:r>
        <w:t xml:space="preserve">rivals’ </w:t>
      </w:r>
      <w:r w:rsidRPr="00384CBC">
        <w:t>products and processes (Doha, Pagell &amp; Swink, 2016; Lieberman &amp; Asaba, 2006)</w:t>
      </w:r>
      <w:r>
        <w:t xml:space="preserve">. </w:t>
      </w:r>
      <w:r w:rsidR="00D4192A">
        <w:t xml:space="preserve">Scholars of imitation tend to focus on internal capabilities and scanning, without applying an absorptive capacity lens to the </w:t>
      </w:r>
      <w:r w:rsidR="00802341">
        <w:t>introduction of generic products</w:t>
      </w:r>
      <w:r w:rsidR="00D4192A">
        <w:t>.</w:t>
      </w:r>
    </w:p>
    <w:p w14:paraId="42A56E44" w14:textId="20439623" w:rsidR="00D4192A" w:rsidRDefault="00D4192A" w:rsidP="00D4192A">
      <w:pPr>
        <w:pStyle w:val="Heading2"/>
      </w:pPr>
      <w:r>
        <w:t>Internal capabilities and product development outcomes</w:t>
      </w:r>
    </w:p>
    <w:p w14:paraId="1A6FA547" w14:textId="5B66C2D2" w:rsidR="00722887" w:rsidRDefault="00722887" w:rsidP="00722887">
      <w:r w:rsidRPr="00A22922">
        <w:t>R&amp;D capability is sometimes called innovation capability (Calantone, Cavusgil &amp; Zhao, 2002; Menguc, Auh &amp; Yannopoulos, 2015; Pisano, 2017). We conceptualize it as a firm’s capability for developing new knowledge and new concepts that have the potential to be converted to new products, a capability that Schumpeter (1934) called invention.</w:t>
      </w:r>
      <w:r w:rsidR="00016371">
        <w:t xml:space="preserve"> </w:t>
      </w:r>
      <w:r w:rsidR="00016371" w:rsidRPr="00DE4856">
        <w:t>From Lane and Lubatkin (199</w:t>
      </w:r>
      <w:r w:rsidR="00016371">
        <w:t>8</w:t>
      </w:r>
      <w:r w:rsidR="00016371" w:rsidRPr="00DE4856">
        <w:t>) onward, assimilation of radically new knowledge has been argued to depend on a firm’s</w:t>
      </w:r>
      <w:r w:rsidR="00016371">
        <w:t xml:space="preserve"> own</w:t>
      </w:r>
      <w:r w:rsidR="00016371" w:rsidRPr="00DE4856">
        <w:t xml:space="preserve"> capabilities for developing new ideas.</w:t>
      </w:r>
      <w:r w:rsidRPr="00A22922">
        <w:t xml:space="preserve"> The most obvious indicator that a firm possesses this capability is its patent portfolio</w:t>
      </w:r>
      <w:r w:rsidR="00980A3F">
        <w:t xml:space="preserve"> (</w:t>
      </w:r>
      <w:r w:rsidR="00EF670B">
        <w:t>Modi &amp;</w:t>
      </w:r>
      <w:r w:rsidR="00980A3F">
        <w:t xml:space="preserve"> Mabert, 2010</w:t>
      </w:r>
      <w:r w:rsidR="00EF670B">
        <w:t>; Carnovale &amp;</w:t>
      </w:r>
      <w:r w:rsidR="00476957">
        <w:t xml:space="preserve"> Yeniyurt, 2015</w:t>
      </w:r>
      <w:r w:rsidR="00980A3F">
        <w:t>)</w:t>
      </w:r>
      <w:r w:rsidRPr="00A22922">
        <w:t>, which in turn results from bundles of resources within the firm’s control, such as the number and quality of research-oriented employees, R&amp;D budget, and the firm’s technology base. Research and development capabilities are useful primarily for innovative products. They should be more strongly related to radical innovation than to differentiation, which is more reliant on the recombination of known product elements than the discovery of new knowledge. It should be negatively related to imitation since it orients the firm and its resource allocations toward discovery.</w:t>
      </w:r>
    </w:p>
    <w:p w14:paraId="48244280" w14:textId="77777777" w:rsidR="00722887" w:rsidRPr="00493D49" w:rsidRDefault="00722887" w:rsidP="00722887">
      <w:pPr>
        <w:ind w:left="720" w:firstLine="0"/>
        <w:rPr>
          <w:i/>
        </w:rPr>
      </w:pPr>
      <w:r w:rsidRPr="00493D49">
        <w:rPr>
          <w:i/>
        </w:rPr>
        <w:t>Hypothesis 1a: R&amp;D capability should be positively related to the number of radical product introductions.</w:t>
      </w:r>
    </w:p>
    <w:p w14:paraId="3217FAB3" w14:textId="77777777" w:rsidR="00722887" w:rsidRPr="00493D49" w:rsidRDefault="00722887" w:rsidP="00722887">
      <w:pPr>
        <w:ind w:left="720" w:firstLine="0"/>
        <w:rPr>
          <w:i/>
        </w:rPr>
      </w:pPr>
      <w:r w:rsidRPr="00493D49">
        <w:rPr>
          <w:i/>
        </w:rPr>
        <w:lastRenderedPageBreak/>
        <w:t>Hypothesis 1b: R&amp;D capability should be positively related to the number of differentiated product introductions.</w:t>
      </w:r>
    </w:p>
    <w:p w14:paraId="5CF96278" w14:textId="77777777" w:rsidR="00722887" w:rsidRPr="00493D49" w:rsidRDefault="00722887" w:rsidP="00722887">
      <w:pPr>
        <w:ind w:left="720" w:firstLine="0"/>
        <w:rPr>
          <w:i/>
        </w:rPr>
      </w:pPr>
      <w:r w:rsidRPr="00493D49">
        <w:rPr>
          <w:i/>
        </w:rPr>
        <w:t>Hypothesis 1c: R&amp;D capability should be negatively related to the number of generic product introductions.</w:t>
      </w:r>
    </w:p>
    <w:p w14:paraId="66436D55" w14:textId="58319D96" w:rsidR="00722887" w:rsidRDefault="00722887" w:rsidP="00722887">
      <w:r w:rsidRPr="00401848">
        <w:t>Product development capability, in contrast, is the firm’s ability to transform concepts, innovative or not, into actual new products.</w:t>
      </w:r>
      <w:r w:rsidR="00B83174">
        <w:t xml:space="preserve"> </w:t>
      </w:r>
      <w:r w:rsidRPr="00401848">
        <w:t xml:space="preserve">Following Pisano (2017), Hage (1999), and others, we assume product development capability develops as firms learn how to solve the operational problems of producing new-to-firm products. </w:t>
      </w:r>
      <w:r w:rsidR="00B83174" w:rsidRPr="00401848">
        <w:t xml:space="preserve">The </w:t>
      </w:r>
      <w:r w:rsidR="00B83174">
        <w:t>capability is presumably bundled from</w:t>
      </w:r>
      <w:r w:rsidR="00B83174" w:rsidRPr="00401848">
        <w:t xml:space="preserve"> resources like efficient production facilities, process engineering, quality assurance, and distribution functions</w:t>
      </w:r>
      <w:r w:rsidR="00B83174">
        <w:t xml:space="preserve"> which have contributed to past product introduction activity</w:t>
      </w:r>
      <w:r w:rsidR="00B83174" w:rsidRPr="00401848">
        <w:t>.</w:t>
      </w:r>
      <w:r w:rsidR="00B83174">
        <w:t xml:space="preserve"> </w:t>
      </w:r>
      <w:r w:rsidRPr="00401848">
        <w:t xml:space="preserve">All strategies should benefit from stronger capabilities for product development; each strategy may have its </w:t>
      </w:r>
      <w:r w:rsidR="008723D4">
        <w:t xml:space="preserve">own </w:t>
      </w:r>
      <w:r w:rsidRPr="00401848">
        <w:t>capability.</w:t>
      </w:r>
      <w:r>
        <w:t xml:space="preserve"> </w:t>
      </w:r>
    </w:p>
    <w:p w14:paraId="43C64A9E" w14:textId="555915C2" w:rsidR="00722887" w:rsidRPr="00E000F7" w:rsidRDefault="00722887" w:rsidP="00722887">
      <w:pPr>
        <w:ind w:left="720" w:firstLine="0"/>
        <w:rPr>
          <w:i/>
        </w:rPr>
      </w:pPr>
      <w:r w:rsidRPr="00E000F7">
        <w:rPr>
          <w:i/>
        </w:rPr>
        <w:t xml:space="preserve">Hypothesis </w:t>
      </w:r>
      <w:r>
        <w:rPr>
          <w:i/>
        </w:rPr>
        <w:t>2</w:t>
      </w:r>
      <w:r w:rsidRPr="00E000F7">
        <w:rPr>
          <w:i/>
        </w:rPr>
        <w:t>a: Product development capability should be positively related to the number of radical innovation product introductions.</w:t>
      </w:r>
    </w:p>
    <w:p w14:paraId="29296917" w14:textId="28E75EE5" w:rsidR="00722887" w:rsidRPr="00E000F7" w:rsidRDefault="00722887" w:rsidP="00722887">
      <w:pPr>
        <w:ind w:left="720" w:firstLine="0"/>
        <w:rPr>
          <w:i/>
        </w:rPr>
      </w:pPr>
      <w:r w:rsidRPr="00E000F7">
        <w:rPr>
          <w:i/>
        </w:rPr>
        <w:t xml:space="preserve">Hypothesis </w:t>
      </w:r>
      <w:r>
        <w:rPr>
          <w:i/>
        </w:rPr>
        <w:t>2</w:t>
      </w:r>
      <w:r w:rsidRPr="00E000F7">
        <w:rPr>
          <w:i/>
        </w:rPr>
        <w:t>b: Product development capability should be positively related to the number of differentiated product introductions.</w:t>
      </w:r>
    </w:p>
    <w:p w14:paraId="0CBD5BD5" w14:textId="0A5CA032" w:rsidR="00722887" w:rsidRPr="00722887" w:rsidRDefault="00722887" w:rsidP="00722887">
      <w:pPr>
        <w:ind w:left="720" w:firstLine="0"/>
        <w:rPr>
          <w:i/>
        </w:rPr>
      </w:pPr>
      <w:r w:rsidRPr="00E000F7">
        <w:rPr>
          <w:i/>
        </w:rPr>
        <w:t xml:space="preserve">Hypothesis </w:t>
      </w:r>
      <w:r>
        <w:rPr>
          <w:i/>
        </w:rPr>
        <w:t>2</w:t>
      </w:r>
      <w:r w:rsidRPr="00E000F7">
        <w:rPr>
          <w:i/>
        </w:rPr>
        <w:t>c: Product development capability should be positively related to the number of generic product introductions.</w:t>
      </w:r>
    </w:p>
    <w:p w14:paraId="6592799E" w14:textId="6C285461" w:rsidR="00D4192A" w:rsidRDefault="00D4192A" w:rsidP="00D4192A">
      <w:pPr>
        <w:pStyle w:val="Heading2"/>
      </w:pPr>
      <w:r>
        <w:t>Cooperative embeddedness and product development outcomes</w:t>
      </w:r>
    </w:p>
    <w:p w14:paraId="5166B470" w14:textId="50AD7079" w:rsidR="00D4192A" w:rsidRDefault="00D4192A" w:rsidP="00D4192A">
      <w:r w:rsidRPr="0051137D">
        <w:t xml:space="preserve">Cooperative ties are those in which firms and their partners work together, sharing knowledge and integrating capabilities and resources (including information) to co-create value for customers (Choi &amp; Krause, 2006; Hess &amp; Rothaermel, 2014; Kim, Choi &amp; Skilton, 2015; </w:t>
      </w:r>
      <w:r>
        <w:t>Bernardes, 2010</w:t>
      </w:r>
      <w:r w:rsidRPr="0051137D">
        <w:t xml:space="preserve">). Alliances can be formal or informal and engage suppliers, rivals, or customers </w:t>
      </w:r>
      <w:r w:rsidRPr="0051137D">
        <w:lastRenderedPageBreak/>
        <w:t>(Autry &amp; Griffith, 2008; Bellamy, Ghosh &amp; Hora, 2014).</w:t>
      </w:r>
      <w:r>
        <w:t xml:space="preserve"> </w:t>
      </w:r>
      <w:r w:rsidRPr="008414B5">
        <w:t xml:space="preserve">Some positions in </w:t>
      </w:r>
      <w:r w:rsidR="00D631E7">
        <w:t xml:space="preserve">cooperative </w:t>
      </w:r>
      <w:r w:rsidRPr="008414B5">
        <w:t>networks help firms become better at acquiring, sharing</w:t>
      </w:r>
      <w:r>
        <w:t>,</w:t>
      </w:r>
      <w:r w:rsidRPr="008414B5">
        <w:t xml:space="preserve"> and assimilating knowledge and thus make them more attractive partners (Gomes-Casseres, 2015; Lavie, 2007; Tsai, 2001). </w:t>
      </w:r>
      <w:r w:rsidR="00D631E7">
        <w:t xml:space="preserve">In cooperative relationships where trust has developed, partners are more likely to share knowledge of new concepts, technologies, and market needs (Borgatti &amp; Foster, 2003; Sydöw, 2017; Zhang, Zhao &amp; Lyles, 2018). As knowledge is transmitted within an alliance network, firms in favored positions are more likely to access it. </w:t>
      </w:r>
      <w:r w:rsidRPr="008414B5">
        <w:t xml:space="preserve">This can trigger a virtuous cycle: better performance allows firms to attract better partners </w:t>
      </w:r>
      <w:r w:rsidR="00115AFD">
        <w:t>and</w:t>
      </w:r>
      <w:r w:rsidRPr="008414B5">
        <w:t xml:space="preserve"> co-create innovative products</w:t>
      </w:r>
      <w:r>
        <w:t>,</w:t>
      </w:r>
      <w:r w:rsidRPr="008414B5">
        <w:t xml:space="preserve"> which in turn can lead to better position (Blome, Schoenherr &amp; Rexhausen, 2013; Capaldo, 2007; Fawcett et al., 2007; Hess &amp; Rothaermel, 2014; Menguc, Auh &amp; Yannopoulos, 2015; Pisano, 2017). </w:t>
      </w:r>
    </w:p>
    <w:p w14:paraId="10246161" w14:textId="0F8A821D" w:rsidR="00D4192A" w:rsidRDefault="00D4192A" w:rsidP="00D4192A">
      <w:r>
        <w:t>In reaction to this positive</w:t>
      </w:r>
      <w:r w:rsidR="00115AFD">
        <w:t xml:space="preserve"> take</w:t>
      </w:r>
      <w:r>
        <w:t xml:space="preserve">, </w:t>
      </w:r>
      <w:r w:rsidRPr="00037D08">
        <w:t xml:space="preserve">Kale and Singh (2009) argued that alliances often fail to deliver innovation results, an argument supported by </w:t>
      </w:r>
      <w:r w:rsidR="00115AFD">
        <w:t xml:space="preserve">the empirical results of </w:t>
      </w:r>
      <w:r w:rsidRPr="00037D08">
        <w:t xml:space="preserve">Fernald and his co-authors (2017). They showed that increasing alliance activity by large pharmaceutical companies produces more new products only when combined with internal investments in research and development that enable absorptive capacity. </w:t>
      </w:r>
      <w:r w:rsidR="00115AFD">
        <w:t>On</w:t>
      </w:r>
      <w:r w:rsidR="00802341">
        <w:t>e</w:t>
      </w:r>
      <w:r w:rsidR="00115AFD">
        <w:t xml:space="preserve"> conclusion</w:t>
      </w:r>
      <w:r w:rsidR="00802341">
        <w:t xml:space="preserve"> of this research</w:t>
      </w:r>
      <w:r w:rsidR="00115AFD">
        <w:t xml:space="preserve"> is that</w:t>
      </w:r>
      <w:r w:rsidRPr="00037D08">
        <w:t xml:space="preserve"> a firm can have too many alliances. While </w:t>
      </w:r>
      <w:r w:rsidR="00115AFD">
        <w:t>having many partners</w:t>
      </w:r>
      <w:r w:rsidRPr="00037D08">
        <w:t xml:space="preserve"> may indicate superior absorptive capacity </w:t>
      </w:r>
      <w:r w:rsidR="00802341">
        <w:t>or</w:t>
      </w:r>
      <w:r w:rsidRPr="00037D08">
        <w:t xml:space="preserve"> alliance capability, any capability can become overloaded, which may explain negative results. </w:t>
      </w:r>
      <w:r w:rsidR="00115AFD">
        <w:t>T</w:t>
      </w:r>
      <w:r w:rsidR="00D631E7">
        <w:t>hese negative findings</w:t>
      </w:r>
      <w:r w:rsidR="00115AFD">
        <w:t xml:space="preserve"> generally fail to link network position to innovation outcomes.</w:t>
      </w:r>
      <w:r w:rsidR="00D631E7">
        <w:t xml:space="preserve"> </w:t>
      </w:r>
    </w:p>
    <w:p w14:paraId="3B7A952A" w14:textId="6FFE30DE" w:rsidR="00722887" w:rsidRDefault="00115AFD" w:rsidP="00D631E7">
      <w:r>
        <w:t xml:space="preserve">The type of position most often discussed </w:t>
      </w:r>
      <w:r w:rsidR="00802341">
        <w:t xml:space="preserve">in innovation research </w:t>
      </w:r>
      <w:r>
        <w:t>is</w:t>
      </w:r>
      <w:r w:rsidR="00D631E7">
        <w:t xml:space="preserve"> network centrality</w:t>
      </w:r>
      <w:r w:rsidR="00D4192A">
        <w:t xml:space="preserve">. </w:t>
      </w:r>
      <w:r w:rsidR="00722887" w:rsidRPr="00DB2AF1">
        <w:t xml:space="preserve">Central positions in alliance networks have frequently been shown to facilitate knowledge flows and outcomes such as patents that are precursors to innovation-based product introduction (Grigoriou &amp; Rothaermel, 2016; Guedri &amp; McGuire, 2011; Hess &amp; Rothaermel, 2011; Liebeskind et al., 1996; Paruchuri, 2010; Rothaermel &amp; Deeds, 2004). </w:t>
      </w:r>
      <w:r w:rsidRPr="00DB2AF1">
        <w:t>Whittington, Owen-</w:t>
      </w:r>
      <w:r w:rsidRPr="00DB2AF1">
        <w:lastRenderedPageBreak/>
        <w:t>Smith</w:t>
      </w:r>
      <w:r>
        <w:t>,</w:t>
      </w:r>
      <w:r w:rsidRPr="00DB2AF1">
        <w:t xml:space="preserve"> and Powell (2009) demonstrate a strong correlation between central positions in networks of partnerships and innovative output, particularly in research-intensive industries where networks </w:t>
      </w:r>
      <w:r w:rsidR="00802341">
        <w:t>are argued to be</w:t>
      </w:r>
      <w:r w:rsidRPr="00DB2AF1">
        <w:t xml:space="preserve"> the locus of innovation. </w:t>
      </w:r>
      <w:r w:rsidRPr="00B07C90">
        <w:t xml:space="preserve">Central positions have </w:t>
      </w:r>
      <w:r w:rsidR="00802341">
        <w:t>also</w:t>
      </w:r>
      <w:r w:rsidRPr="00B07C90">
        <w:t xml:space="preserve"> been associated with increased product </w:t>
      </w:r>
      <w:r w:rsidR="00802341">
        <w:t>introductions</w:t>
      </w:r>
      <w:r>
        <w:t xml:space="preserve"> (</w:t>
      </w:r>
      <w:r w:rsidRPr="00B07C90">
        <w:t>Jensen</w:t>
      </w:r>
      <w:r>
        <w:t xml:space="preserve">, </w:t>
      </w:r>
      <w:r w:rsidRPr="00B07C90">
        <w:t xml:space="preserve">2003). </w:t>
      </w:r>
      <w:r w:rsidR="00722887">
        <w:t xml:space="preserve">Centrality has been associated with relational capabilities for forming and managing alliances (Cassiman &amp; Veugelers, 2006; Fernald et al., 2017; Gomes-Casseres, 2015; Whittington, Owen-Smith &amp; Powell, 2009). Some forms of centrality have been evaluated as indicators of status and social capital that increase access </w:t>
      </w:r>
      <w:r w:rsidR="00F0786B">
        <w:t>to information and other resources</w:t>
      </w:r>
      <w:r w:rsidR="0052636F">
        <w:t xml:space="preserve"> </w:t>
      </w:r>
      <w:r w:rsidR="00722887">
        <w:t xml:space="preserve">(Hsieh &amp; </w:t>
      </w:r>
      <w:r w:rsidR="00863396" w:rsidRPr="00037D08">
        <w:t>Vermeulen</w:t>
      </w:r>
      <w:r w:rsidR="00722887">
        <w:t>, 2013; Kogut, 1988; Paruchuri, 2010).</w:t>
      </w:r>
    </w:p>
    <w:p w14:paraId="68B9506F" w14:textId="59944008" w:rsidR="00722887" w:rsidRDefault="00722887" w:rsidP="00722887">
      <w:r w:rsidRPr="00B07C90">
        <w:t xml:space="preserve">Given these strong associations </w:t>
      </w:r>
      <w:r w:rsidR="00802341">
        <w:t>between network centrality and</w:t>
      </w:r>
      <w:r w:rsidRPr="00B07C90">
        <w:t xml:space="preserve"> innovation, firms in</w:t>
      </w:r>
      <w:r w:rsidR="002216C1">
        <w:t xml:space="preserve"> </w:t>
      </w:r>
      <w:r w:rsidRPr="00B07C90">
        <w:t xml:space="preserve">central alliance network positions should be able to introduce more </w:t>
      </w:r>
      <w:r w:rsidR="003F1A52">
        <w:t>radical</w:t>
      </w:r>
      <w:r w:rsidRPr="00B07C90">
        <w:t xml:space="preserve"> products and differentiated products. </w:t>
      </w:r>
      <w:r w:rsidR="00115AFD">
        <w:t xml:space="preserve">Radical innovation </w:t>
      </w:r>
      <w:r w:rsidR="00115AFD" w:rsidRPr="004770B0">
        <w:t>is promoted when firms enter alliances in support of discovery and knowledge acquisition (Kogut, 1988; Pisano, 2017; Zhang, Zhao &amp; Lyles, 2018).</w:t>
      </w:r>
      <w:r w:rsidR="00115AFD">
        <w:t xml:space="preserve"> Differentiation may be promoted if knowledge flows lead to new ideas for product configurations. </w:t>
      </w:r>
      <w:r w:rsidR="00C932CD">
        <w:t>Network position</w:t>
      </w:r>
      <w:r w:rsidRPr="00B07C90">
        <w:t xml:space="preserve"> may be subject to capacity constraints – a firm can be too exposed to rich information flows. This insight suggests that the relationship between alliance network centrality and product introductions will be subject to diminishing returns. The number of product introductions should increase at a decreasing rate as firms become more central in their alliance networks. </w:t>
      </w:r>
      <w:r w:rsidR="00016371" w:rsidRPr="00384CBC">
        <w:t>Imitation may benefit from cooperative embeddedness that provides access to functional capabilities like manufacturing or marketing. However, it is unlikely to benefit from the kinds of embeddedness that bring knowledge about new ideas and new technologies into the firm.</w:t>
      </w:r>
      <w:r w:rsidR="00016371">
        <w:t xml:space="preserve"> </w:t>
      </w:r>
      <w:r w:rsidRPr="00B07C90">
        <w:t>Because imitation involves already-defined products it should not be influenced by alliance network positions that enable access to</w:t>
      </w:r>
      <w:r w:rsidR="00C34954">
        <w:t>,</w:t>
      </w:r>
      <w:r w:rsidRPr="00B07C90">
        <w:t xml:space="preserve"> and assimilation of</w:t>
      </w:r>
      <w:r w:rsidR="00C34954">
        <w:t>,</w:t>
      </w:r>
      <w:r w:rsidRPr="00B07C90">
        <w:t xml:space="preserve"> novel ideas</w:t>
      </w:r>
      <w:r>
        <w:t>.</w:t>
      </w:r>
      <w:r w:rsidR="00016371">
        <w:t xml:space="preserve"> </w:t>
      </w:r>
    </w:p>
    <w:p w14:paraId="284FACE9" w14:textId="651EB107" w:rsidR="00722887" w:rsidRPr="00E000F7" w:rsidRDefault="00722887" w:rsidP="00722887">
      <w:pPr>
        <w:ind w:left="720" w:firstLine="0"/>
        <w:rPr>
          <w:i/>
        </w:rPr>
      </w:pPr>
      <w:r w:rsidRPr="00E000F7">
        <w:rPr>
          <w:i/>
        </w:rPr>
        <w:lastRenderedPageBreak/>
        <w:t xml:space="preserve">Hypothesis </w:t>
      </w:r>
      <w:r>
        <w:rPr>
          <w:i/>
        </w:rPr>
        <w:t>3</w:t>
      </w:r>
      <w:r w:rsidRPr="00E000F7">
        <w:rPr>
          <w:i/>
        </w:rPr>
        <w:t xml:space="preserve">a: The number of radical innovation product introductions increases at a decreasing rate as alliance network centrality increases. </w:t>
      </w:r>
    </w:p>
    <w:p w14:paraId="13A9206B" w14:textId="386F1712" w:rsidR="00722887" w:rsidRPr="00E000F7" w:rsidRDefault="00722887" w:rsidP="00722887">
      <w:pPr>
        <w:ind w:left="720" w:firstLine="0"/>
        <w:rPr>
          <w:i/>
        </w:rPr>
      </w:pPr>
      <w:r w:rsidRPr="00E000F7">
        <w:rPr>
          <w:i/>
        </w:rPr>
        <w:t xml:space="preserve">Hypothesis </w:t>
      </w:r>
      <w:r w:rsidR="002B0A30">
        <w:rPr>
          <w:i/>
        </w:rPr>
        <w:t>3</w:t>
      </w:r>
      <w:r w:rsidRPr="00E000F7">
        <w:rPr>
          <w:i/>
        </w:rPr>
        <w:t>b: The number of differentiated innovation product introductions increases at a decreasing rate as alliance network centrality increases.</w:t>
      </w:r>
    </w:p>
    <w:p w14:paraId="5DE87CD4" w14:textId="77777777" w:rsidR="00D4192A" w:rsidRDefault="00D4192A" w:rsidP="00D4192A">
      <w:pPr>
        <w:pStyle w:val="Heading2"/>
      </w:pPr>
      <w:r>
        <w:t>Competitive embeddedness and product development outcomes.</w:t>
      </w:r>
    </w:p>
    <w:p w14:paraId="5FDAC87F" w14:textId="5696452C" w:rsidR="00D4192A" w:rsidRDefault="00D4192A" w:rsidP="00D4192A">
      <w:r>
        <w:t>Research has also shown that f</w:t>
      </w:r>
      <w:r w:rsidRPr="00037D08">
        <w:t xml:space="preserve">irms’ success in different product development strategies can be enhanced by how they are positioned </w:t>
      </w:r>
      <w:r>
        <w:t>relative to</w:t>
      </w:r>
      <w:r w:rsidRPr="00037D08">
        <w:t xml:space="preserve"> competitors. Competitive positions that expose firms to more markets create more chances to scan for and acquire knowledge of opportunities for differentiation and imitation. Skilton and Bernardes (2015) found that firms introduced more products as the number and diversity of competitors increased. Gao, Xie, and Zhou (2015) found that the technological diversity of a firm’s suppliers increased innovative product introduction rates and that the competitive intensity moderated this effect in the ego network. Hsieh and Vermeulen (2013) showed how constraints in competitive networks influenced the number of imitative products developed. Each of these suggests that competitive position influences product development by facilitating knowledge acquisition.</w:t>
      </w:r>
    </w:p>
    <w:p w14:paraId="4ED789CA" w14:textId="4FAE5C0A" w:rsidR="00F824CA" w:rsidRDefault="00F824CA" w:rsidP="00E727D5">
      <w:r w:rsidRPr="00F824CA">
        <w:t>We conceptualize competitive embeddedness as position in competition networks, which were defined by Skilton and Bernardes (2015) as “…structures of interdependence between rivals that emerge from direct competition</w:t>
      </w:r>
      <w:r w:rsidR="00DB461E">
        <w:t>”</w:t>
      </w:r>
      <w:r w:rsidR="00881D5F">
        <w:t xml:space="preserve"> (p. 1688)</w:t>
      </w:r>
      <w:r w:rsidRPr="00F824CA">
        <w:t xml:space="preserve">. Competition creates an affiliation between firms through their participation in shared markets. Affiliation networks are bipartite, meaning that every relation is between members of disjoint sets of entities; in this case, firms and markets (Borgatti &amp; Halgin, 2011). Interfirm interdependencies are created when firms pay attention to each other’s market actions (Baum &amp; Korn, 1999; Chen 1996; Skilton &amp; Bernardes, 2015). Market rivalry directs attention to competitors, while observation of non-competitors is argued to </w:t>
      </w:r>
      <w:r w:rsidRPr="00F824CA">
        <w:lastRenderedPageBreak/>
        <w:t xml:space="preserve">be more casual (Ocasio, 1997; Srinivasan, Haunschild &amp; Grewal, 2007). Chen (1996) and his collaborators (Chen, Su &amp; Tsai, 2007; Tsai, Su &amp; Chen, 2011) have proposed that as market commonality and resource similarity increase, competitors are more motivated to pay attention to each other. </w:t>
      </w:r>
      <w:r w:rsidR="0050792A">
        <w:t>C</w:t>
      </w:r>
      <w:r w:rsidRPr="00F824CA">
        <w:t>ompetition focuses managers’ attention on what competitors are doing, who they are doing it to, how they do it, and why (Gimeno, 2004; Hsieh &amp; Vermeulen, 2013).</w:t>
      </w:r>
    </w:p>
    <w:p w14:paraId="7815F5CE" w14:textId="5A45105E" w:rsidR="00F824CA" w:rsidRDefault="00F824CA" w:rsidP="00F824CA">
      <w:r w:rsidRPr="00F824CA">
        <w:t xml:space="preserve">We propose that competition leads firms to pay attention to opportunities in their markets, as illustrated in Figure </w:t>
      </w:r>
      <w:r w:rsidR="0081287B">
        <w:t>1</w:t>
      </w:r>
      <w:r w:rsidRPr="00F824CA">
        <w:t xml:space="preserve">. Each firm (shown as squares) is affiliated with the products (shown as circles) that compete in markets (shown as ovals) (Borgatti &amp; Halgin, 2011). Our insight is that if firm A competes in a market with B and C, its </w:t>
      </w:r>
      <w:r w:rsidR="00C932CD">
        <w:t>awareness</w:t>
      </w:r>
      <w:r w:rsidRPr="00F824CA">
        <w:t xml:space="preserve"> will be directed toward the range of competing products that it does not produce. Firms that compete in more markets or markets with more competing products will be exposed to more opportunities for imitation and differentiation. </w:t>
      </w:r>
    </w:p>
    <w:p w14:paraId="3217E5D4" w14:textId="416DB3D9" w:rsidR="00A420D8" w:rsidRDefault="00A420D8" w:rsidP="002B0A30">
      <w:pPr>
        <w:pStyle w:val="Centered"/>
      </w:pPr>
      <w:r>
        <w:t xml:space="preserve">INSERT FIGURE </w:t>
      </w:r>
      <w:r w:rsidR="0081287B">
        <w:t>1</w:t>
      </w:r>
      <w:r>
        <w:t xml:space="preserve"> ABOUT HERE</w:t>
      </w:r>
    </w:p>
    <w:p w14:paraId="58289C47" w14:textId="314FF589" w:rsidR="00016371" w:rsidRDefault="00293D85" w:rsidP="00E727D5">
      <w:r w:rsidRPr="00293D85">
        <w:t xml:space="preserve">We call the range of opportunities revealed in a firm’s existing markets competitive exposure. Competitive exposure can further be understood as an indicator of rival diversity since it depends on product portfolio asymmetry between a firm and its competitors. </w:t>
      </w:r>
      <w:r w:rsidR="00016371">
        <w:t>I</w:t>
      </w:r>
      <w:r w:rsidR="00016371" w:rsidRPr="00384CBC">
        <w:t>mitation benefits from scanning the environment for opportunities to copy rather than</w:t>
      </w:r>
      <w:r w:rsidR="00DB461E">
        <w:t xml:space="preserve"> for</w:t>
      </w:r>
      <w:r w:rsidR="00016371" w:rsidRPr="00384CBC">
        <w:t xml:space="preserve"> opportunities to do something new (Helfat &amp; Lieberman, 2002; Lieberman &amp; Asaba, 2006).</w:t>
      </w:r>
    </w:p>
    <w:p w14:paraId="0C6A5800" w14:textId="2237314C" w:rsidR="00016371" w:rsidRDefault="00293D85" w:rsidP="00E727D5">
      <w:r w:rsidRPr="00293D85">
        <w:t>Competitive exposure does not merely provide firms with opportunities for imitation.</w:t>
      </w:r>
      <w:r w:rsidR="00016371" w:rsidRPr="00016371">
        <w:t xml:space="preserve"> </w:t>
      </w:r>
      <w:r w:rsidR="00016371" w:rsidRPr="0023513C">
        <w:t xml:space="preserve">Differentiation depends less on the discovery </w:t>
      </w:r>
      <w:r w:rsidR="00016371">
        <w:t xml:space="preserve">of new knowledge </w:t>
      </w:r>
      <w:r w:rsidR="00016371" w:rsidRPr="0023513C">
        <w:t>and more on the recombination of existing knowledge (Ketchen &amp; Hult, 2007; Kristal, Huang &amp; Roth, 2007)</w:t>
      </w:r>
      <w:r w:rsidR="00016371">
        <w:t>. As a result, it</w:t>
      </w:r>
      <w:r w:rsidR="00016371" w:rsidRPr="0023513C">
        <w:t xml:space="preserve"> may be </w:t>
      </w:r>
      <w:r w:rsidR="00016371">
        <w:t>more</w:t>
      </w:r>
      <w:r w:rsidR="00016371" w:rsidRPr="0023513C">
        <w:t xml:space="preserve"> likely to benefit from competitive embeddedness that helps firms scan for underserved segments that the firm can serve with its know-how. </w:t>
      </w:r>
      <w:r w:rsidRPr="00293D85">
        <w:t xml:space="preserve">Within the concept, we expect firms to </w:t>
      </w:r>
      <w:r w:rsidRPr="00293D85">
        <w:lastRenderedPageBreak/>
        <w:t xml:space="preserve">recognize opportunities for differentiation in the gaps and omissions they find in markets (Li &amp; Greenwood, 2004). We propose that </w:t>
      </w:r>
      <w:r w:rsidR="00016371">
        <w:t>when</w:t>
      </w:r>
      <w:r w:rsidRPr="00293D85">
        <w:t xml:space="preserve"> exposed to a variety of competing products, firms can learn to identify conditions that signal differentiation opportunities (Xie &amp; O’Neill, 2014). </w:t>
      </w:r>
    </w:p>
    <w:p w14:paraId="2276707E" w14:textId="4FB5CC45" w:rsidR="00E727D5" w:rsidRDefault="00293D85" w:rsidP="00E727D5">
      <w:r w:rsidRPr="00293D85">
        <w:t>This relationship should not apply to radical innovation, which we have argued is more focused on creating markets than competing in established ones. Knowing what products competitors offer seems unlikely to help firms develop radically new products and would be more likely to inhibit such development by directing attention and resources away from genuinely novel opportunities.</w:t>
      </w:r>
    </w:p>
    <w:p w14:paraId="34C6598E" w14:textId="11E79265" w:rsidR="00E727D5" w:rsidRPr="00245098" w:rsidRDefault="00E727D5" w:rsidP="00245098">
      <w:pPr>
        <w:ind w:left="720" w:firstLine="0"/>
        <w:rPr>
          <w:i/>
        </w:rPr>
      </w:pPr>
      <w:r w:rsidRPr="00245098">
        <w:rPr>
          <w:i/>
        </w:rPr>
        <w:t xml:space="preserve">Hypothesis </w:t>
      </w:r>
      <w:r w:rsidR="002B0A30">
        <w:rPr>
          <w:i/>
        </w:rPr>
        <w:t>4</w:t>
      </w:r>
      <w:r w:rsidRPr="00245098">
        <w:rPr>
          <w:i/>
        </w:rPr>
        <w:t>a: Competitive exposure is negatively related to the number of radical innovation product introductions.</w:t>
      </w:r>
    </w:p>
    <w:p w14:paraId="386676E0" w14:textId="0D5577D8" w:rsidR="00E727D5" w:rsidRPr="00245098" w:rsidRDefault="00E727D5" w:rsidP="00245098">
      <w:pPr>
        <w:ind w:left="720" w:firstLine="0"/>
        <w:rPr>
          <w:i/>
        </w:rPr>
      </w:pPr>
      <w:r w:rsidRPr="00245098">
        <w:rPr>
          <w:i/>
        </w:rPr>
        <w:t xml:space="preserve">Hypothesis </w:t>
      </w:r>
      <w:r w:rsidR="002B0A30">
        <w:rPr>
          <w:i/>
        </w:rPr>
        <w:t>4</w:t>
      </w:r>
      <w:r w:rsidRPr="00245098">
        <w:rPr>
          <w:i/>
        </w:rPr>
        <w:t xml:space="preserve">b: Competitive exposure is positively related </w:t>
      </w:r>
      <w:r w:rsidR="00245098">
        <w:rPr>
          <w:i/>
        </w:rPr>
        <w:t xml:space="preserve">to the number of differentiated </w:t>
      </w:r>
      <w:r w:rsidRPr="00245098">
        <w:rPr>
          <w:i/>
        </w:rPr>
        <w:t>product introductions.</w:t>
      </w:r>
    </w:p>
    <w:p w14:paraId="4DEB447E" w14:textId="661B8702" w:rsidR="00E727D5" w:rsidRDefault="00E727D5" w:rsidP="00245098">
      <w:pPr>
        <w:ind w:left="720" w:firstLine="0"/>
        <w:rPr>
          <w:i/>
        </w:rPr>
      </w:pPr>
      <w:r w:rsidRPr="00245098">
        <w:rPr>
          <w:i/>
        </w:rPr>
        <w:t xml:space="preserve">Hypothesis </w:t>
      </w:r>
      <w:r w:rsidR="002B0A30">
        <w:rPr>
          <w:i/>
        </w:rPr>
        <w:t>4</w:t>
      </w:r>
      <w:r w:rsidRPr="00245098">
        <w:rPr>
          <w:i/>
        </w:rPr>
        <w:t>c: Competitive exposure is positively related to the number of generic product introductions.</w:t>
      </w:r>
    </w:p>
    <w:p w14:paraId="1BE081D0" w14:textId="48EC39E5" w:rsidR="004315BC" w:rsidRPr="002F5A14" w:rsidRDefault="004315BC" w:rsidP="004315BC">
      <w:r w:rsidRPr="002F5A14">
        <w:t xml:space="preserve">Figure </w:t>
      </w:r>
      <w:r>
        <w:t>2</w:t>
      </w:r>
      <w:r w:rsidRPr="002F5A14">
        <w:t xml:space="preserve"> represents our model of </w:t>
      </w:r>
      <w:r>
        <w:t xml:space="preserve">how </w:t>
      </w:r>
      <w:r w:rsidR="003F67EF">
        <w:t>the</w:t>
      </w:r>
      <w:r w:rsidR="007F5A01">
        <w:t>se</w:t>
      </w:r>
      <w:r w:rsidR="003F67EF">
        <w:t xml:space="preserve"> elements of</w:t>
      </w:r>
      <w:r w:rsidRPr="002F5A14">
        <w:t xml:space="preserve"> </w:t>
      </w:r>
      <w:r>
        <w:t xml:space="preserve">absorptive capacity are </w:t>
      </w:r>
      <w:r w:rsidRPr="002F5A14">
        <w:t xml:space="preserve">related to </w:t>
      </w:r>
      <w:r w:rsidR="003F67EF">
        <w:t>three kinds of</w:t>
      </w:r>
      <w:r w:rsidRPr="002F5A14">
        <w:t xml:space="preserve"> product introductions. Product development capability </w:t>
      </w:r>
      <w:r>
        <w:t>is theorized to drive</w:t>
      </w:r>
      <w:r w:rsidRPr="002F5A14">
        <w:t xml:space="preserve"> all three strategies, while R&amp;D capability should be positively related to radical innovation and differentiation, but negatively to imitation success.</w:t>
      </w:r>
      <w:r>
        <w:t xml:space="preserve"> Alliance network position and competitive exposure create </w:t>
      </w:r>
      <w:r w:rsidR="003F67EF">
        <w:t xml:space="preserve">differential </w:t>
      </w:r>
      <w:r>
        <w:t xml:space="preserve">access to knowledge of opportunities </w:t>
      </w:r>
      <w:r w:rsidR="00F00E0B">
        <w:t>that facilitate</w:t>
      </w:r>
      <w:r>
        <w:t xml:space="preserve"> new product </w:t>
      </w:r>
      <w:r w:rsidR="00F00E0B">
        <w:t>introductions</w:t>
      </w:r>
      <w:r>
        <w:t>.</w:t>
      </w:r>
    </w:p>
    <w:p w14:paraId="49173F34" w14:textId="4974D053" w:rsidR="004315BC" w:rsidRPr="004315BC" w:rsidRDefault="004315BC" w:rsidP="004315BC">
      <w:pPr>
        <w:pStyle w:val="Centered"/>
      </w:pPr>
      <w:r w:rsidRPr="002F5A14">
        <w:t xml:space="preserve">Insert Figure </w:t>
      </w:r>
      <w:r w:rsidR="003F67EF">
        <w:t>2</w:t>
      </w:r>
      <w:r w:rsidRPr="002F5A14">
        <w:t xml:space="preserve"> about here.</w:t>
      </w:r>
    </w:p>
    <w:p w14:paraId="2F9020C0" w14:textId="77777777" w:rsidR="001B41DC" w:rsidRPr="002F5A14" w:rsidRDefault="001B41DC" w:rsidP="001B41DC">
      <w:pPr>
        <w:pStyle w:val="Heading1"/>
      </w:pPr>
      <w:r w:rsidRPr="002F5A14">
        <w:lastRenderedPageBreak/>
        <w:t>Data and Methods</w:t>
      </w:r>
    </w:p>
    <w:p w14:paraId="7E28C51E" w14:textId="02CFB766" w:rsidR="00011666" w:rsidRDefault="00305433" w:rsidP="00241165">
      <w:r w:rsidRPr="002F5A14">
        <w:t xml:space="preserve">Our principal source of data is the </w:t>
      </w:r>
      <w:r w:rsidR="00243B2F" w:rsidRPr="002F5A14">
        <w:t xml:space="preserve">Food and Drug Administration’s (FDA) </w:t>
      </w:r>
      <w:r w:rsidRPr="002F5A14">
        <w:t>database</w:t>
      </w:r>
      <w:r w:rsidR="00515F12" w:rsidRPr="002F5A14">
        <w:t>s</w:t>
      </w:r>
      <w:r w:rsidRPr="002F5A14">
        <w:t xml:space="preserve"> of approved drugs, Drugs@FDA</w:t>
      </w:r>
      <w:r w:rsidR="00A44B25">
        <w:t>,</w:t>
      </w:r>
      <w:r w:rsidR="00515F12" w:rsidRPr="002F5A14">
        <w:t xml:space="preserve"> and the FDA Orange Book</w:t>
      </w:r>
      <w:r w:rsidRPr="002F5A14">
        <w:t xml:space="preserve"> (Food and Drug Administration</w:t>
      </w:r>
      <w:r w:rsidR="00BF37EF">
        <w:t>,</w:t>
      </w:r>
      <w:r w:rsidRPr="002F5A14">
        <w:t xml:space="preserve"> 201</w:t>
      </w:r>
      <w:r w:rsidR="00DD5450" w:rsidRPr="002F5A14">
        <w:t>7</w:t>
      </w:r>
      <w:r w:rsidRPr="002F5A14">
        <w:t xml:space="preserve">). </w:t>
      </w:r>
      <w:r w:rsidR="00515F12" w:rsidRPr="002F5A14">
        <w:t>Drugs@FDA is the master listing of drug approval applications, while the</w:t>
      </w:r>
      <w:r w:rsidRPr="002F5A14">
        <w:t xml:space="preserve"> Orange Book lists all approved drugs </w:t>
      </w:r>
      <w:r w:rsidR="00515F12" w:rsidRPr="002F5A14">
        <w:t>and indicates whether they are discontinued or</w:t>
      </w:r>
      <w:r w:rsidRPr="002F5A14">
        <w:t xml:space="preserve"> </w:t>
      </w:r>
      <w:r w:rsidR="00F42597" w:rsidRPr="002F5A14">
        <w:t>currently</w:t>
      </w:r>
      <w:r w:rsidR="007C415C" w:rsidRPr="002F5A14">
        <w:t xml:space="preserve"> </w:t>
      </w:r>
      <w:r w:rsidRPr="002F5A14">
        <w:t xml:space="preserve">manufactured and distributed at the time of publication. </w:t>
      </w:r>
      <w:r w:rsidR="00515F12" w:rsidRPr="002F5A14">
        <w:t xml:space="preserve">We also used </w:t>
      </w:r>
      <w:r w:rsidR="009078C7" w:rsidRPr="002F5A14">
        <w:t xml:space="preserve">New Molecular Entity </w:t>
      </w:r>
      <w:r w:rsidR="00C932CD">
        <w:t xml:space="preserve">(NME) </w:t>
      </w:r>
      <w:r w:rsidR="009078C7" w:rsidRPr="002F5A14">
        <w:t>reports from the</w:t>
      </w:r>
      <w:r w:rsidR="00515F12" w:rsidRPr="002F5A14">
        <w:t xml:space="preserve"> FDA’s </w:t>
      </w:r>
      <w:r w:rsidR="009078C7" w:rsidRPr="002F5A14">
        <w:t xml:space="preserve">Center for Drug Evaluation and Research </w:t>
      </w:r>
      <w:r w:rsidR="00515F12" w:rsidRPr="002F5A14">
        <w:t xml:space="preserve">for years between </w:t>
      </w:r>
      <w:r w:rsidR="00101C87" w:rsidRPr="002F5A14">
        <w:t>199</w:t>
      </w:r>
      <w:r w:rsidR="003B034E" w:rsidRPr="002F5A14">
        <w:t>8</w:t>
      </w:r>
      <w:r w:rsidR="00515F12" w:rsidRPr="002F5A14">
        <w:t xml:space="preserve"> and 2017</w:t>
      </w:r>
      <w:r w:rsidR="00F8558D" w:rsidRPr="002F5A14">
        <w:t>. T</w:t>
      </w:r>
      <w:r w:rsidR="00515F12" w:rsidRPr="002F5A14">
        <w:t>he</w:t>
      </w:r>
      <w:r w:rsidR="000D11D8">
        <w:t>y</w:t>
      </w:r>
      <w:r w:rsidR="00515F12" w:rsidRPr="002F5A14">
        <w:t xml:space="preserve"> list applications for approval of active ingredients not previously approved in any form. </w:t>
      </w:r>
    </w:p>
    <w:p w14:paraId="430897C7" w14:textId="5B67C497" w:rsidR="00F13C24" w:rsidRPr="002F5A14" w:rsidRDefault="00F13C24" w:rsidP="00241165">
      <w:r w:rsidRPr="00B13B69">
        <w:rPr>
          <w:color w:val="000000" w:themeColor="text1"/>
        </w:rPr>
        <w:t>To account for merger</w:t>
      </w:r>
      <w:r w:rsidR="00F42042">
        <w:rPr>
          <w:color w:val="000000" w:themeColor="text1"/>
        </w:rPr>
        <w:t>s</w:t>
      </w:r>
      <w:r w:rsidRPr="00B13B69">
        <w:rPr>
          <w:color w:val="000000" w:themeColor="text1"/>
        </w:rPr>
        <w:t>, acquisition</w:t>
      </w:r>
      <w:r w:rsidR="00F42042">
        <w:rPr>
          <w:color w:val="000000" w:themeColor="text1"/>
        </w:rPr>
        <w:t>s</w:t>
      </w:r>
      <w:r w:rsidRPr="00B13B69">
        <w:rPr>
          <w:color w:val="000000" w:themeColor="text1"/>
        </w:rPr>
        <w:t>, and alliances, we obtained SDC Platinum (SDC Platinum</w:t>
      </w:r>
      <w:r w:rsidR="00BF37EF">
        <w:rPr>
          <w:color w:val="000000" w:themeColor="text1"/>
        </w:rPr>
        <w:t>,</w:t>
      </w:r>
      <w:r w:rsidRPr="00B13B69">
        <w:rPr>
          <w:color w:val="000000" w:themeColor="text1"/>
        </w:rPr>
        <w:t xml:space="preserve"> 2018) data on </w:t>
      </w:r>
      <w:r>
        <w:rPr>
          <w:color w:val="000000" w:themeColor="text1"/>
        </w:rPr>
        <w:t xml:space="preserve">the pharmaceutical industry. We used data from the </w:t>
      </w:r>
      <w:r w:rsidRPr="002F5A14">
        <w:t xml:space="preserve">World Health Organization’s Anatomical Therapeutic Classification (ATC) (World Health Organization, 2019) </w:t>
      </w:r>
      <w:r>
        <w:t xml:space="preserve">in combination with </w:t>
      </w:r>
      <w:r>
        <w:rPr>
          <w:color w:val="000000" w:themeColor="text1"/>
        </w:rPr>
        <w:t>formularies from prescription benefits management organizations, as described below, to identify markets and competitors. We used a variety of online resources to develop controls, also as described below.</w:t>
      </w:r>
    </w:p>
    <w:p w14:paraId="18700EE9" w14:textId="77777777" w:rsidR="006F43C0" w:rsidRPr="002F5A14" w:rsidRDefault="006F43C0" w:rsidP="006F43C0">
      <w:pPr>
        <w:pStyle w:val="Heading2"/>
      </w:pPr>
      <w:r w:rsidRPr="002F5A14">
        <w:t>Sample</w:t>
      </w:r>
    </w:p>
    <w:p w14:paraId="51A4760E" w14:textId="7A7BF5C0" w:rsidR="00467E7C" w:rsidRPr="002F5A14" w:rsidRDefault="00BB658A" w:rsidP="006F43C0">
      <w:r w:rsidRPr="00BB658A">
        <w:t xml:space="preserve">We selected the period from 2000 to 2017 for this study because it represents a stable regulatory regime during which clinical trial data was published at clinicaltrials.gov. We used the years from 2008 to 2017 as outcome periods and constructed a five-year leading period separated by a three-year lag for each outcome year. For example, the leading period for the 2017 outcome year is from 2010 to 2014. The lag allows time for firms to act on capabilities and knowledge accessed in the leading period. We use a three-year lag because the effects of leading variables should take time to develop. The underlying processes are complex and uncertain, meaning that results will lag initiation. </w:t>
      </w:r>
    </w:p>
    <w:p w14:paraId="188DA929" w14:textId="26A12A81" w:rsidR="00235DA6" w:rsidRPr="002F5A14" w:rsidRDefault="0064594C" w:rsidP="000A7A0E">
      <w:r w:rsidRPr="0064594C">
        <w:lastRenderedPageBreak/>
        <w:t xml:space="preserve">We used the 2017 Orange Book to identify </w:t>
      </w:r>
      <w:r w:rsidR="008C1EE3">
        <w:t xml:space="preserve">583 </w:t>
      </w:r>
      <w:r w:rsidRPr="0064594C">
        <w:t xml:space="preserve">firms that introduced at least one prescription pharmaceutical product from 1998 to 2017. We reason that firms </w:t>
      </w:r>
      <w:r w:rsidR="008C1EE3">
        <w:t xml:space="preserve">that introduced and continued to produce products </w:t>
      </w:r>
      <w:r w:rsidRPr="0064594C">
        <w:t xml:space="preserve">were the most likely to have the relevant capabilities for at least one of the outcome years. </w:t>
      </w:r>
      <w:r w:rsidR="007C02C9">
        <w:t xml:space="preserve">Twenty firms whose full product lines were discontinued as of 2017 were omitted because they were not going concerns. </w:t>
      </w:r>
      <w:r w:rsidR="003C1FB0">
        <w:t xml:space="preserve">We </w:t>
      </w:r>
      <w:r w:rsidR="007C02C9">
        <w:t xml:space="preserve">also </w:t>
      </w:r>
      <w:r w:rsidR="003C1FB0">
        <w:t>excluded the</w:t>
      </w:r>
      <w:r w:rsidR="0058065C">
        <w:t xml:space="preserve"> U.S. </w:t>
      </w:r>
      <w:r w:rsidR="003C1FB0">
        <w:t>Army</w:t>
      </w:r>
      <w:r w:rsidR="007C02C9">
        <w:t xml:space="preserve">’s </w:t>
      </w:r>
      <w:r w:rsidR="008C1EE3">
        <w:t>Walter Reed Hospital</w:t>
      </w:r>
      <w:r w:rsidR="003C1FB0">
        <w:t>, three university cyclotrons producing radiation therapy products</w:t>
      </w:r>
      <w:r w:rsidR="007C02C9">
        <w:t>,</w:t>
      </w:r>
      <w:r w:rsidR="003C1FB0">
        <w:t xml:space="preserve"> and nineteen companies </w:t>
      </w:r>
      <w:r w:rsidR="00204771">
        <w:t xml:space="preserve">where we could not identify the number of employees. The average number of products controlled by the companies </w:t>
      </w:r>
      <w:r w:rsidR="00745D48">
        <w:t xml:space="preserve">without employee data </w:t>
      </w:r>
      <w:r w:rsidR="00204771">
        <w:t xml:space="preserve">is 1.33, nearly all of which are generics. </w:t>
      </w:r>
      <w:r w:rsidRPr="0064594C">
        <w:t>The resulting data set is an unbalanced panel in which 540 firms participate in 4,996 firm/</w:t>
      </w:r>
      <w:r w:rsidR="00F23982">
        <w:t>year</w:t>
      </w:r>
      <w:r w:rsidRPr="0064594C">
        <w:t xml:space="preserve"> combinations. The panels are unbalanced because some firms were founded during the study period and others were combined with an acquiring firm</w:t>
      </w:r>
      <w:r w:rsidR="00EF1276" w:rsidRPr="002F5A14">
        <w:t>.</w:t>
      </w:r>
    </w:p>
    <w:p w14:paraId="173EFEAD" w14:textId="77777777" w:rsidR="00C1113B" w:rsidRPr="002F5A14" w:rsidRDefault="00C1113B" w:rsidP="00C1113B">
      <w:pPr>
        <w:pStyle w:val="Heading2"/>
      </w:pPr>
      <w:r w:rsidRPr="002F5A14">
        <w:t>Measures</w:t>
      </w:r>
    </w:p>
    <w:p w14:paraId="505A3D56" w14:textId="0355F006" w:rsidR="00C1113B" w:rsidRDefault="00C1113B" w:rsidP="00C1113B">
      <w:r w:rsidRPr="002F5A14">
        <w:t xml:space="preserve">We used FDA </w:t>
      </w:r>
      <w:r>
        <w:t xml:space="preserve">application </w:t>
      </w:r>
      <w:r w:rsidRPr="002F5A14">
        <w:t xml:space="preserve">data to </w:t>
      </w:r>
      <w:r>
        <w:t xml:space="preserve">classify product introductions and create the three dependent variables. </w:t>
      </w:r>
      <w:r w:rsidRPr="002F5A14">
        <w:t xml:space="preserve">We follow the example of Guedri and McGuire (2014) and use the inclusion of active ingredients in New Molecular Entity (NME) reports to classify products as radical innovations. We use variations in dosage form, route of administration and strength to identify differentiated products based on known molecular entities. </w:t>
      </w:r>
      <w:r>
        <w:t>Differentiated products use the FDA’s New Drug Application (NDA) system but are not NMEs. We classify product introductions using</w:t>
      </w:r>
      <w:r w:rsidRPr="002F5A14">
        <w:t xml:space="preserve"> the Abbreviated New Drug Application (ANDA)</w:t>
      </w:r>
      <w:r>
        <w:t xml:space="preserve"> </w:t>
      </w:r>
      <w:r w:rsidR="007C02C9">
        <w:t>as generic drugs</w:t>
      </w:r>
      <w:r>
        <w:t xml:space="preserve"> </w:t>
      </w:r>
      <w:r w:rsidRPr="002F5A14">
        <w:t>(</w:t>
      </w:r>
      <w:r w:rsidR="00DF7D5D">
        <w:t xml:space="preserve">Grabowski &amp; Kyle, 2007; </w:t>
      </w:r>
      <w:r w:rsidRPr="002F5A14">
        <w:t>Morton, 1999; Xie &amp; O’Neill, 2014)</w:t>
      </w:r>
      <w:r w:rsidR="00EF72C4">
        <w:t>. Generics are copies of existing products, and thus fit a direct imitation strategy.</w:t>
      </w:r>
      <w:r w:rsidRPr="002F5A14">
        <w:t xml:space="preserve"> </w:t>
      </w:r>
      <w:r w:rsidR="008C1EE3">
        <w:t>The dependent variables are counts of products of each type introduced during outcome periods.</w:t>
      </w:r>
    </w:p>
    <w:p w14:paraId="60F4FEF6" w14:textId="2D640D59" w:rsidR="00C1113B" w:rsidRPr="002F5A14" w:rsidRDefault="00C1113B" w:rsidP="00C1113B">
      <w:r>
        <w:lastRenderedPageBreak/>
        <w:t>To</w:t>
      </w:r>
      <w:r w:rsidRPr="002F5A14">
        <w:t xml:space="preserve"> measure R&amp;D capability</w:t>
      </w:r>
      <w:r w:rsidRPr="002F5A14" w:rsidDel="00861375">
        <w:t xml:space="preserve"> </w:t>
      </w:r>
      <w:r w:rsidRPr="002F5A14">
        <w:t>we count</w:t>
      </w:r>
      <w:r>
        <w:t>ed</w:t>
      </w:r>
      <w:r w:rsidRPr="002F5A14">
        <w:t xml:space="preserve"> the unique patents that each firm applied to </w:t>
      </w:r>
      <w:r>
        <w:t>its</w:t>
      </w:r>
      <w:r w:rsidRPr="002F5A14">
        <w:t xml:space="preserve"> product</w:t>
      </w:r>
      <w:r>
        <w:t xml:space="preserve"> introductions</w:t>
      </w:r>
      <w:r w:rsidRPr="002F5A14">
        <w:t xml:space="preserve"> during the leading periods. In absorptive capacity theory, patent production is often linked with knowledge assimilation; here we link patent use to assimilation and exploitation. We recognize that R&amp;D spending has frequently been used to measure innovation capability but </w:t>
      </w:r>
      <w:r w:rsidR="00EF72C4">
        <w:t>our inclusion of privately owned</w:t>
      </w:r>
      <w:r w:rsidRPr="002F5A14">
        <w:t xml:space="preserve"> firms in the data ruled out that measure. </w:t>
      </w:r>
      <w:r w:rsidR="00243B4B">
        <w:t>O</w:t>
      </w:r>
      <w:r w:rsidRPr="002F5A14">
        <w:t xml:space="preserve">f the firms in </w:t>
      </w:r>
      <w:r w:rsidR="00243B4B">
        <w:t>our</w:t>
      </w:r>
      <w:r w:rsidRPr="002F5A14">
        <w:t xml:space="preserve"> sample</w:t>
      </w:r>
      <w:r w:rsidR="00243B4B">
        <w:t>, 189</w:t>
      </w:r>
      <w:r w:rsidRPr="002F5A14">
        <w:t xml:space="preserve"> </w:t>
      </w:r>
      <w:r>
        <w:t>used patents to protect products</w:t>
      </w:r>
      <w:r w:rsidRPr="002F5A14">
        <w:t xml:space="preserve"> in at least one leading period.</w:t>
      </w:r>
    </w:p>
    <w:p w14:paraId="31E612B6" w14:textId="763166E0" w:rsidR="00C1113B" w:rsidRPr="002F5A14" w:rsidRDefault="00C1113B" w:rsidP="00C1113B">
      <w:r w:rsidRPr="002F5A14">
        <w:t xml:space="preserve">We used a count of prescription drug approvals of each type during the leading periods to measure strategy-specific product development capabilities. In terms of absorptive capacity theory, these represent operational capabilities for </w:t>
      </w:r>
      <w:r w:rsidR="00EF72C4">
        <w:t>executing product development strategies</w:t>
      </w:r>
      <w:r w:rsidRPr="002F5A14">
        <w:t xml:space="preserve">. The count of leading period ANDA approvals is used to measure generic capability; the count of leading non-NME NDA approvals is the measure for </w:t>
      </w:r>
      <w:r w:rsidRPr="002F5A14">
        <w:rPr>
          <w:color w:val="000000"/>
        </w:rPr>
        <w:t>differentiation</w:t>
      </w:r>
      <w:r w:rsidRPr="002F5A14">
        <w:t xml:space="preserve"> capability; and the count of leading NME approvals is the measure for radical product capability. </w:t>
      </w:r>
    </w:p>
    <w:p w14:paraId="67DA4828" w14:textId="046365BF" w:rsidR="00C27767" w:rsidRPr="002F5A14" w:rsidRDefault="00C27767" w:rsidP="00C27767">
      <w:r>
        <w:t>W</w:t>
      </w:r>
      <w:r w:rsidRPr="002F5A14">
        <w:t>e obtained SDC Platinum (SDC Platinum</w:t>
      </w:r>
      <w:r w:rsidR="00243B4B">
        <w:t>,</w:t>
      </w:r>
      <w:r w:rsidRPr="002F5A14">
        <w:t xml:space="preserve"> 2018) data on 3,560 mergers and acquisitions involving SIC codes 2833-2836 for the years from the end of 1998 through 2014. Our mergers and acquisition search retrieved all deals with at least one participant in SIC codes 2833-2836 during the period 1997-2017. When an acquirer obtained more than 50% ownership, we treated the target as a subsidiary of the acquirer as of the year of the transaction and combined the product portfolios. </w:t>
      </w:r>
      <w:r>
        <w:t xml:space="preserve">Joint ventures are treated as stand-alone entities. </w:t>
      </w:r>
      <w:r w:rsidRPr="002F5A14">
        <w:t xml:space="preserve">We supplemented this data by searching the SDC database for alliances and joint ventures with at least one participant in the same SIC codes in the same period. This search produced </w:t>
      </w:r>
      <w:r w:rsidR="00315B7D">
        <w:t xml:space="preserve">network </w:t>
      </w:r>
      <w:r w:rsidRPr="002F5A14">
        <w:t>data on 10,365 alliances between 8,427 organizations. This data identifies alliance partners and includes descriptions of alliance purposes, a joint venture flag</w:t>
      </w:r>
      <w:r w:rsidR="00F42042">
        <w:t>,</w:t>
      </w:r>
      <w:r w:rsidRPr="002F5A14">
        <w:t xml:space="preserve"> and coding for alliance activities that allow us to differentiate between various kinds of alliances. </w:t>
      </w:r>
    </w:p>
    <w:p w14:paraId="63D4331B" w14:textId="10D6D598" w:rsidR="00C1113B" w:rsidRPr="002F5A14" w:rsidRDefault="00C27767" w:rsidP="00C1113B">
      <w:r>
        <w:lastRenderedPageBreak/>
        <w:t>We hypothesize</w:t>
      </w:r>
      <w:r w:rsidR="00C1113B" w:rsidRPr="002F5A14">
        <w:t xml:space="preserve"> that central positions in alliance networks facilitate knowledge acquisition</w:t>
      </w:r>
      <w:r w:rsidR="00C1113B">
        <w:t xml:space="preserve"> but that the effect of this on product introduction is non-linear</w:t>
      </w:r>
      <w:r w:rsidR="00C1113B" w:rsidRPr="002F5A14">
        <w:t xml:space="preserve">. We measure alliance network centrality as centrality in the network that was formed by alliances that firms entered in each five-year leading period. We used this approach to develop centrality measures because alliances, in theory, have enduring effects. During an outcome year, a firm can be reasonably expected to benefit from alliances started during the leading period. Although every subsequent alliance will alter centrality, we question how quickly new alliances produce knowledge flows. New alliances should take time to create knowledge flows and work out integration </w:t>
      </w:r>
      <w:r w:rsidR="00F42042">
        <w:t>or</w:t>
      </w:r>
      <w:r w:rsidR="00C1113B" w:rsidRPr="002F5A14">
        <w:t xml:space="preserve"> assimilation challenges. Because alliances take time to develop, more recent alliances are less likely to influence the outcome period. We therefore </w:t>
      </w:r>
      <w:r>
        <w:t>do not model</w:t>
      </w:r>
      <w:r w:rsidR="00C1113B" w:rsidRPr="002F5A14">
        <w:t xml:space="preserve"> change in network position. </w:t>
      </w:r>
    </w:p>
    <w:p w14:paraId="5EB97FD4" w14:textId="1081828E" w:rsidR="00C1113B" w:rsidRDefault="00C1113B" w:rsidP="00C1113B">
      <w:r w:rsidRPr="002F5A14">
        <w:t xml:space="preserve">We calculated </w:t>
      </w:r>
      <w:r w:rsidR="00315B7D" w:rsidRPr="002F5A14">
        <w:t xml:space="preserve">three ego-oriented flow centrality measures </w:t>
      </w:r>
      <w:r w:rsidRPr="002F5A14">
        <w:t>using the multiple measures function in UCINET 6.0 (Borgatti, Everett &amp; Johnson, 2013): degree, two step reach</w:t>
      </w:r>
      <w:r w:rsidR="00F42042">
        <w:t>,</w:t>
      </w:r>
      <w:r w:rsidRPr="002F5A14">
        <w:t xml:space="preserve"> and beta centrality.</w:t>
      </w:r>
      <w:r w:rsidR="008C1EE3">
        <w:t xml:space="preserve"> </w:t>
      </w:r>
      <w:r w:rsidR="008C1EE3" w:rsidRPr="002F5A14">
        <w:t xml:space="preserve">Degree is the number of </w:t>
      </w:r>
      <w:r w:rsidR="00315B7D">
        <w:t xml:space="preserve">alliance </w:t>
      </w:r>
      <w:r w:rsidR="008C1EE3" w:rsidRPr="002F5A14">
        <w:t xml:space="preserve">partners. Two step reach counts partners and partners of </w:t>
      </w:r>
      <w:r w:rsidR="00F42042" w:rsidRPr="002F5A14">
        <w:t>partners</w:t>
      </w:r>
      <w:r w:rsidR="00F42042">
        <w:t xml:space="preserve"> and</w:t>
      </w:r>
      <w:r w:rsidR="008C1EE3" w:rsidRPr="002F5A14">
        <w:t xml:space="preserve"> is thus the simplest form of centrality that includes indirect connections.</w:t>
      </w:r>
      <w:r w:rsidRPr="002F5A14">
        <w:t xml:space="preserve"> Beta centrality is a generalized method for </w:t>
      </w:r>
      <w:r>
        <w:t>calculating</w:t>
      </w:r>
      <w:r w:rsidRPr="002F5A14">
        <w:t xml:space="preserve"> flow centrality. If the beta parameter is set to zero, </w:t>
      </w:r>
      <w:r>
        <w:t>the</w:t>
      </w:r>
      <w:r w:rsidRPr="002F5A14">
        <w:t xml:space="preserve"> result is degree centrality; if the beta parameter is set close to 1/λ</w:t>
      </w:r>
      <w:r>
        <w:t xml:space="preserve">, where </w:t>
      </w:r>
      <w:r w:rsidRPr="002F5A14">
        <w:t>λ</w:t>
      </w:r>
      <w:r>
        <w:t xml:space="preserve"> is the largest eigenvalue in the network</w:t>
      </w:r>
      <w:r w:rsidRPr="002F5A14">
        <w:t>, it produces Bonacich power centrality</w:t>
      </w:r>
      <w:r w:rsidR="00DF7D5D">
        <w:t xml:space="preserve"> (Bonacich, 1987)</w:t>
      </w:r>
      <w:r w:rsidRPr="002F5A14">
        <w:t xml:space="preserve">, </w:t>
      </w:r>
      <w:r>
        <w:t xml:space="preserve">with </w:t>
      </w:r>
      <w:r w:rsidRPr="002F5A14">
        <w:t xml:space="preserve">the centrality of a focal firm recursively defined by the sum of the </w:t>
      </w:r>
      <w:r w:rsidR="00315B7D">
        <w:t>centrality</w:t>
      </w:r>
      <w:r w:rsidRPr="002F5A14">
        <w:t xml:space="preserve"> of its immediate partners. We prefer the beta centrality method to conventional eigenvector centrality because it allows for separated components in the network (Borgatti, Everett &amp; Johnson, 2013). </w:t>
      </w:r>
      <w:r>
        <w:t>We created a squared term for each alliance centrality measure.</w:t>
      </w:r>
    </w:p>
    <w:p w14:paraId="6F986E4F" w14:textId="102D5AAF" w:rsidR="00740FEE" w:rsidRDefault="00840948" w:rsidP="00EF72C4">
      <w:r>
        <w:t>Two hundred and thirty-three</w:t>
      </w:r>
      <w:r w:rsidR="00740FEE" w:rsidRPr="002F5A14">
        <w:t xml:space="preserve"> firms in the sample had alliances in at least one leading period. </w:t>
      </w:r>
      <w:r>
        <w:t>Ninety-two</w:t>
      </w:r>
      <w:r w:rsidR="00740FEE" w:rsidRPr="002F5A14">
        <w:t xml:space="preserve"> of these are firms with strategies emphasizing generic product introductions. </w:t>
      </w:r>
      <w:r w:rsidR="00740FEE" w:rsidRPr="002F5A14">
        <w:lastRenderedPageBreak/>
        <w:t xml:space="preserve">Generics-oriented and non-generics firms are about equally represented in the sample but non-generics firms are substantially more likely to have alliances, as expected. More tellingly, two-thirds of the firms with alliances are publicly traded, while only 44% of firms in the sample are public. </w:t>
      </w:r>
      <w:r>
        <w:t>Sixty-eight percent</w:t>
      </w:r>
      <w:r w:rsidR="00740FEE" w:rsidRPr="002F5A14">
        <w:t xml:space="preserve"> of firms in the data are based in the U</w:t>
      </w:r>
      <w:r w:rsidR="005817D6">
        <w:t xml:space="preserve">nited </w:t>
      </w:r>
      <w:r w:rsidR="00740FEE" w:rsidRPr="002F5A14">
        <w:t>S</w:t>
      </w:r>
      <w:r w:rsidR="005817D6">
        <w:t>tates</w:t>
      </w:r>
      <w:r w:rsidR="00740FEE" w:rsidRPr="002F5A14">
        <w:t>, accounting for 64% of firms with alliances. The broad mix of firms in our population explains the relative scarcity of alliances in our data. Following Schilling (2009)</w:t>
      </w:r>
      <w:r w:rsidR="003C77C0">
        <w:t>,</w:t>
      </w:r>
      <w:r w:rsidR="00740FEE" w:rsidRPr="002F5A14">
        <w:t xml:space="preserve"> we searched for information on alliances for a random selection of fifty firms from our sample and found that the SDC search correctly identified more than 90% of alliances. This suggests that the SDC data provide an adequate representation of alliance network position. </w:t>
      </w:r>
    </w:p>
    <w:p w14:paraId="2F326E22" w14:textId="137506BD" w:rsidR="00EF72C4" w:rsidRDefault="00EF72C4" w:rsidP="00EF72C4">
      <w:r w:rsidRPr="002F5A14">
        <w:t>Studies of pharmaceutical market entry (Guedri &amp; McGuire, 2011; Morton, 1999; Xie &amp; O’Neill, 2014) have defined product markets by linking ingredients to therapeutic categorization systems</w:t>
      </w:r>
      <w:r w:rsidR="003C77C0">
        <w:t>,</w:t>
      </w:r>
      <w:r w:rsidRPr="002F5A14">
        <w:t xml:space="preserve"> such as the World Health Organization’s Anatomical Therapeutic Classification (ATC) (World Health Organization, 2019) or the system of the Chinese State Food and Drug Administration (Hsieh &amp; Vermeulen, 2013). Because these systems have many hierarchically nested categories</w:t>
      </w:r>
      <w:r w:rsidR="003C77C0">
        <w:t>,</w:t>
      </w:r>
      <w:r>
        <w:t xml:space="preserve"> choosing a classification level is problematic</w:t>
      </w:r>
      <w:r w:rsidRPr="002F5A14">
        <w:t xml:space="preserve">. </w:t>
      </w:r>
      <w:r>
        <w:t>To avoid this problem</w:t>
      </w:r>
      <w:r w:rsidR="003C77C0">
        <w:t>,</w:t>
      </w:r>
      <w:r>
        <w:t xml:space="preserve"> we used</w:t>
      </w:r>
      <w:r w:rsidRPr="002F5A14">
        <w:t xml:space="preserve"> formularies </w:t>
      </w:r>
      <w:r>
        <w:t>created</w:t>
      </w:r>
      <w:r w:rsidRPr="002F5A14">
        <w:t xml:space="preserve"> by</w:t>
      </w:r>
      <w:r w:rsidR="0058065C">
        <w:t xml:space="preserve"> U.S. </w:t>
      </w:r>
      <w:r w:rsidRPr="002F5A14">
        <w:t xml:space="preserve">prescription benefit organizations to </w:t>
      </w:r>
      <w:r>
        <w:t>simplify the process of assigning products to markets</w:t>
      </w:r>
      <w:r w:rsidRPr="002F5A14">
        <w:t xml:space="preserve">. We combined formularies from three organizations (Tufts, Blue Cross/Blue Shield and Humana) into a single set of categories with 15 top level categories closely related to the Chinese FDA and ATC first level (Hsieh &amp; Vermeulen, 2013) and 99 market level categories. We linked the products listed in the combined formulary to combinations and/or trade names found in the December 2017 Orange Book. </w:t>
      </w:r>
    </w:p>
    <w:p w14:paraId="0D69CCDF" w14:textId="2BAABA45" w:rsidR="00C1113B" w:rsidRPr="002F5A14" w:rsidRDefault="00EF72C4" w:rsidP="00740FEE">
      <w:r w:rsidRPr="002F5A14">
        <w:t>To create a measure of competitive exposure</w:t>
      </w:r>
      <w:r w:rsidR="003C77C0">
        <w:t>,</w:t>
      </w:r>
      <w:r w:rsidRPr="002F5A14">
        <w:t xml:space="preserve"> we identified the </w:t>
      </w:r>
      <w:r w:rsidR="00315B7D">
        <w:t>market level</w:t>
      </w:r>
      <w:r w:rsidRPr="002F5A14">
        <w:t xml:space="preserve"> categories </w:t>
      </w:r>
      <w:r>
        <w:t>each firm competed in during the leading period. Our measure of exposure is</w:t>
      </w:r>
      <w:r w:rsidRPr="002F5A14">
        <w:t xml:space="preserve"> the number of </w:t>
      </w:r>
      <w:r w:rsidRPr="002F5A14">
        <w:lastRenderedPageBreak/>
        <w:t>products in those categories that the focal firm did not produce. The three-year lag between competitive exposure and the outcome period allows time for firms to implement reactions to competitor actions. Ninety firms had leading periods with zero exposure; no firm was free of competition in every period. Sixty-five of these were firms that had alliances but no products yet; five were firms with products with no competitors</w:t>
      </w:r>
      <w:r>
        <w:t>;</w:t>
      </w:r>
      <w:r w:rsidRPr="002F5A14">
        <w:t xml:space="preserve"> the remaining twenty were firms that had discontinued product</w:t>
      </w:r>
      <w:r>
        <w:t>s</w:t>
      </w:r>
      <w:r w:rsidRPr="002F5A14">
        <w:t xml:space="preserve"> </w:t>
      </w:r>
      <w:r>
        <w:t>but</w:t>
      </w:r>
      <w:r w:rsidRPr="002F5A14">
        <w:t xml:space="preserve"> had not yet introduced a new one.</w:t>
      </w:r>
    </w:p>
    <w:p w14:paraId="2EE54D39" w14:textId="77777777" w:rsidR="00C1113B" w:rsidRPr="002F5A14" w:rsidRDefault="00C1113B" w:rsidP="00C1113B">
      <w:pPr>
        <w:pStyle w:val="Heading3"/>
      </w:pPr>
      <w:r w:rsidRPr="002F5A14">
        <w:t>Controls</w:t>
      </w:r>
    </w:p>
    <w:p w14:paraId="2DD03EC1" w14:textId="2A335B3A" w:rsidR="00C1113B" w:rsidRPr="002F5A14" w:rsidRDefault="00C1113B" w:rsidP="00C1113B">
      <w:r w:rsidRPr="002F5A14">
        <w:t>The data includes factor variables for each panel and for firms. Because the FDA is an American agency, we control for whether or not firms are US-based. Many non-US firms seek FDA approval of their products. Non-US firms are coded as ‘Foreign’ and</w:t>
      </w:r>
      <w:r w:rsidR="0058065C">
        <w:t xml:space="preserve"> U.S. </w:t>
      </w:r>
      <w:r w:rsidRPr="002F5A14">
        <w:t xml:space="preserve">firms are coded as ‘US’. Many pharmaceutical firms follow generic product strategies. We created a control that takes a value of ‘Generic’ if a firm identified itself on its websites as wholly or partly following a generics strategy and ‘Discovery’ otherwise. Many pharmaceutical firms are privately held. We created a control that takes a value of ‘Private’ if a firm is privately held and ‘Public’ otherwise. </w:t>
      </w:r>
      <w:bookmarkStart w:id="1" w:name="_Hlk23357891"/>
      <w:r w:rsidRPr="002F5A14">
        <w:t>We included control</w:t>
      </w:r>
      <w:r w:rsidR="00B444A0">
        <w:t>s</w:t>
      </w:r>
      <w:r w:rsidRPr="002F5A14">
        <w:t xml:space="preserve"> for firm age as of 2017 and firm size, measured as the natural log of number of employees reported in </w:t>
      </w:r>
      <w:r w:rsidR="00315B7D">
        <w:t xml:space="preserve">company websites or </w:t>
      </w:r>
      <w:r w:rsidRPr="002F5A14">
        <w:t xml:space="preserve">Bloomberg </w:t>
      </w:r>
      <w:r w:rsidR="00315B7D">
        <w:t>and</w:t>
      </w:r>
      <w:r w:rsidRPr="002F5A14">
        <w:t xml:space="preserve"> Hoovers </w:t>
      </w:r>
      <w:r w:rsidR="00315B7D">
        <w:t xml:space="preserve">online business directories </w:t>
      </w:r>
      <w:r w:rsidRPr="002F5A14">
        <w:t xml:space="preserve">as of 2019. </w:t>
      </w:r>
      <w:r w:rsidR="0087029A">
        <w:t>For many of these size estimates it was difficult to tell when the data was generated. We therefore include this control cautiously, assuming that company size is relatively stable over time and that a point estimate thus has some value as a control.</w:t>
      </w:r>
      <w:r w:rsidR="003A0A6D">
        <w:t xml:space="preserve"> </w:t>
      </w:r>
      <w:bookmarkEnd w:id="1"/>
    </w:p>
    <w:p w14:paraId="1304029C" w14:textId="77777777" w:rsidR="00135191" w:rsidRPr="002F5A14" w:rsidRDefault="00135191" w:rsidP="00135191">
      <w:pPr>
        <w:pStyle w:val="Heading2"/>
      </w:pPr>
      <w:r w:rsidRPr="002F5A14">
        <w:t>Endogeneity</w:t>
      </w:r>
    </w:p>
    <w:p w14:paraId="37F0268F" w14:textId="09E11A0A" w:rsidR="00135191" w:rsidRPr="002F5A14" w:rsidRDefault="00482E46" w:rsidP="00135191">
      <w:r w:rsidRPr="00482E46">
        <w:t xml:space="preserve">Many scholars (Borgatti, Brass &amp; Halgin, 2014; Hage, 1999; Hess &amp; Rothaermel, 2011) have shown that innovation and the emergence of network relationships are endogenous processes. Path dependent capabilities, enduring relationships, and competitive interdependence </w:t>
      </w:r>
      <w:r w:rsidRPr="00482E46">
        <w:lastRenderedPageBreak/>
        <w:t>co-evolve. Taking cross-sections of this cycle exposes our analysis to the three potential sources of bias identified by Robert</w:t>
      </w:r>
      <w:r w:rsidR="005817D6">
        <w:t>s</w:t>
      </w:r>
      <w:r w:rsidRPr="00482E46">
        <w:t xml:space="preserve"> and Whited (2013): omitted variables, simultaneity, and measurement error. We respond to the threat of omitted variables by avoiding placing limits on the sample and through our use of mixed model estimation. If we limited our study to publicly traded companies or</w:t>
      </w:r>
      <w:r w:rsidR="0058065C">
        <w:t xml:space="preserve"> U.S. </w:t>
      </w:r>
      <w:r w:rsidRPr="00482E46">
        <w:t xml:space="preserve">firms or firms with alliances, we would create bias by excluding relevant firms from the population. Our selection of firms with product introductions between 1998 and 2017 avoids these </w:t>
      </w:r>
      <w:r w:rsidR="0050792A" w:rsidRPr="00482E46">
        <w:t>biases</w:t>
      </w:r>
      <w:r w:rsidR="003C77C0">
        <w:t>; however, it</w:t>
      </w:r>
      <w:r w:rsidRPr="00482E46">
        <w:t xml:space="preserve"> omits firms that could have applied for product </w:t>
      </w:r>
      <w:r w:rsidR="003A0A6D" w:rsidRPr="00482E46">
        <w:t>approvals but</w:t>
      </w:r>
      <w:r w:rsidRPr="00482E46">
        <w:t xml:space="preserve"> failed to do so. Our parameters otherwise fit the definition of the relevant population: firms with the potential to introduce new products. Simultaneity is addressed by the design of our data, with outcomes separated in time from explanatory measures and repeatedly measured across panels. Measurement error is the most challenging of the threats, but by relying on audited archives, we think we have reduced it. Finally, we could discover no valid instrumental variables that we could justify as causing the explanatory measures but not influencing outcomes. Robert</w:t>
      </w:r>
      <w:r w:rsidR="007A2D3E">
        <w:t>s</w:t>
      </w:r>
      <w:r w:rsidRPr="00482E46">
        <w:t xml:space="preserve"> and Whited (2013) point out that using weak instruments introduces yet another set of biases. We address endogeneity by specifying the data and model as fully as we can</w:t>
      </w:r>
      <w:r w:rsidR="007A2D3E">
        <w:t>,</w:t>
      </w:r>
      <w:r w:rsidRPr="00482E46">
        <w:t xml:space="preserve"> and by designing the data set to </w:t>
      </w:r>
      <w:r w:rsidR="007A2D3E">
        <w:t xml:space="preserve">partially </w:t>
      </w:r>
      <w:r w:rsidRPr="00482E46">
        <w:t>address simultaneity.</w:t>
      </w:r>
      <w:r w:rsidR="00135191" w:rsidRPr="002F5A14">
        <w:t xml:space="preserve"> </w:t>
      </w:r>
    </w:p>
    <w:p w14:paraId="2A104F1C" w14:textId="5171A664" w:rsidR="001B41DC" w:rsidRPr="002F5A14" w:rsidRDefault="00D838D4" w:rsidP="001B41DC">
      <w:pPr>
        <w:pStyle w:val="Heading1"/>
      </w:pPr>
      <w:r w:rsidRPr="002F5A14">
        <w:t xml:space="preserve">Analyses and </w:t>
      </w:r>
      <w:r w:rsidR="001B41DC" w:rsidRPr="002F5A14">
        <w:t>Results</w:t>
      </w:r>
    </w:p>
    <w:p w14:paraId="77374450" w14:textId="1BB0B632" w:rsidR="0097334C" w:rsidRPr="002F5A14" w:rsidRDefault="00A72D3C" w:rsidP="00A72D3C">
      <w:r w:rsidRPr="002F5A14">
        <w:t xml:space="preserve">To analyze our unbalanced panel </w:t>
      </w:r>
      <w:r w:rsidR="003841F7" w:rsidRPr="002F5A14">
        <w:t>data,</w:t>
      </w:r>
      <w:r w:rsidRPr="002F5A14">
        <w:t xml:space="preserve"> we</w:t>
      </w:r>
      <w:r w:rsidR="0097334C" w:rsidRPr="002F5A14">
        <w:t xml:space="preserve"> adopted a generalized linear mi</w:t>
      </w:r>
      <w:r w:rsidR="00133E38" w:rsidRPr="002F5A14">
        <w:t>x</w:t>
      </w:r>
      <w:r w:rsidR="0097334C" w:rsidRPr="002F5A14">
        <w:t>ed model (GLMM) approach to analysis. The assumptions of GLMM are that the conditional mean</w:t>
      </w:r>
      <w:r w:rsidR="00243764" w:rsidRPr="002F5A14">
        <w:t>s</w:t>
      </w:r>
      <w:r w:rsidR="0097334C" w:rsidRPr="002F5A14">
        <w:t xml:space="preserve"> of the response variables (the product introduction outcomes) are explained by the fixed effects</w:t>
      </w:r>
      <w:r w:rsidR="00A31B4B" w:rsidRPr="002F5A14">
        <w:t>, given the random effects</w:t>
      </w:r>
      <w:r w:rsidR="0097334C" w:rsidRPr="002F5A14">
        <w:t xml:space="preserve"> (Wichmann</w:t>
      </w:r>
      <w:r w:rsidR="00615A10">
        <w:t xml:space="preserve"> et al.,</w:t>
      </w:r>
      <w:r w:rsidR="0097334C" w:rsidRPr="002F5A14">
        <w:t xml:space="preserve"> 2016). </w:t>
      </w:r>
      <w:r w:rsidR="00C976CB" w:rsidRPr="002F5A14">
        <w:t>GLMM</w:t>
      </w:r>
      <w:r w:rsidR="0097334C" w:rsidRPr="002F5A14">
        <w:t xml:space="preserve"> models allow us to control for heterogeneity due to </w:t>
      </w:r>
      <w:r w:rsidR="004C14D5" w:rsidRPr="002F5A14">
        <w:t xml:space="preserve">unobserved </w:t>
      </w:r>
      <w:r w:rsidR="0097334C" w:rsidRPr="002F5A14">
        <w:t>differences between firms with the random effects component of the models (Modi &amp; Mishra, 2011).</w:t>
      </w:r>
    </w:p>
    <w:p w14:paraId="3EE18E8E" w14:textId="1745A802" w:rsidR="00271CDB" w:rsidRPr="002F5A14" w:rsidRDefault="00271CDB" w:rsidP="00106290">
      <w:r w:rsidRPr="002F5A14">
        <w:lastRenderedPageBreak/>
        <w:t xml:space="preserve">Given the </w:t>
      </w:r>
      <w:r w:rsidR="00EF316E">
        <w:t>difficulty</w:t>
      </w:r>
      <w:r w:rsidRPr="002F5A14">
        <w:t xml:space="preserve"> of new product development in pharmaceuticals, it</w:t>
      </w:r>
      <w:r w:rsidR="00A72D3C" w:rsidRPr="002F5A14">
        <w:t xml:space="preserve"> is </w:t>
      </w:r>
      <w:r w:rsidRPr="002F5A14">
        <w:t xml:space="preserve">common for </w:t>
      </w:r>
      <w:r w:rsidR="00A72D3C" w:rsidRPr="002F5A14">
        <w:t xml:space="preserve">capable firms </w:t>
      </w:r>
      <w:r w:rsidRPr="002F5A14">
        <w:t xml:space="preserve">to </w:t>
      </w:r>
      <w:r w:rsidR="00A72D3C" w:rsidRPr="002F5A14">
        <w:t xml:space="preserve">have zero product introductions in an outcome </w:t>
      </w:r>
      <w:r w:rsidRPr="002F5A14">
        <w:t>year</w:t>
      </w:r>
      <w:r w:rsidR="00A72D3C" w:rsidRPr="002F5A14">
        <w:t xml:space="preserve">. In the </w:t>
      </w:r>
      <w:r w:rsidRPr="002F5A14">
        <w:t>4496</w:t>
      </w:r>
      <w:r w:rsidR="00A72D3C" w:rsidRPr="002F5A14">
        <w:t xml:space="preserve"> data points</w:t>
      </w:r>
      <w:r w:rsidR="003B2F55" w:rsidRPr="002F5A14">
        <w:t>,</w:t>
      </w:r>
      <w:r w:rsidR="00A72D3C" w:rsidRPr="002F5A14">
        <w:t xml:space="preserve"> </w:t>
      </w:r>
      <w:r w:rsidRPr="002F5A14">
        <w:t>96% of</w:t>
      </w:r>
      <w:r w:rsidR="00A72D3C" w:rsidRPr="002F5A14">
        <w:t xml:space="preserve"> firm/panels had zero radical product introductions</w:t>
      </w:r>
      <w:r w:rsidR="003B2F55" w:rsidRPr="002F5A14">
        <w:t xml:space="preserve">; </w:t>
      </w:r>
      <w:r w:rsidRPr="002F5A14">
        <w:t>91% of</w:t>
      </w:r>
      <w:r w:rsidR="00A72D3C" w:rsidRPr="002F5A14">
        <w:t xml:space="preserve"> firm/panels had zero differentiated product introductions</w:t>
      </w:r>
      <w:r w:rsidR="00F42042">
        <w:t>;</w:t>
      </w:r>
      <w:r w:rsidR="003B2F55" w:rsidRPr="002F5A14">
        <w:t xml:space="preserve"> </w:t>
      </w:r>
      <w:r w:rsidR="00A72D3C" w:rsidRPr="002F5A14">
        <w:t xml:space="preserve">and </w:t>
      </w:r>
      <w:r w:rsidRPr="002F5A14">
        <w:t>80% of</w:t>
      </w:r>
      <w:r w:rsidR="00A72D3C" w:rsidRPr="002F5A14">
        <w:t xml:space="preserve"> firm/panels had zero generic product introductions. </w:t>
      </w:r>
      <w:r w:rsidRPr="002F5A14">
        <w:t>70% of</w:t>
      </w:r>
      <w:r w:rsidR="00A72D3C" w:rsidRPr="002F5A14">
        <w:t xml:space="preserve"> firm/panels had zero product introductions of any kind. </w:t>
      </w:r>
    </w:p>
    <w:p w14:paraId="1B5707B0" w14:textId="57EBC0BB" w:rsidR="00E92EA0" w:rsidRPr="002F5A14" w:rsidRDefault="0024195C" w:rsidP="00106290">
      <w:r w:rsidRPr="002F5A14">
        <w:t>Following</w:t>
      </w:r>
      <w:r w:rsidR="00E5003E" w:rsidRPr="002F5A14">
        <w:t xml:space="preserve"> studies of patent</w:t>
      </w:r>
      <w:r w:rsidR="005B695C" w:rsidRPr="002F5A14">
        <w:t xml:space="preserve"> production and other studies with count outcomes</w:t>
      </w:r>
      <w:r w:rsidR="00E5003E" w:rsidRPr="002F5A14">
        <w:t xml:space="preserve"> </w:t>
      </w:r>
      <w:r w:rsidR="0043403C">
        <w:t xml:space="preserve">characterized by </w:t>
      </w:r>
      <w:r w:rsidR="003A0A6D">
        <w:t>greater than expected variability</w:t>
      </w:r>
      <w:r w:rsidR="003C77C0">
        <w:t>,</w:t>
      </w:r>
      <w:r w:rsidR="0043403C">
        <w:t xml:space="preserve"> </w:t>
      </w:r>
      <w:r w:rsidR="00E5003E" w:rsidRPr="002F5A14">
        <w:t>w</w:t>
      </w:r>
      <w:r w:rsidR="001B41DC" w:rsidRPr="002F5A14">
        <w:t xml:space="preserve">e used </w:t>
      </w:r>
      <w:r w:rsidR="00F57519" w:rsidRPr="002F5A14">
        <w:t xml:space="preserve">the </w:t>
      </w:r>
      <w:r w:rsidR="001B41DC" w:rsidRPr="002F5A14">
        <w:t>negative binom</w:t>
      </w:r>
      <w:r w:rsidR="00E54514" w:rsidRPr="002F5A14">
        <w:t xml:space="preserve">ial </w:t>
      </w:r>
      <w:r w:rsidR="00F57519" w:rsidRPr="002F5A14">
        <w:t>distribution</w:t>
      </w:r>
      <w:r w:rsidR="001B41DC" w:rsidRPr="002F5A14">
        <w:t xml:space="preserve"> </w:t>
      </w:r>
      <w:r w:rsidR="00E5003E" w:rsidRPr="002F5A14">
        <w:t xml:space="preserve">to analyze our models </w:t>
      </w:r>
      <w:r w:rsidR="001B41DC" w:rsidRPr="002F5A14">
        <w:t>(</w:t>
      </w:r>
      <w:r w:rsidR="008F1704" w:rsidRPr="002F5A14">
        <w:t xml:space="preserve">Carnovale &amp; Yeniyurt, 2015; </w:t>
      </w:r>
      <w:r w:rsidR="00160A07" w:rsidRPr="002F5A14">
        <w:t xml:space="preserve">Baum </w:t>
      </w:r>
      <w:r w:rsidR="00FD71E2" w:rsidRPr="002F5A14">
        <w:t>&amp;</w:t>
      </w:r>
      <w:r w:rsidR="00160A07" w:rsidRPr="002F5A14">
        <w:t xml:space="preserve"> Korn</w:t>
      </w:r>
      <w:r w:rsidR="00506CD3" w:rsidRPr="002F5A14">
        <w:t xml:space="preserve"> 1</w:t>
      </w:r>
      <w:r w:rsidR="00160A07" w:rsidRPr="002F5A14">
        <w:t xml:space="preserve">999; </w:t>
      </w:r>
      <w:r w:rsidR="001B41DC" w:rsidRPr="002F5A14">
        <w:t xml:space="preserve">Whittington, Owen-Smith, </w:t>
      </w:r>
      <w:r w:rsidR="00FD71E2" w:rsidRPr="002F5A14">
        <w:t>&amp;</w:t>
      </w:r>
      <w:r w:rsidR="001B41DC" w:rsidRPr="002F5A14">
        <w:t xml:space="preserve"> Powell</w:t>
      </w:r>
      <w:r w:rsidR="00506CD3" w:rsidRPr="002F5A14">
        <w:t xml:space="preserve"> 2</w:t>
      </w:r>
      <w:r w:rsidR="001B41DC" w:rsidRPr="002F5A14">
        <w:t>009).</w:t>
      </w:r>
      <w:r w:rsidR="005B695C" w:rsidRPr="002F5A14">
        <w:t xml:space="preserve"> </w:t>
      </w:r>
      <w:r w:rsidR="00E92EA0" w:rsidRPr="002F5A14">
        <w:t xml:space="preserve">Negative binomial regression (Hilbe, 2011) relaxes the Poisson assumption that conditional means are equal to conditional variances. </w:t>
      </w:r>
    </w:p>
    <w:p w14:paraId="3D816261" w14:textId="64204148" w:rsidR="00D82E74" w:rsidRPr="002F5A14" w:rsidRDefault="00E92EA0" w:rsidP="00E92EA0">
      <w:r w:rsidRPr="002F5A14">
        <w:t xml:space="preserve">Because firms with </w:t>
      </w:r>
      <w:r w:rsidR="00BF5367" w:rsidRPr="002F5A14">
        <w:t>discovery</w:t>
      </w:r>
      <w:r w:rsidR="00F57519" w:rsidRPr="002F5A14">
        <w:t>-</w:t>
      </w:r>
      <w:r w:rsidRPr="002F5A14">
        <w:t xml:space="preserve">oriented rather than </w:t>
      </w:r>
      <w:r w:rsidR="00BF5367" w:rsidRPr="002F5A14">
        <w:t>generic</w:t>
      </w:r>
      <w:r w:rsidR="00F57519" w:rsidRPr="002F5A14">
        <w:t>-</w:t>
      </w:r>
      <w:r w:rsidRPr="002F5A14">
        <w:t xml:space="preserve">oriented strategies are substantially less likely to introduce generic products, and firms with generic-oriented strategy may innovate less, choice of strategy may generate excess zeros for </w:t>
      </w:r>
      <w:r w:rsidR="00DB2F29" w:rsidRPr="002F5A14">
        <w:t xml:space="preserve">some </w:t>
      </w:r>
      <w:r w:rsidRPr="002F5A14">
        <w:t xml:space="preserve">outcomes (Hilbe, 2011). This suggests that </w:t>
      </w:r>
      <w:r w:rsidR="00DB2F29" w:rsidRPr="002F5A14">
        <w:t>our process</w:t>
      </w:r>
      <w:r w:rsidRPr="002F5A14">
        <w:t xml:space="preserve"> should </w:t>
      </w:r>
      <w:r w:rsidR="00EF316E">
        <w:t xml:space="preserve">also </w:t>
      </w:r>
      <w:r w:rsidRPr="002F5A14">
        <w:t>account for zero-inflation defined as a</w:t>
      </w:r>
      <w:r w:rsidR="008F1704" w:rsidRPr="002F5A14">
        <w:t>n</w:t>
      </w:r>
      <w:r w:rsidRPr="002F5A14">
        <w:t xml:space="preserve"> excess of observed zero counts relative to the expected zero counts arising under negative binomial processes (Alexandre et al., 2018</w:t>
      </w:r>
      <w:r w:rsidR="00D838D4" w:rsidRPr="002F5A14">
        <w:t>; Carnovale &amp; Yeniyurt, 2015</w:t>
      </w:r>
      <w:r w:rsidRPr="002F5A14">
        <w:t>).</w:t>
      </w:r>
      <w:r w:rsidR="00AB0B1A" w:rsidRPr="002F5A14">
        <w:t xml:space="preserve"> </w:t>
      </w:r>
    </w:p>
    <w:p w14:paraId="251860F7" w14:textId="751F02F4" w:rsidR="001D0481" w:rsidRPr="002F5A14" w:rsidRDefault="001D0481" w:rsidP="00E92EA0">
      <w:r w:rsidRPr="002F5A14">
        <w:t xml:space="preserve">We used </w:t>
      </w:r>
      <w:r w:rsidR="008F1704" w:rsidRPr="002F5A14">
        <w:t>a</w:t>
      </w:r>
      <w:r w:rsidR="00020D97" w:rsidRPr="002F5A14">
        <w:t xml:space="preserve"> recently developed package for R, glmmTMB (</w:t>
      </w:r>
      <w:r w:rsidR="00AA4BB1" w:rsidRPr="002F5A14">
        <w:t>Bolker, 2016</w:t>
      </w:r>
      <w:r w:rsidR="00020D97" w:rsidRPr="002F5A14">
        <w:t>)</w:t>
      </w:r>
      <w:r w:rsidRPr="002F5A14">
        <w:t>, to estimate our models. GlmmTMB</w:t>
      </w:r>
      <w:r w:rsidR="00020D97" w:rsidRPr="002F5A14">
        <w:t xml:space="preserve"> implements generalized linear mixed models for the negative binomial (</w:t>
      </w:r>
      <w:r w:rsidR="00FF3580" w:rsidRPr="002F5A14">
        <w:t>NB2</w:t>
      </w:r>
      <w:r w:rsidR="00020D97" w:rsidRPr="002F5A14">
        <w:t xml:space="preserve">) </w:t>
      </w:r>
      <w:r w:rsidR="00FF3580" w:rsidRPr="002F5A14">
        <w:t xml:space="preserve">and </w:t>
      </w:r>
      <w:r w:rsidR="003B2F55" w:rsidRPr="002F5A14">
        <w:t>zero-</w:t>
      </w:r>
      <w:r w:rsidR="00FF3580" w:rsidRPr="002F5A14">
        <w:t>inflated negative binomial families</w:t>
      </w:r>
      <w:r w:rsidR="00020D97" w:rsidRPr="002F5A14">
        <w:t>.</w:t>
      </w:r>
      <w:r w:rsidR="0072341B" w:rsidRPr="002F5A14">
        <w:t xml:space="preserve"> Using </w:t>
      </w:r>
      <w:r w:rsidR="00DB2F29" w:rsidRPr="002F5A14">
        <w:t xml:space="preserve">a </w:t>
      </w:r>
      <w:r w:rsidR="0072341B" w:rsidRPr="002F5A14">
        <w:t>zero-inflated negative binomial (ZINB) generalized linear mixed model</w:t>
      </w:r>
      <w:r w:rsidR="00DB2F29" w:rsidRPr="002F5A14">
        <w:t>,</w:t>
      </w:r>
      <w:r w:rsidR="0072341B" w:rsidRPr="002F5A14">
        <w:t xml:space="preserve"> </w:t>
      </w:r>
      <w:r w:rsidR="00DB2F29" w:rsidRPr="002F5A14">
        <w:t>we</w:t>
      </w:r>
      <w:r w:rsidR="00FF3580" w:rsidRPr="002F5A14">
        <w:t xml:space="preserve"> constructed a model of generic product introductions that model</w:t>
      </w:r>
      <w:r w:rsidR="00DB2F29" w:rsidRPr="002F5A14">
        <w:t>s</w:t>
      </w:r>
      <w:r w:rsidR="00FF3580" w:rsidRPr="002F5A14">
        <w:t xml:space="preserve"> </w:t>
      </w:r>
      <w:r w:rsidRPr="002F5A14">
        <w:t>zero-inflation</w:t>
      </w:r>
      <w:r w:rsidR="00FF3580" w:rsidRPr="002F5A14">
        <w:t xml:space="preserve"> as </w:t>
      </w:r>
      <w:r w:rsidR="00243764" w:rsidRPr="002F5A14">
        <w:t>an</w:t>
      </w:r>
      <w:r w:rsidR="00FF3580" w:rsidRPr="002F5A14">
        <w:t xml:space="preserve"> </w:t>
      </w:r>
      <w:r w:rsidR="00BF5367" w:rsidRPr="002F5A14">
        <w:t>intercept</w:t>
      </w:r>
      <w:r w:rsidR="00FF3580" w:rsidRPr="002F5A14">
        <w:t xml:space="preserve"> and as a function of the generic strategy factor, using the logit link function in a negative binomial GLMM. </w:t>
      </w:r>
      <w:r w:rsidR="00BF5367" w:rsidRPr="002F5A14">
        <w:t>We included firm ID as a group-level (random) intercept term in our mixed models</w:t>
      </w:r>
      <w:r w:rsidR="003C77C0">
        <w:t>,</w:t>
      </w:r>
      <w:r w:rsidR="00BF5367" w:rsidRPr="002F5A14">
        <w:t xml:space="preserve"> because estimating random intercepts for firms </w:t>
      </w:r>
      <w:r w:rsidR="00BF5367" w:rsidRPr="002F5A14">
        <w:lastRenderedPageBreak/>
        <w:t>will help us detect the presence of firm</w:t>
      </w:r>
      <w:r w:rsidR="0015083A" w:rsidRPr="002F5A14">
        <w:t>-</w:t>
      </w:r>
      <w:r w:rsidR="00BF5367" w:rsidRPr="002F5A14">
        <w:t>level unobserved variables and</w:t>
      </w:r>
      <w:r w:rsidR="003C77C0">
        <w:t>,</w:t>
      </w:r>
      <w:r w:rsidR="00BF5367" w:rsidRPr="002F5A14">
        <w:t xml:space="preserve"> thus</w:t>
      </w:r>
      <w:r w:rsidR="003C77C0">
        <w:t>,</w:t>
      </w:r>
      <w:r w:rsidR="00BF5367" w:rsidRPr="002F5A14">
        <w:t xml:space="preserve"> </w:t>
      </w:r>
      <w:r w:rsidR="00A50260" w:rsidRPr="002F5A14">
        <w:t xml:space="preserve">help us </w:t>
      </w:r>
      <w:r w:rsidR="00BF5367" w:rsidRPr="002F5A14">
        <w:t xml:space="preserve">evaluate the extent of our endogeneity problem. Our estimation procedure produces one random effect for each level of the grouping factor; in our case one </w:t>
      </w:r>
      <w:r w:rsidR="006830F7" w:rsidRPr="002F5A14">
        <w:t xml:space="preserve">intercept </w:t>
      </w:r>
      <w:r w:rsidR="00BF5367" w:rsidRPr="002F5A14">
        <w:t>per firm, regardless of panel.</w:t>
      </w:r>
      <w:r w:rsidRPr="002F5A14">
        <w:t xml:space="preserve"> </w:t>
      </w:r>
      <w:r w:rsidR="00AB0B1A" w:rsidRPr="002F5A14">
        <w:t>Fixed effect c</w:t>
      </w:r>
      <w:r w:rsidR="00732994" w:rsidRPr="002F5A14">
        <w:t xml:space="preserve">oefficients were estimated via maximum likelihood. We evaluated </w:t>
      </w:r>
      <w:r w:rsidRPr="002F5A14">
        <w:t>model fit</w:t>
      </w:r>
      <w:r w:rsidR="00732994" w:rsidRPr="002F5A14">
        <w:t xml:space="preserve"> by model comparisons via Akaike’s information criterion (Alexandre et al</w:t>
      </w:r>
      <w:r w:rsidR="00A965E7">
        <w:t>.</w:t>
      </w:r>
      <w:r w:rsidR="00732994" w:rsidRPr="002F5A14">
        <w:t>, 2018; Bolker, 2016; Hilbe, 2011</w:t>
      </w:r>
      <w:r w:rsidR="0097334C" w:rsidRPr="002F5A14">
        <w:t>; Modi &amp; Mishra, 2011</w:t>
      </w:r>
      <w:r w:rsidR="00732994" w:rsidRPr="002F5A14">
        <w:t xml:space="preserve">). </w:t>
      </w:r>
    </w:p>
    <w:p w14:paraId="3F45B22B" w14:textId="1A1990F5" w:rsidR="00E92EA0" w:rsidRPr="002F5A14" w:rsidRDefault="00020D97" w:rsidP="00E92EA0">
      <w:r w:rsidRPr="002F5A14">
        <w:t xml:space="preserve">We </w:t>
      </w:r>
      <w:r w:rsidR="003347AE" w:rsidRPr="002F5A14">
        <w:t>took</w:t>
      </w:r>
      <w:r w:rsidR="00FF3580" w:rsidRPr="002F5A14">
        <w:t xml:space="preserve"> a similar approach</w:t>
      </w:r>
      <w:r w:rsidRPr="002F5A14">
        <w:t xml:space="preserve"> for the radical product introduction and differentiated product introduction</w:t>
      </w:r>
      <w:r w:rsidR="0072341B" w:rsidRPr="002F5A14">
        <w:t xml:space="preserve"> models</w:t>
      </w:r>
      <w:r w:rsidR="003C77C0">
        <w:t>,</w:t>
      </w:r>
      <w:r w:rsidR="003347AE" w:rsidRPr="002F5A14">
        <w:t xml:space="preserve"> but found that ZI</w:t>
      </w:r>
      <w:r w:rsidR="00DB2F29" w:rsidRPr="002F5A14">
        <w:t>NB</w:t>
      </w:r>
      <w:r w:rsidRPr="002F5A14">
        <w:t xml:space="preserve"> </w:t>
      </w:r>
      <w:r w:rsidR="00DB2F29" w:rsidRPr="002F5A14">
        <w:t xml:space="preserve">estimation </w:t>
      </w:r>
      <w:r w:rsidR="006830F7" w:rsidRPr="002F5A14">
        <w:t>produced worse fit</w:t>
      </w:r>
      <w:r w:rsidR="003347AE" w:rsidRPr="002F5A14">
        <w:t xml:space="preserve"> for these outcomes</w:t>
      </w:r>
      <w:r w:rsidR="0072341B" w:rsidRPr="002F5A14">
        <w:t>.</w:t>
      </w:r>
      <w:r w:rsidR="00732994" w:rsidRPr="002F5A14">
        <w:t xml:space="preserve"> </w:t>
      </w:r>
      <w:r w:rsidR="00E92EA0" w:rsidRPr="002F5A14">
        <w:t xml:space="preserve">We tested for the over dispersion that characterizes the negative binomial distribution </w:t>
      </w:r>
      <w:r w:rsidR="00F0786B">
        <w:t>by using</w:t>
      </w:r>
      <w:r w:rsidR="00E92EA0" w:rsidRPr="002F5A14">
        <w:t xml:space="preserve"> likelihood ratio tests </w:t>
      </w:r>
      <w:r w:rsidR="00F0786B">
        <w:t>to compare Poisson</w:t>
      </w:r>
      <w:r w:rsidR="00E92EA0" w:rsidRPr="002F5A14">
        <w:t xml:space="preserve"> models to the </w:t>
      </w:r>
      <w:r w:rsidR="00D11037" w:rsidRPr="002F5A14">
        <w:t>NB</w:t>
      </w:r>
      <w:r w:rsidR="00E92EA0" w:rsidRPr="002F5A14">
        <w:t xml:space="preserve"> models we report below (Hilbe, 2011). In every instance the </w:t>
      </w:r>
      <w:r w:rsidR="00D11037" w:rsidRPr="002F5A14">
        <w:t>NB</w:t>
      </w:r>
      <w:r w:rsidR="00E92EA0" w:rsidRPr="002F5A14">
        <w:t xml:space="preserve"> model</w:t>
      </w:r>
      <w:r w:rsidR="00D11037" w:rsidRPr="002F5A14">
        <w:t>s</w:t>
      </w:r>
      <w:r w:rsidR="00E92EA0" w:rsidRPr="002F5A14">
        <w:t xml:space="preserve"> provided significantly better fit. </w:t>
      </w:r>
    </w:p>
    <w:p w14:paraId="0AB45A3B" w14:textId="45FBC5B5" w:rsidR="00703A08" w:rsidRPr="002F5A14" w:rsidRDefault="00A02D4C" w:rsidP="00703A08">
      <w:r w:rsidRPr="002F5A14">
        <w:t>T</w:t>
      </w:r>
      <w:r>
        <w:t>able 1 provides the</w:t>
      </w:r>
      <w:r w:rsidRPr="002F5A14">
        <w:t xml:space="preserve"> </w:t>
      </w:r>
      <w:r w:rsidR="00DB2F29" w:rsidRPr="002F5A14">
        <w:t>results of these procedures</w:t>
      </w:r>
      <w:r w:rsidR="0043403C">
        <w:t>. We present only the fully specified models, although hierarchical entry results are available on request.</w:t>
      </w:r>
      <w:r w:rsidR="00DB2F29" w:rsidRPr="002F5A14">
        <w:t xml:space="preserve"> </w:t>
      </w:r>
      <w:r w:rsidR="001E01A0" w:rsidRPr="002F5A14">
        <w:t>The non-factor variables are standardized</w:t>
      </w:r>
      <w:r w:rsidR="00EF316E">
        <w:t xml:space="preserve"> to present measures on comparable scales</w:t>
      </w:r>
      <w:r w:rsidR="001E01A0" w:rsidRPr="002F5A14">
        <w:t xml:space="preserve">. </w:t>
      </w:r>
      <w:r w:rsidR="00DB2F29" w:rsidRPr="002F5A14">
        <w:t xml:space="preserve">The coefficients </w:t>
      </w:r>
      <w:r w:rsidR="00703A08" w:rsidRPr="002F5A14">
        <w:t xml:space="preserve">reported </w:t>
      </w:r>
      <w:r w:rsidR="00DB2F29" w:rsidRPr="002F5A14">
        <w:t>in the tables are incidence rate ratios (IRR)</w:t>
      </w:r>
      <w:r w:rsidR="00703A08" w:rsidRPr="002F5A14">
        <w:t xml:space="preserve"> following Carnovale and Yeniyurt (2015), who describe IRR in relation to ordinary </w:t>
      </w:r>
      <w:r w:rsidR="00FC1921" w:rsidRPr="002F5A14">
        <w:t xml:space="preserve">MLE </w:t>
      </w:r>
      <w:r w:rsidR="00703A08" w:rsidRPr="002F5A14">
        <w:t>regression coefficients</w:t>
      </w:r>
      <w:r w:rsidR="00786E69" w:rsidRPr="002F5A14">
        <w:t>:</w:t>
      </w:r>
      <w:r w:rsidR="00703A08" w:rsidRPr="002F5A14">
        <w:t xml:space="preserve"> “Interpretation of the IRR values is much clearer, as the IRR values describe how changes in the independent variable affect the rate at which the dependent variable occurs, while holding other predictor variables constant</w:t>
      </w:r>
      <w:r w:rsidR="003B2F55" w:rsidRPr="002F5A14">
        <w:t>”</w:t>
      </w:r>
      <w:r w:rsidR="00703A08" w:rsidRPr="002F5A14">
        <w:t xml:space="preserve"> (p. 34). An IRR </w:t>
      </w:r>
      <w:r w:rsidR="00BB441C" w:rsidRPr="002F5A14">
        <w:t xml:space="preserve">coefficient </w:t>
      </w:r>
      <w:r w:rsidR="00703A08" w:rsidRPr="002F5A14">
        <w:t xml:space="preserve">less than one represents a decreasing rate; a </w:t>
      </w:r>
      <w:r w:rsidR="00BB441C" w:rsidRPr="002F5A14">
        <w:t xml:space="preserve">coefficient </w:t>
      </w:r>
      <w:r w:rsidR="00703A08" w:rsidRPr="002F5A14">
        <w:t xml:space="preserve">greater than one is an increasing rate. </w:t>
      </w:r>
    </w:p>
    <w:p w14:paraId="17E820F9" w14:textId="632C5DA6" w:rsidR="00E92EA0" w:rsidRPr="002F5A14" w:rsidRDefault="00703A08" w:rsidP="007E1C47">
      <w:pPr>
        <w:pStyle w:val="Centered"/>
      </w:pPr>
      <w:r w:rsidRPr="002F5A14">
        <w:t xml:space="preserve">Insert Table </w:t>
      </w:r>
      <w:r w:rsidR="00D838D4" w:rsidRPr="002F5A14">
        <w:t>1</w:t>
      </w:r>
      <w:r w:rsidRPr="002F5A14">
        <w:t xml:space="preserve"> about here</w:t>
      </w:r>
    </w:p>
    <w:p w14:paraId="1222A3FC" w14:textId="3F8995E0" w:rsidR="00706800" w:rsidRPr="002F5A14" w:rsidRDefault="004251EB" w:rsidP="001615F4">
      <w:r w:rsidRPr="002F5A14">
        <w:t>The tables omit the fixed effects coefficients for the years, which show</w:t>
      </w:r>
      <w:r w:rsidR="00EF316E">
        <w:t>ed</w:t>
      </w:r>
      <w:r w:rsidRPr="002F5A14">
        <w:t xml:space="preserve"> no interesting patterns. </w:t>
      </w:r>
      <w:r w:rsidR="00266F63" w:rsidRPr="002F5A14">
        <w:t xml:space="preserve">The control variables exhibit most of the anticipated relationships with the outcomes. </w:t>
      </w:r>
      <w:r w:rsidR="00266F63" w:rsidRPr="002F5A14">
        <w:lastRenderedPageBreak/>
        <w:t>Having a generic strategy</w:t>
      </w:r>
      <w:r w:rsidRPr="002F5A14">
        <w:t xml:space="preserve"> </w:t>
      </w:r>
      <w:r w:rsidR="00C93705" w:rsidRPr="002F5A14">
        <w:t xml:space="preserve">greatly </w:t>
      </w:r>
      <w:r w:rsidR="00266F63" w:rsidRPr="002F5A14">
        <w:t xml:space="preserve">decreases the rate of radical and differentiated introductions and </w:t>
      </w:r>
      <w:r w:rsidR="00C93705" w:rsidRPr="002F5A14">
        <w:t xml:space="preserve">greatly </w:t>
      </w:r>
      <w:r w:rsidR="00266F63" w:rsidRPr="002F5A14">
        <w:t>increases the rate of generic introductions. Being publicly traded increases the rate of radical product introductions</w:t>
      </w:r>
      <w:r w:rsidR="00C93705" w:rsidRPr="002F5A14">
        <w:t xml:space="preserve"> and decreases the rate of generics</w:t>
      </w:r>
      <w:r w:rsidR="00266F63" w:rsidRPr="002F5A14">
        <w:t xml:space="preserve">. Firm size is positively related to the rate of </w:t>
      </w:r>
      <w:r w:rsidR="00243764" w:rsidRPr="002F5A14">
        <w:t xml:space="preserve">all </w:t>
      </w:r>
      <w:r w:rsidR="00266F63" w:rsidRPr="002F5A14">
        <w:t>product introductions.</w:t>
      </w:r>
    </w:p>
    <w:p w14:paraId="4F3CFB50" w14:textId="70062AED" w:rsidR="00266F63" w:rsidRPr="002F5A14" w:rsidRDefault="00266F63" w:rsidP="007E1C47">
      <w:r w:rsidRPr="002F5A14">
        <w:t xml:space="preserve">Hypothesis 1a is </w:t>
      </w:r>
      <w:r w:rsidR="004251EB" w:rsidRPr="002F5A14">
        <w:t xml:space="preserve">weakly </w:t>
      </w:r>
      <w:r w:rsidRPr="002F5A14">
        <w:t>supported as stronger R&amp;D capability positively influences the rate of radical product introductions</w:t>
      </w:r>
      <w:r w:rsidR="004251EB" w:rsidRPr="002F5A14">
        <w:t xml:space="preserve"> at p=.06</w:t>
      </w:r>
      <w:r w:rsidR="00A551EE">
        <w:t>4</w:t>
      </w:r>
      <w:r w:rsidRPr="002F5A14">
        <w:t xml:space="preserve">. Hypothesis </w:t>
      </w:r>
      <w:r w:rsidR="007E1C47" w:rsidRPr="002F5A14">
        <w:t xml:space="preserve">1b, that R&amp;D capability would positively influence </w:t>
      </w:r>
      <w:r w:rsidR="00074C5F" w:rsidRPr="002F5A14">
        <w:t>differentiated product</w:t>
      </w:r>
      <w:r w:rsidR="0097334C" w:rsidRPr="002F5A14">
        <w:t xml:space="preserve"> introductions</w:t>
      </w:r>
      <w:r w:rsidR="007E1C47" w:rsidRPr="002F5A14">
        <w:t>, is supported</w:t>
      </w:r>
      <w:r w:rsidR="00727A86">
        <w:t xml:space="preserve">. </w:t>
      </w:r>
      <w:r w:rsidR="007E1C47" w:rsidRPr="002F5A14">
        <w:t>Hypothesis 1c</w:t>
      </w:r>
      <w:r w:rsidR="00727A86">
        <w:t>,</w:t>
      </w:r>
      <w:r w:rsidR="00F5023D" w:rsidRPr="002F5A14">
        <w:t xml:space="preserve"> that</w:t>
      </w:r>
      <w:r w:rsidR="007E1C47" w:rsidRPr="002F5A14">
        <w:t xml:space="preserve"> stronger R&amp;D capability negatively influences the rate of generic product introductions</w:t>
      </w:r>
      <w:r w:rsidR="00727A86">
        <w:t>, is also supported</w:t>
      </w:r>
      <w:r w:rsidR="007E1C47" w:rsidRPr="002F5A14">
        <w:t>.</w:t>
      </w:r>
    </w:p>
    <w:p w14:paraId="6D4889E6" w14:textId="714825E4" w:rsidR="003841F7" w:rsidRPr="002F5A14" w:rsidRDefault="007E1C47" w:rsidP="002C089C">
      <w:r w:rsidRPr="002F5A14">
        <w:t>Hypotheses 2a</w:t>
      </w:r>
      <w:r w:rsidR="00F42042">
        <w:t>,</w:t>
      </w:r>
      <w:r w:rsidR="00A551EE">
        <w:t xml:space="preserve"> </w:t>
      </w:r>
      <w:r w:rsidRPr="002F5A14">
        <w:t>2b</w:t>
      </w:r>
      <w:r w:rsidR="00F42042">
        <w:t>,</w:t>
      </w:r>
      <w:r w:rsidRPr="002F5A14">
        <w:t xml:space="preserve"> and 2c are not supported</w:t>
      </w:r>
      <w:r w:rsidR="00F5023D" w:rsidRPr="002F5A14">
        <w:t xml:space="preserve"> in the mixed models</w:t>
      </w:r>
      <w:r w:rsidRPr="002F5A14">
        <w:t xml:space="preserve">. Product development capability in the form of prior experience does not increase the rate of </w:t>
      </w:r>
      <w:r w:rsidR="006009DD">
        <w:t xml:space="preserve">radical and differentiated </w:t>
      </w:r>
      <w:r w:rsidRPr="002F5A14">
        <w:t>product introductions</w:t>
      </w:r>
      <w:r w:rsidR="00C93705" w:rsidRPr="002F5A14">
        <w:t xml:space="preserve">, and </w:t>
      </w:r>
      <w:r w:rsidR="00A551EE">
        <w:t xml:space="preserve">significantly </w:t>
      </w:r>
      <w:r w:rsidR="00C93705" w:rsidRPr="002F5A14">
        <w:t>decreases the rate of generic product introductions</w:t>
      </w:r>
      <w:r w:rsidRPr="002F5A14">
        <w:t xml:space="preserve">. Since this challenges the widely accepted belief </w:t>
      </w:r>
      <w:r w:rsidR="00786E69" w:rsidRPr="002F5A14">
        <w:t>that firms continue to do what they have learned to do</w:t>
      </w:r>
      <w:r w:rsidRPr="002F5A14">
        <w:t xml:space="preserve"> (Hage, 1999), we present </w:t>
      </w:r>
      <w:r w:rsidR="00A20476" w:rsidRPr="002F5A14">
        <w:t>a</w:t>
      </w:r>
      <w:r w:rsidRPr="002F5A14">
        <w:t xml:space="preserve"> set of </w:t>
      </w:r>
      <w:r w:rsidR="00FC1921" w:rsidRPr="002F5A14">
        <w:t xml:space="preserve">fixed effects </w:t>
      </w:r>
      <w:r w:rsidRPr="002F5A14">
        <w:t xml:space="preserve">models in Table </w:t>
      </w:r>
      <w:r w:rsidR="00D838D4" w:rsidRPr="002F5A14">
        <w:t>2</w:t>
      </w:r>
      <w:r w:rsidRPr="002F5A14">
        <w:t xml:space="preserve">. In Table </w:t>
      </w:r>
      <w:r w:rsidR="00D838D4" w:rsidRPr="002F5A14">
        <w:t>2</w:t>
      </w:r>
      <w:r w:rsidR="00727A86">
        <w:t>,</w:t>
      </w:r>
      <w:r w:rsidRPr="002F5A14">
        <w:t xml:space="preserve"> the product development capability measures are strongly and positively related to the rate of introductions, appearing to support Hypotheses </w:t>
      </w:r>
      <w:r w:rsidR="00034130" w:rsidRPr="002F5A14">
        <w:t xml:space="preserve">2a, </w:t>
      </w:r>
      <w:r w:rsidRPr="002F5A14">
        <w:t>2b</w:t>
      </w:r>
      <w:r w:rsidR="00F42042">
        <w:t>,</w:t>
      </w:r>
      <w:r w:rsidRPr="002F5A14">
        <w:t xml:space="preserve"> and 2c. </w:t>
      </w:r>
      <w:r w:rsidR="00B15AC4">
        <w:t xml:space="preserve">The generic strategy control is no longer significantly related to generic product introductions. </w:t>
      </w:r>
      <w:r w:rsidRPr="002F5A14">
        <w:t xml:space="preserve">As </w:t>
      </w:r>
      <w:r w:rsidR="000A5285" w:rsidRPr="002F5A14">
        <w:t>comparis</w:t>
      </w:r>
      <w:r w:rsidRPr="002F5A14">
        <w:t xml:space="preserve">on of Tables </w:t>
      </w:r>
      <w:r w:rsidR="00D838D4" w:rsidRPr="002F5A14">
        <w:t>1</w:t>
      </w:r>
      <w:r w:rsidRPr="002F5A14">
        <w:t xml:space="preserve"> and </w:t>
      </w:r>
      <w:r w:rsidR="00D838D4" w:rsidRPr="002F5A14">
        <w:t>2</w:t>
      </w:r>
      <w:r w:rsidRPr="002F5A14">
        <w:t xml:space="preserve"> shows, the </w:t>
      </w:r>
      <w:r w:rsidR="00FC1921" w:rsidRPr="002F5A14">
        <w:t>mixed</w:t>
      </w:r>
      <w:r w:rsidRPr="002F5A14">
        <w:t xml:space="preserve"> models </w:t>
      </w:r>
      <w:r w:rsidR="00BB441C" w:rsidRPr="002F5A14">
        <w:t>have</w:t>
      </w:r>
      <w:r w:rsidRPr="002F5A14">
        <w:t xml:space="preserve"> better fit based on comparison of AIC. </w:t>
      </w:r>
    </w:p>
    <w:p w14:paraId="31AB3444" w14:textId="77777777" w:rsidR="003841F7" w:rsidRPr="002F5A14" w:rsidRDefault="003841F7" w:rsidP="003841F7">
      <w:pPr>
        <w:pStyle w:val="Centered"/>
      </w:pPr>
      <w:r w:rsidRPr="002F5A14">
        <w:t xml:space="preserve">Insert Table 2 about here </w:t>
      </w:r>
    </w:p>
    <w:p w14:paraId="093237C2" w14:textId="352E734A" w:rsidR="000A5285" w:rsidRPr="002F5A14" w:rsidRDefault="002C089C" w:rsidP="002C089C">
      <w:r w:rsidRPr="002F5A14">
        <w:t>Our conclusion is that a</w:t>
      </w:r>
      <w:r w:rsidR="000A5285" w:rsidRPr="002F5A14">
        <w:t>s expected, endogeneity plays a role in our results</w:t>
      </w:r>
      <w:r w:rsidR="00A845DE">
        <w:t>. T</w:t>
      </w:r>
      <w:r w:rsidR="000A5285" w:rsidRPr="002F5A14">
        <w:t>he</w:t>
      </w:r>
      <w:r w:rsidR="00F57519" w:rsidRPr="002F5A14">
        <w:t xml:space="preserve"> </w:t>
      </w:r>
      <w:r w:rsidR="00A845DE">
        <w:t>influence</w:t>
      </w:r>
      <w:r w:rsidR="00F57519" w:rsidRPr="002F5A14">
        <w:t xml:space="preserve"> of </w:t>
      </w:r>
      <w:r w:rsidR="000A5285" w:rsidRPr="002F5A14">
        <w:t xml:space="preserve">unobserved </w:t>
      </w:r>
      <w:r w:rsidR="00786E69" w:rsidRPr="002F5A14">
        <w:t>variable</w:t>
      </w:r>
      <w:r w:rsidR="00BB441C" w:rsidRPr="002F5A14">
        <w:t>s</w:t>
      </w:r>
      <w:r w:rsidR="00F57519" w:rsidRPr="002F5A14">
        <w:t xml:space="preserve"> is</w:t>
      </w:r>
      <w:r w:rsidR="00786E69" w:rsidRPr="002F5A14">
        <w:t xml:space="preserve"> </w:t>
      </w:r>
      <w:r w:rsidR="000A5285" w:rsidRPr="002F5A14">
        <w:t xml:space="preserve">detected </w:t>
      </w:r>
      <w:r w:rsidR="0097334C" w:rsidRPr="002F5A14">
        <w:t>when we</w:t>
      </w:r>
      <w:r w:rsidR="000A5285" w:rsidRPr="002F5A14">
        <w:t xml:space="preserve"> model firms as having random intercepts</w:t>
      </w:r>
      <w:r w:rsidR="006B54CE" w:rsidRPr="002F5A14">
        <w:t xml:space="preserve"> (Modi &amp; Mishra, 2011)</w:t>
      </w:r>
      <w:r w:rsidR="00FC1921" w:rsidRPr="002F5A14">
        <w:t xml:space="preserve">. </w:t>
      </w:r>
      <w:r w:rsidR="00835FC8" w:rsidRPr="002F5A14">
        <w:t>As Shaver (1998) found when assessing the survival of foreign direct investment projects</w:t>
      </w:r>
      <w:r w:rsidR="003B2F55" w:rsidRPr="002F5A14">
        <w:t>,</w:t>
      </w:r>
      <w:r w:rsidR="00835FC8" w:rsidRPr="002F5A14">
        <w:t xml:space="preserve"> designing procedures to account for unobserved variables can greatly alter the </w:t>
      </w:r>
      <w:r w:rsidR="00835FC8" w:rsidRPr="002F5A14">
        <w:lastRenderedPageBreak/>
        <w:t xml:space="preserve">conclusions drawn from analyses. </w:t>
      </w:r>
      <w:r w:rsidR="000A5285" w:rsidRPr="002F5A14">
        <w:t>Compari</w:t>
      </w:r>
      <w:r w:rsidR="006B54CE" w:rsidRPr="002F5A14">
        <w:t>ng</w:t>
      </w:r>
      <w:r w:rsidR="000A5285" w:rsidRPr="002F5A14">
        <w:t xml:space="preserve"> Tables </w:t>
      </w:r>
      <w:r w:rsidR="00D838D4" w:rsidRPr="002F5A14">
        <w:t>1</w:t>
      </w:r>
      <w:r w:rsidR="000A5285" w:rsidRPr="002F5A14">
        <w:t xml:space="preserve"> and </w:t>
      </w:r>
      <w:r w:rsidR="00D838D4" w:rsidRPr="002F5A14">
        <w:t>2</w:t>
      </w:r>
      <w:r w:rsidR="000A5285" w:rsidRPr="002F5A14">
        <w:t xml:space="preserve"> leads us to conclude that </w:t>
      </w:r>
      <w:r w:rsidR="00BB441C" w:rsidRPr="002F5A14">
        <w:t>these</w:t>
      </w:r>
      <w:r w:rsidR="000A5285" w:rsidRPr="002F5A14">
        <w:t xml:space="preserve"> unobserved </w:t>
      </w:r>
      <w:r w:rsidR="00BB441C" w:rsidRPr="002F5A14">
        <w:t>variables are</w:t>
      </w:r>
      <w:r w:rsidR="000A5285" w:rsidRPr="002F5A14">
        <w:t xml:space="preserve"> related to capabilities </w:t>
      </w:r>
      <w:r w:rsidR="003B2F55" w:rsidRPr="002F5A14">
        <w:t xml:space="preserve">that are </w:t>
      </w:r>
      <w:r w:rsidR="000A5285" w:rsidRPr="002F5A14">
        <w:t>derive</w:t>
      </w:r>
      <w:r w:rsidR="00786E69" w:rsidRPr="002F5A14">
        <w:t>d</w:t>
      </w:r>
      <w:r w:rsidR="000A5285" w:rsidRPr="002F5A14">
        <w:t xml:space="preserve"> from </w:t>
      </w:r>
      <w:r w:rsidR="003B2F55" w:rsidRPr="002F5A14">
        <w:t>experience</w:t>
      </w:r>
      <w:r w:rsidR="000A5285" w:rsidRPr="002F5A14">
        <w:t xml:space="preserve">. The considerable change in the </w:t>
      </w:r>
      <w:r w:rsidR="00074C5F" w:rsidRPr="002F5A14">
        <w:t>coefficient and standard error</w:t>
      </w:r>
      <w:r w:rsidR="000A5285" w:rsidRPr="002F5A14">
        <w:t xml:space="preserve"> of the generic strategy factor on the rate of generic and differentiated introductions between tables further links th</w:t>
      </w:r>
      <w:r w:rsidR="00FC1921" w:rsidRPr="002F5A14">
        <w:t>ese</w:t>
      </w:r>
      <w:r w:rsidR="000A5285" w:rsidRPr="002F5A14">
        <w:t xml:space="preserve"> unobserved </w:t>
      </w:r>
      <w:r w:rsidR="00FC1921" w:rsidRPr="002F5A14">
        <w:t>variables</w:t>
      </w:r>
      <w:r w:rsidR="000A5285" w:rsidRPr="002F5A14">
        <w:t xml:space="preserve"> </w:t>
      </w:r>
      <w:r w:rsidR="006830F7" w:rsidRPr="002F5A14">
        <w:t xml:space="preserve">to </w:t>
      </w:r>
      <w:r w:rsidR="00FC1921" w:rsidRPr="002F5A14">
        <w:t>strateg</w:t>
      </w:r>
      <w:r w:rsidR="006830F7" w:rsidRPr="002F5A14">
        <w:t>ic choice</w:t>
      </w:r>
      <w:r w:rsidR="000A5285" w:rsidRPr="002F5A14">
        <w:t>.</w:t>
      </w:r>
      <w:r w:rsidR="005639F5" w:rsidRPr="002F5A14">
        <w:t xml:space="preserve"> </w:t>
      </w:r>
      <w:r w:rsidR="00281C0E">
        <w:t>In particular</w:t>
      </w:r>
      <w:r w:rsidR="003C77C0">
        <w:t>,</w:t>
      </w:r>
      <w:r w:rsidR="00281C0E">
        <w:t xml:space="preserve"> having a generic strategy has a much greater impact than experience introducing generic products. </w:t>
      </w:r>
      <w:r w:rsidR="005639F5" w:rsidRPr="002F5A14">
        <w:t xml:space="preserve">Results for Hypotheses 1b and 1c are </w:t>
      </w:r>
      <w:r w:rsidR="006009DD">
        <w:t>un</w:t>
      </w:r>
      <w:r w:rsidR="005639F5" w:rsidRPr="002F5A14">
        <w:t>changed in Table 2.</w:t>
      </w:r>
    </w:p>
    <w:p w14:paraId="0D61E6ED" w14:textId="778A39A2" w:rsidR="00A551EE" w:rsidRDefault="00382835" w:rsidP="00382835">
      <w:r w:rsidRPr="002F5A14">
        <w:t>Table</w:t>
      </w:r>
      <w:r w:rsidR="00A551EE">
        <w:t>s</w:t>
      </w:r>
      <w:r w:rsidRPr="002F5A14">
        <w:t xml:space="preserve"> </w:t>
      </w:r>
      <w:r w:rsidR="00D838D4" w:rsidRPr="002F5A14">
        <w:t>1</w:t>
      </w:r>
      <w:r w:rsidRPr="002F5A14">
        <w:t xml:space="preserve"> and </w:t>
      </w:r>
      <w:r w:rsidR="00D838D4" w:rsidRPr="002F5A14">
        <w:t>2</w:t>
      </w:r>
      <w:r w:rsidRPr="002F5A14">
        <w:t xml:space="preserve"> both provide evidence of support for Hypothesis 3a, as greater alliance network centrality in the form of two step reach positively influences the rate of radical product introductions</w:t>
      </w:r>
      <w:r w:rsidR="00A551EE">
        <w:t>, while the squared term reduces the rate</w:t>
      </w:r>
      <w:r w:rsidRPr="002F5A14">
        <w:t xml:space="preserve">. </w:t>
      </w:r>
      <w:r w:rsidR="006009DD">
        <w:t>The number of radical product introductions increases at a decreasing rate as a</w:t>
      </w:r>
      <w:r w:rsidR="00A551EE">
        <w:t xml:space="preserve">lliance network </w:t>
      </w:r>
      <w:r w:rsidR="006009DD">
        <w:t>centrality increases</w:t>
      </w:r>
      <w:r w:rsidR="00A551EE">
        <w:t xml:space="preserve">. </w:t>
      </w:r>
      <w:r w:rsidRPr="002F5A14">
        <w:t xml:space="preserve">Hypothesis 3b </w:t>
      </w:r>
      <w:r w:rsidR="0049531D" w:rsidRPr="002F5A14">
        <w:t xml:space="preserve">– </w:t>
      </w:r>
      <w:r w:rsidRPr="002F5A14">
        <w:t xml:space="preserve">that </w:t>
      </w:r>
      <w:r w:rsidR="006009DD">
        <w:t xml:space="preserve">the number of differentiated product introductions increases at a decreasing rate as alliance network centrality increases </w:t>
      </w:r>
      <w:r w:rsidR="0049531D" w:rsidRPr="002F5A14">
        <w:t xml:space="preserve">– </w:t>
      </w:r>
      <w:r w:rsidRPr="002F5A14">
        <w:t xml:space="preserve">is not supported. </w:t>
      </w:r>
      <w:r w:rsidR="00A551EE">
        <w:t xml:space="preserve">Counter to expectations, </w:t>
      </w:r>
      <w:r w:rsidR="00A551EE" w:rsidRPr="002F5A14">
        <w:t xml:space="preserve">alliance network centrality </w:t>
      </w:r>
      <w:r w:rsidR="00A551EE">
        <w:t>has a weak</w:t>
      </w:r>
      <w:r w:rsidR="003C77C0">
        <w:t>,</w:t>
      </w:r>
      <w:r w:rsidR="00A551EE">
        <w:t xml:space="preserve"> but significant inverted-U shaped relation to</w:t>
      </w:r>
      <w:r w:rsidR="00A551EE" w:rsidRPr="002F5A14">
        <w:t xml:space="preserve"> the rate of </w:t>
      </w:r>
      <w:r w:rsidR="00A551EE">
        <w:t>generic</w:t>
      </w:r>
      <w:r w:rsidR="00A551EE" w:rsidRPr="002F5A14">
        <w:t xml:space="preserve"> product introductions</w:t>
      </w:r>
      <w:r w:rsidR="00A551EE">
        <w:t xml:space="preserve">. </w:t>
      </w:r>
      <w:r w:rsidR="006009DD">
        <w:t xml:space="preserve">This unexpected result </w:t>
      </w:r>
      <w:r w:rsidR="00DC5BE7">
        <w:t>is counter to our expectation that</w:t>
      </w:r>
      <w:r w:rsidR="00043D25">
        <w:t xml:space="preserve"> alliance</w:t>
      </w:r>
      <w:r w:rsidR="008A6F84">
        <w:t xml:space="preserve"> network position</w:t>
      </w:r>
      <w:r w:rsidR="00043D25">
        <w:t xml:space="preserve"> </w:t>
      </w:r>
      <w:r w:rsidR="00DC5BE7">
        <w:t>would have different relationships with</w:t>
      </w:r>
      <w:r w:rsidR="00043D25">
        <w:t xml:space="preserve"> imitation and innovation.</w:t>
      </w:r>
    </w:p>
    <w:p w14:paraId="22BF2F97" w14:textId="5BD3D77F" w:rsidR="00BE797D" w:rsidRPr="002F5A14" w:rsidRDefault="00382835" w:rsidP="00382835">
      <w:r w:rsidRPr="002F5A14">
        <w:t xml:space="preserve">Hypothesis </w:t>
      </w:r>
      <w:r w:rsidR="00BB441C" w:rsidRPr="002F5A14">
        <w:t>4</w:t>
      </w:r>
      <w:r w:rsidRPr="002F5A14">
        <w:t>a</w:t>
      </w:r>
      <w:r w:rsidR="00A845DE">
        <w:t>,</w:t>
      </w:r>
      <w:r w:rsidR="0049531D" w:rsidRPr="002F5A14">
        <w:t xml:space="preserve"> </w:t>
      </w:r>
      <w:r w:rsidRPr="002F5A14">
        <w:t>that greater competitive exposure would negatively influence the rate of radical product introductions, is not supported</w:t>
      </w:r>
      <w:r w:rsidR="007051DD" w:rsidRPr="002F5A14">
        <w:t xml:space="preserve"> because the coefficient is positive</w:t>
      </w:r>
      <w:r w:rsidR="00A845DE">
        <w:t xml:space="preserve">. </w:t>
      </w:r>
      <w:r w:rsidRPr="002F5A14">
        <w:t>Hypotheses 4b and 4c</w:t>
      </w:r>
      <w:r w:rsidR="00A845DE">
        <w:t xml:space="preserve">, </w:t>
      </w:r>
      <w:r w:rsidR="00A845DE" w:rsidRPr="002F5A14">
        <w:t xml:space="preserve">that greater competitive exposure would </w:t>
      </w:r>
      <w:r w:rsidR="00A845DE">
        <w:t>positively</w:t>
      </w:r>
      <w:r w:rsidR="00A845DE" w:rsidRPr="002F5A14">
        <w:t xml:space="preserve"> influence the rate of </w:t>
      </w:r>
      <w:r w:rsidR="00A845DE">
        <w:t>differentiated and generic</w:t>
      </w:r>
      <w:r w:rsidR="00A845DE" w:rsidRPr="002F5A14">
        <w:t xml:space="preserve"> product introductions</w:t>
      </w:r>
      <w:r w:rsidR="00A845DE">
        <w:t>,</w:t>
      </w:r>
      <w:r w:rsidRPr="002F5A14">
        <w:t xml:space="preserve"> are supported. </w:t>
      </w:r>
      <w:r w:rsidR="00AE0F07" w:rsidRPr="002F5A14">
        <w:t>C</w:t>
      </w:r>
      <w:r w:rsidRPr="002F5A14">
        <w:t xml:space="preserve">ompetitive exposure positively </w:t>
      </w:r>
      <w:r w:rsidR="00A845DE">
        <w:t xml:space="preserve">influences the rate of success for </w:t>
      </w:r>
      <w:r w:rsidR="007051DD" w:rsidRPr="002F5A14">
        <w:t xml:space="preserve">all three types </w:t>
      </w:r>
      <w:r w:rsidR="00E70C6A" w:rsidRPr="002F5A14">
        <w:t>of product</w:t>
      </w:r>
      <w:r w:rsidRPr="002F5A14">
        <w:t xml:space="preserve"> introductions.</w:t>
      </w:r>
    </w:p>
    <w:p w14:paraId="2D75126C" w14:textId="1C2CF29C" w:rsidR="00382835" w:rsidRPr="002F5A14" w:rsidRDefault="00382835" w:rsidP="00382835">
      <w:r w:rsidRPr="002F5A14">
        <w:t xml:space="preserve">In summary, the </w:t>
      </w:r>
      <w:r w:rsidR="00627793" w:rsidRPr="002F5A14">
        <w:t xml:space="preserve">analyses </w:t>
      </w:r>
      <w:r w:rsidR="00A670D7" w:rsidRPr="002F5A14">
        <w:t>produce</w:t>
      </w:r>
      <w:r w:rsidR="00627793" w:rsidRPr="002F5A14">
        <w:t xml:space="preserve"> evidence of three </w:t>
      </w:r>
      <w:r w:rsidR="00971A81" w:rsidRPr="002F5A14">
        <w:t>configurations</w:t>
      </w:r>
      <w:r w:rsidR="00627793" w:rsidRPr="002F5A14">
        <w:t xml:space="preserve"> of absorptive capacity, as summarized in Table</w:t>
      </w:r>
      <w:r w:rsidR="00D838D4" w:rsidRPr="002F5A14">
        <w:t xml:space="preserve"> 3</w:t>
      </w:r>
      <w:r w:rsidR="00627793" w:rsidRPr="002F5A14">
        <w:t xml:space="preserve">. </w:t>
      </w:r>
      <w:r w:rsidR="00F020F3" w:rsidRPr="002F5A14">
        <w:t xml:space="preserve">The realized configurations are not as distinct as we </w:t>
      </w:r>
      <w:r w:rsidR="00A31B4B" w:rsidRPr="002F5A14">
        <w:lastRenderedPageBreak/>
        <w:t>hypothesized</w:t>
      </w:r>
      <w:r w:rsidR="00F020F3" w:rsidRPr="002F5A14">
        <w:t>, primarily because competitive exposure is positively related to all three outcomes</w:t>
      </w:r>
      <w:r w:rsidR="000510ED">
        <w:t>, and alliance centrality has the same form of relationship to radical and generic product introductions</w:t>
      </w:r>
      <w:r w:rsidR="00F020F3" w:rsidRPr="002F5A14">
        <w:t xml:space="preserve">. </w:t>
      </w:r>
      <w:r w:rsidR="00A670D7" w:rsidRPr="002F5A14">
        <w:t xml:space="preserve">Each </w:t>
      </w:r>
      <w:r w:rsidR="00FC1921" w:rsidRPr="002F5A14">
        <w:t>configuration</w:t>
      </w:r>
      <w:r w:rsidR="00A670D7" w:rsidRPr="002F5A14">
        <w:t xml:space="preserve"> includes a significant strategic choice and </w:t>
      </w:r>
      <w:r w:rsidR="00FC1921" w:rsidRPr="002F5A14">
        <w:t xml:space="preserve">other </w:t>
      </w:r>
      <w:r w:rsidR="00A670D7" w:rsidRPr="002F5A14">
        <w:t xml:space="preserve">firm level characteristics. There is a positive role for R&amp;D capability in radical </w:t>
      </w:r>
      <w:r w:rsidR="00E70C6A" w:rsidRPr="002F5A14">
        <w:t xml:space="preserve">and differentiated </w:t>
      </w:r>
      <w:r w:rsidR="00A670D7" w:rsidRPr="002F5A14">
        <w:t xml:space="preserve">product introductions, and a negative role for R&amp;D capability in generic product introductions. </w:t>
      </w:r>
      <w:r w:rsidR="00C20DD4" w:rsidRPr="002F5A14">
        <w:t>C</w:t>
      </w:r>
      <w:r w:rsidR="00A670D7" w:rsidRPr="002F5A14">
        <w:t xml:space="preserve">ompetitive exposure </w:t>
      </w:r>
      <w:r w:rsidR="00E70C6A" w:rsidRPr="002F5A14">
        <w:t>plays a positive role in</w:t>
      </w:r>
      <w:r w:rsidR="00A670D7" w:rsidRPr="002F5A14">
        <w:t xml:space="preserve"> </w:t>
      </w:r>
      <w:r w:rsidR="00E70C6A" w:rsidRPr="002F5A14">
        <w:t>all three strategies</w:t>
      </w:r>
      <w:r w:rsidR="00CB01B9">
        <w:t xml:space="preserve"> and alliance network centrality plays a similar role in radical and generic strategies</w:t>
      </w:r>
      <w:r w:rsidR="00A670D7" w:rsidRPr="002F5A14">
        <w:t xml:space="preserve">. If we accept the proposition that the unobserved </w:t>
      </w:r>
      <w:r w:rsidR="00482E2C" w:rsidRPr="002F5A14">
        <w:t xml:space="preserve">variables contributing to these outcomes </w:t>
      </w:r>
      <w:r w:rsidR="00E70C6A" w:rsidRPr="002F5A14">
        <w:t xml:space="preserve">via the firm level random intercepts </w:t>
      </w:r>
      <w:r w:rsidR="00482E2C" w:rsidRPr="002F5A14">
        <w:t xml:space="preserve">are </w:t>
      </w:r>
      <w:r w:rsidR="00A670D7" w:rsidRPr="002F5A14">
        <w:t xml:space="preserve">related to </w:t>
      </w:r>
      <w:r w:rsidR="00A965E7" w:rsidRPr="002F5A14">
        <w:t>experience-based</w:t>
      </w:r>
      <w:r w:rsidR="00243764" w:rsidRPr="002F5A14">
        <w:t xml:space="preserve"> </w:t>
      </w:r>
      <w:r w:rsidR="00A845DE">
        <w:t xml:space="preserve">product development </w:t>
      </w:r>
      <w:r w:rsidR="00243764" w:rsidRPr="002F5A14">
        <w:t>capability</w:t>
      </w:r>
      <w:r w:rsidR="00A670D7" w:rsidRPr="002F5A14">
        <w:t xml:space="preserve">, each </w:t>
      </w:r>
      <w:r w:rsidR="006830F7" w:rsidRPr="002F5A14">
        <w:t>configuration</w:t>
      </w:r>
      <w:r w:rsidR="00A670D7" w:rsidRPr="002F5A14">
        <w:t xml:space="preserve"> has all the components of absorptive capacity.</w:t>
      </w:r>
      <w:r w:rsidR="006830F7" w:rsidRPr="002F5A14">
        <w:t xml:space="preserve"> </w:t>
      </w:r>
    </w:p>
    <w:p w14:paraId="0E319C3B" w14:textId="255FDE80" w:rsidR="00A670D7" w:rsidRPr="002F5A14" w:rsidRDefault="00A670D7" w:rsidP="00A670D7">
      <w:pPr>
        <w:pStyle w:val="Centered"/>
      </w:pPr>
      <w:r w:rsidRPr="002F5A14">
        <w:t xml:space="preserve">Insert Table </w:t>
      </w:r>
      <w:r w:rsidR="00D838D4" w:rsidRPr="002F5A14">
        <w:t>3</w:t>
      </w:r>
      <w:r w:rsidRPr="002F5A14">
        <w:t xml:space="preserve"> about here </w:t>
      </w:r>
    </w:p>
    <w:p w14:paraId="27BF8045" w14:textId="421F608B" w:rsidR="009D4085" w:rsidRPr="002F5A14" w:rsidRDefault="009D4085" w:rsidP="009D4085">
      <w:pPr>
        <w:pStyle w:val="Heading2"/>
      </w:pPr>
      <w:r w:rsidRPr="002F5A14">
        <w:t xml:space="preserve">Robustness </w:t>
      </w:r>
      <w:r w:rsidR="00FD157C" w:rsidRPr="002F5A14">
        <w:t>Tests</w:t>
      </w:r>
    </w:p>
    <w:p w14:paraId="64F80079" w14:textId="66DA14C8" w:rsidR="00706800" w:rsidRPr="002F5A14" w:rsidRDefault="000202B7" w:rsidP="00706800">
      <w:r w:rsidRPr="002F5A14">
        <w:t>Using</w:t>
      </w:r>
      <w:r w:rsidR="00CA24BC" w:rsidRPr="002F5A14">
        <w:t xml:space="preserve"> </w:t>
      </w:r>
      <w:r w:rsidR="006B54CE" w:rsidRPr="002F5A14">
        <w:t xml:space="preserve">generalized linear </w:t>
      </w:r>
      <w:r w:rsidR="00CA24BC" w:rsidRPr="002F5A14">
        <w:t>mixed model</w:t>
      </w:r>
      <w:r w:rsidR="00D65F66">
        <w:t>s</w:t>
      </w:r>
      <w:r w:rsidR="00CA24BC" w:rsidRPr="002F5A14">
        <w:t xml:space="preserve"> </w:t>
      </w:r>
      <w:r w:rsidRPr="002F5A14">
        <w:t>has a</w:t>
      </w:r>
      <w:r w:rsidR="00F962F6" w:rsidRPr="002F5A14">
        <w:t xml:space="preserve"> significant </w:t>
      </w:r>
      <w:r w:rsidRPr="002F5A14">
        <w:t>impact on</w:t>
      </w:r>
      <w:r w:rsidR="00F962F6" w:rsidRPr="002F5A14">
        <w:t xml:space="preserve"> the results</w:t>
      </w:r>
      <w:r w:rsidRPr="002F5A14">
        <w:t xml:space="preserve"> of our analyses</w:t>
      </w:r>
      <w:r w:rsidR="004B0B98" w:rsidRPr="002F5A14">
        <w:t xml:space="preserve">. </w:t>
      </w:r>
      <w:r w:rsidRPr="002F5A14">
        <w:t xml:space="preserve">Comparison with the fixed effects models shown in Table </w:t>
      </w:r>
      <w:r w:rsidR="00D838D4" w:rsidRPr="002F5A14">
        <w:t>2</w:t>
      </w:r>
      <w:r w:rsidRPr="002F5A14">
        <w:t xml:space="preserve"> leads us to</w:t>
      </w:r>
      <w:r w:rsidR="00F962F6" w:rsidRPr="002F5A14">
        <w:t xml:space="preserve"> infer that the unobserved </w:t>
      </w:r>
      <w:r w:rsidR="00A50260" w:rsidRPr="002F5A14">
        <w:t>variables</w:t>
      </w:r>
      <w:r w:rsidR="00F962F6" w:rsidRPr="002F5A14">
        <w:t xml:space="preserve"> </w:t>
      </w:r>
      <w:r w:rsidRPr="002F5A14">
        <w:t>behind</w:t>
      </w:r>
      <w:r w:rsidR="00F962F6" w:rsidRPr="002F5A14">
        <w:t xml:space="preserve"> these outcomes are related to experience</w:t>
      </w:r>
      <w:r w:rsidR="00A965E7">
        <w:t>-</w:t>
      </w:r>
      <w:r w:rsidR="00F962F6" w:rsidRPr="002F5A14">
        <w:t xml:space="preserve">based capabilities and </w:t>
      </w:r>
      <w:r w:rsidR="0049531D" w:rsidRPr="002F5A14">
        <w:t xml:space="preserve">to </w:t>
      </w:r>
      <w:r w:rsidR="00F962F6" w:rsidRPr="002F5A14">
        <w:t>strategic choice</w:t>
      </w:r>
      <w:r w:rsidRPr="002F5A14">
        <w:t>.</w:t>
      </w:r>
      <w:r w:rsidR="00F962F6" w:rsidRPr="002F5A14">
        <w:t xml:space="preserve"> One obvious </w:t>
      </w:r>
      <w:r w:rsidRPr="002F5A14">
        <w:t>question prompted by</w:t>
      </w:r>
      <w:r w:rsidR="00F962F6" w:rsidRPr="002F5A14">
        <w:t xml:space="preserve"> this inference is </w:t>
      </w:r>
      <w:r w:rsidRPr="002F5A14">
        <w:t>whether</w:t>
      </w:r>
      <w:r w:rsidR="00F962F6" w:rsidRPr="002F5A14">
        <w:t xml:space="preserve"> other specifications of random effects</w:t>
      </w:r>
      <w:r w:rsidRPr="002F5A14">
        <w:t xml:space="preserve"> produce similar results</w:t>
      </w:r>
      <w:r w:rsidR="00F962F6" w:rsidRPr="002F5A14">
        <w:t xml:space="preserve">. We therefore made similar comparisons </w:t>
      </w:r>
      <w:r w:rsidRPr="002F5A14">
        <w:t>to</w:t>
      </w:r>
      <w:r w:rsidR="00F962F6" w:rsidRPr="002F5A14">
        <w:t xml:space="preserve"> </w:t>
      </w:r>
      <w:r w:rsidRPr="002F5A14">
        <w:t>mixed models with random effects</w:t>
      </w:r>
      <w:r w:rsidR="00F962F6" w:rsidRPr="002F5A14">
        <w:t xml:space="preserve"> based on panel, generic strategy and public/private ownership</w:t>
      </w:r>
      <w:r w:rsidR="003C77C0">
        <w:t>,</w:t>
      </w:r>
      <w:r w:rsidR="002B44BF" w:rsidRPr="002F5A14">
        <w:t xml:space="preserve"> and on combinations of these factors</w:t>
      </w:r>
      <w:r w:rsidR="00F962F6" w:rsidRPr="002F5A14">
        <w:t>.</w:t>
      </w:r>
      <w:r w:rsidR="00A91AA9" w:rsidRPr="002F5A14">
        <w:t xml:space="preserve"> </w:t>
      </w:r>
      <w:r w:rsidR="002A38BB" w:rsidRPr="002F5A14">
        <w:t xml:space="preserve">All of these models had </w:t>
      </w:r>
      <w:r w:rsidRPr="002F5A14">
        <w:t>higher (worse fitting)</w:t>
      </w:r>
      <w:r w:rsidR="002A38BB" w:rsidRPr="002F5A14">
        <w:t xml:space="preserve"> AIC scores </w:t>
      </w:r>
      <w:r w:rsidRPr="002F5A14">
        <w:t>than the fixed effects models and</w:t>
      </w:r>
      <w:r w:rsidR="002A38BB" w:rsidRPr="002F5A14">
        <w:t xml:space="preserve"> </w:t>
      </w:r>
      <w:r w:rsidR="00482E2C" w:rsidRPr="002F5A14">
        <w:t>all reproduced</w:t>
      </w:r>
      <w:r w:rsidR="002A38BB" w:rsidRPr="002F5A14">
        <w:t xml:space="preserve"> the patterns of </w:t>
      </w:r>
      <w:r w:rsidR="00482E2C" w:rsidRPr="002F5A14">
        <w:t>results</w:t>
      </w:r>
      <w:r w:rsidR="002A38BB" w:rsidRPr="002F5A14">
        <w:t xml:space="preserve"> in Table </w:t>
      </w:r>
      <w:r w:rsidR="00D838D4" w:rsidRPr="002F5A14">
        <w:t>2</w:t>
      </w:r>
      <w:r w:rsidRPr="002F5A14">
        <w:t>. Since only models with</w:t>
      </w:r>
      <w:r w:rsidR="002B44BF" w:rsidRPr="002F5A14">
        <w:t xml:space="preserve"> random effects at the firm level alter </w:t>
      </w:r>
      <w:r w:rsidRPr="002F5A14">
        <w:t xml:space="preserve">our </w:t>
      </w:r>
      <w:r w:rsidR="005F7AC3" w:rsidRPr="002F5A14">
        <w:t>results</w:t>
      </w:r>
      <w:r w:rsidR="00A049BE" w:rsidRPr="002F5A14">
        <w:t>,</w:t>
      </w:r>
      <w:r w:rsidR="002B44BF" w:rsidRPr="002F5A14">
        <w:t xml:space="preserve"> and </w:t>
      </w:r>
      <w:r w:rsidRPr="002F5A14">
        <w:t>since</w:t>
      </w:r>
      <w:r w:rsidR="002B44BF" w:rsidRPr="002F5A14">
        <w:t xml:space="preserve"> the </w:t>
      </w:r>
      <w:r w:rsidRPr="002F5A14">
        <w:t xml:space="preserve">only </w:t>
      </w:r>
      <w:r w:rsidR="00A049BE" w:rsidRPr="002F5A14">
        <w:t>results</w:t>
      </w:r>
      <w:r w:rsidR="005F7AC3" w:rsidRPr="002F5A14">
        <w:t xml:space="preserve"> they alter are </w:t>
      </w:r>
      <w:r w:rsidR="002B44BF" w:rsidRPr="002F5A14">
        <w:t>related to product development capability</w:t>
      </w:r>
      <w:r w:rsidRPr="002F5A14">
        <w:t xml:space="preserve">, the nature of those unobserved </w:t>
      </w:r>
      <w:r w:rsidR="00A50260" w:rsidRPr="002F5A14">
        <w:t>variables</w:t>
      </w:r>
      <w:r w:rsidRPr="002F5A14">
        <w:t xml:space="preserve"> is </w:t>
      </w:r>
      <w:r w:rsidR="0049531D" w:rsidRPr="002F5A14">
        <w:t xml:space="preserve">disclosed </w:t>
      </w:r>
      <w:r w:rsidRPr="002F5A14">
        <w:lastRenderedPageBreak/>
        <w:t>at least in part</w:t>
      </w:r>
      <w:r w:rsidR="002B44BF" w:rsidRPr="002F5A14">
        <w:t>.</w:t>
      </w:r>
      <w:r w:rsidRPr="002F5A14">
        <w:t xml:space="preserve"> </w:t>
      </w:r>
      <w:r w:rsidR="00F677F5">
        <w:t>Product development c</w:t>
      </w:r>
      <w:r w:rsidRPr="002F5A14">
        <w:t xml:space="preserve">apabilities </w:t>
      </w:r>
      <w:r w:rsidR="00F677F5">
        <w:t xml:space="preserve">develop with </w:t>
      </w:r>
      <w:r w:rsidRPr="002F5A14">
        <w:t xml:space="preserve">experience but </w:t>
      </w:r>
      <w:r w:rsidR="00F677F5">
        <w:t>are idiosyncratic</w:t>
      </w:r>
      <w:r w:rsidR="00DF42E7">
        <w:t>,</w:t>
      </w:r>
      <w:r w:rsidR="00F677F5">
        <w:t xml:space="preserve"> rather than consistent</w:t>
      </w:r>
      <w:r w:rsidR="00DF42E7">
        <w:t>,</w:t>
      </w:r>
      <w:r w:rsidR="00F677F5">
        <w:t xml:space="preserve"> across firms</w:t>
      </w:r>
      <w:r w:rsidRPr="002F5A14">
        <w:t xml:space="preserve">. </w:t>
      </w:r>
    </w:p>
    <w:p w14:paraId="7659034C" w14:textId="36FCAD36" w:rsidR="00C75E74" w:rsidRPr="002F5A14" w:rsidRDefault="00C75E74" w:rsidP="00C75E74">
      <w:r w:rsidRPr="002F5A14">
        <w:t>As a robustness check</w:t>
      </w:r>
      <w:r w:rsidR="003C77C0">
        <w:t>,</w:t>
      </w:r>
      <w:r w:rsidRPr="002F5A14">
        <w:t xml:space="preserve"> we tested our mixed models in alternative data sets </w:t>
      </w:r>
      <w:r w:rsidR="00F42042">
        <w:t xml:space="preserve">with </w:t>
      </w:r>
      <w:r w:rsidRPr="002F5A14">
        <w:t>one and two</w:t>
      </w:r>
      <w:r w:rsidR="005C1E1F">
        <w:t>-</w:t>
      </w:r>
      <w:r w:rsidRPr="002F5A14">
        <w:t xml:space="preserve">year lags, with results summarized in Table 4. We constructed this comparison </w:t>
      </w:r>
      <w:r w:rsidR="009449CA" w:rsidRPr="002F5A14">
        <w:t xml:space="preserve">data set </w:t>
      </w:r>
      <w:r w:rsidRPr="002F5A14">
        <w:t xml:space="preserve">to use the same </w:t>
      </w:r>
      <w:r w:rsidR="00D33C72" w:rsidRPr="002F5A14">
        <w:t>leading periods</w:t>
      </w:r>
      <w:r w:rsidRPr="002F5A14">
        <w:t xml:space="preserve"> to predict different outcome years</w:t>
      </w:r>
      <w:r w:rsidR="00D33C72" w:rsidRPr="002F5A14">
        <w:t xml:space="preserve"> depending on the lag structure.</w:t>
      </w:r>
      <w:r w:rsidRPr="002F5A14">
        <w:t xml:space="preserve"> </w:t>
      </w:r>
      <w:r w:rsidR="00D65F66">
        <w:t>The major differences are that</w:t>
      </w:r>
      <w:r w:rsidRPr="002F5A14">
        <w:t xml:space="preserve"> Hypotheses 1a,</w:t>
      </w:r>
      <w:r w:rsidR="00F12AE3" w:rsidRPr="002F5A14">
        <w:t xml:space="preserve"> </w:t>
      </w:r>
      <w:r w:rsidRPr="002F5A14">
        <w:t xml:space="preserve">1b and </w:t>
      </w:r>
      <w:r w:rsidR="007471FA" w:rsidRPr="002F5A14">
        <w:t>1</w:t>
      </w:r>
      <w:r w:rsidRPr="002F5A14">
        <w:t xml:space="preserve">c </w:t>
      </w:r>
      <w:r w:rsidR="000D3231">
        <w:t xml:space="preserve">(R&amp;D capability) </w:t>
      </w:r>
      <w:r w:rsidRPr="002F5A14">
        <w:t>are never supported with shorter lags</w:t>
      </w:r>
      <w:r w:rsidR="00F42042">
        <w:t>,</w:t>
      </w:r>
      <w:r w:rsidR="00B83174">
        <w:t xml:space="preserve"> and that Hypotheses 2a, 2b, and 2c (product development capability) are supported with</w:t>
      </w:r>
      <w:r w:rsidR="00EF5D13" w:rsidRPr="002F5A14">
        <w:t xml:space="preserve"> </w:t>
      </w:r>
      <w:r w:rsidR="00B83174">
        <w:t>shorter lags.</w:t>
      </w:r>
    </w:p>
    <w:p w14:paraId="4FE08168" w14:textId="77777777" w:rsidR="00C75E74" w:rsidRPr="002F5A14" w:rsidRDefault="00C75E74" w:rsidP="00C75E74">
      <w:pPr>
        <w:pStyle w:val="Centered"/>
      </w:pPr>
      <w:r w:rsidRPr="002F5A14">
        <w:t>Insert Table 4 about here</w:t>
      </w:r>
    </w:p>
    <w:p w14:paraId="1C17BDC4" w14:textId="66D25425" w:rsidR="000D3231" w:rsidRDefault="000D3231" w:rsidP="00706800">
      <w:r w:rsidRPr="002F5A14">
        <w:t>As we noted earlier, we tested three versions of alliance network centrality that are conceptually linked to information flows. The measure in Tables 1 and 2 is two step reach. We found that Hypothesis 3b was supported for two and three</w:t>
      </w:r>
      <w:r w:rsidR="00A965E7">
        <w:t>-</w:t>
      </w:r>
      <w:r w:rsidRPr="002F5A14">
        <w:t xml:space="preserve"> year lags</w:t>
      </w:r>
      <w:r>
        <w:t xml:space="preserve"> when degree was the network centrality measure</w:t>
      </w:r>
      <w:r w:rsidRPr="002F5A14">
        <w:t>. Bonacich power centrality (</w:t>
      </w:r>
      <w:bookmarkStart w:id="2" w:name="_Hlk6049568"/>
      <w:r w:rsidRPr="002F5A14">
        <w:t>Whittington, Owen-Smith &amp; Powell, 2009</w:t>
      </w:r>
      <w:bookmarkEnd w:id="2"/>
      <w:r w:rsidRPr="002F5A14">
        <w:t>) was never significantly related to the outcomes.</w:t>
      </w:r>
    </w:p>
    <w:p w14:paraId="44A5A0E7" w14:textId="56039A13" w:rsidR="00743622" w:rsidRPr="002F5A14" w:rsidRDefault="00743622" w:rsidP="00706800">
      <w:r>
        <w:t>Our approach to alliances is very general. Several recent studies have described joint ventures as significantly different from other forms of alliances (</w:t>
      </w:r>
      <w:r w:rsidR="00B85225" w:rsidRPr="002F5A14">
        <w:t>Carnovale &amp; Yeniyurt, 2015</w:t>
      </w:r>
      <w:r w:rsidR="00B85225">
        <w:t>; Kogut, 1988</w:t>
      </w:r>
      <w:r>
        <w:t>). We therefore created an alternative set of network centrality measures using only joint ventures</w:t>
      </w:r>
      <w:r w:rsidR="00B85225">
        <w:t xml:space="preserve"> and ran models using it</w:t>
      </w:r>
      <w:r>
        <w:t xml:space="preserve">. </w:t>
      </w:r>
      <w:r w:rsidR="004D05F1">
        <w:t xml:space="preserve">We also tested measures of participation in joint ventures. </w:t>
      </w:r>
      <w:r w:rsidR="00B85225">
        <w:t xml:space="preserve">Centrality </w:t>
      </w:r>
      <w:r w:rsidR="004D05F1">
        <w:t xml:space="preserve">and participation in </w:t>
      </w:r>
      <w:r w:rsidR="00B85225">
        <w:t xml:space="preserve">the joint venture network </w:t>
      </w:r>
      <w:r w:rsidR="004D05F1">
        <w:t>were</w:t>
      </w:r>
      <w:r w:rsidR="00B85225">
        <w:t xml:space="preserve"> never significantly related to the rate of product introductions.</w:t>
      </w:r>
    </w:p>
    <w:p w14:paraId="4F1ED7FE" w14:textId="111132BB" w:rsidR="007B1D77" w:rsidRPr="002F5A14" w:rsidRDefault="00482E2C" w:rsidP="00706800">
      <w:r w:rsidRPr="002F5A14">
        <w:t xml:space="preserve">Our models may be underspecified because we </w:t>
      </w:r>
      <w:r w:rsidR="00C20DD4" w:rsidRPr="002F5A14">
        <w:t>did not</w:t>
      </w:r>
      <w:r w:rsidR="007B1D77" w:rsidRPr="002F5A14">
        <w:t xml:space="preserve"> test interactions between the elements of absorptive capacity. </w:t>
      </w:r>
      <w:r w:rsidR="00D65F66">
        <w:t xml:space="preserve">We tested all possible two-way interactions for the four </w:t>
      </w:r>
      <w:r w:rsidR="00D65F66">
        <w:lastRenderedPageBreak/>
        <w:t>independent variables.</w:t>
      </w:r>
      <w:r w:rsidR="00EC6310" w:rsidRPr="002F5A14">
        <w:t xml:space="preserve"> </w:t>
      </w:r>
      <w:r w:rsidR="00F677F5">
        <w:t>None of these interactions contributed significantly to model fit, making it</w:t>
      </w:r>
      <w:r w:rsidR="00EC6310" w:rsidRPr="002F5A14">
        <w:t xml:space="preserve"> unlikely that the unobserved variables influencing our results </w:t>
      </w:r>
      <w:r w:rsidR="00B600FE" w:rsidRPr="002F5A14">
        <w:t xml:space="preserve">stem </w:t>
      </w:r>
      <w:r w:rsidR="00916B5F" w:rsidRPr="002F5A14">
        <w:t>from untested</w:t>
      </w:r>
      <w:r w:rsidR="00EC6310" w:rsidRPr="002F5A14">
        <w:t xml:space="preserve"> interactions. </w:t>
      </w:r>
    </w:p>
    <w:p w14:paraId="2792E77B" w14:textId="77777777" w:rsidR="001B41DC" w:rsidRPr="002F5A14" w:rsidRDefault="001B41DC" w:rsidP="001B41DC">
      <w:pPr>
        <w:pStyle w:val="Heading1"/>
      </w:pPr>
      <w:r w:rsidRPr="002F5A14">
        <w:t>Discussion and Conclusion</w:t>
      </w:r>
    </w:p>
    <w:p w14:paraId="74B76FD1" w14:textId="0940F699" w:rsidR="00257DC8" w:rsidRDefault="00B6107F" w:rsidP="00B6107F">
      <w:pPr>
        <w:rPr>
          <w:rFonts w:ascii="TimesNewRomanPSMT" w:hAnsi="TimesNewRomanPSMT" w:cs="TimesNewRomanPSMT"/>
        </w:rPr>
      </w:pPr>
      <w:r w:rsidRPr="002F5A14">
        <w:t xml:space="preserve">Supply chain managers </w:t>
      </w:r>
      <w:r w:rsidR="00E0189A">
        <w:t xml:space="preserve">and scholars </w:t>
      </w:r>
      <w:r w:rsidRPr="002F5A14">
        <w:t xml:space="preserve">should be interested in </w:t>
      </w:r>
      <w:r w:rsidR="007404F6" w:rsidRPr="002F5A14">
        <w:t xml:space="preserve">the </w:t>
      </w:r>
      <w:r w:rsidR="00D13D66" w:rsidRPr="002F5A14">
        <w:t>configuration</w:t>
      </w:r>
      <w:r w:rsidR="007404F6" w:rsidRPr="002F5A14">
        <w:t xml:space="preserve"> of absorptive capacity</w:t>
      </w:r>
      <w:r w:rsidRPr="002F5A14">
        <w:t xml:space="preserve"> for several reasons. The most critical is that </w:t>
      </w:r>
      <w:r w:rsidR="00C449CF" w:rsidRPr="002F5A14">
        <w:t xml:space="preserve">absorptive capacity theory </w:t>
      </w:r>
      <w:r w:rsidRPr="002F5A14">
        <w:t xml:space="preserve">generalizes a core concept in contemporary supply chain management research, </w:t>
      </w:r>
      <w:r w:rsidR="009D77B1" w:rsidRPr="002F5A14">
        <w:t xml:space="preserve">which is </w:t>
      </w:r>
      <w:r w:rsidRPr="002F5A14">
        <w:t xml:space="preserve">that firms and their capabilities are embedded in networks of </w:t>
      </w:r>
      <w:r w:rsidR="00A049BE" w:rsidRPr="002F5A14">
        <w:t>suppliers</w:t>
      </w:r>
      <w:r w:rsidRPr="002F5A14">
        <w:t xml:space="preserve"> and </w:t>
      </w:r>
      <w:r w:rsidR="00A049BE" w:rsidRPr="002F5A14">
        <w:t xml:space="preserve">other </w:t>
      </w:r>
      <w:r w:rsidRPr="002F5A14">
        <w:t>partners (Choi &amp;</w:t>
      </w:r>
      <w:r w:rsidR="006830F7" w:rsidRPr="002F5A14">
        <w:t xml:space="preserve"> </w:t>
      </w:r>
      <w:r w:rsidRPr="002F5A14">
        <w:t xml:space="preserve">Krause, 2006). </w:t>
      </w:r>
      <w:r w:rsidR="004A6DD6">
        <w:t>The resources, capabilities</w:t>
      </w:r>
      <w:r w:rsidR="00F42042">
        <w:t>,</w:t>
      </w:r>
      <w:r w:rsidR="004A6DD6">
        <w:t xml:space="preserve"> and knowledge available to managers are not limited by the boundaries of the firm. </w:t>
      </w:r>
      <w:r w:rsidR="009234C1" w:rsidRPr="002F5A14">
        <w:rPr>
          <w:rFonts w:ascii="TimesNewRomanPSMT" w:hAnsi="TimesNewRomanPSMT" w:cs="TimesNewRomanPSMT"/>
        </w:rPr>
        <w:t xml:space="preserve">This study therefore extends an </w:t>
      </w:r>
      <w:r w:rsidR="00B83174">
        <w:rPr>
          <w:rFonts w:ascii="TimesNewRomanPSMT" w:hAnsi="TimesNewRomanPSMT" w:cs="TimesNewRomanPSMT"/>
        </w:rPr>
        <w:t>ongoing</w:t>
      </w:r>
      <w:r w:rsidR="009234C1" w:rsidRPr="002F5A14">
        <w:rPr>
          <w:rFonts w:ascii="TimesNewRomanPSMT" w:hAnsi="TimesNewRomanPSMT" w:cs="TimesNewRomanPSMT"/>
        </w:rPr>
        <w:t xml:space="preserve"> trend in supply chain management that conceives of firms as embedded in networks of relationships (</w:t>
      </w:r>
      <w:r w:rsidR="009234C1" w:rsidRPr="002F5A14">
        <w:t>Autry &amp; Griffith, 2008; Bellamy, Ghosh &amp; Hora, 2014; Carnovale &amp; Yeniyurt, 2015; Choi &amp; Krause, 2006; Kim, Chen &amp; Linderman, 2015; Kim</w:t>
      </w:r>
      <w:r w:rsidR="00836CF7">
        <w:t xml:space="preserve"> et al.</w:t>
      </w:r>
      <w:r w:rsidR="009234C1" w:rsidRPr="002F5A14">
        <w:t xml:space="preserve">, 2011; Modi &amp; Mishra, 2011; </w:t>
      </w:r>
      <w:r w:rsidR="009234C1" w:rsidRPr="002F5A14">
        <w:rPr>
          <w:rFonts w:ascii="TimesNewRomanPSMT" w:hAnsi="TimesNewRomanPSMT" w:cs="TimesNewRomanPSMT"/>
        </w:rPr>
        <w:t xml:space="preserve">Narasimhan &amp; Narayanan, 2013; Nair et al., 2016; Skilton, 2014; Wagner, 2012; </w:t>
      </w:r>
      <w:r w:rsidR="009234C1" w:rsidRPr="002F5A14">
        <w:t>Wichmann</w:t>
      </w:r>
      <w:r w:rsidR="00836CF7">
        <w:t xml:space="preserve"> et al.</w:t>
      </w:r>
      <w:r w:rsidR="009234C1" w:rsidRPr="002F5A14">
        <w:t>, 2016</w:t>
      </w:r>
      <w:r w:rsidR="009234C1" w:rsidRPr="002F5A14">
        <w:rPr>
          <w:rFonts w:ascii="TimesNewRomanPSMT" w:hAnsi="TimesNewRomanPSMT" w:cs="TimesNewRomanPSMT"/>
        </w:rPr>
        <w:t xml:space="preserve">). </w:t>
      </w:r>
    </w:p>
    <w:p w14:paraId="2C896652" w14:textId="3E2CEEBC" w:rsidR="00E0189A" w:rsidRDefault="009234C1" w:rsidP="00B6107F">
      <w:r w:rsidRPr="002F5A14">
        <w:rPr>
          <w:rFonts w:ascii="TimesNewRomanPSMT" w:hAnsi="TimesNewRomanPSMT" w:cs="TimesNewRomanPSMT"/>
        </w:rPr>
        <w:t xml:space="preserve">The ability of firms to acquire, assimilate and transform knowledge into different outcomes depends on </w:t>
      </w:r>
      <w:r w:rsidR="00E0189A">
        <w:rPr>
          <w:rFonts w:ascii="TimesNewRomanPSMT" w:hAnsi="TimesNewRomanPSMT" w:cs="TimesNewRomanPSMT"/>
        </w:rPr>
        <w:t>their</w:t>
      </w:r>
      <w:r w:rsidRPr="002F5A14">
        <w:rPr>
          <w:rFonts w:ascii="TimesNewRomanPSMT" w:hAnsi="TimesNewRomanPSMT" w:cs="TimesNewRomanPSMT"/>
        </w:rPr>
        <w:t xml:space="preserve"> embeddedness in cooperative and competitive relationships, and on capabilities</w:t>
      </w:r>
      <w:r w:rsidR="00E0189A">
        <w:rPr>
          <w:rFonts w:ascii="TimesNewRomanPSMT" w:hAnsi="TimesNewRomanPSMT" w:cs="TimesNewRomanPSMT"/>
        </w:rPr>
        <w:t xml:space="preserve"> for assimilating knowledge and putting it to work</w:t>
      </w:r>
      <w:r w:rsidRPr="002F5A14">
        <w:t xml:space="preserve">. Developing and controlling </w:t>
      </w:r>
      <w:r w:rsidR="002B296F">
        <w:t>positions and capabilities</w:t>
      </w:r>
      <w:r w:rsidRPr="002F5A14">
        <w:t xml:space="preserve"> is central to supply chain management theory and practice.</w:t>
      </w:r>
      <w:r w:rsidR="00E0189A">
        <w:t xml:space="preserve"> </w:t>
      </w:r>
      <w:r w:rsidR="00B6107F" w:rsidRPr="002F5A14">
        <w:t xml:space="preserve">Supply chain scholars </w:t>
      </w:r>
      <w:r w:rsidR="00E0189A">
        <w:t xml:space="preserve">and managers </w:t>
      </w:r>
      <w:r w:rsidR="00B6107F" w:rsidRPr="002F5A14">
        <w:t>should also be interested</w:t>
      </w:r>
      <w:r w:rsidR="003C77C0">
        <w:t>,</w:t>
      </w:r>
      <w:r w:rsidR="00B6107F" w:rsidRPr="002F5A14">
        <w:t xml:space="preserve"> because our comparison of cooperative and competitive embeddedness </w:t>
      </w:r>
      <w:r w:rsidR="00C449CF" w:rsidRPr="002F5A14">
        <w:t>challenges</w:t>
      </w:r>
      <w:r w:rsidR="00B6107F" w:rsidRPr="002F5A14">
        <w:t xml:space="preserve"> the accepted wisdom that </w:t>
      </w:r>
      <w:r w:rsidR="00B6107F" w:rsidRPr="001D5898">
        <w:t>cooperative</w:t>
      </w:r>
      <w:r w:rsidR="00B6107F" w:rsidRPr="002F5A14">
        <w:t xml:space="preserve"> partnerships are critical to</w:t>
      </w:r>
      <w:r w:rsidR="00C449CF" w:rsidRPr="002F5A14">
        <w:t xml:space="preserve"> absorptive capacity</w:t>
      </w:r>
      <w:r w:rsidR="00B6107F" w:rsidRPr="002F5A14">
        <w:t xml:space="preserve">. </w:t>
      </w:r>
      <w:r w:rsidR="00C449CF" w:rsidRPr="002F5A14">
        <w:t>Cooperative</w:t>
      </w:r>
      <w:r w:rsidR="00B6107F" w:rsidRPr="002F5A14">
        <w:t xml:space="preserve"> relationships are expensive and difficult to manage</w:t>
      </w:r>
      <w:r w:rsidR="00F42042">
        <w:t>,</w:t>
      </w:r>
      <w:r w:rsidR="00B6107F" w:rsidRPr="002F5A14">
        <w:t xml:space="preserve"> and there is growing evidence that they frequently do not produce the intended results (Fernald et al., 2017; Kale &amp; Singh, 2009). </w:t>
      </w:r>
      <w:r w:rsidR="00C449CF" w:rsidRPr="002F5A14">
        <w:t xml:space="preserve">Our results suggest that </w:t>
      </w:r>
      <w:r w:rsidR="004A6DD6">
        <w:t>there are diminishing returns to cooperative relationships</w:t>
      </w:r>
      <w:r w:rsidR="00B83174">
        <w:t xml:space="preserve"> even in radical innovation, where they are most critical</w:t>
      </w:r>
      <w:r w:rsidR="004A6DD6">
        <w:t xml:space="preserve">. </w:t>
      </w:r>
    </w:p>
    <w:p w14:paraId="330D4AB1" w14:textId="168DCEF4" w:rsidR="009234C1" w:rsidRDefault="009234C1" w:rsidP="00B6107F">
      <w:r>
        <w:lastRenderedPageBreak/>
        <w:t>This break with accepted wisdom can be partly explained</w:t>
      </w:r>
      <w:r w:rsidRPr="002F5A14">
        <w:t xml:space="preserve"> </w:t>
      </w:r>
      <w:r w:rsidR="00E0189A">
        <w:t>by the fact that</w:t>
      </w:r>
      <w:r w:rsidRPr="002F5A14">
        <w:t xml:space="preserve"> we consider a wider variety of outcomes</w:t>
      </w:r>
      <w:r w:rsidR="00E0189A">
        <w:t xml:space="preserve"> than normal</w:t>
      </w:r>
      <w:r>
        <w:t>.</w:t>
      </w:r>
      <w:r w:rsidRPr="002F5A14">
        <w:t xml:space="preserve"> For supply chain managers in </w:t>
      </w:r>
      <w:r w:rsidR="00E0189A">
        <w:t xml:space="preserve">the large numbers of </w:t>
      </w:r>
      <w:r w:rsidRPr="002F5A14">
        <w:t xml:space="preserve">firms where radical innovation is </w:t>
      </w:r>
      <w:r w:rsidRPr="002B296F">
        <w:t>not</w:t>
      </w:r>
      <w:r w:rsidRPr="002F5A14">
        <w:t xml:space="preserve"> the goal, </w:t>
      </w:r>
      <w:r>
        <w:t>conventional wisdom</w:t>
      </w:r>
      <w:r w:rsidRPr="002F5A14">
        <w:t xml:space="preserve"> about the value of cooperative alliances in product development may be </w:t>
      </w:r>
      <w:r>
        <w:t>misleading</w:t>
      </w:r>
      <w:r w:rsidRPr="002F5A14">
        <w:t>.</w:t>
      </w:r>
      <w:r>
        <w:t xml:space="preserve"> We found little evidence that differentiation, a moderate</w:t>
      </w:r>
      <w:r w:rsidR="00E0189A">
        <w:t>, more common</w:t>
      </w:r>
      <w:r>
        <w:t xml:space="preserve"> form of innovation, benefits from alliance network centrality.</w:t>
      </w:r>
      <w:r w:rsidRPr="002F5A14">
        <w:t xml:space="preserve"> Our </w:t>
      </w:r>
      <w:r>
        <w:t xml:space="preserve">unexpected </w:t>
      </w:r>
      <w:r w:rsidRPr="002F5A14">
        <w:t xml:space="preserve">finding that alliance network centrality </w:t>
      </w:r>
      <w:r>
        <w:t>has weak positive returns to</w:t>
      </w:r>
      <w:r w:rsidRPr="002F5A14">
        <w:t xml:space="preserve"> </w:t>
      </w:r>
      <w:r>
        <w:t>generic</w:t>
      </w:r>
      <w:r w:rsidRPr="002F5A14">
        <w:t xml:space="preserve"> product introductions </w:t>
      </w:r>
      <w:r>
        <w:t>calls</w:t>
      </w:r>
      <w:r w:rsidRPr="002F5A14">
        <w:t xml:space="preserve"> for </w:t>
      </w:r>
      <w:r>
        <w:t>additional research</w:t>
      </w:r>
      <w:r w:rsidRPr="002F5A14">
        <w:t xml:space="preserve">. </w:t>
      </w:r>
      <w:r>
        <w:t xml:space="preserve">It may well be that this result </w:t>
      </w:r>
      <w:r w:rsidR="00E0189A">
        <w:t>is driven by</w:t>
      </w:r>
      <w:r>
        <w:t xml:space="preserve"> centrality in network</w:t>
      </w:r>
      <w:r w:rsidR="00E0189A">
        <w:t>s</w:t>
      </w:r>
      <w:r>
        <w:t xml:space="preserve"> of functional partnerships for marketing and manufacturing rather than product development. </w:t>
      </w:r>
      <w:r w:rsidR="00E0189A">
        <w:t>F</w:t>
      </w:r>
      <w:r>
        <w:t xml:space="preserve">uture research should seek to explain how outcomes other than radical innovation </w:t>
      </w:r>
      <w:r w:rsidR="007048E1">
        <w:t>are supported by different kinds of</w:t>
      </w:r>
      <w:r>
        <w:t xml:space="preserve"> alliances and alliance network positions.</w:t>
      </w:r>
    </w:p>
    <w:p w14:paraId="41CE84D6" w14:textId="2E5C56A6" w:rsidR="00DB4C12" w:rsidRDefault="007048E1" w:rsidP="00B6107F">
      <w:r>
        <w:t xml:space="preserve">Our inclusion of competition as a form of embeddedness that influences strategic action also breaks with accepted </w:t>
      </w:r>
      <w:r w:rsidR="00E0189A">
        <w:t xml:space="preserve">supply chain management </w:t>
      </w:r>
      <w:r>
        <w:t>wisdom</w:t>
      </w:r>
      <w:r w:rsidR="003C77C0">
        <w:t>.</w:t>
      </w:r>
      <w:r w:rsidR="00257DC8">
        <w:t xml:space="preserve"> Borrowing from</w:t>
      </w:r>
      <w:r w:rsidR="00E0189A">
        <w:t xml:space="preserve"> the competitive dynamics literature (Chen, 1996)</w:t>
      </w:r>
      <w:r w:rsidR="00257DC8">
        <w:t>, o</w:t>
      </w:r>
      <w:r>
        <w:t>ur study suggests that c</w:t>
      </w:r>
      <w:r w:rsidR="00C305D3" w:rsidRPr="002F5A14">
        <w:t>ompetiti</w:t>
      </w:r>
      <w:r w:rsidR="00CF695C" w:rsidRPr="002F5A14">
        <w:t xml:space="preserve">ve exposure </w:t>
      </w:r>
      <w:r w:rsidR="00C305D3" w:rsidRPr="002F5A14">
        <w:t>provide</w:t>
      </w:r>
      <w:r>
        <w:t>s</w:t>
      </w:r>
      <w:r w:rsidR="00C305D3" w:rsidRPr="002F5A14">
        <w:t xml:space="preserve"> information about opportunities for all kinds of product </w:t>
      </w:r>
      <w:r w:rsidR="00CF695C" w:rsidRPr="002F5A14">
        <w:t>development</w:t>
      </w:r>
      <w:r w:rsidR="002B296F">
        <w:t>. Competitive exposure</w:t>
      </w:r>
      <w:r>
        <w:t xml:space="preserve"> thus plays </w:t>
      </w:r>
      <w:r w:rsidRPr="002F5A14">
        <w:t xml:space="preserve">a major role in absorptive capacity. </w:t>
      </w:r>
      <w:r w:rsidR="00DB4C12">
        <w:t xml:space="preserve">The idea that competitive exposure can help explain </w:t>
      </w:r>
      <w:r w:rsidR="0014125E">
        <w:t xml:space="preserve">product development choices expands the range of explanations </w:t>
      </w:r>
      <w:r w:rsidR="00E66805">
        <w:t>available to supply chain scholars for behavior in buyer-supplier relationships</w:t>
      </w:r>
      <w:r w:rsidR="0014125E">
        <w:t xml:space="preserve">. </w:t>
      </w:r>
      <w:r w:rsidR="00E7186F">
        <w:t>This view of absorptive capacity</w:t>
      </w:r>
      <w:r w:rsidR="0014125E">
        <w:t xml:space="preserve"> supplement</w:t>
      </w:r>
      <w:r>
        <w:t>s</w:t>
      </w:r>
      <w:r w:rsidR="0014125E">
        <w:t xml:space="preserve"> the relational </w:t>
      </w:r>
      <w:r>
        <w:t>school of</w:t>
      </w:r>
      <w:r w:rsidR="0014125E">
        <w:t xml:space="preserve"> supply chain relationship</w:t>
      </w:r>
      <w:r>
        <w:t xml:space="preserve"> management by pointing out that</w:t>
      </w:r>
      <w:r w:rsidR="0014125E">
        <w:t xml:space="preserve"> managers maintain relationships with partners </w:t>
      </w:r>
      <w:r>
        <w:t>while</w:t>
      </w:r>
      <w:r w:rsidR="0014125E">
        <w:t xml:space="preserve"> simultaneously </w:t>
      </w:r>
      <w:r>
        <w:t>responding to</w:t>
      </w:r>
      <w:r w:rsidR="0014125E">
        <w:t xml:space="preserve"> competitors. Does competitive exposure change how </w:t>
      </w:r>
      <w:r w:rsidR="00E7186F">
        <w:t xml:space="preserve">supply </w:t>
      </w:r>
      <w:r w:rsidR="0014125E">
        <w:t xml:space="preserve">relationships are managed? </w:t>
      </w:r>
      <w:r w:rsidR="00E7186F">
        <w:t>There are</w:t>
      </w:r>
      <w:r w:rsidR="0014125E">
        <w:t xml:space="preserve"> implications for transaction cost economics as well, where it would be interesting to ask how </w:t>
      </w:r>
      <w:r w:rsidR="00E7186F">
        <w:t>competition driven absorptive capacity</w:t>
      </w:r>
      <w:r w:rsidR="0014125E">
        <w:t xml:space="preserve"> alters the likelihood that </w:t>
      </w:r>
      <w:r w:rsidR="00E7186F">
        <w:t xml:space="preserve">supply chain </w:t>
      </w:r>
      <w:r w:rsidR="0014125E">
        <w:t xml:space="preserve">partners will behave opportunistically. </w:t>
      </w:r>
    </w:p>
    <w:p w14:paraId="67C8240E" w14:textId="5A362193" w:rsidR="00E66805" w:rsidRDefault="00671745" w:rsidP="00E66805">
      <w:r w:rsidRPr="002F5A14">
        <w:lastRenderedPageBreak/>
        <w:t xml:space="preserve">Our results also suggest new insights into which capabilities matter. </w:t>
      </w:r>
      <w:r w:rsidR="009B7CCE">
        <w:t>We found</w:t>
      </w:r>
      <w:r w:rsidRPr="002F5A14">
        <w:t xml:space="preserve"> </w:t>
      </w:r>
      <w:r w:rsidR="009D77B1" w:rsidRPr="002F5A14">
        <w:t xml:space="preserve">that </w:t>
      </w:r>
      <w:r w:rsidRPr="002F5A14">
        <w:t>R&amp;D capability matters</w:t>
      </w:r>
      <w:r w:rsidR="009B7CCE">
        <w:t xml:space="preserve"> for </w:t>
      </w:r>
      <w:r w:rsidR="00771193">
        <w:t xml:space="preserve">radical </w:t>
      </w:r>
      <w:r w:rsidR="009B7CCE">
        <w:t>innovation</w:t>
      </w:r>
      <w:r w:rsidR="0030245F">
        <w:t xml:space="preserve"> and differentiation</w:t>
      </w:r>
      <w:r w:rsidRPr="002F5A14">
        <w:t xml:space="preserve">, presumably because it facilitates the assimilation and transformation of new knowledge. </w:t>
      </w:r>
      <w:r w:rsidR="00DF28AA">
        <w:t xml:space="preserve">In our mixed models, experience based product development capabilities were </w:t>
      </w:r>
      <w:r w:rsidR="0030245F">
        <w:t xml:space="preserve">rendered not significant </w:t>
      </w:r>
      <w:r w:rsidR="00DF28AA">
        <w:t>by</w:t>
      </w:r>
      <w:r w:rsidR="0030245F">
        <w:t xml:space="preserve"> the inclusion of</w:t>
      </w:r>
      <w:r w:rsidR="00DF28AA">
        <w:t xml:space="preserve"> random firm level effects attributable to unobserved variables. A further</w:t>
      </w:r>
      <w:r w:rsidR="00E66805">
        <w:t xml:space="preserve"> discovery derived from our robustness tests </w:t>
      </w:r>
      <w:r w:rsidR="002B296F">
        <w:t>provides insight into</w:t>
      </w:r>
      <w:r w:rsidR="00E66805">
        <w:t xml:space="preserve"> </w:t>
      </w:r>
      <w:r w:rsidR="00DF28AA">
        <w:t>this result</w:t>
      </w:r>
      <w:r w:rsidR="00E66805">
        <w:t>. As shown in Table 4</w:t>
      </w:r>
      <w:r w:rsidR="003C77C0">
        <w:t>,</w:t>
      </w:r>
      <w:r w:rsidR="00E66805">
        <w:t xml:space="preserve"> we found that product development capabilities are significantly related to </w:t>
      </w:r>
      <w:r w:rsidR="00E0189A">
        <w:t>the</w:t>
      </w:r>
      <w:r w:rsidR="00E66805">
        <w:t xml:space="preserve"> outcome variables when the lag </w:t>
      </w:r>
      <w:r w:rsidR="00DF28AA">
        <w:t xml:space="preserve">in the mixed models </w:t>
      </w:r>
      <w:r w:rsidR="00E66805">
        <w:t xml:space="preserve">is reduced from three to one or two years. This suggests that experience based capabilities become obsolete fairly quickly. “What have you done lately?” may be a better question than asking about </w:t>
      </w:r>
      <w:r w:rsidR="00E0189A">
        <w:t>more distant</w:t>
      </w:r>
      <w:r w:rsidR="00E66805">
        <w:t xml:space="preserve"> experience. The reverse is true for our measure of R&amp;D capability, which is not significant with shorter lags. R&amp;D capability can take </w:t>
      </w:r>
      <w:r w:rsidR="00DF28AA">
        <w:t>a long time</w:t>
      </w:r>
      <w:r w:rsidR="00E66805">
        <w:t xml:space="preserve"> to convert </w:t>
      </w:r>
      <w:r w:rsidR="0030245F">
        <w:t xml:space="preserve">novel </w:t>
      </w:r>
      <w:r w:rsidR="00E66805">
        <w:t>ideas into product</w:t>
      </w:r>
      <w:r w:rsidR="0030245F">
        <w:t xml:space="preserve"> introductions</w:t>
      </w:r>
      <w:r w:rsidR="00E66805">
        <w:t xml:space="preserve"> (Cohen &amp; Levinthal, 1990). </w:t>
      </w:r>
      <w:r w:rsidR="00DF28AA">
        <w:t>These</w:t>
      </w:r>
      <w:r w:rsidR="00E66805">
        <w:t xml:space="preserve"> finding</w:t>
      </w:r>
      <w:r w:rsidR="00DF28AA">
        <w:t>s</w:t>
      </w:r>
      <w:r w:rsidR="00E66805">
        <w:t xml:space="preserve"> could be critical to managers choosing partners or investors profiling pharmaceutical firms</w:t>
      </w:r>
      <w:r w:rsidR="003C77C0">
        <w:t>,</w:t>
      </w:r>
      <w:r w:rsidR="00E66805">
        <w:t xml:space="preserve"> because it could help them assess the timing of future outcomes. </w:t>
      </w:r>
      <w:r w:rsidR="00257DC8">
        <w:t xml:space="preserve">The timing of </w:t>
      </w:r>
      <w:r w:rsidR="002B296F">
        <w:t xml:space="preserve">performance </w:t>
      </w:r>
      <w:r w:rsidR="00257DC8">
        <w:t xml:space="preserve">effects associated with different </w:t>
      </w:r>
      <w:r w:rsidR="0030245F">
        <w:t>capabilities</w:t>
      </w:r>
      <w:r w:rsidR="00E66805">
        <w:t xml:space="preserve"> may be a promising area for future research.</w:t>
      </w:r>
    </w:p>
    <w:p w14:paraId="129DBA94" w14:textId="08D16356" w:rsidR="0030245F" w:rsidRPr="002F5A14" w:rsidRDefault="0030245F" w:rsidP="0030245F">
      <w:r w:rsidRPr="002F5A14">
        <w:t xml:space="preserve">The </w:t>
      </w:r>
      <w:r>
        <w:t>most general</w:t>
      </w:r>
      <w:r w:rsidRPr="002F5A14">
        <w:t xml:space="preserve"> contribution of this study is that we found evidence of two</w:t>
      </w:r>
      <w:r w:rsidR="00F42042">
        <w:t>,</w:t>
      </w:r>
      <w:r w:rsidRPr="002F5A14">
        <w:t xml:space="preserve"> and perhaps three</w:t>
      </w:r>
      <w:r w:rsidR="00F42042">
        <w:t>,</w:t>
      </w:r>
      <w:r w:rsidRPr="002F5A14">
        <w:t xml:space="preserve"> configurations of absorptive capacity that support alternative product development strategies. This extends and generalizes absorptive capacity theory</w:t>
      </w:r>
      <w:r>
        <w:t xml:space="preserve"> to</w:t>
      </w:r>
      <w:r w:rsidRPr="002F5A14">
        <w:t xml:space="preserve"> settings</w:t>
      </w:r>
      <w:r>
        <w:t xml:space="preserve"> where radical innovation is not the goal</w:t>
      </w:r>
      <w:r w:rsidRPr="002F5A14">
        <w:t xml:space="preserve">. </w:t>
      </w:r>
      <w:r>
        <w:t>If absorptive capacity plays a role in the imitation of commodity products, then it may also play a role in other outcomes of buyer-supplier relationships, like sustainability or continuous improvement. It may be that strong commitments to outcomes like sustainability call for different configurations of absorptive capacity than weak ones. We anticipated that this study would</w:t>
      </w:r>
      <w:r w:rsidRPr="002F5A14">
        <w:t xml:space="preserve"> identify boundary conditions where competitive exposure is </w:t>
      </w:r>
      <w:r w:rsidRPr="002F5A14">
        <w:lastRenderedPageBreak/>
        <w:t>critical</w:t>
      </w:r>
      <w:r>
        <w:t>. Instead</w:t>
      </w:r>
      <w:r w:rsidR="003C77C0">
        <w:t>,</w:t>
      </w:r>
      <w:r>
        <w:t xml:space="preserve"> we find that competitive embeddedness plays a role in all three strategies</w:t>
      </w:r>
      <w:r w:rsidR="00F42042">
        <w:t>,</w:t>
      </w:r>
      <w:r>
        <w:t xml:space="preserve"> and that that there are boundaries outside of which cooperative embeddedness has limited effects. By expanding the conception of absorptive capacity to include new outcomes and competitive embeddedness</w:t>
      </w:r>
      <w:r w:rsidR="003C77C0">
        <w:t>,</w:t>
      </w:r>
      <w:r w:rsidRPr="002F5A14">
        <w:t xml:space="preserve"> we enable </w:t>
      </w:r>
      <w:r>
        <w:t xml:space="preserve">more encompassing </w:t>
      </w:r>
      <w:r w:rsidRPr="002F5A14">
        <w:t xml:space="preserve">studies of </w:t>
      </w:r>
      <w:r>
        <w:t xml:space="preserve">problems in </w:t>
      </w:r>
      <w:r w:rsidRPr="002F5A14">
        <w:t>product innovation</w:t>
      </w:r>
      <w:r>
        <w:t>,</w:t>
      </w:r>
      <w:r w:rsidRPr="002F5A14">
        <w:t xml:space="preserve"> </w:t>
      </w:r>
      <w:r>
        <w:t>alliance network composition, and supply chain structures</w:t>
      </w:r>
      <w:r w:rsidRPr="002F5A14">
        <w:t>.</w:t>
      </w:r>
    </w:p>
    <w:p w14:paraId="480B88BF" w14:textId="38523CFE" w:rsidR="0030245F" w:rsidRPr="002F5A14" w:rsidRDefault="0030245F" w:rsidP="0030245F">
      <w:r w:rsidRPr="002F5A14">
        <w:t>Although Table 3 suggests that radical product development and differentiation overlap everywhere except in reliance on alliance network positions, we could not definitively lump them together. Future research is required to determine if differentiated product development is a phenomenon distinct from more radical forms of product innovation.</w:t>
      </w:r>
      <w:r>
        <w:t xml:space="preserve"> It is worth noting that most firms execute more than one kind of strategy, which might help explain the results for experience based capabilities. Each firm’s unique blend of experience should shape its behavior, as our mixed model results suggested. Future research is called for to determine how much difference there is between supply networks for radical innovation and differentiation.</w:t>
      </w:r>
    </w:p>
    <w:p w14:paraId="56D482D7" w14:textId="46C1A94F" w:rsidR="007D6E50" w:rsidRDefault="00641F2F" w:rsidP="00E169F3">
      <w:r w:rsidRPr="002F5A14">
        <w:t xml:space="preserve">This study </w:t>
      </w:r>
      <w:r w:rsidR="00CE708D" w:rsidRPr="002F5A14">
        <w:t>makes a further contribution by introducing</w:t>
      </w:r>
      <w:r w:rsidRPr="002F5A14">
        <w:t xml:space="preserve"> </w:t>
      </w:r>
      <w:r w:rsidR="00CE708D" w:rsidRPr="002F5A14">
        <w:t>a</w:t>
      </w:r>
      <w:r w:rsidRPr="002F5A14">
        <w:t xml:space="preserve"> </w:t>
      </w:r>
      <w:r w:rsidR="006C1419" w:rsidRPr="002F5A14">
        <w:t>novel</w:t>
      </w:r>
      <w:r w:rsidRPr="002F5A14">
        <w:t xml:space="preserve"> treatment of </w:t>
      </w:r>
      <w:r w:rsidR="006C1419" w:rsidRPr="002F5A14">
        <w:t xml:space="preserve">position in </w:t>
      </w:r>
      <w:r w:rsidR="00635ABE" w:rsidRPr="002F5A14">
        <w:t>competition network</w:t>
      </w:r>
      <w:r w:rsidR="006C1419" w:rsidRPr="002F5A14">
        <w:t>s</w:t>
      </w:r>
      <w:r w:rsidRPr="002F5A14">
        <w:t xml:space="preserve">. Our </w:t>
      </w:r>
      <w:r w:rsidR="00C02731" w:rsidRPr="002F5A14">
        <w:t>c</w:t>
      </w:r>
      <w:r w:rsidR="00C971AA" w:rsidRPr="002F5A14">
        <w:t>ompetitive exposure</w:t>
      </w:r>
      <w:r w:rsidR="007A2FA3" w:rsidRPr="002F5A14">
        <w:t xml:space="preserve"> construct </w:t>
      </w:r>
      <w:r w:rsidR="00D31F64" w:rsidRPr="002F5A14">
        <w:t xml:space="preserve">helps us conceptualize and measure </w:t>
      </w:r>
      <w:r w:rsidR="008A7DD1" w:rsidRPr="002F5A14">
        <w:t>information-</w:t>
      </w:r>
      <w:r w:rsidR="00852F45" w:rsidRPr="002F5A14">
        <w:t>driven</w:t>
      </w:r>
      <w:r w:rsidR="008A7DD1" w:rsidRPr="002F5A14">
        <w:t xml:space="preserve"> </w:t>
      </w:r>
      <w:r w:rsidR="00D31F64" w:rsidRPr="002F5A14">
        <w:t>relationship</w:t>
      </w:r>
      <w:r w:rsidR="00852F45" w:rsidRPr="002F5A14">
        <w:t>s</w:t>
      </w:r>
      <w:r w:rsidR="00D31F64" w:rsidRPr="002F5A14">
        <w:t xml:space="preserve"> between</w:t>
      </w:r>
      <w:r w:rsidR="002B126A" w:rsidRPr="002F5A14">
        <w:t xml:space="preserve"> </w:t>
      </w:r>
      <w:r w:rsidR="00D31F64" w:rsidRPr="002F5A14">
        <w:t xml:space="preserve">competition network position and </w:t>
      </w:r>
      <w:r w:rsidR="00B17603" w:rsidRPr="002F5A14">
        <w:t>the number and kind of products introduced</w:t>
      </w:r>
      <w:r w:rsidR="00E169F3" w:rsidRPr="002F5A14">
        <w:t xml:space="preserve">. </w:t>
      </w:r>
      <w:r w:rsidRPr="002F5A14">
        <w:t>The</w:t>
      </w:r>
      <w:r w:rsidR="00E169F3" w:rsidRPr="002F5A14">
        <w:t xml:space="preserve"> construct </w:t>
      </w:r>
      <w:r w:rsidR="00B43A72" w:rsidRPr="002F5A14">
        <w:t>describes</w:t>
      </w:r>
      <w:r w:rsidR="00E169F3" w:rsidRPr="002F5A14">
        <w:t xml:space="preserve"> </w:t>
      </w:r>
      <w:r w:rsidR="00B43A72" w:rsidRPr="002F5A14">
        <w:t xml:space="preserve">the </w:t>
      </w:r>
      <w:r w:rsidR="00E169F3" w:rsidRPr="002F5A14">
        <w:t xml:space="preserve">array of </w:t>
      </w:r>
      <w:r w:rsidR="005D3FC9" w:rsidRPr="002F5A14">
        <w:t>product development</w:t>
      </w:r>
      <w:r w:rsidR="00D31F64" w:rsidRPr="002F5A14">
        <w:t xml:space="preserve"> </w:t>
      </w:r>
      <w:r w:rsidR="00E169F3" w:rsidRPr="002F5A14">
        <w:t xml:space="preserve">opportunities </w:t>
      </w:r>
      <w:r w:rsidR="00C11DBF">
        <w:t>that</w:t>
      </w:r>
      <w:r w:rsidR="009D77B1" w:rsidRPr="002F5A14">
        <w:t xml:space="preserve"> </w:t>
      </w:r>
      <w:r w:rsidR="00E169F3" w:rsidRPr="002F5A14">
        <w:t xml:space="preserve">competition directs </w:t>
      </w:r>
      <w:r w:rsidR="00786166" w:rsidRPr="002F5A14">
        <w:t>supplier</w:t>
      </w:r>
      <w:r w:rsidR="00E169F3" w:rsidRPr="002F5A14">
        <w:t>s’ attention</w:t>
      </w:r>
      <w:r w:rsidR="00C11DBF">
        <w:t xml:space="preserve"> toward</w:t>
      </w:r>
      <w:r w:rsidR="00E169F3" w:rsidRPr="002F5A14">
        <w:t xml:space="preserve">. </w:t>
      </w:r>
      <w:r w:rsidR="009D77B1" w:rsidRPr="002F5A14">
        <w:t xml:space="preserve">The construct </w:t>
      </w:r>
      <w:r w:rsidR="00EC6D98" w:rsidRPr="002F5A14">
        <w:t xml:space="preserve">is </w:t>
      </w:r>
      <w:r w:rsidR="00D24CE5" w:rsidRPr="002F5A14">
        <w:t xml:space="preserve">both an extension of bipartite degree and </w:t>
      </w:r>
      <w:r w:rsidR="00EC6D98" w:rsidRPr="002F5A14">
        <w:t>an alternative measure of competitor diversity</w:t>
      </w:r>
      <w:r w:rsidR="003C77C0">
        <w:t>,</w:t>
      </w:r>
      <w:r w:rsidR="00EC6D98" w:rsidRPr="002F5A14">
        <w:t xml:space="preserve"> </w:t>
      </w:r>
      <w:r w:rsidR="00873229" w:rsidRPr="002F5A14">
        <w:t>because</w:t>
      </w:r>
      <w:r w:rsidR="00EC6D98" w:rsidRPr="002F5A14">
        <w:t xml:space="preserve"> it </w:t>
      </w:r>
      <w:r w:rsidR="005129D9" w:rsidRPr="002F5A14">
        <w:t>incorporates</w:t>
      </w:r>
      <w:r w:rsidR="00EC6D98" w:rsidRPr="002F5A14">
        <w:t xml:space="preserve"> the asymmetry of market portfolios between </w:t>
      </w:r>
      <w:r w:rsidR="00CE708D" w:rsidRPr="002F5A14">
        <w:t>firms</w:t>
      </w:r>
      <w:r w:rsidR="00EC6D98" w:rsidRPr="002F5A14">
        <w:t xml:space="preserve"> and </w:t>
      </w:r>
      <w:r w:rsidR="00CE708D" w:rsidRPr="002F5A14">
        <w:t>their</w:t>
      </w:r>
      <w:r w:rsidR="00EC6D98" w:rsidRPr="002F5A14">
        <w:t xml:space="preserve"> competitors. </w:t>
      </w:r>
    </w:p>
    <w:p w14:paraId="09C315AF" w14:textId="4C3B3947" w:rsidR="00692458" w:rsidRDefault="004B55D2" w:rsidP="0029201B">
      <w:r>
        <w:t>O</w:t>
      </w:r>
      <w:r w:rsidR="00D24CE5" w:rsidRPr="002F5A14">
        <w:t>ur use of GLM</w:t>
      </w:r>
      <w:r w:rsidR="00C14E36" w:rsidRPr="002F5A14">
        <w:t>M</w:t>
      </w:r>
      <w:r w:rsidR="00D24CE5" w:rsidRPr="002F5A14">
        <w:t xml:space="preserve"> </w:t>
      </w:r>
      <w:r w:rsidR="00A471EC">
        <w:t xml:space="preserve">negative binomial </w:t>
      </w:r>
      <w:r w:rsidR="00D24CE5" w:rsidRPr="002F5A14">
        <w:t xml:space="preserve">models that incorporate zero inflation </w:t>
      </w:r>
      <w:r w:rsidR="001D5898">
        <w:t xml:space="preserve">where necessary </w:t>
      </w:r>
      <w:r w:rsidR="00D24CE5" w:rsidRPr="002F5A14">
        <w:t>points toward a future in which it will become easier to develop and test more complex explanations for supply chain phenomena</w:t>
      </w:r>
      <w:r w:rsidR="00AB2F50" w:rsidRPr="002F5A14">
        <w:t xml:space="preserve">. </w:t>
      </w:r>
      <w:r w:rsidR="008F1704" w:rsidRPr="002F5A14">
        <w:t xml:space="preserve">While we are not the first to use </w:t>
      </w:r>
      <w:r w:rsidR="00C14E36" w:rsidRPr="002F5A14">
        <w:t>GLMM</w:t>
      </w:r>
      <w:r w:rsidR="008F1704" w:rsidRPr="002F5A14">
        <w:t xml:space="preserve"> models in </w:t>
      </w:r>
      <w:r w:rsidR="008F1704" w:rsidRPr="002F5A14">
        <w:lastRenderedPageBreak/>
        <w:t>supply chain management research (</w:t>
      </w:r>
      <w:r w:rsidR="00B04192">
        <w:t xml:space="preserve">e.g., </w:t>
      </w:r>
      <w:r w:rsidR="00C14E36" w:rsidRPr="002F5A14">
        <w:t xml:space="preserve">Modi &amp; Mishra, 2011; </w:t>
      </w:r>
      <w:r w:rsidR="008F1704" w:rsidRPr="002F5A14">
        <w:t>Wichmann</w:t>
      </w:r>
      <w:r w:rsidR="00836CF7">
        <w:t xml:space="preserve"> et al.</w:t>
      </w:r>
      <w:r w:rsidR="008F1704" w:rsidRPr="002F5A14">
        <w:t xml:space="preserve">, 2016), </w:t>
      </w:r>
      <w:r w:rsidR="00C305D3" w:rsidRPr="002F5A14">
        <w:t>the method help</w:t>
      </w:r>
      <w:r w:rsidR="00A471EC">
        <w:t>ed</w:t>
      </w:r>
      <w:r w:rsidR="00C305D3" w:rsidRPr="002F5A14">
        <w:t xml:space="preserve"> us</w:t>
      </w:r>
      <w:r w:rsidR="00C14E36" w:rsidRPr="002F5A14">
        <w:t xml:space="preserve"> make </w:t>
      </w:r>
      <w:r w:rsidR="00BC3C09">
        <w:t xml:space="preserve">novel </w:t>
      </w:r>
      <w:r w:rsidR="00C14E36" w:rsidRPr="002F5A14">
        <w:t>comparison</w:t>
      </w:r>
      <w:r w:rsidR="00712057" w:rsidRPr="002F5A14">
        <w:t>s</w:t>
      </w:r>
      <w:r w:rsidR="00C14E36" w:rsidRPr="002F5A14">
        <w:t xml:space="preserve"> </w:t>
      </w:r>
      <w:r w:rsidR="000F2F26" w:rsidRPr="002F5A14">
        <w:t>between</w:t>
      </w:r>
      <w:r w:rsidR="00C14E36" w:rsidRPr="002F5A14">
        <w:t xml:space="preserve"> </w:t>
      </w:r>
      <w:r w:rsidR="00712057" w:rsidRPr="002F5A14">
        <w:t>outcomes and</w:t>
      </w:r>
      <w:r w:rsidR="00C14E36" w:rsidRPr="002F5A14">
        <w:t xml:space="preserve"> models. </w:t>
      </w:r>
      <w:r w:rsidR="00AB2F50" w:rsidRPr="002F5A14">
        <w:t>Being able to compare mixed models to their fixed effect</w:t>
      </w:r>
      <w:r w:rsidR="00A049BE" w:rsidRPr="002F5A14">
        <w:t xml:space="preserve"> model</w:t>
      </w:r>
      <w:r w:rsidR="00AB2F50" w:rsidRPr="002F5A14">
        <w:t xml:space="preserve"> counterparts</w:t>
      </w:r>
      <w:r w:rsidR="003C77C0">
        <w:t>,</w:t>
      </w:r>
      <w:r w:rsidR="00AB2F50" w:rsidRPr="002F5A14">
        <w:t xml:space="preserve"> while simultaneously comparing related outcomes</w:t>
      </w:r>
      <w:r w:rsidR="003C77C0">
        <w:t>,</w:t>
      </w:r>
      <w:r w:rsidR="00AB2F50" w:rsidRPr="002F5A14">
        <w:t xml:space="preserve"> has helped us to </w:t>
      </w:r>
      <w:r w:rsidR="009D77B1" w:rsidRPr="002F5A14">
        <w:t xml:space="preserve">develop </w:t>
      </w:r>
      <w:r w:rsidR="00AB2F50" w:rsidRPr="002F5A14">
        <w:t xml:space="preserve">a richer understanding of </w:t>
      </w:r>
      <w:r w:rsidR="00712057" w:rsidRPr="002F5A14">
        <w:t>the absorptive capacity</w:t>
      </w:r>
      <w:r w:rsidR="00AB2F50" w:rsidRPr="002F5A14">
        <w:t xml:space="preserve"> phenomenon.</w:t>
      </w:r>
      <w:r w:rsidR="00D24CE5" w:rsidRPr="002F5A14">
        <w:t xml:space="preserve"> </w:t>
      </w:r>
    </w:p>
    <w:p w14:paraId="2D164655" w14:textId="3CBF70BC" w:rsidR="00AA1234" w:rsidRPr="002F5A14" w:rsidRDefault="003C77C0" w:rsidP="00692458">
      <w:r>
        <w:t xml:space="preserve">As any research, our study has limitations, which may </w:t>
      </w:r>
      <w:r w:rsidR="00037568">
        <w:t xml:space="preserve">also </w:t>
      </w:r>
      <w:r>
        <w:t xml:space="preserve">constitute </w:t>
      </w:r>
      <w:r w:rsidR="006546AF">
        <w:t>opportunities for future inquiry</w:t>
      </w:r>
      <w:r w:rsidR="001B41DC" w:rsidRPr="002F5A14">
        <w:t xml:space="preserve">. </w:t>
      </w:r>
      <w:r w:rsidR="003067A0" w:rsidRPr="002F5A14">
        <w:t xml:space="preserve">We chose to </w:t>
      </w:r>
      <w:r w:rsidR="003253E2" w:rsidRPr="002F5A14">
        <w:t>analyze</w:t>
      </w:r>
      <w:r w:rsidR="003067A0" w:rsidRPr="002F5A14">
        <w:t xml:space="preserve"> archival data instead of surveying </w:t>
      </w:r>
      <w:r w:rsidR="00AB2F50" w:rsidRPr="002F5A14">
        <w:t>firms</w:t>
      </w:r>
      <w:r w:rsidR="003067A0" w:rsidRPr="002F5A14">
        <w:t xml:space="preserve">. </w:t>
      </w:r>
      <w:r w:rsidR="0099786B" w:rsidRPr="002F5A14">
        <w:t>This</w:t>
      </w:r>
      <w:r w:rsidR="003067A0" w:rsidRPr="002F5A14">
        <w:t xml:space="preserve"> provides us with a </w:t>
      </w:r>
      <w:r w:rsidR="00DC00D2" w:rsidRPr="002F5A14">
        <w:t xml:space="preserve">valid, </w:t>
      </w:r>
      <w:r w:rsidR="005733EA" w:rsidRPr="002F5A14">
        <w:t>replicable</w:t>
      </w:r>
      <w:r w:rsidR="000E70A2" w:rsidRPr="002F5A14">
        <w:t xml:space="preserve"> set of measures</w:t>
      </w:r>
      <w:r w:rsidR="003067A0" w:rsidRPr="002F5A14">
        <w:t xml:space="preserve"> and allows us to study whole networks. </w:t>
      </w:r>
      <w:r w:rsidR="00744D29" w:rsidRPr="002F5A14">
        <w:t xml:space="preserve">Faced with the choice between studying </w:t>
      </w:r>
      <w:r w:rsidR="001564F0" w:rsidRPr="002F5A14">
        <w:t>non-financial outcomes</w:t>
      </w:r>
      <w:r w:rsidR="009F5696" w:rsidRPr="002F5A14">
        <w:t xml:space="preserve"> in a whole industry or </w:t>
      </w:r>
      <w:r w:rsidR="00CA3950" w:rsidRPr="002F5A14">
        <w:t xml:space="preserve">the </w:t>
      </w:r>
      <w:r w:rsidR="009F5696" w:rsidRPr="002F5A14">
        <w:t xml:space="preserve">financial </w:t>
      </w:r>
      <w:r w:rsidR="00744D29" w:rsidRPr="002F5A14">
        <w:t xml:space="preserve">performance </w:t>
      </w:r>
      <w:r w:rsidR="00CA3950" w:rsidRPr="002F5A14">
        <w:t xml:space="preserve">of publicly owned </w:t>
      </w:r>
      <w:r w:rsidR="00AB2F50" w:rsidRPr="002F5A14">
        <w:t>firms</w:t>
      </w:r>
      <w:r w:rsidR="009D77B1" w:rsidRPr="002F5A14">
        <w:t>,</w:t>
      </w:r>
      <w:r w:rsidR="00CA3950" w:rsidRPr="002F5A14">
        <w:t xml:space="preserve"> </w:t>
      </w:r>
      <w:r w:rsidR="00744D29" w:rsidRPr="002F5A14">
        <w:t>we chose to study the whole industry</w:t>
      </w:r>
      <w:r w:rsidR="00C81EA4" w:rsidRPr="002F5A14">
        <w:t xml:space="preserve"> and not </w:t>
      </w:r>
      <w:r w:rsidR="009D77B1" w:rsidRPr="002F5A14">
        <w:t xml:space="preserve">to </w:t>
      </w:r>
      <w:r w:rsidR="00C81EA4" w:rsidRPr="002F5A14">
        <w:t>consider financial performance</w:t>
      </w:r>
      <w:r w:rsidR="00744D29" w:rsidRPr="002F5A14">
        <w:t xml:space="preserve">. </w:t>
      </w:r>
      <w:r w:rsidR="001172FA" w:rsidRPr="002F5A14">
        <w:t xml:space="preserve">This </w:t>
      </w:r>
      <w:r w:rsidR="00712057" w:rsidRPr="002F5A14">
        <w:t xml:space="preserve">choice </w:t>
      </w:r>
      <w:r w:rsidR="00AB2F50" w:rsidRPr="002F5A14">
        <w:t>prevents us from measuring</w:t>
      </w:r>
      <w:r w:rsidR="001172FA" w:rsidRPr="002F5A14">
        <w:t xml:space="preserve"> R&amp;D spending</w:t>
      </w:r>
      <w:r w:rsidR="00712057" w:rsidRPr="002F5A14">
        <w:t>, since a large part of our data consists of privately held firms</w:t>
      </w:r>
      <w:r w:rsidR="001172FA" w:rsidRPr="002F5A14">
        <w:t xml:space="preserve">. </w:t>
      </w:r>
      <w:r w:rsidR="000900A7" w:rsidRPr="002F5A14">
        <w:t>Along with</w:t>
      </w:r>
      <w:r w:rsidR="003E6ADC" w:rsidRPr="002F5A14">
        <w:t xml:space="preserve"> our decision not </w:t>
      </w:r>
      <w:r w:rsidR="009D77B1" w:rsidRPr="002F5A14">
        <w:t xml:space="preserve">to </w:t>
      </w:r>
      <w:r w:rsidR="003E6ADC" w:rsidRPr="002F5A14">
        <w:t xml:space="preserve">limit our data to North American </w:t>
      </w:r>
      <w:r w:rsidR="00AB2F50" w:rsidRPr="002F5A14">
        <w:t>firms</w:t>
      </w:r>
      <w:r w:rsidR="000900A7" w:rsidRPr="002F5A14">
        <w:t>, these choices</w:t>
      </w:r>
      <w:r w:rsidR="003E6ADC" w:rsidRPr="002F5A14">
        <w:t xml:space="preserve"> </w:t>
      </w:r>
      <w:r w:rsidR="00AB2F50" w:rsidRPr="002F5A14">
        <w:t xml:space="preserve">avoid a number of sources of bias and </w:t>
      </w:r>
      <w:r w:rsidR="003E6ADC" w:rsidRPr="002F5A14">
        <w:t xml:space="preserve">give us a much richer take on the </w:t>
      </w:r>
      <w:r w:rsidR="00ED0352" w:rsidRPr="002F5A14">
        <w:t xml:space="preserve">range of </w:t>
      </w:r>
      <w:r w:rsidR="003E6ADC" w:rsidRPr="002F5A14">
        <w:t xml:space="preserve">players </w:t>
      </w:r>
      <w:r w:rsidR="002F1D84" w:rsidRPr="002F5A14">
        <w:t xml:space="preserve">that </w:t>
      </w:r>
      <w:r w:rsidR="005D3FC9" w:rsidRPr="002F5A14">
        <w:t>introduce new products in</w:t>
      </w:r>
      <w:r w:rsidR="0058065C">
        <w:t xml:space="preserve"> U.S. </w:t>
      </w:r>
      <w:r w:rsidR="003253E2" w:rsidRPr="002F5A14">
        <w:t>pharmaceuticals</w:t>
      </w:r>
      <w:r w:rsidR="006C1419" w:rsidRPr="002F5A14">
        <w:t xml:space="preserve"> markets</w:t>
      </w:r>
      <w:r w:rsidR="003253E2" w:rsidRPr="002F5A14">
        <w:t xml:space="preserve">. </w:t>
      </w:r>
    </w:p>
    <w:p w14:paraId="320E511E" w14:textId="4E210059" w:rsidR="00304272" w:rsidRDefault="00AB2F50" w:rsidP="00201205">
      <w:r w:rsidRPr="00F0786B">
        <w:t>Readers who are familiar with the supply chain management literature will have noticed</w:t>
      </w:r>
      <w:r w:rsidR="00304272" w:rsidRPr="00F0786B">
        <w:t xml:space="preserve"> that </w:t>
      </w:r>
      <w:r w:rsidR="00D63049" w:rsidRPr="00F0786B">
        <w:t>this study</w:t>
      </w:r>
      <w:r w:rsidR="00304272" w:rsidRPr="00F0786B">
        <w:t xml:space="preserve"> is not buyer</w:t>
      </w:r>
      <w:r w:rsidR="00F0786B">
        <w:t xml:space="preserve"> or supplier</w:t>
      </w:r>
      <w:r w:rsidR="00304272" w:rsidRPr="00F0786B">
        <w:t xml:space="preserve"> centered. </w:t>
      </w:r>
      <w:r w:rsidR="00F0786B" w:rsidRPr="00F0786B">
        <w:t xml:space="preserve">Our rationale is that we firmly believe </w:t>
      </w:r>
      <w:r w:rsidR="00A471EC">
        <w:t>that</w:t>
      </w:r>
      <w:r w:rsidR="00F0786B" w:rsidRPr="00F0786B">
        <w:t xml:space="preserve"> researchers and practitioners </w:t>
      </w:r>
      <w:r w:rsidR="00A471EC">
        <w:t>should</w:t>
      </w:r>
      <w:r w:rsidR="00F0786B" w:rsidRPr="00F0786B">
        <w:t xml:space="preserve"> </w:t>
      </w:r>
      <w:r w:rsidR="00A471EC">
        <w:t>work with</w:t>
      </w:r>
      <w:r w:rsidR="00F0786B">
        <w:t xml:space="preserve"> </w:t>
      </w:r>
      <w:r w:rsidR="00F0786B" w:rsidRPr="00F0786B">
        <w:t xml:space="preserve">knowledge originating outside of current buyer-supplier relationships. </w:t>
      </w:r>
      <w:r w:rsidR="00201205" w:rsidRPr="00F0786B">
        <w:t>Only by looking beyond current buyer-supplier relationships can the field develop a more complete understanding of how cooperative and competitive embeddedness shape the potential for supply chain transformation.</w:t>
      </w:r>
    </w:p>
    <w:p w14:paraId="622A90B7" w14:textId="217282C2" w:rsidR="00E7186F" w:rsidRPr="002F5A14" w:rsidRDefault="00F0786B" w:rsidP="00201205">
      <w:r>
        <w:t xml:space="preserve">The regulatory system </w:t>
      </w:r>
      <w:r w:rsidR="00DD4B13">
        <w:t xml:space="preserve">in </w:t>
      </w:r>
      <w:r w:rsidR="00E7186F">
        <w:t xml:space="preserve">the pharmaceutical industry </w:t>
      </w:r>
      <w:r w:rsidR="00DD4B13">
        <w:t>creates contexts for the three product development strategies we study</w:t>
      </w:r>
      <w:r w:rsidR="00A471EC">
        <w:t>. This</w:t>
      </w:r>
      <w:r w:rsidR="00DD4B13">
        <w:t xml:space="preserve"> raises the possibility t</w:t>
      </w:r>
      <w:r w:rsidR="00E7186F">
        <w:t xml:space="preserve">hat our results are artifacts of the regulatory </w:t>
      </w:r>
      <w:r w:rsidR="00DD4B13">
        <w:t>regime</w:t>
      </w:r>
      <w:r w:rsidR="00E7186F">
        <w:t xml:space="preserve">. </w:t>
      </w:r>
      <w:r w:rsidR="00DD4B13">
        <w:t>In response</w:t>
      </w:r>
      <w:r w:rsidR="00037568">
        <w:t xml:space="preserve"> we note </w:t>
      </w:r>
      <w:r w:rsidR="00286663">
        <w:t>that innovation</w:t>
      </w:r>
      <w:r w:rsidR="00DD4B13">
        <w:t>, differentiation, and imitation</w:t>
      </w:r>
      <w:r w:rsidR="00286663">
        <w:t xml:space="preserve"> </w:t>
      </w:r>
      <w:r w:rsidR="00DD4B13">
        <w:t>are</w:t>
      </w:r>
      <w:r w:rsidR="00286663">
        <w:t xml:space="preserve"> </w:t>
      </w:r>
      <w:r w:rsidR="00286663">
        <w:lastRenderedPageBreak/>
        <w:t>alive and well</w:t>
      </w:r>
      <w:r w:rsidR="00C11DBF">
        <w:t xml:space="preserve"> in industries </w:t>
      </w:r>
      <w:r w:rsidR="00C11DBF" w:rsidRPr="00286663">
        <w:t xml:space="preserve">where </w:t>
      </w:r>
      <w:r w:rsidR="00DD4B13">
        <w:t>regulation does not structure the market</w:t>
      </w:r>
      <w:r w:rsidR="00286663">
        <w:t xml:space="preserve">. </w:t>
      </w:r>
      <w:r w:rsidR="00C11DBF">
        <w:t>Markets</w:t>
      </w:r>
      <w:r w:rsidR="00286663">
        <w:t xml:space="preserve"> </w:t>
      </w:r>
      <w:r w:rsidR="00C11DBF">
        <w:t>for</w:t>
      </w:r>
      <w:r w:rsidR="00286663">
        <w:t xml:space="preserve"> </w:t>
      </w:r>
      <w:r w:rsidR="00C11DBF">
        <w:t>innovative products</w:t>
      </w:r>
      <w:r w:rsidR="00286663">
        <w:t xml:space="preserve"> have seen</w:t>
      </w:r>
      <w:r w:rsidR="00286663" w:rsidRPr="00286663">
        <w:t xml:space="preserve"> “Red Queen” races</w:t>
      </w:r>
      <w:r w:rsidR="00286663">
        <w:t xml:space="preserve"> (Barnett &amp; Pontikes, 2008)</w:t>
      </w:r>
      <w:r w:rsidR="00286663" w:rsidRPr="00286663">
        <w:t xml:space="preserve"> where </w:t>
      </w:r>
      <w:r w:rsidR="00286663">
        <w:t xml:space="preserve">innovative </w:t>
      </w:r>
      <w:r w:rsidR="00286663" w:rsidRPr="00286663">
        <w:t xml:space="preserve">product development </w:t>
      </w:r>
      <w:r w:rsidR="00286663">
        <w:t>has accelerated</w:t>
      </w:r>
      <w:r w:rsidR="00286663" w:rsidRPr="00286663">
        <w:t xml:space="preserve"> to keep ahead of</w:t>
      </w:r>
      <w:r w:rsidR="00DD4B13">
        <w:t xml:space="preserve"> differentiation and</w:t>
      </w:r>
      <w:r w:rsidR="00286663" w:rsidRPr="00286663">
        <w:t xml:space="preserve"> imitation</w:t>
      </w:r>
      <w:r w:rsidR="00286663">
        <w:t xml:space="preserve">. </w:t>
      </w:r>
      <w:r w:rsidR="00A471EC">
        <w:t>Formerly</w:t>
      </w:r>
      <w:r w:rsidR="00DD4B13">
        <w:t xml:space="preserve"> innovative</w:t>
      </w:r>
      <w:r w:rsidR="00C11DBF">
        <w:t xml:space="preserve"> markets</w:t>
      </w:r>
      <w:r w:rsidR="00286663">
        <w:t xml:space="preserve"> have also seen the development of </w:t>
      </w:r>
      <w:r w:rsidR="00286663" w:rsidRPr="00286663">
        <w:t xml:space="preserve">oligopoly </w:t>
      </w:r>
      <w:r w:rsidR="00286663">
        <w:t>and the onset of</w:t>
      </w:r>
      <w:r w:rsidR="00286663" w:rsidRPr="00286663">
        <w:t xml:space="preserve"> mutual forbearance </w:t>
      </w:r>
      <w:r w:rsidR="00286663">
        <w:t xml:space="preserve">(Baum &amp; Korn, 1999; Chen, 1996; Gimeno, 2004) </w:t>
      </w:r>
      <w:r w:rsidR="00C11DBF">
        <w:t xml:space="preserve">that suppresses </w:t>
      </w:r>
      <w:r w:rsidR="00DD4B13">
        <w:t>innovation</w:t>
      </w:r>
      <w:r w:rsidR="00286663">
        <w:t xml:space="preserve">. Both outcomes reflect the importance of competitive exposure and </w:t>
      </w:r>
      <w:r w:rsidR="00257DC8">
        <w:t>create</w:t>
      </w:r>
      <w:r w:rsidR="00286663">
        <w:t xml:space="preserve"> opportunities to study the </w:t>
      </w:r>
      <w:r w:rsidR="0062115C">
        <w:t>dynamics of</w:t>
      </w:r>
      <w:r w:rsidR="00286663">
        <w:t xml:space="preserve"> innovation and competition within and between supply chains. </w:t>
      </w:r>
    </w:p>
    <w:p w14:paraId="0B946D5D" w14:textId="7AE837A6" w:rsidR="003067A0" w:rsidRPr="002F5A14" w:rsidRDefault="00E7186F" w:rsidP="00692458">
      <w:r>
        <w:t>O</w:t>
      </w:r>
      <w:r w:rsidR="00AA1234" w:rsidRPr="002F5A14">
        <w:t>ur theory and r</w:t>
      </w:r>
      <w:r w:rsidR="003253E2" w:rsidRPr="002F5A14">
        <w:t xml:space="preserve">esults suggest </w:t>
      </w:r>
      <w:r w:rsidR="001B41DC" w:rsidRPr="002F5A14">
        <w:t xml:space="preserve">that managers need to embrace a </w:t>
      </w:r>
      <w:r w:rsidR="005D3FC9" w:rsidRPr="002F5A14">
        <w:t>cautious</w:t>
      </w:r>
      <w:r w:rsidR="001B41DC" w:rsidRPr="002F5A14">
        <w:t xml:space="preserve"> view of which </w:t>
      </w:r>
      <w:r w:rsidR="001E25D9" w:rsidRPr="002F5A14">
        <w:t xml:space="preserve">cooperative </w:t>
      </w:r>
      <w:r w:rsidR="001B41DC" w:rsidRPr="002F5A14">
        <w:t xml:space="preserve">relationships matter, how </w:t>
      </w:r>
      <w:r w:rsidR="005D3FC9" w:rsidRPr="002F5A14">
        <w:t>to manage them</w:t>
      </w:r>
      <w:r w:rsidR="00F42042">
        <w:t>,</w:t>
      </w:r>
      <w:r w:rsidR="001B41DC" w:rsidRPr="002F5A14">
        <w:t xml:space="preserve"> and why their </w:t>
      </w:r>
      <w:r w:rsidR="005D3FC9" w:rsidRPr="002F5A14">
        <w:t>partners</w:t>
      </w:r>
      <w:r w:rsidR="001B41DC" w:rsidRPr="002F5A14">
        <w:t xml:space="preserve"> </w:t>
      </w:r>
      <w:r w:rsidR="001E25D9" w:rsidRPr="002F5A14">
        <w:t>enter</w:t>
      </w:r>
      <w:r w:rsidR="001B41DC" w:rsidRPr="002F5A14">
        <w:t xml:space="preserve"> them. </w:t>
      </w:r>
      <w:r w:rsidR="007C1B1E" w:rsidRPr="002F5A14">
        <w:t>For all but radical product strategies, i</w:t>
      </w:r>
      <w:r w:rsidR="00593BF0" w:rsidRPr="002F5A14">
        <w:t xml:space="preserve">t </w:t>
      </w:r>
      <w:r w:rsidR="007C1B1E" w:rsidRPr="002F5A14">
        <w:t>appears</w:t>
      </w:r>
      <w:r w:rsidR="00593BF0" w:rsidRPr="002F5A14">
        <w:t xml:space="preserve"> that competitive positions matter as much or more </w:t>
      </w:r>
      <w:r w:rsidR="00581FCA" w:rsidRPr="002F5A14">
        <w:t>than alliances</w:t>
      </w:r>
      <w:r w:rsidR="00593BF0" w:rsidRPr="002F5A14">
        <w:t>.</w:t>
      </w:r>
      <w:r w:rsidR="00087694">
        <w:t xml:space="preserve"> Supply managers and executives should be conscious of all of the elements of absorptive capacity: cooperative access to knowledge, opportunities revealed by competitors, long term innovation capabilities</w:t>
      </w:r>
      <w:r w:rsidR="00F42042">
        <w:t>,</w:t>
      </w:r>
      <w:r w:rsidR="00087694">
        <w:t xml:space="preserve"> and firm specific operational capabilities derived from recent experience. Absorptive capacity is not a one-size-fits-all phenomenon nor is it a phenomenon that should only concern firms </w:t>
      </w:r>
      <w:r w:rsidR="001F57C3">
        <w:t>trying to create new markets with radically new products. Even the most mundane imitator can benefit from structuring themselves for absorptive capacity.</w:t>
      </w:r>
      <w:r w:rsidR="001B41DC" w:rsidRPr="002F5A14">
        <w:br w:type="page"/>
      </w:r>
    </w:p>
    <w:p w14:paraId="5E8EB0C0" w14:textId="6F618767" w:rsidR="001B41DC" w:rsidRPr="002F5A14" w:rsidRDefault="001B41DC" w:rsidP="001B41DC">
      <w:pPr>
        <w:pStyle w:val="Heading1"/>
      </w:pPr>
      <w:r w:rsidRPr="002F5A14">
        <w:lastRenderedPageBreak/>
        <w:t>References</w:t>
      </w:r>
    </w:p>
    <w:p w14:paraId="2D2E0A0D" w14:textId="5A482C04" w:rsidR="002E33E0" w:rsidRPr="002F5A14" w:rsidRDefault="002E33E0" w:rsidP="00B163B9">
      <w:pPr>
        <w:pStyle w:val="Reference"/>
      </w:pPr>
      <w:r w:rsidRPr="002F5A14">
        <w:t xml:space="preserve">Abernathy, W.J. and Utterback, J.M. </w:t>
      </w:r>
      <w:r w:rsidR="00033813">
        <w:t>(</w:t>
      </w:r>
      <w:r w:rsidRPr="002F5A14">
        <w:t>1978</w:t>
      </w:r>
      <w:r w:rsidR="00033813">
        <w:t>)</w:t>
      </w:r>
      <w:r w:rsidRPr="002F5A14">
        <w:t>. Patterns of industrial innovation. </w:t>
      </w:r>
      <w:r w:rsidRPr="002F5A14">
        <w:rPr>
          <w:i/>
          <w:iCs/>
        </w:rPr>
        <w:t>Technology Review</w:t>
      </w:r>
      <w:r w:rsidRPr="002F5A14">
        <w:t>, </w:t>
      </w:r>
      <w:r w:rsidRPr="002F5A14">
        <w:rPr>
          <w:iCs/>
        </w:rPr>
        <w:t>80</w:t>
      </w:r>
      <w:r w:rsidRPr="002F5A14">
        <w:t xml:space="preserve">(7), 40-47. </w:t>
      </w:r>
    </w:p>
    <w:p w14:paraId="5A44681E" w14:textId="77777777" w:rsidR="002E33E0" w:rsidRDefault="002E33E0" w:rsidP="00B163B9">
      <w:pPr>
        <w:pStyle w:val="Reference"/>
      </w:pPr>
      <w:r w:rsidRPr="008535EB">
        <w:t>Acur, N., Kandemir, D., De Weerd‐Nederhof, P. C., &amp; Song, M. (2010). Exploring the impact of technological competence development on speed and NPD program performance. </w:t>
      </w:r>
      <w:r w:rsidRPr="008535EB">
        <w:rPr>
          <w:i/>
          <w:iCs/>
        </w:rPr>
        <w:t>Journal of product innovation management</w:t>
      </w:r>
      <w:r w:rsidRPr="008535EB">
        <w:t>, </w:t>
      </w:r>
      <w:r w:rsidRPr="008535EB">
        <w:rPr>
          <w:i/>
          <w:iCs/>
        </w:rPr>
        <w:t>27</w:t>
      </w:r>
      <w:r w:rsidRPr="008535EB">
        <w:t>(6), 915-929.</w:t>
      </w:r>
    </w:p>
    <w:p w14:paraId="0D5B271C" w14:textId="1DCD77FC" w:rsidR="002E33E0" w:rsidRDefault="002E33E0" w:rsidP="000A3545">
      <w:pPr>
        <w:pStyle w:val="Reference"/>
      </w:pPr>
      <w:r>
        <w:t xml:space="preserve">Aitken, M., Kleinrock, M., Simorellis, A. and Nass, D. </w:t>
      </w:r>
      <w:r w:rsidR="00033813">
        <w:t>(</w:t>
      </w:r>
      <w:r>
        <w:t>2019</w:t>
      </w:r>
      <w:r w:rsidR="00033813">
        <w:t>)</w:t>
      </w:r>
      <w:r>
        <w:t xml:space="preserve">. The global use of medicine in 2019 and outlook to 2023. </w:t>
      </w:r>
      <w:hyperlink r:id="rId11" w:history="1">
        <w:r w:rsidRPr="003F6B3E">
          <w:rPr>
            <w:rStyle w:val="Hyperlink"/>
          </w:rPr>
          <w:t>https://www.drugdiscoverytrends.com/risk-of-failure-pushes-first-in-class-innovations-as-key-strategy-for-pharma-companies/</w:t>
        </w:r>
      </w:hyperlink>
      <w:r>
        <w:t xml:space="preserve"> Accessed October 25, 2019.</w:t>
      </w:r>
    </w:p>
    <w:p w14:paraId="7CF81956" w14:textId="278857AA" w:rsidR="002E33E0" w:rsidRPr="002F5A14" w:rsidRDefault="002E33E0" w:rsidP="000A3545">
      <w:pPr>
        <w:pStyle w:val="Reference"/>
      </w:pPr>
      <w:r w:rsidRPr="002F5A14">
        <w:t xml:space="preserve">Alexandre, N.M., Humphrey, P.T., Gloss, A.D., Lee, J., Frazier, J., Affeldt III, H.A. and Whiteman, N.K. </w:t>
      </w:r>
      <w:r w:rsidR="00033813">
        <w:t>(</w:t>
      </w:r>
      <w:r w:rsidRPr="002F5A14">
        <w:t>2018</w:t>
      </w:r>
      <w:r w:rsidR="00033813">
        <w:t>)</w:t>
      </w:r>
      <w:r w:rsidRPr="002F5A14">
        <w:t>. Habitat preference of an herbivore shapes the habitat distribution of its host plant. </w:t>
      </w:r>
      <w:r w:rsidRPr="002F5A14">
        <w:rPr>
          <w:i/>
          <w:iCs/>
        </w:rPr>
        <w:t>Ecosphere</w:t>
      </w:r>
      <w:r w:rsidRPr="002F5A14">
        <w:t>, </w:t>
      </w:r>
      <w:r w:rsidRPr="002F5A14">
        <w:rPr>
          <w:i/>
          <w:iCs/>
        </w:rPr>
        <w:t>9</w:t>
      </w:r>
      <w:r w:rsidRPr="002F5A14">
        <w:t>(9),</w:t>
      </w:r>
      <w:r w:rsidR="00033813">
        <w:t xml:space="preserve"> 1-10.</w:t>
      </w:r>
      <w:r w:rsidRPr="002F5A14">
        <w:t xml:space="preserve"> </w:t>
      </w:r>
    </w:p>
    <w:p w14:paraId="54F0F2F9" w14:textId="3497CE9A" w:rsidR="002E33E0" w:rsidRPr="002F5A14" w:rsidRDefault="002E33E0" w:rsidP="00FD12F8">
      <w:pPr>
        <w:pStyle w:val="Reference"/>
      </w:pPr>
      <w:r w:rsidRPr="002F5A14">
        <w:t xml:space="preserve">Autry, C.W., and Griffith, S.E. </w:t>
      </w:r>
      <w:r w:rsidR="00033813">
        <w:t>(</w:t>
      </w:r>
      <w:r w:rsidRPr="002F5A14">
        <w:t>2008</w:t>
      </w:r>
      <w:r w:rsidR="00033813">
        <w:t>)</w:t>
      </w:r>
      <w:r w:rsidRPr="002F5A14">
        <w:t xml:space="preserve">. Supply chain capital: the impact of structural and relational linkages on firm execution and innovation. </w:t>
      </w:r>
      <w:r w:rsidRPr="002F5A14">
        <w:rPr>
          <w:i/>
        </w:rPr>
        <w:t>Journal of Business Logistics</w:t>
      </w:r>
      <w:r w:rsidR="00033813">
        <w:t>,</w:t>
      </w:r>
      <w:r w:rsidRPr="002F5A14">
        <w:t xml:space="preserve"> 29</w:t>
      </w:r>
      <w:r w:rsidR="00033813">
        <w:t xml:space="preserve">, </w:t>
      </w:r>
      <w:r w:rsidRPr="002F5A14">
        <w:t>157-173.</w:t>
      </w:r>
    </w:p>
    <w:p w14:paraId="3AA628AD" w14:textId="5DFA38B0" w:rsidR="002E33E0" w:rsidRDefault="002E33E0" w:rsidP="004864B0">
      <w:pPr>
        <w:pStyle w:val="Reference"/>
      </w:pPr>
      <w:r w:rsidRPr="00257DC8">
        <w:t xml:space="preserve">Barnett, W.P. and Pontikes, E.G. </w:t>
      </w:r>
      <w:r w:rsidR="00033813">
        <w:t>(</w:t>
      </w:r>
      <w:r w:rsidRPr="00257DC8">
        <w:t>2008</w:t>
      </w:r>
      <w:r w:rsidR="00033813">
        <w:t>)</w:t>
      </w:r>
      <w:r w:rsidRPr="00257DC8">
        <w:t>. The Red Queen, success bias, and organizational inertia. </w:t>
      </w:r>
      <w:r w:rsidRPr="00257DC8">
        <w:rPr>
          <w:i/>
          <w:iCs/>
        </w:rPr>
        <w:t>Management Science</w:t>
      </w:r>
      <w:r w:rsidRPr="00257DC8">
        <w:t>, </w:t>
      </w:r>
      <w:r w:rsidRPr="00257DC8">
        <w:rPr>
          <w:i/>
          <w:iCs/>
        </w:rPr>
        <w:t>54</w:t>
      </w:r>
      <w:r w:rsidRPr="00257DC8">
        <w:t>(7), 1237-1251.</w:t>
      </w:r>
    </w:p>
    <w:p w14:paraId="1373561C" w14:textId="1AB66E0D" w:rsidR="002E33E0" w:rsidRPr="002F5A14" w:rsidRDefault="002E33E0" w:rsidP="004864B0">
      <w:pPr>
        <w:pStyle w:val="Reference"/>
      </w:pPr>
      <w:r w:rsidRPr="002F5A14">
        <w:t xml:space="preserve">Barney, J.B., </w:t>
      </w:r>
      <w:r w:rsidR="00033813">
        <w:t>(</w:t>
      </w:r>
      <w:r w:rsidRPr="002F5A14">
        <w:t>2012</w:t>
      </w:r>
      <w:r w:rsidR="00033813">
        <w:t>)</w:t>
      </w:r>
      <w:r w:rsidRPr="002F5A14">
        <w:t>. Purchasing, supply chain management and sustained competitive advantage: The relevance of resource‐based theory. </w:t>
      </w:r>
      <w:r w:rsidRPr="002F5A14">
        <w:rPr>
          <w:i/>
          <w:iCs/>
        </w:rPr>
        <w:t>Journal of Supply Chain Management</w:t>
      </w:r>
      <w:r w:rsidRPr="002F5A14">
        <w:t>, </w:t>
      </w:r>
      <w:r w:rsidRPr="002F5A14">
        <w:rPr>
          <w:iCs/>
        </w:rPr>
        <w:t>48</w:t>
      </w:r>
      <w:r w:rsidRPr="002F5A14">
        <w:t>(2),</w:t>
      </w:r>
      <w:r w:rsidR="00033813">
        <w:t xml:space="preserve"> </w:t>
      </w:r>
      <w:r w:rsidRPr="002F5A14">
        <w:t>3-6.</w:t>
      </w:r>
    </w:p>
    <w:p w14:paraId="4ABB1ACE" w14:textId="63A89B99" w:rsidR="002E33E0" w:rsidRDefault="002E33E0" w:rsidP="00B163B9">
      <w:pPr>
        <w:pStyle w:val="Reference"/>
      </w:pPr>
      <w:r w:rsidRPr="002F5A14">
        <w:t xml:space="preserve">Baum, J.A.C. and Korn, H.J. </w:t>
      </w:r>
      <w:r w:rsidR="00033813">
        <w:t>(</w:t>
      </w:r>
      <w:r w:rsidRPr="002F5A14">
        <w:t>1999</w:t>
      </w:r>
      <w:r w:rsidR="00033813">
        <w:t>)</w:t>
      </w:r>
      <w:r w:rsidRPr="002F5A14">
        <w:t xml:space="preserve">. Dynamics of dyadic competitive interaction. </w:t>
      </w:r>
      <w:r w:rsidRPr="002F5A14">
        <w:rPr>
          <w:i/>
        </w:rPr>
        <w:t>Strategic</w:t>
      </w:r>
      <w:r w:rsidRPr="002F5A14">
        <w:t xml:space="preserve"> </w:t>
      </w:r>
      <w:r w:rsidRPr="002F5A14">
        <w:rPr>
          <w:i/>
        </w:rPr>
        <w:t>Management Journal</w:t>
      </w:r>
      <w:r w:rsidR="00033813">
        <w:t>,</w:t>
      </w:r>
      <w:r w:rsidRPr="002F5A14">
        <w:t xml:space="preserve"> 20: 251-278.</w:t>
      </w:r>
    </w:p>
    <w:p w14:paraId="0700383E" w14:textId="276288CB" w:rsidR="002E33E0" w:rsidRPr="002F5A14" w:rsidRDefault="002E33E0" w:rsidP="00FD12F8">
      <w:pPr>
        <w:pStyle w:val="Reference"/>
      </w:pPr>
      <w:r w:rsidRPr="002F5A14">
        <w:t xml:space="preserve">Bellamy, M.A., Ghosh, S., and Hora, M. </w:t>
      </w:r>
      <w:r w:rsidR="00033813">
        <w:t>(</w:t>
      </w:r>
      <w:r w:rsidRPr="002F5A14">
        <w:t>2014</w:t>
      </w:r>
      <w:r w:rsidR="00033813">
        <w:t>)</w:t>
      </w:r>
      <w:r w:rsidRPr="002F5A14">
        <w:t xml:space="preserve">. The influence of supply network structure on firm innovation. </w:t>
      </w:r>
      <w:r w:rsidRPr="002F5A14">
        <w:rPr>
          <w:i/>
        </w:rPr>
        <w:t>Journal of Operations Management</w:t>
      </w:r>
      <w:r w:rsidR="00033813">
        <w:t>,</w:t>
      </w:r>
      <w:r w:rsidRPr="002F5A14">
        <w:t xml:space="preserve"> 32</w:t>
      </w:r>
      <w:r w:rsidR="00033813">
        <w:t>,</w:t>
      </w:r>
      <w:r w:rsidRPr="002F5A14">
        <w:t xml:space="preserve"> 357-373.</w:t>
      </w:r>
    </w:p>
    <w:p w14:paraId="2E7A491D" w14:textId="06AD9E63" w:rsidR="002E33E0" w:rsidRPr="002F5A14" w:rsidRDefault="002E33E0" w:rsidP="00863396">
      <w:pPr>
        <w:pStyle w:val="Reference"/>
      </w:pPr>
      <w:r>
        <w:t>Bernardes, E.S. (2010), “The effect of supply chain management on aspects of social capital and the impact on performance: a social network perspective”</w:t>
      </w:r>
      <w:r w:rsidR="00033813">
        <w:t>.</w:t>
      </w:r>
      <w:r>
        <w:t xml:space="preserve"> </w:t>
      </w:r>
      <w:r w:rsidRPr="00B54EC5">
        <w:rPr>
          <w:i/>
        </w:rPr>
        <w:t>Journal of Supply Chain Management</w:t>
      </w:r>
      <w:r>
        <w:t>, 42</w:t>
      </w:r>
      <w:r w:rsidR="00033813">
        <w:t>,</w:t>
      </w:r>
      <w:r>
        <w:t xml:space="preserve"> 45-56.</w:t>
      </w:r>
    </w:p>
    <w:p w14:paraId="2453A5EB" w14:textId="6B32B909" w:rsidR="002E33E0" w:rsidRDefault="002E33E0" w:rsidP="004864B0">
      <w:pPr>
        <w:pStyle w:val="Reference"/>
      </w:pPr>
      <w:r w:rsidRPr="008535EB">
        <w:t>Bhuiyan, N. (2011). A framework for successful new product development. </w:t>
      </w:r>
      <w:r w:rsidRPr="008535EB">
        <w:rPr>
          <w:i/>
          <w:iCs/>
        </w:rPr>
        <w:t>Journal of Industrial Engineering and Management</w:t>
      </w:r>
      <w:r w:rsidRPr="008535EB">
        <w:t>, </w:t>
      </w:r>
      <w:r w:rsidRPr="008535EB">
        <w:rPr>
          <w:i/>
          <w:iCs/>
        </w:rPr>
        <w:t>4</w:t>
      </w:r>
      <w:r w:rsidRPr="008535EB">
        <w:t>(4), 746-770.</w:t>
      </w:r>
    </w:p>
    <w:p w14:paraId="3810EDAE" w14:textId="580CB7FD" w:rsidR="002E33E0" w:rsidRPr="002F5A14" w:rsidRDefault="002E33E0" w:rsidP="004864B0">
      <w:pPr>
        <w:pStyle w:val="Reference"/>
      </w:pPr>
      <w:r w:rsidRPr="002F5A14">
        <w:t>Blome, C., Schoenherr, T., and Rexhausen, D.</w:t>
      </w:r>
      <w:r w:rsidR="00033813">
        <w:t xml:space="preserve"> (</w:t>
      </w:r>
      <w:r w:rsidRPr="002F5A14">
        <w:t>2013</w:t>
      </w:r>
      <w:r w:rsidR="00033813">
        <w:t>)</w:t>
      </w:r>
      <w:r w:rsidRPr="002F5A14">
        <w:t>. Antecedents and enablers of supply chain agility and its effect on performance: a dynamic capabilities perspective. </w:t>
      </w:r>
      <w:r w:rsidRPr="002F5A14">
        <w:rPr>
          <w:i/>
          <w:iCs/>
        </w:rPr>
        <w:t>International Journal of Production Research</w:t>
      </w:r>
      <w:r w:rsidRPr="002F5A14">
        <w:t>, </w:t>
      </w:r>
      <w:r w:rsidRPr="002F5A14">
        <w:rPr>
          <w:iCs/>
        </w:rPr>
        <w:t>51</w:t>
      </w:r>
      <w:r w:rsidRPr="002F5A14">
        <w:t>(4), 1295-1318.</w:t>
      </w:r>
    </w:p>
    <w:p w14:paraId="7C7B06B9" w14:textId="306D944F" w:rsidR="002E33E0" w:rsidRPr="002F5A14" w:rsidRDefault="002E33E0" w:rsidP="00B163B9">
      <w:pPr>
        <w:pStyle w:val="Reference"/>
      </w:pPr>
      <w:r w:rsidRPr="002F5A14">
        <w:t xml:space="preserve">Bolker, B., </w:t>
      </w:r>
      <w:r w:rsidR="00033813">
        <w:t>(</w:t>
      </w:r>
      <w:r w:rsidRPr="002F5A14">
        <w:t>2016</w:t>
      </w:r>
      <w:r w:rsidR="00033813">
        <w:t>)</w:t>
      </w:r>
      <w:r w:rsidRPr="002F5A14">
        <w:t xml:space="preserve">. Getting started with the glmmTMB package. </w:t>
      </w:r>
      <w:hyperlink r:id="rId12" w:history="1">
        <w:r w:rsidRPr="002F5A14">
          <w:rPr>
            <w:rStyle w:val="Hyperlink"/>
          </w:rPr>
          <w:t>https://rdrr.io/cran/glmmTMB/f/inst/doc/glmmTMB.pdf</w:t>
        </w:r>
      </w:hyperlink>
      <w:r w:rsidRPr="002F5A14">
        <w:t>, Accessed March 25, 2019.</w:t>
      </w:r>
    </w:p>
    <w:p w14:paraId="16BDD13C" w14:textId="16B3DA1E" w:rsidR="002E33E0" w:rsidRPr="002F5A14" w:rsidRDefault="002E33E0" w:rsidP="00B163B9">
      <w:pPr>
        <w:pStyle w:val="Reference"/>
      </w:pPr>
      <w:r w:rsidRPr="002F5A14">
        <w:t>Bonacich P.</w:t>
      </w:r>
      <w:r w:rsidR="00033813">
        <w:t xml:space="preserve"> (</w:t>
      </w:r>
      <w:r w:rsidRPr="002F5A14">
        <w:t>1987</w:t>
      </w:r>
      <w:r w:rsidR="00033813">
        <w:t>)</w:t>
      </w:r>
      <w:r w:rsidRPr="002F5A14">
        <w:t>. Power and centrality: a family of measures. </w:t>
      </w:r>
      <w:r w:rsidRPr="002F5A14">
        <w:rPr>
          <w:i/>
          <w:iCs/>
        </w:rPr>
        <w:t>American Journal of Sociology</w:t>
      </w:r>
      <w:r w:rsidR="00033813">
        <w:rPr>
          <w:iCs/>
        </w:rPr>
        <w:t>,</w:t>
      </w:r>
      <w:r w:rsidRPr="002F5A14">
        <w:rPr>
          <w:i/>
          <w:iCs/>
        </w:rPr>
        <w:t xml:space="preserve"> </w:t>
      </w:r>
      <w:r w:rsidRPr="002F5A14">
        <w:rPr>
          <w:iCs/>
        </w:rPr>
        <w:t>92</w:t>
      </w:r>
      <w:r w:rsidR="00033813">
        <w:rPr>
          <w:iCs/>
        </w:rPr>
        <w:t>(</w:t>
      </w:r>
      <w:r w:rsidRPr="002F5A14">
        <w:rPr>
          <w:iCs/>
        </w:rPr>
        <w:t>5</w:t>
      </w:r>
      <w:r w:rsidR="00033813">
        <w:rPr>
          <w:iCs/>
        </w:rPr>
        <w:t>)</w:t>
      </w:r>
      <w:r w:rsidRPr="002F5A14">
        <w:rPr>
          <w:iCs/>
        </w:rPr>
        <w:t>, 1</w:t>
      </w:r>
      <w:r w:rsidRPr="002F5A14">
        <w:t>170-1182.</w:t>
      </w:r>
    </w:p>
    <w:p w14:paraId="0B109F2D" w14:textId="4FEE04ED" w:rsidR="002E33E0" w:rsidRPr="002F5A14" w:rsidRDefault="002E33E0" w:rsidP="00A02A54">
      <w:pPr>
        <w:pStyle w:val="Reference"/>
      </w:pPr>
      <w:r w:rsidRPr="002F5A14">
        <w:t xml:space="preserve">Borgatti, S.P. and Foster, P.C., </w:t>
      </w:r>
      <w:r w:rsidR="00033813">
        <w:t>(</w:t>
      </w:r>
      <w:r w:rsidRPr="002F5A14">
        <w:t>2003</w:t>
      </w:r>
      <w:r w:rsidR="00033813">
        <w:t>)</w:t>
      </w:r>
      <w:r w:rsidRPr="002F5A14">
        <w:t xml:space="preserve">. The Network Paradigm in Organizational Research: A Review and Typology, </w:t>
      </w:r>
      <w:r w:rsidRPr="002F5A14">
        <w:rPr>
          <w:i/>
        </w:rPr>
        <w:t>Journal of Management</w:t>
      </w:r>
      <w:r w:rsidRPr="002F5A14">
        <w:t>, 29(6)</w:t>
      </w:r>
      <w:r w:rsidR="00033813">
        <w:t>,</w:t>
      </w:r>
      <w:r w:rsidRPr="002F5A14">
        <w:t xml:space="preserve"> 991–1013.</w:t>
      </w:r>
    </w:p>
    <w:p w14:paraId="17B7338D" w14:textId="42BFDC94" w:rsidR="002E33E0" w:rsidRPr="002F5A14" w:rsidRDefault="002E33E0" w:rsidP="00B163B9">
      <w:pPr>
        <w:pStyle w:val="Reference"/>
      </w:pPr>
      <w:r w:rsidRPr="002F5A14">
        <w:t xml:space="preserve">Borgatti, S.P. and Halgin, D.S. </w:t>
      </w:r>
      <w:r w:rsidR="00033813">
        <w:t>(</w:t>
      </w:r>
      <w:r w:rsidRPr="002F5A14">
        <w:t>2011</w:t>
      </w:r>
      <w:r w:rsidR="00033813">
        <w:t>)</w:t>
      </w:r>
      <w:r w:rsidRPr="002F5A14">
        <w:t xml:space="preserve">. Analyzing affiliation networks. </w:t>
      </w:r>
      <w:r w:rsidRPr="002F5A14">
        <w:rPr>
          <w:i/>
        </w:rPr>
        <w:t>The Sage Handbook of Social Network Analysis,</w:t>
      </w:r>
      <w:r w:rsidRPr="002F5A14">
        <w:t xml:space="preserve"> 417-433. </w:t>
      </w:r>
    </w:p>
    <w:p w14:paraId="6A417685" w14:textId="557DDF13" w:rsidR="002E33E0" w:rsidRDefault="002E33E0" w:rsidP="00B163B9">
      <w:pPr>
        <w:pStyle w:val="Reference"/>
      </w:pPr>
      <w:r w:rsidRPr="00111AE2">
        <w:t>Borgatti, S.P., Brass, D.J.</w:t>
      </w:r>
      <w:r>
        <w:t>,</w:t>
      </w:r>
      <w:r w:rsidRPr="00111AE2">
        <w:t xml:space="preserve"> and Halgin, D.S.</w:t>
      </w:r>
      <w:r w:rsidR="00033813">
        <w:t xml:space="preserve"> (</w:t>
      </w:r>
      <w:r w:rsidRPr="00111AE2">
        <w:t>2014</w:t>
      </w:r>
      <w:r w:rsidR="00033813">
        <w:t>)</w:t>
      </w:r>
      <w:r w:rsidRPr="00111AE2">
        <w:t>. Social network research: Confusions, criticisms, and controversies. In </w:t>
      </w:r>
      <w:r w:rsidRPr="00111AE2">
        <w:rPr>
          <w:i/>
          <w:iCs/>
        </w:rPr>
        <w:t>Contemporary perspectives on organizational social networks</w:t>
      </w:r>
      <w:r w:rsidRPr="00111AE2">
        <w:t xml:space="preserve"> (pp. 1-29). Emerald Group Publishing Limited. </w:t>
      </w:r>
    </w:p>
    <w:p w14:paraId="6C6CC566" w14:textId="58E3B66A" w:rsidR="002E33E0" w:rsidRPr="002F5A14" w:rsidRDefault="002E33E0" w:rsidP="00B163B9">
      <w:pPr>
        <w:pStyle w:val="Reference"/>
      </w:pPr>
      <w:r w:rsidRPr="002F5A14">
        <w:lastRenderedPageBreak/>
        <w:t xml:space="preserve">Borgatti, S.P., Everett, M.G., Johnson, J.C. </w:t>
      </w:r>
      <w:r w:rsidR="00033813">
        <w:t>(</w:t>
      </w:r>
      <w:r w:rsidRPr="002F5A14">
        <w:t>2013</w:t>
      </w:r>
      <w:r w:rsidR="00033813">
        <w:t>)</w:t>
      </w:r>
      <w:r w:rsidRPr="002F5A14">
        <w:t xml:space="preserve">. </w:t>
      </w:r>
      <w:r w:rsidRPr="002F5A14">
        <w:rPr>
          <w:i/>
        </w:rPr>
        <w:t>Analyzing Social Networks.</w:t>
      </w:r>
      <w:r w:rsidRPr="002F5A14">
        <w:t xml:space="preserve"> Sage: London.</w:t>
      </w:r>
    </w:p>
    <w:p w14:paraId="23DDC847" w14:textId="77777777" w:rsidR="002E33E0" w:rsidRDefault="002E33E0" w:rsidP="004864B0">
      <w:pPr>
        <w:pStyle w:val="Reference"/>
      </w:pPr>
      <w:r w:rsidRPr="001F196E">
        <w:t>Bowen, H. K., Clark, K. B., Holloway, C. A., &amp; Wheelwright, S. C. (1994). Development projects: The engine of renewal. </w:t>
      </w:r>
      <w:r w:rsidRPr="001F196E">
        <w:rPr>
          <w:i/>
          <w:iCs/>
        </w:rPr>
        <w:t>Harvard Business Review</w:t>
      </w:r>
      <w:r w:rsidRPr="001F196E">
        <w:t>, </w:t>
      </w:r>
      <w:r w:rsidRPr="001F196E">
        <w:rPr>
          <w:i/>
          <w:iCs/>
        </w:rPr>
        <w:t>72</w:t>
      </w:r>
      <w:r w:rsidRPr="001F196E">
        <w:t>(5), 110-120.</w:t>
      </w:r>
    </w:p>
    <w:p w14:paraId="0E5906C4" w14:textId="77777777" w:rsidR="002E33E0" w:rsidRDefault="002E33E0" w:rsidP="004864B0">
      <w:pPr>
        <w:pStyle w:val="Reference"/>
      </w:pPr>
      <w:r w:rsidRPr="001F196E">
        <w:t>Brown, S. L., &amp; Eisenhardt, K. M. (1995). Product development: Past research, present findings, and future directions. </w:t>
      </w:r>
      <w:r w:rsidRPr="001F196E">
        <w:rPr>
          <w:i/>
          <w:iCs/>
        </w:rPr>
        <w:t>Academy of management review</w:t>
      </w:r>
      <w:r w:rsidRPr="001F196E">
        <w:t>, </w:t>
      </w:r>
      <w:r w:rsidRPr="001F196E">
        <w:rPr>
          <w:i/>
          <w:iCs/>
        </w:rPr>
        <w:t>20</w:t>
      </w:r>
      <w:r w:rsidRPr="001F196E">
        <w:t>(2), 343-378.</w:t>
      </w:r>
    </w:p>
    <w:p w14:paraId="08653ECF" w14:textId="6D073E11" w:rsidR="002E33E0" w:rsidRPr="002F5A14" w:rsidRDefault="002E33E0" w:rsidP="004864B0">
      <w:pPr>
        <w:pStyle w:val="Reference"/>
      </w:pPr>
      <w:r w:rsidRPr="002F5A14">
        <w:t>Calantone, R.J., Cavusgil, S.T. and Zhao, Y.</w:t>
      </w:r>
      <w:r w:rsidR="00033813">
        <w:t xml:space="preserve"> (</w:t>
      </w:r>
      <w:r w:rsidRPr="002F5A14">
        <w:t>2002</w:t>
      </w:r>
      <w:r w:rsidR="00033813">
        <w:t>)</w:t>
      </w:r>
      <w:r w:rsidRPr="002F5A14">
        <w:t>. Learning orientation, firm innovation capability, and firm performance. </w:t>
      </w:r>
      <w:r w:rsidRPr="002F5A14">
        <w:rPr>
          <w:i/>
          <w:iCs/>
        </w:rPr>
        <w:t>Industrial Marketing Management</w:t>
      </w:r>
      <w:r w:rsidRPr="002F5A14">
        <w:t>, </w:t>
      </w:r>
      <w:r w:rsidRPr="002F5A14">
        <w:rPr>
          <w:iCs/>
        </w:rPr>
        <w:t>31</w:t>
      </w:r>
      <w:r w:rsidRPr="002F5A14">
        <w:t>(6), 515-524.</w:t>
      </w:r>
    </w:p>
    <w:p w14:paraId="2F27481E" w14:textId="72C2B335" w:rsidR="002E33E0" w:rsidRPr="002F5A14" w:rsidRDefault="002E33E0" w:rsidP="004864B0">
      <w:pPr>
        <w:pStyle w:val="Reference"/>
      </w:pPr>
      <w:r w:rsidRPr="002F5A14">
        <w:t>Capaldo, A.</w:t>
      </w:r>
      <w:r w:rsidR="00033813">
        <w:t xml:space="preserve"> (</w:t>
      </w:r>
      <w:r w:rsidRPr="002F5A14">
        <w:t>2007</w:t>
      </w:r>
      <w:r w:rsidR="00033813">
        <w:t>)</w:t>
      </w:r>
      <w:r w:rsidRPr="002F5A14">
        <w:t>. Network structure and innovation: The leveraging of a dual network as a distinctive relational capability. </w:t>
      </w:r>
      <w:r w:rsidRPr="002F5A14">
        <w:rPr>
          <w:i/>
          <w:iCs/>
        </w:rPr>
        <w:t>Strategic Management Journal</w:t>
      </w:r>
      <w:r w:rsidRPr="002F5A14">
        <w:t>, </w:t>
      </w:r>
      <w:r w:rsidRPr="002F5A14">
        <w:rPr>
          <w:iCs/>
        </w:rPr>
        <w:t>28</w:t>
      </w:r>
      <w:r w:rsidRPr="002F5A14">
        <w:t>(6), 585-608.</w:t>
      </w:r>
    </w:p>
    <w:p w14:paraId="1106743A" w14:textId="73715314" w:rsidR="002E33E0" w:rsidRPr="002F5A14" w:rsidRDefault="002E33E0" w:rsidP="004864B0">
      <w:pPr>
        <w:pStyle w:val="Reference"/>
      </w:pPr>
      <w:r w:rsidRPr="002F5A14">
        <w:t xml:space="preserve">Carnovale, S., and Yeniyurt, S. </w:t>
      </w:r>
      <w:r w:rsidR="00033813">
        <w:t>(</w:t>
      </w:r>
      <w:r w:rsidRPr="002F5A14">
        <w:t>2015</w:t>
      </w:r>
      <w:r w:rsidR="00033813">
        <w:t>)</w:t>
      </w:r>
      <w:r w:rsidRPr="002F5A14">
        <w:t>. The role of ego network structure in facilitating ego network innovations. </w:t>
      </w:r>
      <w:r w:rsidRPr="002F5A14">
        <w:rPr>
          <w:i/>
          <w:iCs/>
        </w:rPr>
        <w:t>Journal of Supply Chain Management</w:t>
      </w:r>
      <w:r w:rsidRPr="002F5A14">
        <w:t>, </w:t>
      </w:r>
      <w:r w:rsidRPr="002F5A14">
        <w:rPr>
          <w:iCs/>
        </w:rPr>
        <w:t>51</w:t>
      </w:r>
      <w:r w:rsidRPr="002F5A14">
        <w:t>(2), 22-46.</w:t>
      </w:r>
    </w:p>
    <w:p w14:paraId="3FA599EE" w14:textId="40071560" w:rsidR="002E33E0" w:rsidRPr="002F5A14" w:rsidRDefault="002E33E0" w:rsidP="00B163B9">
      <w:pPr>
        <w:pStyle w:val="Reference"/>
      </w:pPr>
      <w:r w:rsidRPr="002F5A14">
        <w:t xml:space="preserve">Cassiman, B. and Veugelers, R. </w:t>
      </w:r>
      <w:r w:rsidR="00033813">
        <w:t>(</w:t>
      </w:r>
      <w:r w:rsidRPr="002F5A14">
        <w:t>2006</w:t>
      </w:r>
      <w:r w:rsidR="00033813">
        <w:t>)</w:t>
      </w:r>
      <w:r w:rsidRPr="002F5A14">
        <w:t xml:space="preserve">. In search of complementarity in innovation strategy: Internal R&amp;D and external knowledge acquisition. </w:t>
      </w:r>
      <w:r w:rsidRPr="002F5A14">
        <w:rPr>
          <w:i/>
          <w:iCs/>
        </w:rPr>
        <w:t>Management Science</w:t>
      </w:r>
      <w:r w:rsidRPr="002F5A14">
        <w:t>, </w:t>
      </w:r>
      <w:r w:rsidRPr="002F5A14">
        <w:rPr>
          <w:iCs/>
        </w:rPr>
        <w:t>52</w:t>
      </w:r>
      <w:r w:rsidR="00033813">
        <w:t>(</w:t>
      </w:r>
      <w:r w:rsidRPr="002F5A14">
        <w:t>1</w:t>
      </w:r>
      <w:r w:rsidR="00033813">
        <w:t>)</w:t>
      </w:r>
      <w:r w:rsidRPr="002F5A14">
        <w:t xml:space="preserve">, 68-82. </w:t>
      </w:r>
    </w:p>
    <w:p w14:paraId="4F0F1687" w14:textId="2B13BAFF" w:rsidR="002E33E0" w:rsidRPr="002F5A14" w:rsidRDefault="002E33E0" w:rsidP="00B163B9">
      <w:pPr>
        <w:pStyle w:val="Reference"/>
      </w:pPr>
      <w:r w:rsidRPr="002F5A14">
        <w:t>Chen M-J, Su K-H, and Tsai, W.</w:t>
      </w:r>
      <w:r w:rsidR="00033813">
        <w:t xml:space="preserve"> (</w:t>
      </w:r>
      <w:r w:rsidRPr="002F5A14">
        <w:t>2007</w:t>
      </w:r>
      <w:r w:rsidR="00033813">
        <w:t>)</w:t>
      </w:r>
      <w:r w:rsidRPr="002F5A14">
        <w:t xml:space="preserve">. Competitive tension: the awareness-motivation-capability perspective. </w:t>
      </w:r>
      <w:r w:rsidRPr="002F5A14">
        <w:rPr>
          <w:i/>
        </w:rPr>
        <w:t>Academy of Management Journal</w:t>
      </w:r>
      <w:r w:rsidR="00033813">
        <w:t>,</w:t>
      </w:r>
      <w:r w:rsidRPr="002F5A14">
        <w:t xml:space="preserve"> 50</w:t>
      </w:r>
      <w:r w:rsidR="00033813">
        <w:t>,</w:t>
      </w:r>
      <w:r w:rsidRPr="002F5A14">
        <w:t xml:space="preserve"> 101-118. </w:t>
      </w:r>
    </w:p>
    <w:p w14:paraId="10E0156F" w14:textId="2EF99E48" w:rsidR="002E33E0" w:rsidRPr="002F5A14" w:rsidRDefault="002E33E0" w:rsidP="00360FE8">
      <w:pPr>
        <w:pStyle w:val="Reference"/>
      </w:pPr>
      <w:r w:rsidRPr="002F5A14">
        <w:t xml:space="preserve">Chen M-J. </w:t>
      </w:r>
      <w:r w:rsidR="00033813">
        <w:t>(</w:t>
      </w:r>
      <w:r w:rsidRPr="002F5A14">
        <w:t>1996</w:t>
      </w:r>
      <w:r w:rsidR="00033813">
        <w:t>)</w:t>
      </w:r>
      <w:r w:rsidRPr="002F5A14">
        <w:t xml:space="preserve">. Competitor analysis and inter-firm rivalry: toward a theoretical integration. </w:t>
      </w:r>
      <w:r w:rsidRPr="002F5A14">
        <w:rPr>
          <w:i/>
        </w:rPr>
        <w:t>Academy of Management Review</w:t>
      </w:r>
      <w:r w:rsidR="00033813">
        <w:t>,</w:t>
      </w:r>
      <w:r w:rsidRPr="002F5A14">
        <w:t xml:space="preserve"> 21</w:t>
      </w:r>
      <w:r w:rsidR="00033813">
        <w:t>,</w:t>
      </w:r>
      <w:r w:rsidRPr="002F5A14">
        <w:t xml:space="preserve"> 100-134. </w:t>
      </w:r>
    </w:p>
    <w:p w14:paraId="7FA2F55F" w14:textId="006806CA" w:rsidR="002E33E0" w:rsidRPr="002F5A14" w:rsidRDefault="002E33E0" w:rsidP="00FB25DE">
      <w:pPr>
        <w:pStyle w:val="Reference"/>
      </w:pPr>
      <w:r w:rsidRPr="002F5A14">
        <w:t xml:space="preserve">Choi, T.Y. and Krause, D.R. </w:t>
      </w:r>
      <w:r w:rsidR="00033813">
        <w:t>(</w:t>
      </w:r>
      <w:r w:rsidRPr="002F5A14">
        <w:t>2006</w:t>
      </w:r>
      <w:r w:rsidR="00033813">
        <w:t>)</w:t>
      </w:r>
      <w:r w:rsidRPr="002F5A14">
        <w:t>. The supply base and its complexity: Implications for transaction costs, risks, responsiveness, and innovation. </w:t>
      </w:r>
      <w:r w:rsidRPr="002F5A14">
        <w:rPr>
          <w:i/>
          <w:iCs/>
        </w:rPr>
        <w:t>Journal of Operations Management</w:t>
      </w:r>
      <w:r w:rsidRPr="002F5A14">
        <w:t>, </w:t>
      </w:r>
      <w:r w:rsidRPr="002F5A14">
        <w:rPr>
          <w:iCs/>
        </w:rPr>
        <w:t>24</w:t>
      </w:r>
      <w:r w:rsidRPr="002F5A14">
        <w:t>(5), 637-652.</w:t>
      </w:r>
    </w:p>
    <w:p w14:paraId="29AC4A9A" w14:textId="7391EDA2" w:rsidR="002E33E0" w:rsidRPr="002F5A14" w:rsidRDefault="002E33E0" w:rsidP="004864B0">
      <w:pPr>
        <w:pStyle w:val="Reference"/>
      </w:pPr>
      <w:r w:rsidRPr="002F5A14">
        <w:t xml:space="preserve">Cohen, W.M. and Levinthal, D.A. </w:t>
      </w:r>
      <w:r w:rsidR="00033813">
        <w:t>(</w:t>
      </w:r>
      <w:r w:rsidRPr="002F5A14">
        <w:t>1990</w:t>
      </w:r>
      <w:r w:rsidR="00033813">
        <w:t>)</w:t>
      </w:r>
      <w:r w:rsidRPr="002F5A14">
        <w:t>. Absorptive capacity: A new perspective on learning and innovation. </w:t>
      </w:r>
      <w:r w:rsidRPr="002F5A14">
        <w:rPr>
          <w:i/>
          <w:iCs/>
        </w:rPr>
        <w:t>Administrative Science Quarterly</w:t>
      </w:r>
      <w:r w:rsidRPr="002F5A14">
        <w:t>, </w:t>
      </w:r>
      <w:r w:rsidRPr="002F5A14">
        <w:rPr>
          <w:iCs/>
        </w:rPr>
        <w:t>35</w:t>
      </w:r>
      <w:r w:rsidRPr="002F5A14">
        <w:t>(1), 128-152.</w:t>
      </w:r>
    </w:p>
    <w:p w14:paraId="51B6D0FC" w14:textId="40566393" w:rsidR="002E33E0" w:rsidRPr="002F5A14" w:rsidRDefault="002E33E0" w:rsidP="002E33E0">
      <w:pPr>
        <w:pStyle w:val="Reference"/>
      </w:pPr>
      <w:r w:rsidRPr="002F5A14">
        <w:t>Defee, C</w:t>
      </w:r>
      <w:r>
        <w:t>.C</w:t>
      </w:r>
      <w:r w:rsidRPr="002F5A14">
        <w:t xml:space="preserve">. and Fugate, B.S., </w:t>
      </w:r>
      <w:r w:rsidR="00033813">
        <w:t>(</w:t>
      </w:r>
      <w:r w:rsidRPr="002F5A14">
        <w:t>2010</w:t>
      </w:r>
      <w:r w:rsidR="00033813">
        <w:t>)</w:t>
      </w:r>
      <w:r w:rsidRPr="002F5A14">
        <w:t>. Changing perspective of capabilities in the dynamic supply chain era. </w:t>
      </w:r>
      <w:r w:rsidRPr="002F5A14">
        <w:rPr>
          <w:i/>
          <w:iCs/>
        </w:rPr>
        <w:t>The International Journal of Logistics Management</w:t>
      </w:r>
      <w:r w:rsidRPr="002F5A14">
        <w:t>, </w:t>
      </w:r>
      <w:r w:rsidRPr="002F5A14">
        <w:rPr>
          <w:iCs/>
        </w:rPr>
        <w:t>21</w:t>
      </w:r>
      <w:r w:rsidRPr="002F5A14">
        <w:t>(2), 180-206.</w:t>
      </w:r>
    </w:p>
    <w:p w14:paraId="6D7C219F" w14:textId="4DF57E78" w:rsidR="002E33E0" w:rsidRPr="002F5A14" w:rsidRDefault="002E33E0" w:rsidP="004864B0">
      <w:pPr>
        <w:pStyle w:val="Reference"/>
      </w:pPr>
      <w:r w:rsidRPr="002F5A14">
        <w:t xml:space="preserve">Dobrzykowski, D.D., Leuschner, R., Hong, P.C. and Roh, J.J. </w:t>
      </w:r>
      <w:r w:rsidR="00033813">
        <w:t>(</w:t>
      </w:r>
      <w:r w:rsidRPr="002F5A14">
        <w:t>2015</w:t>
      </w:r>
      <w:r w:rsidR="00033813">
        <w:t>)</w:t>
      </w:r>
      <w:r w:rsidRPr="002F5A14">
        <w:t>. Examining absorptive capacity in supply chains: Linking responsive strategy and firm performance. </w:t>
      </w:r>
      <w:r w:rsidRPr="002F5A14">
        <w:rPr>
          <w:i/>
          <w:iCs/>
        </w:rPr>
        <w:t>Journal of Supply Chain Management</w:t>
      </w:r>
      <w:r w:rsidRPr="002F5A14">
        <w:t>, </w:t>
      </w:r>
      <w:r w:rsidRPr="002F5A14">
        <w:rPr>
          <w:iCs/>
        </w:rPr>
        <w:t>51</w:t>
      </w:r>
      <w:r w:rsidRPr="002F5A14">
        <w:t>(4), 3-28.</w:t>
      </w:r>
    </w:p>
    <w:p w14:paraId="4E22B4F1" w14:textId="5E01992F" w:rsidR="002E33E0" w:rsidRPr="002F5A14" w:rsidRDefault="002E33E0" w:rsidP="00493FA8">
      <w:pPr>
        <w:pStyle w:val="Reference"/>
      </w:pPr>
      <w:r w:rsidRPr="002F5A14">
        <w:t xml:space="preserve">Doha, A., Pagell, M., Swink, M. and Johnston, D. </w:t>
      </w:r>
      <w:r w:rsidR="00033813">
        <w:t>(</w:t>
      </w:r>
      <w:r w:rsidRPr="002F5A14">
        <w:t>2016</w:t>
      </w:r>
      <w:r w:rsidR="00033813">
        <w:t>)</w:t>
      </w:r>
      <w:r w:rsidRPr="002F5A14">
        <w:t>. Measuring firms’ imitation activity. </w:t>
      </w:r>
      <w:r w:rsidRPr="002F5A14">
        <w:rPr>
          <w:i/>
          <w:iCs/>
        </w:rPr>
        <w:t>R&amp;D Management</w:t>
      </w:r>
      <w:r w:rsidRPr="002F5A14">
        <w:t>, doi:10.1111/radm.12217</w:t>
      </w:r>
    </w:p>
    <w:p w14:paraId="248455D9" w14:textId="0B69214F" w:rsidR="002E33E0" w:rsidRPr="002F5A14" w:rsidRDefault="002E33E0" w:rsidP="004864B0">
      <w:pPr>
        <w:pStyle w:val="Reference"/>
      </w:pPr>
      <w:r w:rsidRPr="002F5A14">
        <w:t xml:space="preserve">Eisenhardt, K.M. and Martin, J.A. </w:t>
      </w:r>
      <w:r w:rsidR="00475880">
        <w:t>(</w:t>
      </w:r>
      <w:r w:rsidRPr="002F5A14">
        <w:t>2000</w:t>
      </w:r>
      <w:r w:rsidR="00475880">
        <w:t>)</w:t>
      </w:r>
      <w:r w:rsidRPr="002F5A14">
        <w:t>. Dynamic capabilities: what are they? </w:t>
      </w:r>
      <w:r w:rsidRPr="002F5A14">
        <w:rPr>
          <w:i/>
          <w:iCs/>
        </w:rPr>
        <w:t>Strategic Management Journal</w:t>
      </w:r>
      <w:r w:rsidRPr="002F5A14">
        <w:t>, </w:t>
      </w:r>
      <w:r w:rsidRPr="002F5A14">
        <w:rPr>
          <w:iCs/>
        </w:rPr>
        <w:t>21</w:t>
      </w:r>
      <w:r w:rsidRPr="002F5A14">
        <w:t>(10‐11), 1105-1121.</w:t>
      </w:r>
    </w:p>
    <w:p w14:paraId="03DE2693" w14:textId="4BB7801F" w:rsidR="002E33E0" w:rsidRPr="002F5A14" w:rsidRDefault="002E33E0" w:rsidP="004864B0">
      <w:pPr>
        <w:pStyle w:val="Reference"/>
      </w:pPr>
      <w:r w:rsidRPr="002F5A14">
        <w:t xml:space="preserve">Fawcett, S.E., Wallin, C., Allred, C., Fawcett, A.M. and Magnan, G.M. </w:t>
      </w:r>
      <w:r w:rsidR="00475880">
        <w:t>(</w:t>
      </w:r>
      <w:r w:rsidRPr="002F5A14">
        <w:t>2011</w:t>
      </w:r>
      <w:r w:rsidR="00475880">
        <w:t>)</w:t>
      </w:r>
      <w:r w:rsidRPr="002F5A14">
        <w:t>. Information technology as an enabler of supply chain collaboration: a dynamic‐capabilities perspective. </w:t>
      </w:r>
      <w:r w:rsidRPr="002F5A14">
        <w:rPr>
          <w:i/>
          <w:iCs/>
        </w:rPr>
        <w:t>Journal of Supply Chain Management</w:t>
      </w:r>
      <w:r w:rsidRPr="002F5A14">
        <w:t>, </w:t>
      </w:r>
      <w:r w:rsidRPr="002F5A14">
        <w:rPr>
          <w:iCs/>
        </w:rPr>
        <w:t>47</w:t>
      </w:r>
      <w:r w:rsidRPr="002F5A14">
        <w:t>(1), 38-59.</w:t>
      </w:r>
    </w:p>
    <w:p w14:paraId="7C7A867A" w14:textId="59BAF176" w:rsidR="002E33E0" w:rsidRPr="002F5A14" w:rsidRDefault="002E33E0" w:rsidP="00B163B9">
      <w:pPr>
        <w:pStyle w:val="Reference"/>
      </w:pPr>
      <w:r w:rsidRPr="002F5A14">
        <w:t xml:space="preserve">Fernald, K.D.S., Pennings, H.P.G., Van Den Bosch, J.F., Commandeur, H.R. and Claassen, E. </w:t>
      </w:r>
      <w:r w:rsidR="00475880">
        <w:t>(</w:t>
      </w:r>
      <w:r w:rsidRPr="002F5A14">
        <w:t>2017</w:t>
      </w:r>
      <w:r w:rsidR="00475880">
        <w:t>)</w:t>
      </w:r>
      <w:r w:rsidRPr="002F5A14">
        <w:t>. The moderating role of absorptive capacity and the differential effects of acquisitions and alliances on Big Pharma firms' innovation performance. </w:t>
      </w:r>
      <w:r w:rsidRPr="002F5A14">
        <w:rPr>
          <w:i/>
          <w:iCs/>
        </w:rPr>
        <w:t>PloS One</w:t>
      </w:r>
      <w:r w:rsidRPr="002F5A14">
        <w:t>, </w:t>
      </w:r>
      <w:r w:rsidRPr="002F5A14">
        <w:rPr>
          <w:iCs/>
        </w:rPr>
        <w:t>12</w:t>
      </w:r>
      <w:r w:rsidRPr="002F5A14">
        <w:t>(2), p.e0172488.</w:t>
      </w:r>
    </w:p>
    <w:p w14:paraId="0385F58D" w14:textId="77777777" w:rsidR="002E33E0" w:rsidRPr="002F5A14" w:rsidRDefault="002E33E0" w:rsidP="00B163B9">
      <w:pPr>
        <w:pStyle w:val="Reference"/>
      </w:pPr>
      <w:r w:rsidRPr="002F5A14">
        <w:t xml:space="preserve">Food and Drug Administration. 2017. Drugs@FDA, </w:t>
      </w:r>
      <w:hyperlink r:id="rId13" w:history="1">
        <w:r w:rsidRPr="002F5A14">
          <w:rPr>
            <w:rStyle w:val="Hyperlink"/>
          </w:rPr>
          <w:t>http://www.accessdata.fda.gov/scripts/cder/drugsatfda/index.cfm</w:t>
        </w:r>
      </w:hyperlink>
      <w:r w:rsidRPr="002F5A14">
        <w:t>, December 27, 2017.</w:t>
      </w:r>
    </w:p>
    <w:p w14:paraId="4529E62F" w14:textId="73CE31A7" w:rsidR="002E33E0" w:rsidRPr="002F5A14" w:rsidRDefault="002E33E0" w:rsidP="00B163B9">
      <w:pPr>
        <w:pStyle w:val="Reference"/>
      </w:pPr>
      <w:r w:rsidRPr="002F5A14">
        <w:t xml:space="preserve">Fraser, P., Moultrie, J. and Gregory, M. </w:t>
      </w:r>
      <w:r w:rsidR="00475880">
        <w:t>(</w:t>
      </w:r>
      <w:r w:rsidRPr="002F5A14">
        <w:t>2002</w:t>
      </w:r>
      <w:r w:rsidR="00475880">
        <w:t>)</w:t>
      </w:r>
      <w:r w:rsidRPr="002F5A14">
        <w:t>. The use of maturity models/grids as a tool in assessing product development capability. In </w:t>
      </w:r>
      <w:r w:rsidRPr="002F5A14">
        <w:rPr>
          <w:i/>
          <w:iCs/>
        </w:rPr>
        <w:t>IEEE international engineering management conference</w:t>
      </w:r>
      <w:r w:rsidRPr="002F5A14">
        <w:t> (Vol. 1, pp. 244-249). IEEE.</w:t>
      </w:r>
    </w:p>
    <w:p w14:paraId="7370693F" w14:textId="52575290" w:rsidR="002E33E0" w:rsidRPr="002F5A14" w:rsidRDefault="002E33E0" w:rsidP="00B163B9">
      <w:pPr>
        <w:pStyle w:val="Reference"/>
      </w:pPr>
      <w:r w:rsidRPr="002F5A14">
        <w:lastRenderedPageBreak/>
        <w:t xml:space="preserve">Gao, G.Y., Xie, E. and Zhou, K.Z. </w:t>
      </w:r>
      <w:r w:rsidR="00475880">
        <w:t>(</w:t>
      </w:r>
      <w:r w:rsidRPr="002F5A14">
        <w:t>2015</w:t>
      </w:r>
      <w:r w:rsidR="00475880">
        <w:t>)</w:t>
      </w:r>
      <w:r w:rsidRPr="002F5A14">
        <w:t>. How does technological diversity in supplier network drive buyer innovation? Relational process and contingencies. </w:t>
      </w:r>
      <w:r w:rsidRPr="002F5A14">
        <w:rPr>
          <w:i/>
          <w:iCs/>
        </w:rPr>
        <w:t>Journal of Operations Management</w:t>
      </w:r>
      <w:r w:rsidRPr="002F5A14">
        <w:t>, </w:t>
      </w:r>
      <w:r w:rsidRPr="002F5A14">
        <w:rPr>
          <w:iCs/>
        </w:rPr>
        <w:t>36</w:t>
      </w:r>
      <w:r w:rsidRPr="002F5A14">
        <w:t>, 165-177.</w:t>
      </w:r>
    </w:p>
    <w:p w14:paraId="3A827D5D" w14:textId="504D8247" w:rsidR="002E33E0" w:rsidRPr="002F5A14" w:rsidRDefault="002E33E0" w:rsidP="00B163B9">
      <w:pPr>
        <w:pStyle w:val="Reference"/>
      </w:pPr>
      <w:r w:rsidRPr="002F5A14">
        <w:t xml:space="preserve">Gimeno J. </w:t>
      </w:r>
      <w:r w:rsidR="00A36ADE">
        <w:t>(</w:t>
      </w:r>
      <w:r w:rsidRPr="002F5A14">
        <w:t>2004</w:t>
      </w:r>
      <w:r w:rsidR="00A36ADE">
        <w:t>)</w:t>
      </w:r>
      <w:r w:rsidRPr="002F5A14">
        <w:t xml:space="preserve">. Competition within and between networks: The contingent effect of competitive embeddedness on alliance formation. </w:t>
      </w:r>
      <w:r w:rsidRPr="002F5A14">
        <w:rPr>
          <w:i/>
        </w:rPr>
        <w:t>Academy of Management Journal</w:t>
      </w:r>
      <w:r w:rsidR="00A36ADE">
        <w:t>,</w:t>
      </w:r>
      <w:r w:rsidRPr="002F5A14">
        <w:t xml:space="preserve"> 47</w:t>
      </w:r>
      <w:r w:rsidR="00A36ADE">
        <w:t>,</w:t>
      </w:r>
      <w:r w:rsidRPr="002F5A14">
        <w:t xml:space="preserve"> 820-842.</w:t>
      </w:r>
    </w:p>
    <w:p w14:paraId="3B102CC8" w14:textId="488BCBA3" w:rsidR="002E33E0" w:rsidRPr="002F5A14" w:rsidRDefault="002E33E0" w:rsidP="00B163B9">
      <w:pPr>
        <w:pStyle w:val="Reference"/>
      </w:pPr>
      <w:r w:rsidRPr="002F5A14">
        <w:t xml:space="preserve">Gomes-Casseres, B. </w:t>
      </w:r>
      <w:r w:rsidR="00A36ADE">
        <w:t>(</w:t>
      </w:r>
      <w:r w:rsidRPr="002F5A14">
        <w:t>2015</w:t>
      </w:r>
      <w:r w:rsidR="00A36ADE">
        <w:t>)</w:t>
      </w:r>
      <w:r w:rsidRPr="002F5A14">
        <w:t xml:space="preserve">. </w:t>
      </w:r>
      <w:r w:rsidRPr="002F5A14">
        <w:rPr>
          <w:i/>
        </w:rPr>
        <w:t>Remix Strategy: The Three Laws of Business Combinations</w:t>
      </w:r>
      <w:r w:rsidRPr="002F5A14">
        <w:t>. Harvard Business Press: Cambridge</w:t>
      </w:r>
      <w:r w:rsidR="00A36ADE">
        <w:t>.</w:t>
      </w:r>
    </w:p>
    <w:p w14:paraId="7692BFE2" w14:textId="2168C5E1" w:rsidR="002E33E0" w:rsidRPr="002F5A14" w:rsidRDefault="002E33E0" w:rsidP="00B163B9">
      <w:pPr>
        <w:pStyle w:val="Reference"/>
      </w:pPr>
      <w:r w:rsidRPr="002F5A14">
        <w:t xml:space="preserve">Grabowski, H.G. and </w:t>
      </w:r>
      <w:r>
        <w:t xml:space="preserve">Kyle, </w:t>
      </w:r>
      <w:r w:rsidRPr="002F5A14">
        <w:t xml:space="preserve">K.M. </w:t>
      </w:r>
      <w:r w:rsidR="00A36ADE">
        <w:t>(</w:t>
      </w:r>
      <w:r w:rsidRPr="002F5A14">
        <w:t>2007</w:t>
      </w:r>
      <w:r w:rsidR="00A36ADE">
        <w:t>)</w:t>
      </w:r>
      <w:r w:rsidRPr="002F5A14">
        <w:t xml:space="preserve">. Generic competition and market exclusivity periods in pharmaceuticals. </w:t>
      </w:r>
      <w:r w:rsidRPr="002F5A14">
        <w:rPr>
          <w:i/>
        </w:rPr>
        <w:t>Managerial and Decision Economics</w:t>
      </w:r>
      <w:r w:rsidR="00A36ADE">
        <w:t>,</w:t>
      </w:r>
      <w:r w:rsidRPr="002F5A14">
        <w:t xml:space="preserve"> 28(4</w:t>
      </w:r>
      <w:r w:rsidRPr="002F5A14">
        <w:rPr>
          <w:rFonts w:ascii="Cambria Math" w:hAnsi="Cambria Math" w:cs="Cambria Math"/>
        </w:rPr>
        <w:t>‐</w:t>
      </w:r>
      <w:r w:rsidRPr="002F5A14">
        <w:t>5)</w:t>
      </w:r>
      <w:r w:rsidR="00A36ADE">
        <w:t>,</w:t>
      </w:r>
      <w:r w:rsidRPr="002F5A14">
        <w:t xml:space="preserve"> 491-502.</w:t>
      </w:r>
    </w:p>
    <w:p w14:paraId="76D82906" w14:textId="1653B601" w:rsidR="002E33E0" w:rsidRPr="002F5A14" w:rsidRDefault="002E33E0" w:rsidP="00B163B9">
      <w:pPr>
        <w:pStyle w:val="Reference"/>
      </w:pPr>
      <w:r w:rsidRPr="002F5A14">
        <w:t xml:space="preserve">Grigoriou, K. and Rothaermel, F.T. </w:t>
      </w:r>
      <w:r w:rsidR="00A36ADE">
        <w:t>(</w:t>
      </w:r>
      <w:r w:rsidRPr="002F5A14">
        <w:t>2016</w:t>
      </w:r>
      <w:r w:rsidR="00A36ADE">
        <w:t>)</w:t>
      </w:r>
      <w:r w:rsidRPr="002F5A14">
        <w:t>. Organizing for knowledge generation: internal knowledge networks and the contingent effect of external knowledge sourcing. </w:t>
      </w:r>
      <w:r w:rsidRPr="002F5A14">
        <w:rPr>
          <w:i/>
          <w:iCs/>
        </w:rPr>
        <w:t>Strategic Management Journal</w:t>
      </w:r>
      <w:r w:rsidR="00A36ADE">
        <w:t>,</w:t>
      </w:r>
      <w:r w:rsidRPr="002F5A14">
        <w:t xml:space="preserve"> </w:t>
      </w:r>
      <w:r w:rsidR="00A36ADE">
        <w:t>38(2),395-414.</w:t>
      </w:r>
    </w:p>
    <w:p w14:paraId="5DAAC8FC" w14:textId="776D7608" w:rsidR="002E33E0" w:rsidRPr="002F5A14" w:rsidRDefault="002E33E0" w:rsidP="00B163B9">
      <w:pPr>
        <w:pStyle w:val="Reference"/>
      </w:pPr>
      <w:r w:rsidRPr="002F5A14">
        <w:t>Guedri, Z., and McGuire, J.</w:t>
      </w:r>
      <w:r w:rsidR="00A36ADE">
        <w:t xml:space="preserve"> (</w:t>
      </w:r>
      <w:r w:rsidRPr="002F5A14">
        <w:t>2011</w:t>
      </w:r>
      <w:r w:rsidR="00A36ADE">
        <w:t>)</w:t>
      </w:r>
      <w:r w:rsidRPr="002F5A14">
        <w:t>. Multimarket competition, mobility barriers, and firm performance. </w:t>
      </w:r>
      <w:r w:rsidRPr="002F5A14">
        <w:rPr>
          <w:i/>
          <w:iCs/>
        </w:rPr>
        <w:t>Journal of Management Studies</w:t>
      </w:r>
      <w:r w:rsidRPr="002F5A14">
        <w:t>, </w:t>
      </w:r>
      <w:r w:rsidRPr="002F5A14">
        <w:rPr>
          <w:iCs/>
        </w:rPr>
        <w:t>48</w:t>
      </w:r>
      <w:r w:rsidRPr="002F5A14">
        <w:t xml:space="preserve">(4), 857-890. </w:t>
      </w:r>
    </w:p>
    <w:p w14:paraId="7BED447C" w14:textId="3D560738" w:rsidR="002E33E0" w:rsidRPr="002F5A14" w:rsidRDefault="002E33E0" w:rsidP="00B163B9">
      <w:pPr>
        <w:pStyle w:val="Reference"/>
      </w:pPr>
      <w:r w:rsidRPr="002F5A14">
        <w:t>Gulati, R.</w:t>
      </w:r>
      <w:r w:rsidR="00A36ADE">
        <w:t xml:space="preserve"> (</w:t>
      </w:r>
      <w:r w:rsidRPr="002F5A14">
        <w:t>1995</w:t>
      </w:r>
      <w:r w:rsidR="00A36ADE">
        <w:t>)</w:t>
      </w:r>
      <w:r w:rsidRPr="002F5A14">
        <w:t xml:space="preserve">. Does familiarity breed trust? The implications of repeated ties for contractual choice in alliances. </w:t>
      </w:r>
      <w:r w:rsidRPr="002F5A14">
        <w:rPr>
          <w:i/>
        </w:rPr>
        <w:t>Academy of Management Journal</w:t>
      </w:r>
      <w:r w:rsidRPr="002F5A14">
        <w:t>, 38(1), 85-112.</w:t>
      </w:r>
    </w:p>
    <w:p w14:paraId="58693A30" w14:textId="7CA1EE28" w:rsidR="002E33E0" w:rsidRPr="002F5A14" w:rsidRDefault="002E33E0" w:rsidP="00B163B9">
      <w:pPr>
        <w:pStyle w:val="Reference"/>
      </w:pPr>
      <w:r w:rsidRPr="002F5A14">
        <w:t>Hage J.T.</w:t>
      </w:r>
      <w:r w:rsidR="00A36ADE">
        <w:t xml:space="preserve"> (</w:t>
      </w:r>
      <w:r w:rsidRPr="002F5A14">
        <w:t>1999</w:t>
      </w:r>
      <w:r w:rsidR="00A36ADE">
        <w:t>)</w:t>
      </w:r>
      <w:r w:rsidRPr="002F5A14">
        <w:t xml:space="preserve">. Organizational innovation and organizational change. </w:t>
      </w:r>
      <w:r w:rsidRPr="002F5A14">
        <w:rPr>
          <w:i/>
        </w:rPr>
        <w:t>Annual Review of Sociology</w:t>
      </w:r>
      <w:r w:rsidR="00A36ADE">
        <w:t>,</w:t>
      </w:r>
      <w:r w:rsidRPr="002F5A14">
        <w:t xml:space="preserve"> 25</w:t>
      </w:r>
      <w:r w:rsidR="00A36ADE">
        <w:t xml:space="preserve">, </w:t>
      </w:r>
      <w:r w:rsidRPr="002F5A14">
        <w:t>597-622.</w:t>
      </w:r>
    </w:p>
    <w:p w14:paraId="57EA2811" w14:textId="498B9397" w:rsidR="002E33E0" w:rsidRPr="002F5A14" w:rsidRDefault="002E33E0" w:rsidP="00B163B9">
      <w:pPr>
        <w:pStyle w:val="Reference"/>
      </w:pPr>
      <w:r w:rsidRPr="002F5A14">
        <w:t xml:space="preserve">Helfat, C.E. and Lieberman, M.B. </w:t>
      </w:r>
      <w:r w:rsidR="00A36ADE">
        <w:t>(</w:t>
      </w:r>
      <w:r w:rsidRPr="002F5A14">
        <w:t>2002</w:t>
      </w:r>
      <w:r w:rsidR="00A36ADE">
        <w:t>)</w:t>
      </w:r>
      <w:r w:rsidRPr="002F5A14">
        <w:t>. The birth of capabilities: market entry and the importance of pre‐history. </w:t>
      </w:r>
      <w:r w:rsidRPr="002F5A14">
        <w:rPr>
          <w:i/>
          <w:iCs/>
        </w:rPr>
        <w:t>Industrial and Corporate Change</w:t>
      </w:r>
      <w:r w:rsidRPr="002F5A14">
        <w:t>, </w:t>
      </w:r>
      <w:r w:rsidRPr="002F5A14">
        <w:rPr>
          <w:iCs/>
        </w:rPr>
        <w:t>11</w:t>
      </w:r>
      <w:r w:rsidRPr="002F5A14">
        <w:t xml:space="preserve">(4), 725-760. </w:t>
      </w:r>
    </w:p>
    <w:p w14:paraId="4D0FEBD7" w14:textId="0AA9EC43" w:rsidR="002E33E0" w:rsidRPr="002F5A14" w:rsidRDefault="002E33E0" w:rsidP="00B163B9">
      <w:pPr>
        <w:pStyle w:val="Reference"/>
      </w:pPr>
      <w:r w:rsidRPr="002F5A14">
        <w:t>Henderson, R.M. and Clark, K.B., 1990. Architectural innovation: The reconfiguration of existing product technologies and the failure of established firms. </w:t>
      </w:r>
      <w:r w:rsidRPr="002F5A14">
        <w:rPr>
          <w:i/>
          <w:iCs/>
        </w:rPr>
        <w:t>Administrative Science Quarterly</w:t>
      </w:r>
      <w:r w:rsidRPr="002F5A14">
        <w:t xml:space="preserve">, 35(1), 9-30. </w:t>
      </w:r>
    </w:p>
    <w:p w14:paraId="76D784DF" w14:textId="3B6D7E37" w:rsidR="002E33E0" w:rsidRPr="002F5A14" w:rsidRDefault="002E33E0" w:rsidP="00B163B9">
      <w:pPr>
        <w:pStyle w:val="Reference"/>
      </w:pPr>
      <w:r w:rsidRPr="002F5A14">
        <w:t xml:space="preserve">Hess, A.M. </w:t>
      </w:r>
      <w:r>
        <w:t xml:space="preserve">and </w:t>
      </w:r>
      <w:r w:rsidRPr="002F5A14">
        <w:t>Rothaermel, F.T.</w:t>
      </w:r>
      <w:r w:rsidR="00A36ADE">
        <w:t xml:space="preserve"> (</w:t>
      </w:r>
      <w:r w:rsidRPr="002F5A14">
        <w:t>2011</w:t>
      </w:r>
      <w:r w:rsidR="00A36ADE">
        <w:t>)</w:t>
      </w:r>
      <w:r w:rsidRPr="002F5A14">
        <w:t>. When are assets complementary? Star scientists, strategic alliances, and innovation in the pharmaceutical industry. </w:t>
      </w:r>
      <w:r w:rsidRPr="002F5A14">
        <w:rPr>
          <w:i/>
          <w:iCs/>
        </w:rPr>
        <w:t>Strategic Management Journal</w:t>
      </w:r>
      <w:r w:rsidR="00A36ADE">
        <w:rPr>
          <w:iCs/>
        </w:rPr>
        <w:t>,</w:t>
      </w:r>
      <w:r w:rsidRPr="002F5A14">
        <w:t> </w:t>
      </w:r>
      <w:r w:rsidRPr="002F5A14">
        <w:rPr>
          <w:iCs/>
        </w:rPr>
        <w:t>32</w:t>
      </w:r>
      <w:r w:rsidR="00A36ADE">
        <w:t>(8),</w:t>
      </w:r>
      <w:r w:rsidRPr="002F5A14">
        <w:t xml:space="preserve"> 895-909.</w:t>
      </w:r>
    </w:p>
    <w:p w14:paraId="4511632F" w14:textId="77777777" w:rsidR="002E33E0" w:rsidRPr="002F5A14" w:rsidRDefault="002E33E0" w:rsidP="00B163B9">
      <w:pPr>
        <w:pStyle w:val="Reference"/>
      </w:pPr>
      <w:r w:rsidRPr="002F5A14">
        <w:t>Hilbe, J. M., (2011). </w:t>
      </w:r>
      <w:r w:rsidRPr="002F5A14">
        <w:rPr>
          <w:i/>
          <w:iCs/>
        </w:rPr>
        <w:t>Negative Binomial Regression</w:t>
      </w:r>
      <w:r w:rsidRPr="002F5A14">
        <w:t>. Cambridge University Press: Cambridge.</w:t>
      </w:r>
    </w:p>
    <w:p w14:paraId="4716EBCC" w14:textId="14AACE0D" w:rsidR="002E33E0" w:rsidRPr="002F5A14" w:rsidRDefault="002E33E0" w:rsidP="00B163B9">
      <w:pPr>
        <w:pStyle w:val="Reference"/>
      </w:pPr>
      <w:r w:rsidRPr="002F5A14">
        <w:t xml:space="preserve">Hsieh, K.Y. and Vermeulen, F. </w:t>
      </w:r>
      <w:r w:rsidR="00A36ADE">
        <w:t>(</w:t>
      </w:r>
      <w:r w:rsidRPr="002F5A14">
        <w:t>2013</w:t>
      </w:r>
      <w:r w:rsidR="00A36ADE">
        <w:t>)</w:t>
      </w:r>
      <w:r w:rsidRPr="002F5A14">
        <w:t>. The structure of competition: How competition between one’s rivals influences imitative market entry. </w:t>
      </w:r>
      <w:r w:rsidRPr="002F5A14">
        <w:rPr>
          <w:i/>
          <w:iCs/>
        </w:rPr>
        <w:t>Organization Science</w:t>
      </w:r>
      <w:r w:rsidRPr="002F5A14">
        <w:t>, </w:t>
      </w:r>
      <w:r w:rsidRPr="002F5A14">
        <w:rPr>
          <w:iCs/>
        </w:rPr>
        <w:t>25</w:t>
      </w:r>
      <w:r w:rsidRPr="002F5A14">
        <w:t xml:space="preserve">(1), 299-319. </w:t>
      </w:r>
    </w:p>
    <w:p w14:paraId="5560D643" w14:textId="21B28869" w:rsidR="002E33E0" w:rsidRPr="002F5A14" w:rsidRDefault="002E33E0" w:rsidP="00B163B9">
      <w:pPr>
        <w:pStyle w:val="Reference"/>
      </w:pPr>
      <w:r w:rsidRPr="002F5A14">
        <w:t xml:space="preserve">Jensen, M. </w:t>
      </w:r>
      <w:r w:rsidR="00A36ADE">
        <w:t>(</w:t>
      </w:r>
      <w:r w:rsidRPr="002F5A14">
        <w:t>2003</w:t>
      </w:r>
      <w:r w:rsidR="00A36ADE">
        <w:t>)</w:t>
      </w:r>
      <w:r w:rsidRPr="002F5A14">
        <w:t>. The role of network resources in market entry: Commercial banks' entry into investment banking, 1991–1997. </w:t>
      </w:r>
      <w:r w:rsidRPr="002F5A14">
        <w:rPr>
          <w:i/>
          <w:iCs/>
        </w:rPr>
        <w:t>Administrative Science Quarterly</w:t>
      </w:r>
      <w:r w:rsidRPr="002F5A14">
        <w:t>, </w:t>
      </w:r>
      <w:r w:rsidRPr="002F5A14">
        <w:rPr>
          <w:iCs/>
        </w:rPr>
        <w:t>48</w:t>
      </w:r>
      <w:r w:rsidRPr="002F5A14">
        <w:t xml:space="preserve">(3), 466-497. </w:t>
      </w:r>
    </w:p>
    <w:p w14:paraId="7F08AA6B" w14:textId="6962369A" w:rsidR="002E33E0" w:rsidRPr="002F5A14" w:rsidRDefault="002E33E0" w:rsidP="00B163B9">
      <w:pPr>
        <w:pStyle w:val="Reference"/>
      </w:pPr>
      <w:r w:rsidRPr="002F5A14">
        <w:t xml:space="preserve">Kale, P. and Singh, H. </w:t>
      </w:r>
      <w:r w:rsidR="00A36ADE">
        <w:t>(</w:t>
      </w:r>
      <w:r w:rsidRPr="002F5A14">
        <w:t>2009</w:t>
      </w:r>
      <w:r w:rsidR="00A36ADE">
        <w:t>)</w:t>
      </w:r>
      <w:r w:rsidRPr="002F5A14">
        <w:t>. Managing strategic alliances: what do we know now, and where do we go from here? </w:t>
      </w:r>
      <w:r w:rsidRPr="002F5A14">
        <w:rPr>
          <w:i/>
          <w:iCs/>
        </w:rPr>
        <w:t>The Academy of Management Perspectives</w:t>
      </w:r>
      <w:r w:rsidRPr="002F5A14">
        <w:t>, 23(3), 45-62.</w:t>
      </w:r>
    </w:p>
    <w:p w14:paraId="0A7EC229" w14:textId="6BB43449" w:rsidR="002E33E0" w:rsidRDefault="002E33E0" w:rsidP="004864B0">
      <w:pPr>
        <w:pStyle w:val="Reference"/>
      </w:pPr>
      <w:r>
        <w:t xml:space="preserve">Keown, A. </w:t>
      </w:r>
      <w:r w:rsidR="00A36ADE">
        <w:t>(</w:t>
      </w:r>
      <w:r>
        <w:t>2019</w:t>
      </w:r>
      <w:r w:rsidR="00A36ADE">
        <w:t>)</w:t>
      </w:r>
      <w:r>
        <w:t xml:space="preserve">. </w:t>
      </w:r>
      <w:r w:rsidRPr="0041576E">
        <w:t>AbbVie Out $5.8 Billion After Scrapping Rova-T Program</w:t>
      </w:r>
      <w:r>
        <w:t xml:space="preserve">. </w:t>
      </w:r>
      <w:hyperlink r:id="rId14" w:history="1">
        <w:r w:rsidRPr="0041576E">
          <w:rPr>
            <w:rStyle w:val="Hyperlink"/>
          </w:rPr>
          <w:t>https://www.biospace.com/article/abbvie-finally-dumps-rova-t-after-another-clinical-failure/</w:t>
        </w:r>
      </w:hyperlink>
      <w:r>
        <w:t xml:space="preserve"> August 30, 2019. Accessed October 25, 2019.</w:t>
      </w:r>
    </w:p>
    <w:p w14:paraId="3BEB58F7" w14:textId="5B1D791D" w:rsidR="002E33E0" w:rsidRPr="002F5A14" w:rsidRDefault="002E33E0" w:rsidP="004864B0">
      <w:pPr>
        <w:pStyle w:val="Reference"/>
        <w:rPr>
          <w:rFonts w:ascii="Arial" w:eastAsia="Calibri" w:hAnsi="Arial" w:cs="Arial"/>
          <w:color w:val="222222"/>
          <w:sz w:val="20"/>
          <w:szCs w:val="20"/>
          <w:shd w:val="clear" w:color="auto" w:fill="FFFFFF"/>
        </w:rPr>
      </w:pPr>
      <w:r w:rsidRPr="002F5A14">
        <w:t xml:space="preserve">Ketchen, Jr., D.J. and Hult, G.T.M. </w:t>
      </w:r>
      <w:r w:rsidR="00A36ADE">
        <w:t>(</w:t>
      </w:r>
      <w:r w:rsidRPr="002F5A14">
        <w:t>2007</w:t>
      </w:r>
      <w:r w:rsidR="00A36ADE">
        <w:t>)</w:t>
      </w:r>
      <w:r w:rsidRPr="002F5A14">
        <w:t>. Bridging organization theory and supply chain management: The case of best value supply chains. </w:t>
      </w:r>
      <w:r w:rsidRPr="002F5A14">
        <w:rPr>
          <w:i/>
          <w:iCs/>
        </w:rPr>
        <w:t>Journal of Operations Management</w:t>
      </w:r>
      <w:r w:rsidRPr="002F5A14">
        <w:t>, </w:t>
      </w:r>
      <w:r w:rsidRPr="002F5A14">
        <w:rPr>
          <w:iCs/>
        </w:rPr>
        <w:t>25</w:t>
      </w:r>
      <w:r w:rsidRPr="002F5A14">
        <w:t>(2), 573-580.</w:t>
      </w:r>
      <w:r w:rsidRPr="002F5A14">
        <w:rPr>
          <w:rFonts w:ascii="Arial" w:eastAsia="Calibri" w:hAnsi="Arial" w:cs="Arial"/>
          <w:color w:val="222222"/>
          <w:sz w:val="20"/>
          <w:szCs w:val="20"/>
          <w:shd w:val="clear" w:color="auto" w:fill="FFFFFF"/>
        </w:rPr>
        <w:t xml:space="preserve"> </w:t>
      </w:r>
    </w:p>
    <w:p w14:paraId="4EC0CCCD" w14:textId="15053419" w:rsidR="002E33E0" w:rsidRDefault="002E33E0" w:rsidP="00B163B9">
      <w:pPr>
        <w:pStyle w:val="Reference"/>
      </w:pPr>
      <w:r w:rsidRPr="002F5A14">
        <w:t xml:space="preserve">Kim, Y., Choi, T.Y. and Skilton, P.F. </w:t>
      </w:r>
      <w:r w:rsidR="00A36ADE">
        <w:t>(</w:t>
      </w:r>
      <w:r w:rsidRPr="002F5A14">
        <w:t>2015</w:t>
      </w:r>
      <w:r w:rsidR="00A36ADE">
        <w:t>)</w:t>
      </w:r>
      <w:r w:rsidRPr="002F5A14">
        <w:t>. Buyer-supplier embeddedness and patterns of innovation. </w:t>
      </w:r>
      <w:r w:rsidRPr="002F5A14">
        <w:rPr>
          <w:i/>
          <w:iCs/>
        </w:rPr>
        <w:t>International Journal of Operations and Production Management</w:t>
      </w:r>
      <w:r w:rsidR="00A36ADE">
        <w:rPr>
          <w:iCs/>
        </w:rPr>
        <w:t>,</w:t>
      </w:r>
      <w:r w:rsidRPr="002F5A14">
        <w:t> </w:t>
      </w:r>
      <w:r w:rsidRPr="002F5A14">
        <w:rPr>
          <w:iCs/>
        </w:rPr>
        <w:t>35</w:t>
      </w:r>
      <w:r w:rsidRPr="002F5A14">
        <w:t>, 318-345.</w:t>
      </w:r>
    </w:p>
    <w:p w14:paraId="6BF81AA2" w14:textId="59847CED" w:rsidR="00836CF7" w:rsidRPr="002F5A14" w:rsidRDefault="00836CF7" w:rsidP="00B163B9">
      <w:pPr>
        <w:pStyle w:val="Reference"/>
      </w:pPr>
      <w:r w:rsidRPr="00836CF7">
        <w:t>Kim, Y., Choi</w:t>
      </w:r>
      <w:r>
        <w:t xml:space="preserve">, T. Y., Yan, T., &amp; Dooley, K. </w:t>
      </w:r>
      <w:r w:rsidR="00A36ADE">
        <w:t>(</w:t>
      </w:r>
      <w:r>
        <w:t>2011</w:t>
      </w:r>
      <w:r w:rsidR="00A36ADE">
        <w:t>)</w:t>
      </w:r>
      <w:r w:rsidRPr="00836CF7">
        <w:t xml:space="preserve">. Structural investigation of supply networks: A social network analysis approach. </w:t>
      </w:r>
      <w:r w:rsidRPr="00523DC7">
        <w:rPr>
          <w:i/>
        </w:rPr>
        <w:t>Journal of Operations Management</w:t>
      </w:r>
      <w:r w:rsidRPr="00836CF7">
        <w:t>, 29, 194-211.</w:t>
      </w:r>
    </w:p>
    <w:p w14:paraId="557DC2D7" w14:textId="04E6449C" w:rsidR="002E33E0" w:rsidRPr="002F5A14" w:rsidRDefault="002E33E0" w:rsidP="004864B0">
      <w:pPr>
        <w:pStyle w:val="Reference"/>
      </w:pPr>
      <w:r w:rsidRPr="002F5A14">
        <w:lastRenderedPageBreak/>
        <w:t xml:space="preserve">Kogut, B. </w:t>
      </w:r>
      <w:r w:rsidR="00A36ADE">
        <w:t>(</w:t>
      </w:r>
      <w:r w:rsidRPr="002F5A14">
        <w:t>1988</w:t>
      </w:r>
      <w:r w:rsidR="00A36ADE">
        <w:t>)</w:t>
      </w:r>
      <w:r w:rsidRPr="002F5A14">
        <w:t>. Joint ventures: Theoretical and empirical perspectives. </w:t>
      </w:r>
      <w:r w:rsidRPr="002F5A14">
        <w:rPr>
          <w:i/>
          <w:iCs/>
        </w:rPr>
        <w:t>Strategic Management Journal</w:t>
      </w:r>
      <w:r w:rsidRPr="002F5A14">
        <w:t>, </w:t>
      </w:r>
      <w:r w:rsidRPr="002F5A14">
        <w:rPr>
          <w:iCs/>
        </w:rPr>
        <w:t>9</w:t>
      </w:r>
      <w:r w:rsidRPr="002F5A14">
        <w:t>(4), 319-332.</w:t>
      </w:r>
    </w:p>
    <w:p w14:paraId="54A8A14C" w14:textId="65EEB971" w:rsidR="002E33E0" w:rsidRPr="002F5A14" w:rsidRDefault="002E33E0" w:rsidP="004864B0">
      <w:pPr>
        <w:pStyle w:val="Reference"/>
      </w:pPr>
      <w:r w:rsidRPr="002F5A14">
        <w:t xml:space="preserve">Kristal, M.M., Huang, X. and Roth, A.V. </w:t>
      </w:r>
      <w:r w:rsidR="00A36ADE">
        <w:t>(</w:t>
      </w:r>
      <w:r w:rsidRPr="002F5A14">
        <w:t>2010</w:t>
      </w:r>
      <w:r w:rsidR="00A36ADE">
        <w:t>)</w:t>
      </w:r>
      <w:r w:rsidRPr="002F5A14">
        <w:t>. The effect of an ambidextrous supply chain strategy on combinative competitive capabilities and business performance. </w:t>
      </w:r>
      <w:r w:rsidRPr="002F5A14">
        <w:rPr>
          <w:i/>
          <w:iCs/>
        </w:rPr>
        <w:t>Journal of Operations Management</w:t>
      </w:r>
      <w:r w:rsidRPr="002F5A14">
        <w:t>, </w:t>
      </w:r>
      <w:r w:rsidRPr="002F5A14">
        <w:rPr>
          <w:iCs/>
        </w:rPr>
        <w:t>28</w:t>
      </w:r>
      <w:r w:rsidRPr="002F5A14">
        <w:t>(5), 415-429.</w:t>
      </w:r>
    </w:p>
    <w:p w14:paraId="6440CFBA" w14:textId="079DEEAE" w:rsidR="002E33E0" w:rsidRDefault="002E33E0" w:rsidP="004864B0">
      <w:pPr>
        <w:pStyle w:val="Reference"/>
      </w:pPr>
      <w:r>
        <w:t xml:space="preserve">LaMattina, J. </w:t>
      </w:r>
      <w:r w:rsidR="00A36ADE">
        <w:t>(</w:t>
      </w:r>
      <w:r>
        <w:t>2018</w:t>
      </w:r>
      <w:r w:rsidR="00A36ADE">
        <w:t>)</w:t>
      </w:r>
      <w:r>
        <w:t xml:space="preserve">. About Those Soaring Pharma Profits. Forbes. Accessed online from </w:t>
      </w:r>
      <w:hyperlink r:id="rId15" w:anchor="73447a993f9d" w:history="1">
        <w:r w:rsidRPr="004E4FDD">
          <w:rPr>
            <w:rStyle w:val="Hyperlink"/>
          </w:rPr>
          <w:t>https://www.forbes.com/sites/johnlamattina/2018/01/23/about-those-soaring-pharma-profits/#73447a993f9d</w:t>
        </w:r>
      </w:hyperlink>
      <w:r>
        <w:t xml:space="preserve"> on Oct 26</w:t>
      </w:r>
      <w:r w:rsidRPr="00690D3B">
        <w:rPr>
          <w:vertAlign w:val="superscript"/>
        </w:rPr>
        <w:t>th</w:t>
      </w:r>
      <w:r>
        <w:t>, 2019.</w:t>
      </w:r>
    </w:p>
    <w:p w14:paraId="256DFAB9" w14:textId="3218FE72" w:rsidR="002E33E0" w:rsidRPr="002F5A14" w:rsidRDefault="002E33E0" w:rsidP="004864B0">
      <w:pPr>
        <w:pStyle w:val="Reference"/>
      </w:pPr>
      <w:r w:rsidRPr="002F5A14">
        <w:t xml:space="preserve">Lane, P.J. and Lubatkin, M. </w:t>
      </w:r>
      <w:r w:rsidR="00A36ADE">
        <w:t>(</w:t>
      </w:r>
      <w:r w:rsidRPr="002F5A14">
        <w:t>1998</w:t>
      </w:r>
      <w:r w:rsidR="00A36ADE">
        <w:t>)</w:t>
      </w:r>
      <w:r w:rsidRPr="002F5A14">
        <w:t>. Relative absorptive capacity and interorganizational learning. </w:t>
      </w:r>
      <w:r w:rsidRPr="002F5A14">
        <w:rPr>
          <w:i/>
          <w:iCs/>
        </w:rPr>
        <w:t>Strategic Management Journal</w:t>
      </w:r>
      <w:r w:rsidRPr="002F5A14">
        <w:t>, </w:t>
      </w:r>
      <w:r w:rsidRPr="002F5A14">
        <w:rPr>
          <w:iCs/>
        </w:rPr>
        <w:t>19</w:t>
      </w:r>
      <w:r w:rsidRPr="002F5A14">
        <w:t>(5), 461-477.</w:t>
      </w:r>
    </w:p>
    <w:p w14:paraId="0738511E" w14:textId="2EFAEE4A" w:rsidR="002E33E0" w:rsidRPr="002F5A14" w:rsidRDefault="002E33E0" w:rsidP="00B163B9">
      <w:pPr>
        <w:pStyle w:val="Reference"/>
      </w:pPr>
      <w:r w:rsidRPr="002F5A14">
        <w:t xml:space="preserve">Lavie, D. </w:t>
      </w:r>
      <w:r w:rsidR="00A36ADE">
        <w:t>(</w:t>
      </w:r>
      <w:r w:rsidRPr="002F5A14">
        <w:t>2007</w:t>
      </w:r>
      <w:r w:rsidR="00A36ADE">
        <w:t>)</w:t>
      </w:r>
      <w:r w:rsidRPr="002F5A14">
        <w:t xml:space="preserve">. Alliance portfolios and firm performance: A study of value creation and appropriation in the US software industry. </w:t>
      </w:r>
      <w:r w:rsidRPr="002F5A14">
        <w:rPr>
          <w:i/>
        </w:rPr>
        <w:t>Strategic Management Journal</w:t>
      </w:r>
      <w:r w:rsidRPr="002F5A14">
        <w:t>, 28(12), 1187-1212.</w:t>
      </w:r>
    </w:p>
    <w:p w14:paraId="168CB16F" w14:textId="36B15ED4" w:rsidR="002E33E0" w:rsidRPr="002F5A14" w:rsidRDefault="002E33E0" w:rsidP="00B163B9">
      <w:pPr>
        <w:pStyle w:val="Reference"/>
      </w:pPr>
      <w:r w:rsidRPr="002F5A14">
        <w:t xml:space="preserve">Li, S.X. and Greenwood R. </w:t>
      </w:r>
      <w:r w:rsidR="00A36ADE">
        <w:t>(</w:t>
      </w:r>
      <w:r w:rsidRPr="002F5A14">
        <w:t>2004</w:t>
      </w:r>
      <w:r w:rsidR="00A36ADE">
        <w:t>)</w:t>
      </w:r>
      <w:r w:rsidRPr="002F5A14">
        <w:t>. The effect of within</w:t>
      </w:r>
      <w:r w:rsidRPr="002F5A14">
        <w:rPr>
          <w:rFonts w:ascii="Cambria Math" w:hAnsi="Cambria Math" w:cs="Cambria Math"/>
        </w:rPr>
        <w:t>‐</w:t>
      </w:r>
      <w:r w:rsidRPr="002F5A14">
        <w:t>industry diversification on firm performance: synergy creation, multi</w:t>
      </w:r>
      <w:r w:rsidRPr="002F5A14">
        <w:rPr>
          <w:rFonts w:ascii="Cambria Math" w:hAnsi="Cambria Math" w:cs="Cambria Math"/>
        </w:rPr>
        <w:t>‐</w:t>
      </w:r>
      <w:r w:rsidRPr="002F5A14">
        <w:t xml:space="preserve">market contact and market structuration. </w:t>
      </w:r>
      <w:r w:rsidRPr="002F5A14">
        <w:rPr>
          <w:i/>
        </w:rPr>
        <w:t>Strategic Management Journal</w:t>
      </w:r>
      <w:r w:rsidR="00A36ADE">
        <w:t>,</w:t>
      </w:r>
      <w:r w:rsidRPr="002F5A14">
        <w:t xml:space="preserve"> 25(12</w:t>
      </w:r>
      <w:r w:rsidR="00A36ADE">
        <w:t>),</w:t>
      </w:r>
      <w:r w:rsidRPr="002F5A14">
        <w:t xml:space="preserve"> 1131-1153.</w:t>
      </w:r>
    </w:p>
    <w:p w14:paraId="2E7FB861" w14:textId="1F185BE3" w:rsidR="002E33E0" w:rsidRPr="002F5A14" w:rsidRDefault="002E33E0" w:rsidP="00B163B9">
      <w:pPr>
        <w:pStyle w:val="Reference"/>
      </w:pPr>
      <w:r w:rsidRPr="002F5A14">
        <w:t xml:space="preserve">Lieberman, M.B. and Asaba, S. </w:t>
      </w:r>
      <w:r w:rsidR="00A36ADE">
        <w:t>(</w:t>
      </w:r>
      <w:r w:rsidRPr="002F5A14">
        <w:t>2006</w:t>
      </w:r>
      <w:r w:rsidR="00A36ADE">
        <w:t>)</w:t>
      </w:r>
      <w:r w:rsidRPr="002F5A14">
        <w:t>. Why do firms imitate each other? </w:t>
      </w:r>
      <w:r w:rsidRPr="002F5A14">
        <w:rPr>
          <w:i/>
          <w:iCs/>
        </w:rPr>
        <w:t>Academy of Management Review</w:t>
      </w:r>
      <w:r w:rsidRPr="002F5A14">
        <w:t>, </w:t>
      </w:r>
      <w:r w:rsidRPr="002F5A14">
        <w:rPr>
          <w:iCs/>
        </w:rPr>
        <w:t>31</w:t>
      </w:r>
      <w:r w:rsidRPr="002F5A14">
        <w:t>(2), 366-385.</w:t>
      </w:r>
    </w:p>
    <w:p w14:paraId="74D13EE5" w14:textId="398CE494" w:rsidR="002E33E0" w:rsidRPr="002F5A14" w:rsidRDefault="002E33E0" w:rsidP="00B163B9">
      <w:pPr>
        <w:pStyle w:val="Reference"/>
      </w:pPr>
      <w:r w:rsidRPr="002F5A14">
        <w:t xml:space="preserve">Liebeskind, J.P., Oliver, A.L., Zucker. L., and Brewer M. </w:t>
      </w:r>
      <w:r w:rsidR="00A36ADE">
        <w:t>(</w:t>
      </w:r>
      <w:r w:rsidRPr="002F5A14">
        <w:t>1996</w:t>
      </w:r>
      <w:r w:rsidR="00A36ADE">
        <w:t>)</w:t>
      </w:r>
      <w:r w:rsidRPr="002F5A14">
        <w:t xml:space="preserve">. Social networks, learning, and flexibility: sourcing scientific knowledge in new biotechnology firms. </w:t>
      </w:r>
      <w:r w:rsidRPr="002F5A14">
        <w:rPr>
          <w:i/>
        </w:rPr>
        <w:t>Organization Science</w:t>
      </w:r>
      <w:r w:rsidR="00A36ADE">
        <w:t>,</w:t>
      </w:r>
      <w:r w:rsidRPr="002F5A14">
        <w:t xml:space="preserve"> 7</w:t>
      </w:r>
      <w:r w:rsidR="00A36ADE">
        <w:t>,</w:t>
      </w:r>
      <w:r w:rsidRPr="002F5A14">
        <w:t xml:space="preserve"> 428-443.</w:t>
      </w:r>
    </w:p>
    <w:p w14:paraId="1A66D958" w14:textId="77777777" w:rsidR="002E33E0" w:rsidRDefault="002E33E0" w:rsidP="004864B0">
      <w:pPr>
        <w:pStyle w:val="Reference"/>
      </w:pPr>
      <w:r w:rsidRPr="0027080D">
        <w:t>Machado, M. A., Ericsson, E., &amp; Verghese, G. (2014, July). New Product Development effectiveness: A pathway to sustainable competitive advantage. In </w:t>
      </w:r>
      <w:r w:rsidRPr="0027080D">
        <w:rPr>
          <w:i/>
          <w:iCs/>
        </w:rPr>
        <w:t>Proceedings of PICMET'14 Conference: Portland International Center for Management of Engineering and Technology; Infrastructure and Service Integration</w:t>
      </w:r>
      <w:r w:rsidRPr="0027080D">
        <w:t> (pp. 2111-2117). IEEE.</w:t>
      </w:r>
    </w:p>
    <w:p w14:paraId="76ACCC13" w14:textId="797E9F1E" w:rsidR="002E33E0" w:rsidRDefault="002E33E0" w:rsidP="004864B0">
      <w:pPr>
        <w:pStyle w:val="Reference"/>
      </w:pPr>
      <w:r w:rsidRPr="002F5A14">
        <w:t xml:space="preserve">Menguc, B., Auh, S. and </w:t>
      </w:r>
      <w:bookmarkStart w:id="3" w:name="_Hlk3194272"/>
      <w:r w:rsidRPr="002F5A14">
        <w:t>Yannopoulos</w:t>
      </w:r>
      <w:bookmarkEnd w:id="3"/>
      <w:r w:rsidRPr="002F5A14">
        <w:t xml:space="preserve">, P. </w:t>
      </w:r>
      <w:r w:rsidR="00A36ADE">
        <w:t>(</w:t>
      </w:r>
      <w:r w:rsidRPr="002F5A14">
        <w:t>2014</w:t>
      </w:r>
      <w:r w:rsidR="00A36ADE">
        <w:t>)</w:t>
      </w:r>
      <w:r w:rsidRPr="002F5A14">
        <w:t>. Customer and supplier involvement in design: The moderating role of incremental and radical innovation capability. </w:t>
      </w:r>
      <w:r w:rsidRPr="002F5A14">
        <w:rPr>
          <w:i/>
          <w:iCs/>
        </w:rPr>
        <w:t>Journal of Product Innovation Management</w:t>
      </w:r>
      <w:r w:rsidRPr="002F5A14">
        <w:t>, </w:t>
      </w:r>
      <w:r w:rsidRPr="002F5A14">
        <w:rPr>
          <w:iCs/>
        </w:rPr>
        <w:t>31</w:t>
      </w:r>
      <w:r w:rsidRPr="002F5A14">
        <w:t>(2), 313-328.</w:t>
      </w:r>
    </w:p>
    <w:p w14:paraId="55546AE2" w14:textId="239C0339" w:rsidR="00980A3F" w:rsidRPr="002F5A14" w:rsidRDefault="00980A3F" w:rsidP="004864B0">
      <w:pPr>
        <w:pStyle w:val="Reference"/>
      </w:pPr>
      <w:r w:rsidRPr="00980A3F">
        <w:t xml:space="preserve">Modi, S. B., &amp; Mabert, V. A. (2010). Exploring the relationship between efficient supply chain management and firm innovation: an archival search and analysis. </w:t>
      </w:r>
      <w:r w:rsidRPr="00523DC7">
        <w:rPr>
          <w:i/>
        </w:rPr>
        <w:t>Journal of Supply Chain Management</w:t>
      </w:r>
      <w:r w:rsidRPr="00980A3F">
        <w:t>, 46(4), 81-94.</w:t>
      </w:r>
    </w:p>
    <w:p w14:paraId="5E1DDD33" w14:textId="06CC56F6" w:rsidR="002E33E0" w:rsidRPr="002F5A14" w:rsidRDefault="002E33E0" w:rsidP="00B163B9">
      <w:pPr>
        <w:pStyle w:val="Reference"/>
      </w:pPr>
      <w:r w:rsidRPr="002F5A14">
        <w:t>Modi, S.B. and Mishra, S.</w:t>
      </w:r>
      <w:r w:rsidR="00A36ADE">
        <w:t xml:space="preserve"> (</w:t>
      </w:r>
      <w:r w:rsidRPr="002F5A14">
        <w:t>2011</w:t>
      </w:r>
      <w:r w:rsidR="00A36ADE">
        <w:t>)</w:t>
      </w:r>
      <w:r w:rsidRPr="002F5A14">
        <w:t>. What drives financial performance–resource efficiency or resource slack? Evidence from US based manufacturing firms from 1991 to 2006. </w:t>
      </w:r>
      <w:r w:rsidRPr="002F5A14">
        <w:rPr>
          <w:i/>
          <w:iCs/>
        </w:rPr>
        <w:t>Journal of Operations Management</w:t>
      </w:r>
      <w:r w:rsidRPr="002F5A14">
        <w:t>, </w:t>
      </w:r>
      <w:r w:rsidRPr="002F5A14">
        <w:rPr>
          <w:iCs/>
        </w:rPr>
        <w:t>29</w:t>
      </w:r>
      <w:r w:rsidRPr="002F5A14">
        <w:t>(3), 254-273.</w:t>
      </w:r>
    </w:p>
    <w:p w14:paraId="3ABBE7BC" w14:textId="30D2C4CB" w:rsidR="002E33E0" w:rsidRPr="002F5A14" w:rsidRDefault="002E33E0" w:rsidP="00B163B9">
      <w:pPr>
        <w:pStyle w:val="Reference"/>
      </w:pPr>
      <w:r w:rsidRPr="002F5A14">
        <w:t xml:space="preserve">Morton, F.M.S. </w:t>
      </w:r>
      <w:r w:rsidR="00A36ADE">
        <w:t>(</w:t>
      </w:r>
      <w:r w:rsidRPr="002F5A14">
        <w:t>1999</w:t>
      </w:r>
      <w:r w:rsidR="00A36ADE">
        <w:t>)</w:t>
      </w:r>
      <w:r w:rsidRPr="002F5A14">
        <w:t>. Entry decisions in the generic pharmaceutical industry. </w:t>
      </w:r>
      <w:r w:rsidRPr="002F5A14">
        <w:rPr>
          <w:i/>
          <w:iCs/>
        </w:rPr>
        <w:t>The Rand Journal of Economics</w:t>
      </w:r>
      <w:r w:rsidR="00A36ADE">
        <w:rPr>
          <w:iCs/>
        </w:rPr>
        <w:t>,</w:t>
      </w:r>
      <w:r w:rsidRPr="002F5A14">
        <w:rPr>
          <w:i/>
          <w:iCs/>
        </w:rPr>
        <w:t xml:space="preserve"> </w:t>
      </w:r>
      <w:r w:rsidRPr="00523DC7">
        <w:rPr>
          <w:iCs/>
        </w:rPr>
        <w:t>30(3)</w:t>
      </w:r>
      <w:r w:rsidR="00A36ADE">
        <w:rPr>
          <w:iCs/>
        </w:rPr>
        <w:t>,</w:t>
      </w:r>
      <w:r w:rsidRPr="002F5A14">
        <w:t xml:space="preserve"> 421-440.</w:t>
      </w:r>
    </w:p>
    <w:p w14:paraId="55B5FAF3" w14:textId="0F1BC5C4" w:rsidR="002E33E0" w:rsidRPr="002F5A14" w:rsidRDefault="002E33E0" w:rsidP="00B163B9">
      <w:pPr>
        <w:pStyle w:val="Reference"/>
      </w:pPr>
      <w:r w:rsidRPr="002F5A14">
        <w:t xml:space="preserve">Nair, A., Yan, T., Ro, Y.K., Oke, A., Chiles, T.H. and Lee, S.Y. </w:t>
      </w:r>
      <w:r w:rsidR="00A36ADE">
        <w:t>(</w:t>
      </w:r>
      <w:r w:rsidRPr="002F5A14">
        <w:t>2016</w:t>
      </w:r>
      <w:r w:rsidR="00A36ADE">
        <w:t>)</w:t>
      </w:r>
      <w:r w:rsidRPr="002F5A14">
        <w:t>. How environmental innovations emerge and proliferate in supply networks: A complex adaptive systems perspective. </w:t>
      </w:r>
      <w:r w:rsidRPr="002F5A14">
        <w:rPr>
          <w:i/>
          <w:iCs/>
        </w:rPr>
        <w:t>Journal of Supply Chain Management</w:t>
      </w:r>
      <w:r w:rsidRPr="002F5A14">
        <w:t>, </w:t>
      </w:r>
      <w:r w:rsidRPr="002F5A14">
        <w:rPr>
          <w:iCs/>
        </w:rPr>
        <w:t>52</w:t>
      </w:r>
      <w:r w:rsidRPr="002F5A14">
        <w:t>(2), 66-86.</w:t>
      </w:r>
    </w:p>
    <w:p w14:paraId="41692C72" w14:textId="24A8D6BC" w:rsidR="002E33E0" w:rsidRPr="002F5A14" w:rsidRDefault="002E33E0" w:rsidP="00B163B9">
      <w:pPr>
        <w:pStyle w:val="Reference"/>
      </w:pPr>
      <w:r w:rsidRPr="002F5A14">
        <w:t>Nakagawa, S., Johnson, P., and Schielzeth, H. (2017)</w:t>
      </w:r>
      <w:r w:rsidR="00A36ADE">
        <w:t>.</w:t>
      </w:r>
      <w:r w:rsidRPr="002F5A14">
        <w:t xml:space="preserve"> The coefficient of determination R</w:t>
      </w:r>
      <w:r w:rsidRPr="002F5A14">
        <w:rPr>
          <w:vertAlign w:val="superscript"/>
        </w:rPr>
        <w:t>2</w:t>
      </w:r>
      <w:r w:rsidRPr="002F5A14">
        <w:t xml:space="preserve"> and intraclass correlation coefficient from generalized linear mixed-effects models revisited and expanded. </w:t>
      </w:r>
      <w:r w:rsidRPr="002F5A14">
        <w:rPr>
          <w:i/>
        </w:rPr>
        <w:t xml:space="preserve">Journal of the Royal </w:t>
      </w:r>
      <w:r w:rsidRPr="00C21DF5">
        <w:rPr>
          <w:i/>
        </w:rPr>
        <w:t>Society I</w:t>
      </w:r>
      <w:r w:rsidRPr="009E5D8A">
        <w:rPr>
          <w:i/>
        </w:rPr>
        <w:t>nterface</w:t>
      </w:r>
      <w:r w:rsidR="009E5D8A">
        <w:t xml:space="preserve">, </w:t>
      </w:r>
      <w:r w:rsidRPr="00C21DF5">
        <w:t>14</w:t>
      </w:r>
      <w:r w:rsidR="009E5D8A">
        <w:t>(134)</w:t>
      </w:r>
      <w:r w:rsidRPr="002F5A14">
        <w:t>.</w:t>
      </w:r>
      <w:r w:rsidR="009E5D8A">
        <w:t xml:space="preserve"> </w:t>
      </w:r>
      <w:r w:rsidRPr="002F5A14">
        <w:t>20170213</w:t>
      </w:r>
      <w:r w:rsidR="009E5D8A">
        <w:t>.</w:t>
      </w:r>
    </w:p>
    <w:p w14:paraId="7ADAE807" w14:textId="265A5C2F" w:rsidR="002E33E0" w:rsidRPr="002F5A14" w:rsidRDefault="002E33E0" w:rsidP="00043278">
      <w:pPr>
        <w:pStyle w:val="Reference"/>
      </w:pPr>
      <w:r w:rsidRPr="002F5A14">
        <w:t>Narasimhan, R. and Narayanan, S.</w:t>
      </w:r>
      <w:r w:rsidR="009E5D8A">
        <w:t xml:space="preserve"> (</w:t>
      </w:r>
      <w:r w:rsidRPr="002F5A14">
        <w:t>2013</w:t>
      </w:r>
      <w:r w:rsidR="009E5D8A">
        <w:t>)</w:t>
      </w:r>
      <w:r w:rsidRPr="002F5A14">
        <w:t>. Perspectives on supply network–enabled innovations. </w:t>
      </w:r>
      <w:r w:rsidRPr="002F5A14">
        <w:rPr>
          <w:i/>
          <w:iCs/>
        </w:rPr>
        <w:t>Journal of Supply Chain Management</w:t>
      </w:r>
      <w:r w:rsidRPr="002F5A14">
        <w:t>, </w:t>
      </w:r>
      <w:r w:rsidRPr="002F5A14">
        <w:rPr>
          <w:iCs/>
        </w:rPr>
        <w:t>49</w:t>
      </w:r>
      <w:r w:rsidRPr="002F5A14">
        <w:t>(4), 27-42.</w:t>
      </w:r>
    </w:p>
    <w:p w14:paraId="3B0453D9" w14:textId="5ABB82B7" w:rsidR="002E33E0" w:rsidRPr="002F5A14" w:rsidRDefault="002E33E0" w:rsidP="00B163B9">
      <w:pPr>
        <w:pStyle w:val="Reference"/>
      </w:pPr>
      <w:r w:rsidRPr="002F5A14">
        <w:lastRenderedPageBreak/>
        <w:t xml:space="preserve">Ocasio, W. </w:t>
      </w:r>
      <w:r w:rsidR="009E5D8A">
        <w:t>(</w:t>
      </w:r>
      <w:r w:rsidRPr="002F5A14">
        <w:t>1997</w:t>
      </w:r>
      <w:r w:rsidR="009E5D8A">
        <w:t>)</w:t>
      </w:r>
      <w:r w:rsidRPr="002F5A14">
        <w:t xml:space="preserve">. Towards an attention-based view of the firm, </w:t>
      </w:r>
      <w:r w:rsidRPr="002F5A14">
        <w:rPr>
          <w:i/>
        </w:rPr>
        <w:t>Strategic Management Journal</w:t>
      </w:r>
      <w:r w:rsidR="009E5D8A">
        <w:t>,</w:t>
      </w:r>
      <w:r w:rsidRPr="002F5A14">
        <w:t xml:space="preserve"> 18</w:t>
      </w:r>
      <w:r w:rsidR="009E5D8A">
        <w:t>(S1),</w:t>
      </w:r>
      <w:r w:rsidRPr="002F5A14">
        <w:t xml:space="preserve"> 187-206.</w:t>
      </w:r>
    </w:p>
    <w:p w14:paraId="301176B0" w14:textId="1F1D86C5" w:rsidR="002E33E0" w:rsidRPr="002F5A14" w:rsidRDefault="002E33E0" w:rsidP="004864B0">
      <w:pPr>
        <w:pStyle w:val="Reference"/>
      </w:pPr>
      <w:r w:rsidRPr="002F5A14">
        <w:t xml:space="preserve">Paruchuri, S. </w:t>
      </w:r>
      <w:r w:rsidR="009E5D8A">
        <w:t>(</w:t>
      </w:r>
      <w:r w:rsidRPr="002F5A14">
        <w:t>2010</w:t>
      </w:r>
      <w:r w:rsidR="009E5D8A">
        <w:t>)</w:t>
      </w:r>
      <w:r w:rsidRPr="002F5A14">
        <w:t>. Intraorganizational networks, interorganizational networks, and the impact of central inventors: A longitudinal study of pharmaceutical firms. </w:t>
      </w:r>
      <w:r w:rsidRPr="002F5A14">
        <w:rPr>
          <w:i/>
          <w:iCs/>
        </w:rPr>
        <w:t>Organization Science</w:t>
      </w:r>
      <w:r w:rsidRPr="002F5A14">
        <w:t>, </w:t>
      </w:r>
      <w:r w:rsidRPr="00523DC7">
        <w:rPr>
          <w:iCs/>
        </w:rPr>
        <w:t>21</w:t>
      </w:r>
      <w:r w:rsidRPr="002F5A14">
        <w:t xml:space="preserve">(1), 63-80. </w:t>
      </w:r>
    </w:p>
    <w:p w14:paraId="29030306" w14:textId="7691EDA4" w:rsidR="002E33E0" w:rsidRPr="002F5A14" w:rsidRDefault="002E33E0" w:rsidP="004864B0">
      <w:pPr>
        <w:pStyle w:val="Reference"/>
      </w:pPr>
      <w:r w:rsidRPr="002F5A14">
        <w:t xml:space="preserve">Petersen, K.J., Handfield, R.B., and Ragatz, G.L. </w:t>
      </w:r>
      <w:r w:rsidR="009E5D8A">
        <w:t>(</w:t>
      </w:r>
      <w:r w:rsidRPr="002F5A14">
        <w:t>2003</w:t>
      </w:r>
      <w:r w:rsidR="009E5D8A">
        <w:t>)</w:t>
      </w:r>
      <w:r w:rsidRPr="002F5A14">
        <w:t>. A model of supplier integration into new product development. </w:t>
      </w:r>
      <w:r w:rsidRPr="002F5A14">
        <w:rPr>
          <w:i/>
          <w:iCs/>
        </w:rPr>
        <w:t>Journal of Product Innovation Management</w:t>
      </w:r>
      <w:r w:rsidRPr="002F5A14">
        <w:t>, </w:t>
      </w:r>
      <w:r w:rsidRPr="002F5A14">
        <w:rPr>
          <w:iCs/>
        </w:rPr>
        <w:t>20</w:t>
      </w:r>
      <w:r w:rsidRPr="002F5A14">
        <w:t>(4), 284-299.</w:t>
      </w:r>
    </w:p>
    <w:p w14:paraId="7397C2C9" w14:textId="32DECA06" w:rsidR="002E33E0" w:rsidRPr="002F5A14" w:rsidRDefault="002E33E0" w:rsidP="004864B0">
      <w:pPr>
        <w:pStyle w:val="Reference"/>
      </w:pPr>
      <w:r w:rsidRPr="002F5A14">
        <w:t>Pisano, G.P.</w:t>
      </w:r>
      <w:r w:rsidR="009E5D8A">
        <w:t xml:space="preserve"> (</w:t>
      </w:r>
      <w:r w:rsidRPr="002F5A14">
        <w:t>2017</w:t>
      </w:r>
      <w:r w:rsidR="009E5D8A">
        <w:t>)</w:t>
      </w:r>
      <w:r w:rsidRPr="002F5A14">
        <w:t>. Toward a prescriptive theory of dynamic capabilities: connecting strategic choice, learning, and competition. </w:t>
      </w:r>
      <w:r w:rsidRPr="002F5A14">
        <w:rPr>
          <w:i/>
          <w:iCs/>
        </w:rPr>
        <w:t>Industrial and Corporate Change</w:t>
      </w:r>
      <w:r w:rsidRPr="002F5A14">
        <w:t>, </w:t>
      </w:r>
      <w:r w:rsidRPr="002F5A14">
        <w:rPr>
          <w:iCs/>
        </w:rPr>
        <w:t>26</w:t>
      </w:r>
      <w:r w:rsidRPr="002F5A14">
        <w:t>(5), 747-762.</w:t>
      </w:r>
    </w:p>
    <w:p w14:paraId="20188F69" w14:textId="66CB007A" w:rsidR="002E33E0" w:rsidRPr="002F5A14" w:rsidRDefault="002E33E0" w:rsidP="00B163B9">
      <w:pPr>
        <w:pStyle w:val="Reference"/>
      </w:pPr>
      <w:r w:rsidRPr="002F5A14">
        <w:t xml:space="preserve">Porter, M.E. </w:t>
      </w:r>
      <w:r w:rsidR="009E5D8A">
        <w:t>(</w:t>
      </w:r>
      <w:r w:rsidRPr="002F5A14">
        <w:t>1980</w:t>
      </w:r>
      <w:r w:rsidR="009E5D8A">
        <w:t>)</w:t>
      </w:r>
      <w:r w:rsidRPr="002F5A14">
        <w:t xml:space="preserve">. </w:t>
      </w:r>
      <w:r w:rsidRPr="002F5A14">
        <w:rPr>
          <w:i/>
        </w:rPr>
        <w:t>Competitive strategy: techniques for analyzing industries and competitors</w:t>
      </w:r>
      <w:r w:rsidRPr="002F5A14">
        <w:t>. Free Press; New York.</w:t>
      </w:r>
    </w:p>
    <w:p w14:paraId="69426252" w14:textId="27F928D7" w:rsidR="002E33E0" w:rsidRPr="002F5A14" w:rsidRDefault="002E33E0" w:rsidP="008641FE">
      <w:pPr>
        <w:pStyle w:val="Reference"/>
      </w:pPr>
      <w:r w:rsidRPr="002F5A14">
        <w:t xml:space="preserve">Roberts, M.R. and Whited, T.M. </w:t>
      </w:r>
      <w:r w:rsidR="009E5D8A">
        <w:t>(</w:t>
      </w:r>
      <w:r w:rsidRPr="002F5A14">
        <w:t>2013</w:t>
      </w:r>
      <w:r w:rsidR="009E5D8A">
        <w:t>)</w:t>
      </w:r>
      <w:r w:rsidRPr="002F5A14">
        <w:t>. Endogeneity in empirical corporate finance. In </w:t>
      </w:r>
      <w:r w:rsidRPr="002F5A14">
        <w:rPr>
          <w:i/>
          <w:iCs/>
        </w:rPr>
        <w:t>Handbook of the Economics of Finance</w:t>
      </w:r>
      <w:r w:rsidRPr="002F5A14">
        <w:t> (Vol. 2, pp. 493-572). Elsevier.</w:t>
      </w:r>
    </w:p>
    <w:p w14:paraId="32C2BFF4" w14:textId="545097D9" w:rsidR="002E33E0" w:rsidRPr="002F5A14" w:rsidRDefault="002E33E0" w:rsidP="008641FE">
      <w:pPr>
        <w:pStyle w:val="Reference"/>
      </w:pPr>
      <w:r w:rsidRPr="002F5A14">
        <w:t xml:space="preserve">Rothaermel, F.T. and Deeds, D.L. </w:t>
      </w:r>
      <w:r w:rsidR="009E5D8A">
        <w:t>(</w:t>
      </w:r>
      <w:r w:rsidRPr="002F5A14">
        <w:t>2004</w:t>
      </w:r>
      <w:r w:rsidR="009E5D8A">
        <w:t>)</w:t>
      </w:r>
      <w:r w:rsidRPr="002F5A14">
        <w:t>. Exploration and exploitation alliances in biotechnology: A system of new product development. </w:t>
      </w:r>
      <w:r w:rsidRPr="002F5A14">
        <w:rPr>
          <w:i/>
          <w:iCs/>
        </w:rPr>
        <w:t>Strategic Management Journal</w:t>
      </w:r>
      <w:r w:rsidRPr="002F5A14">
        <w:t>, </w:t>
      </w:r>
      <w:r w:rsidRPr="002F5A14">
        <w:rPr>
          <w:iCs/>
        </w:rPr>
        <w:t>25</w:t>
      </w:r>
      <w:r w:rsidRPr="002F5A14">
        <w:t xml:space="preserve">(3), 201-221. </w:t>
      </w:r>
    </w:p>
    <w:p w14:paraId="744AB726" w14:textId="15B5A65D" w:rsidR="002E33E0" w:rsidRPr="002F5A14" w:rsidRDefault="002E33E0" w:rsidP="00B163B9">
      <w:pPr>
        <w:pStyle w:val="Reference"/>
      </w:pPr>
      <w:r w:rsidRPr="002F5A14">
        <w:t xml:space="preserve">Schilling, M.A. </w:t>
      </w:r>
      <w:r w:rsidR="009E5D8A">
        <w:t>(</w:t>
      </w:r>
      <w:r w:rsidRPr="002F5A14">
        <w:t>2009</w:t>
      </w:r>
      <w:r w:rsidR="009E5D8A">
        <w:t>)</w:t>
      </w:r>
      <w:r w:rsidRPr="002F5A14">
        <w:t>. Understanding the alliance data. </w:t>
      </w:r>
      <w:r w:rsidRPr="002F5A14">
        <w:rPr>
          <w:i/>
          <w:iCs/>
        </w:rPr>
        <w:t>Strategic Management Journal</w:t>
      </w:r>
      <w:r w:rsidRPr="002F5A14">
        <w:t>, </w:t>
      </w:r>
      <w:r w:rsidRPr="002F5A14">
        <w:rPr>
          <w:iCs/>
        </w:rPr>
        <w:t>30</w:t>
      </w:r>
      <w:r w:rsidRPr="002F5A14">
        <w:t>(3), 233-260.</w:t>
      </w:r>
    </w:p>
    <w:p w14:paraId="71611FE4" w14:textId="74BBE81E" w:rsidR="002E33E0" w:rsidRPr="002F5A14" w:rsidRDefault="002E33E0" w:rsidP="00CB4B74">
      <w:pPr>
        <w:pStyle w:val="Reference"/>
      </w:pPr>
      <w:r w:rsidRPr="002F5A14">
        <w:t xml:space="preserve">Schilling, M.A. </w:t>
      </w:r>
      <w:r w:rsidR="009E5D8A">
        <w:t>(</w:t>
      </w:r>
      <w:r w:rsidRPr="002F5A14">
        <w:t>2015</w:t>
      </w:r>
      <w:r w:rsidR="009E5D8A">
        <w:t>)</w:t>
      </w:r>
      <w:r w:rsidRPr="002F5A14">
        <w:t xml:space="preserve">. </w:t>
      </w:r>
      <w:r w:rsidRPr="002F5A14">
        <w:rPr>
          <w:i/>
          <w:iCs/>
        </w:rPr>
        <w:t>The Strategic Management of Technology</w:t>
      </w:r>
      <w:r w:rsidRPr="002F5A14">
        <w:t>, </w:t>
      </w:r>
      <w:r w:rsidRPr="002F5A14">
        <w:rPr>
          <w:iCs/>
        </w:rPr>
        <w:t>McGraw Hill, New York</w:t>
      </w:r>
      <w:r w:rsidRPr="002F5A14">
        <w:t>.</w:t>
      </w:r>
    </w:p>
    <w:p w14:paraId="36116E08" w14:textId="67C4B8CA" w:rsidR="002E33E0" w:rsidRPr="002F5A14" w:rsidRDefault="002E33E0" w:rsidP="00B163B9">
      <w:pPr>
        <w:pStyle w:val="Reference"/>
      </w:pPr>
      <w:r w:rsidRPr="002F5A14">
        <w:t>Schumpeter, J.A.</w:t>
      </w:r>
      <w:r w:rsidR="009E5D8A">
        <w:t xml:space="preserve"> (</w:t>
      </w:r>
      <w:r w:rsidRPr="002F5A14">
        <w:t>1934/2017</w:t>
      </w:r>
      <w:r w:rsidR="009E5D8A">
        <w:t>)</w:t>
      </w:r>
      <w:r w:rsidRPr="002F5A14">
        <w:t>. </w:t>
      </w:r>
      <w:r w:rsidRPr="002F5A14">
        <w:rPr>
          <w:i/>
          <w:iCs/>
        </w:rPr>
        <w:t>Theory of economic development</w:t>
      </w:r>
      <w:r w:rsidRPr="002F5A14">
        <w:t>. Routledge; London.</w:t>
      </w:r>
    </w:p>
    <w:p w14:paraId="55B6FAA7" w14:textId="187BE833" w:rsidR="002E33E0" w:rsidRPr="002F5A14" w:rsidRDefault="002E33E0" w:rsidP="00B163B9">
      <w:pPr>
        <w:pStyle w:val="Reference"/>
      </w:pPr>
      <w:r w:rsidRPr="002F5A14">
        <w:t xml:space="preserve">SDC Platinum. </w:t>
      </w:r>
      <w:r w:rsidR="009E5D8A">
        <w:t>(</w:t>
      </w:r>
      <w:r w:rsidRPr="002F5A14">
        <w:t>2018</w:t>
      </w:r>
      <w:r w:rsidR="009E5D8A">
        <w:t>)</w:t>
      </w:r>
      <w:r w:rsidRPr="002F5A14">
        <w:t>. SDC Platinum. Thomson Reuters. [Online]. Available at: Subscription Service (Accessed: January 28, 2018)</w:t>
      </w:r>
      <w:r w:rsidR="009E5D8A">
        <w:t>.</w:t>
      </w:r>
    </w:p>
    <w:p w14:paraId="67BAB906" w14:textId="5E30112B" w:rsidR="002E33E0" w:rsidRPr="002F5A14" w:rsidRDefault="002E33E0" w:rsidP="00043278">
      <w:pPr>
        <w:pStyle w:val="Reference"/>
      </w:pPr>
      <w:r w:rsidRPr="002F5A14">
        <w:t>Shaver, J.M.</w:t>
      </w:r>
      <w:r w:rsidR="009E5D8A">
        <w:t xml:space="preserve"> (</w:t>
      </w:r>
      <w:r w:rsidRPr="002F5A14">
        <w:t>1998</w:t>
      </w:r>
      <w:r w:rsidR="009E5D8A">
        <w:t>)</w:t>
      </w:r>
      <w:r w:rsidRPr="002F5A14">
        <w:t>. Accounting for endogeneity when assessing strategy performance: does entry mode choice affect FDI survival? </w:t>
      </w:r>
      <w:r w:rsidRPr="002F5A14">
        <w:rPr>
          <w:i/>
          <w:iCs/>
        </w:rPr>
        <w:t>Management Science</w:t>
      </w:r>
      <w:r w:rsidRPr="002F5A14">
        <w:t>, </w:t>
      </w:r>
      <w:r w:rsidRPr="002F5A14">
        <w:rPr>
          <w:iCs/>
        </w:rPr>
        <w:t>44</w:t>
      </w:r>
      <w:r w:rsidRPr="002F5A14">
        <w:t>(4), 571-585.</w:t>
      </w:r>
    </w:p>
    <w:p w14:paraId="01590BA7" w14:textId="7255ACE8" w:rsidR="002E33E0" w:rsidRPr="002F5A14" w:rsidRDefault="002E33E0" w:rsidP="00043278">
      <w:pPr>
        <w:pStyle w:val="Reference"/>
      </w:pPr>
      <w:r w:rsidRPr="002F5A14">
        <w:t>Sirmon, D.G., Hitt, M.A. and Ireland, R.D.</w:t>
      </w:r>
      <w:r w:rsidR="009E5D8A">
        <w:t xml:space="preserve"> (</w:t>
      </w:r>
      <w:r w:rsidRPr="002F5A14">
        <w:t>2007</w:t>
      </w:r>
      <w:r w:rsidR="009E5D8A">
        <w:t>)</w:t>
      </w:r>
      <w:r w:rsidRPr="002F5A14">
        <w:t>. Managing firm resources in dynamic environments to create value: Looking inside the black box. </w:t>
      </w:r>
      <w:r w:rsidRPr="002F5A14">
        <w:rPr>
          <w:i/>
          <w:iCs/>
        </w:rPr>
        <w:t>Academy of Management Review</w:t>
      </w:r>
      <w:r w:rsidRPr="002F5A14">
        <w:t>, </w:t>
      </w:r>
      <w:r w:rsidRPr="002F5A14">
        <w:rPr>
          <w:iCs/>
        </w:rPr>
        <w:t>32</w:t>
      </w:r>
      <w:r w:rsidRPr="002F5A14">
        <w:t xml:space="preserve">(1), 273-292. </w:t>
      </w:r>
    </w:p>
    <w:p w14:paraId="5020AB6E" w14:textId="33B8BD03" w:rsidR="002E33E0" w:rsidRPr="002F5A14" w:rsidRDefault="002E33E0" w:rsidP="00B163B9">
      <w:pPr>
        <w:pStyle w:val="Reference"/>
      </w:pPr>
      <w:r w:rsidRPr="002F5A14">
        <w:t xml:space="preserve">Skilton, P.F. and Bernardes, E. </w:t>
      </w:r>
      <w:r w:rsidR="009E5D8A">
        <w:t>(</w:t>
      </w:r>
      <w:r w:rsidRPr="002F5A14">
        <w:t>2015</w:t>
      </w:r>
      <w:r w:rsidR="009E5D8A">
        <w:t>)</w:t>
      </w:r>
      <w:r w:rsidRPr="002F5A14">
        <w:t xml:space="preserve">. Competition network structure and product-market entry. </w:t>
      </w:r>
      <w:r w:rsidRPr="002F5A14">
        <w:rPr>
          <w:i/>
        </w:rPr>
        <w:t>Strategic Management Journal</w:t>
      </w:r>
      <w:r w:rsidR="009E5D8A">
        <w:t>,</w:t>
      </w:r>
      <w:r w:rsidRPr="002F5A14">
        <w:t xml:space="preserve"> 36(11)</w:t>
      </w:r>
      <w:r w:rsidR="009E5D8A">
        <w:t>,</w:t>
      </w:r>
      <w:r w:rsidRPr="002F5A14">
        <w:t xml:space="preserve"> 1688-1696.</w:t>
      </w:r>
    </w:p>
    <w:p w14:paraId="105D89C9" w14:textId="691691D3" w:rsidR="002E33E0" w:rsidRPr="002F5A14" w:rsidRDefault="002E33E0" w:rsidP="00043278">
      <w:pPr>
        <w:pStyle w:val="Reference"/>
      </w:pPr>
      <w:r w:rsidRPr="002F5A14">
        <w:t xml:space="preserve">Skilton, P.F. </w:t>
      </w:r>
      <w:r w:rsidR="009E5D8A">
        <w:t>(</w:t>
      </w:r>
      <w:r w:rsidRPr="002F5A14">
        <w:t>2014</w:t>
      </w:r>
      <w:r w:rsidR="009E5D8A">
        <w:t>)</w:t>
      </w:r>
      <w:r w:rsidRPr="002F5A14">
        <w:t>. Value creation, value capture, and supply chain structure: Understanding resource–based advantage in a project–based industry. </w:t>
      </w:r>
      <w:r w:rsidRPr="002F5A14">
        <w:rPr>
          <w:i/>
          <w:iCs/>
        </w:rPr>
        <w:t>Journal of Supply Chain Management</w:t>
      </w:r>
      <w:r w:rsidRPr="002F5A14">
        <w:t>, </w:t>
      </w:r>
      <w:r w:rsidRPr="002F5A14">
        <w:rPr>
          <w:iCs/>
        </w:rPr>
        <w:t>50</w:t>
      </w:r>
      <w:r w:rsidRPr="002F5A14">
        <w:t>(3), 74-93.</w:t>
      </w:r>
    </w:p>
    <w:p w14:paraId="6F7B9565" w14:textId="6FDED8CE" w:rsidR="002E33E0" w:rsidRPr="002F5A14" w:rsidRDefault="002E33E0" w:rsidP="00B163B9">
      <w:pPr>
        <w:pStyle w:val="Reference"/>
      </w:pPr>
      <w:r w:rsidRPr="002F5A14">
        <w:t xml:space="preserve">Srinivasan R., Haunschild P., and Grewal, R. </w:t>
      </w:r>
      <w:r w:rsidR="009E5D8A">
        <w:t>(</w:t>
      </w:r>
      <w:r w:rsidRPr="002F5A14">
        <w:t>2007</w:t>
      </w:r>
      <w:r w:rsidR="009E5D8A">
        <w:t>)</w:t>
      </w:r>
      <w:r w:rsidRPr="002F5A14">
        <w:t xml:space="preserve">. Vicarious learning in new product introductions in the early years of a converging market. </w:t>
      </w:r>
      <w:r w:rsidRPr="002F5A14">
        <w:rPr>
          <w:i/>
        </w:rPr>
        <w:t>Management Science</w:t>
      </w:r>
      <w:r w:rsidR="00033813" w:rsidRPr="00523DC7">
        <w:t>,</w:t>
      </w:r>
      <w:r w:rsidRPr="002F5A14">
        <w:t xml:space="preserve"> 53</w:t>
      </w:r>
      <w:r w:rsidR="00033813">
        <w:t>,</w:t>
      </w:r>
      <w:r w:rsidRPr="002F5A14">
        <w:t xml:space="preserve"> 16-28.</w:t>
      </w:r>
    </w:p>
    <w:p w14:paraId="731F386D" w14:textId="7C9F9962" w:rsidR="002E33E0" w:rsidRPr="002F5A14" w:rsidRDefault="002E33E0" w:rsidP="004864B0">
      <w:pPr>
        <w:pStyle w:val="Reference"/>
      </w:pPr>
      <w:r w:rsidRPr="002F5A14">
        <w:t>Sydöw, J.</w:t>
      </w:r>
      <w:r w:rsidR="009E5D8A">
        <w:t xml:space="preserve"> (</w:t>
      </w:r>
      <w:r w:rsidRPr="002F5A14">
        <w:t>2017</w:t>
      </w:r>
      <w:r w:rsidR="009E5D8A">
        <w:t>)</w:t>
      </w:r>
      <w:r w:rsidRPr="002F5A14">
        <w:t xml:space="preserve"> Managing Inter-organizational Networks – Governance and Practices between Path Dependence and Uncertainty, in Hollstein, B./Matiaske, W./Schnapp, K.-U. (eds.), </w:t>
      </w:r>
      <w:r w:rsidRPr="002F5A14">
        <w:rPr>
          <w:i/>
        </w:rPr>
        <w:t>Networked Governance</w:t>
      </w:r>
      <w:r w:rsidRPr="002F5A14">
        <w:t>. Springer. Berlin, 43-53.</w:t>
      </w:r>
    </w:p>
    <w:p w14:paraId="0FC4ADCE" w14:textId="61E62246" w:rsidR="002E33E0" w:rsidRDefault="002E33E0" w:rsidP="004864B0">
      <w:pPr>
        <w:pStyle w:val="Reference"/>
        <w:rPr>
          <w:rFonts w:ascii="Arial" w:eastAsia="Calibri" w:hAnsi="Arial" w:cs="Arial"/>
          <w:color w:val="222222"/>
          <w:sz w:val="20"/>
          <w:szCs w:val="20"/>
          <w:shd w:val="clear" w:color="auto" w:fill="FFFFFF"/>
        </w:rPr>
      </w:pPr>
      <w:r w:rsidRPr="002F5A14">
        <w:t xml:space="preserve">Teece, D.J. </w:t>
      </w:r>
      <w:r w:rsidR="009E5D8A">
        <w:t>(</w:t>
      </w:r>
      <w:r w:rsidRPr="002F5A14">
        <w:t>2017</w:t>
      </w:r>
      <w:r w:rsidR="009E5D8A">
        <w:t>)</w:t>
      </w:r>
      <w:r w:rsidRPr="002F5A14">
        <w:t>. Towards a capability theory of (innovating) firms: implications for management and policy. </w:t>
      </w:r>
      <w:r w:rsidRPr="002F5A14">
        <w:rPr>
          <w:i/>
          <w:iCs/>
        </w:rPr>
        <w:t>Cambridge Journal of Economics</w:t>
      </w:r>
      <w:r w:rsidRPr="002F5A14">
        <w:t>, </w:t>
      </w:r>
      <w:r w:rsidRPr="002F5A14">
        <w:rPr>
          <w:iCs/>
        </w:rPr>
        <w:t>41</w:t>
      </w:r>
      <w:r w:rsidRPr="002F5A14">
        <w:t>(3), 693-720.</w:t>
      </w:r>
      <w:r w:rsidRPr="002F5A14">
        <w:rPr>
          <w:rFonts w:ascii="Arial" w:eastAsia="Calibri" w:hAnsi="Arial" w:cs="Arial"/>
          <w:color w:val="222222"/>
          <w:sz w:val="20"/>
          <w:szCs w:val="20"/>
          <w:shd w:val="clear" w:color="auto" w:fill="FFFFFF"/>
        </w:rPr>
        <w:t xml:space="preserve"> </w:t>
      </w:r>
    </w:p>
    <w:p w14:paraId="074C6339" w14:textId="413F55C9" w:rsidR="002E33E0" w:rsidRPr="002F5A14" w:rsidRDefault="002E33E0" w:rsidP="00B163B9">
      <w:pPr>
        <w:pStyle w:val="Reference"/>
      </w:pPr>
      <w:r w:rsidRPr="002F5A14">
        <w:t>Tsai W, Su, K., and Chen, M.</w:t>
      </w:r>
      <w:r w:rsidR="009E5D8A">
        <w:t xml:space="preserve"> (</w:t>
      </w:r>
      <w:r w:rsidRPr="002F5A14">
        <w:t>2011</w:t>
      </w:r>
      <w:r w:rsidR="009E5D8A">
        <w:t>)</w:t>
      </w:r>
      <w:r w:rsidRPr="002F5A14">
        <w:t xml:space="preserve">. Seeing Through the eyes of a rival: Competitor acumen based on rival-centric perceptions. </w:t>
      </w:r>
      <w:r w:rsidRPr="002F5A14">
        <w:rPr>
          <w:i/>
        </w:rPr>
        <w:t>Academy of Management Journal</w:t>
      </w:r>
      <w:r w:rsidR="009E5D8A">
        <w:t xml:space="preserve">, </w:t>
      </w:r>
      <w:r w:rsidRPr="002F5A14">
        <w:t>54(4)</w:t>
      </w:r>
      <w:r w:rsidR="009E5D8A">
        <w:t>,</w:t>
      </w:r>
      <w:r w:rsidRPr="002F5A14">
        <w:t xml:space="preserve"> 761-778.</w:t>
      </w:r>
    </w:p>
    <w:p w14:paraId="18873BB4" w14:textId="3EEFC2CE" w:rsidR="002E33E0" w:rsidRPr="002F5A14" w:rsidRDefault="002E33E0" w:rsidP="004864B0">
      <w:pPr>
        <w:pStyle w:val="Reference"/>
      </w:pPr>
      <w:r w:rsidRPr="002F5A14">
        <w:t xml:space="preserve">Tsai, W. </w:t>
      </w:r>
      <w:r w:rsidR="009E5D8A">
        <w:t>(</w:t>
      </w:r>
      <w:r w:rsidRPr="002F5A14">
        <w:t>2001</w:t>
      </w:r>
      <w:r w:rsidR="009E5D8A">
        <w:t>)</w:t>
      </w:r>
      <w:r w:rsidRPr="002F5A14">
        <w:t>. Knowledge transfer in intraorganizational networks: Effects of network position and absorptive capacity on business unit innovation and performance. </w:t>
      </w:r>
      <w:r w:rsidRPr="002F5A14">
        <w:rPr>
          <w:i/>
          <w:iCs/>
        </w:rPr>
        <w:t>Academy of Management Journal</w:t>
      </w:r>
      <w:r w:rsidRPr="002F5A14">
        <w:t>, </w:t>
      </w:r>
      <w:r w:rsidRPr="002F5A14">
        <w:rPr>
          <w:iCs/>
        </w:rPr>
        <w:t>44</w:t>
      </w:r>
      <w:r w:rsidRPr="002F5A14">
        <w:t>(5), 996-1004.</w:t>
      </w:r>
    </w:p>
    <w:p w14:paraId="170A327F" w14:textId="322C1FFD" w:rsidR="002E33E0" w:rsidRPr="002F5A14" w:rsidRDefault="002E33E0" w:rsidP="00043278">
      <w:pPr>
        <w:pStyle w:val="Reference"/>
      </w:pPr>
      <w:r w:rsidRPr="002F5A14">
        <w:lastRenderedPageBreak/>
        <w:t xml:space="preserve">Wagner, S.M. </w:t>
      </w:r>
      <w:r w:rsidR="009E5D8A">
        <w:t>(</w:t>
      </w:r>
      <w:r w:rsidRPr="002F5A14">
        <w:t>2012</w:t>
      </w:r>
      <w:r w:rsidR="009E5D8A">
        <w:t>)</w:t>
      </w:r>
      <w:r w:rsidRPr="002F5A14">
        <w:t>. Tapping supplier innovation. </w:t>
      </w:r>
      <w:r w:rsidRPr="002F5A14">
        <w:rPr>
          <w:i/>
          <w:iCs/>
        </w:rPr>
        <w:t>Journal of Supply Chain Management</w:t>
      </w:r>
      <w:r w:rsidRPr="002F5A14">
        <w:t>, </w:t>
      </w:r>
      <w:r w:rsidRPr="002F5A14">
        <w:rPr>
          <w:iCs/>
        </w:rPr>
        <w:t>48</w:t>
      </w:r>
      <w:r w:rsidRPr="002F5A14">
        <w:t>(2), 37-52.</w:t>
      </w:r>
    </w:p>
    <w:p w14:paraId="7D3FFE43" w14:textId="1E3EE37C" w:rsidR="002E33E0" w:rsidRPr="002F5A14" w:rsidRDefault="002E33E0" w:rsidP="00B163B9">
      <w:pPr>
        <w:pStyle w:val="Reference"/>
      </w:pPr>
      <w:r w:rsidRPr="002F5A14">
        <w:t xml:space="preserve">Whittington, K.B., Owen-Smith, J., and Powell, W.W. </w:t>
      </w:r>
      <w:r w:rsidR="009E5D8A">
        <w:t>(</w:t>
      </w:r>
      <w:r w:rsidRPr="002F5A14">
        <w:t>2009</w:t>
      </w:r>
      <w:r w:rsidR="009E5D8A">
        <w:t>)</w:t>
      </w:r>
      <w:r w:rsidRPr="002F5A14">
        <w:t xml:space="preserve">. Networks, propinquity, and innovation in knowledge-intensive industries. </w:t>
      </w:r>
      <w:r w:rsidRPr="002F5A14">
        <w:rPr>
          <w:i/>
        </w:rPr>
        <w:t>Administrative Science Quarterly</w:t>
      </w:r>
      <w:r w:rsidR="009E5D8A">
        <w:t>,</w:t>
      </w:r>
      <w:r w:rsidRPr="002F5A14">
        <w:t xml:space="preserve"> 54</w:t>
      </w:r>
      <w:r w:rsidR="009E5D8A">
        <w:t>(1),</w:t>
      </w:r>
      <w:r w:rsidRPr="002F5A14">
        <w:t xml:space="preserve"> 90-122.</w:t>
      </w:r>
    </w:p>
    <w:p w14:paraId="1B0A3F29" w14:textId="26501065" w:rsidR="002E33E0" w:rsidRPr="002F5A14" w:rsidRDefault="002E33E0" w:rsidP="00B163B9">
      <w:pPr>
        <w:pStyle w:val="Reference"/>
      </w:pPr>
      <w:r w:rsidRPr="002F5A14">
        <w:t xml:space="preserve">Wichmann, B.K., Carter, C.R., Kaufmann, L. and Wilson, J.R. </w:t>
      </w:r>
      <w:r w:rsidR="009E5D8A">
        <w:t>(</w:t>
      </w:r>
      <w:r w:rsidRPr="002F5A14">
        <w:t>2016</w:t>
      </w:r>
      <w:r w:rsidR="009E5D8A">
        <w:t>)</w:t>
      </w:r>
      <w:r w:rsidRPr="002F5A14">
        <w:t>. Making environmental SCM initiatives work—Moving beyond the dyad to gain affective commitment. </w:t>
      </w:r>
      <w:r w:rsidRPr="002F5A14">
        <w:rPr>
          <w:i/>
          <w:iCs/>
        </w:rPr>
        <w:t>Journal of Supply Chain Management</w:t>
      </w:r>
      <w:r w:rsidRPr="002F5A14">
        <w:t>, </w:t>
      </w:r>
      <w:r w:rsidRPr="002F5A14">
        <w:rPr>
          <w:iCs/>
        </w:rPr>
        <w:t>52</w:t>
      </w:r>
      <w:r w:rsidRPr="002F5A14">
        <w:t>(1), 21-40.</w:t>
      </w:r>
    </w:p>
    <w:p w14:paraId="7325D43E" w14:textId="381C0039" w:rsidR="002E33E0" w:rsidRPr="002F5A14" w:rsidRDefault="002E33E0" w:rsidP="004864B0">
      <w:pPr>
        <w:pStyle w:val="Reference"/>
      </w:pPr>
      <w:r w:rsidRPr="002F5A14">
        <w:t xml:space="preserve">Winter, S.G. </w:t>
      </w:r>
      <w:r w:rsidR="009E5D8A">
        <w:t>(</w:t>
      </w:r>
      <w:r w:rsidRPr="002F5A14">
        <w:t>2003</w:t>
      </w:r>
      <w:r w:rsidR="009E5D8A">
        <w:t>)</w:t>
      </w:r>
      <w:r w:rsidRPr="002F5A14">
        <w:t>. Understanding dynamic capabilities. </w:t>
      </w:r>
      <w:r w:rsidRPr="002F5A14">
        <w:rPr>
          <w:i/>
          <w:iCs/>
        </w:rPr>
        <w:t>Strategic Management Journal</w:t>
      </w:r>
      <w:r w:rsidRPr="002F5A14">
        <w:t>, </w:t>
      </w:r>
      <w:r w:rsidRPr="002F5A14">
        <w:rPr>
          <w:iCs/>
        </w:rPr>
        <w:t>24</w:t>
      </w:r>
      <w:r w:rsidRPr="002F5A14">
        <w:t>(10),</w:t>
      </w:r>
      <w:r w:rsidR="009E5D8A">
        <w:t xml:space="preserve"> </w:t>
      </w:r>
      <w:r w:rsidRPr="002F5A14">
        <w:t>991-995.</w:t>
      </w:r>
    </w:p>
    <w:p w14:paraId="0D4C5240" w14:textId="25415D34" w:rsidR="002E33E0" w:rsidRPr="002F5A14" w:rsidRDefault="002E33E0" w:rsidP="00B163B9">
      <w:pPr>
        <w:pStyle w:val="Reference"/>
      </w:pPr>
      <w:r w:rsidRPr="002F5A14">
        <w:t xml:space="preserve">World Health Organization, </w:t>
      </w:r>
      <w:r w:rsidR="009E5D8A">
        <w:t>(</w:t>
      </w:r>
      <w:r w:rsidRPr="002F5A14">
        <w:t>2019</w:t>
      </w:r>
      <w:r w:rsidR="009E5D8A">
        <w:t>).</w:t>
      </w:r>
      <w:r w:rsidRPr="002F5A14">
        <w:t xml:space="preserve"> </w:t>
      </w:r>
      <w:r w:rsidRPr="002F5A14">
        <w:rPr>
          <w:i/>
        </w:rPr>
        <w:t xml:space="preserve">ATC Structure and Principles, </w:t>
      </w:r>
      <w:hyperlink r:id="rId16" w:history="1">
        <w:r w:rsidRPr="002F5A14">
          <w:rPr>
            <w:rStyle w:val="Hyperlink"/>
          </w:rPr>
          <w:t>https://www.whocc.no/atc/structure_and_principles/</w:t>
        </w:r>
      </w:hyperlink>
      <w:r w:rsidRPr="002F5A14">
        <w:t>, Accessed March 4, 2019.</w:t>
      </w:r>
    </w:p>
    <w:p w14:paraId="43FC2150" w14:textId="532EDE76" w:rsidR="002E33E0" w:rsidRPr="002F5A14" w:rsidRDefault="002E33E0" w:rsidP="00B163B9">
      <w:pPr>
        <w:pStyle w:val="Reference"/>
      </w:pPr>
      <w:r w:rsidRPr="002F5A14">
        <w:t>Xie X. and O'Neill, H.M.</w:t>
      </w:r>
      <w:r w:rsidR="009E5D8A">
        <w:t xml:space="preserve"> (</w:t>
      </w:r>
      <w:r w:rsidRPr="002F5A14">
        <w:t>2014</w:t>
      </w:r>
      <w:r w:rsidR="009E5D8A">
        <w:t>)</w:t>
      </w:r>
      <w:r w:rsidRPr="002F5A14">
        <w:t>. Learning and product entry: how diversification patterns differ over firm age and knowledge domains in US generic drug industry. </w:t>
      </w:r>
      <w:r w:rsidRPr="002F5A14">
        <w:rPr>
          <w:i/>
          <w:iCs/>
        </w:rPr>
        <w:t>Strategic Management Journal</w:t>
      </w:r>
      <w:r w:rsidR="009E5D8A">
        <w:t xml:space="preserve">, </w:t>
      </w:r>
      <w:r w:rsidRPr="002F5A14">
        <w:rPr>
          <w:iCs/>
        </w:rPr>
        <w:t>35</w:t>
      </w:r>
      <w:r w:rsidRPr="002F5A14">
        <w:t>(3)</w:t>
      </w:r>
      <w:r w:rsidR="009E5D8A">
        <w:t>,</w:t>
      </w:r>
      <w:r w:rsidRPr="002F5A14">
        <w:t xml:space="preserve"> 440-449.</w:t>
      </w:r>
    </w:p>
    <w:p w14:paraId="3A96DF84" w14:textId="0CBF3DC9" w:rsidR="002E33E0" w:rsidRPr="002F5A14" w:rsidRDefault="002E33E0" w:rsidP="00AC77CB">
      <w:pPr>
        <w:pStyle w:val="Reference"/>
      </w:pPr>
      <w:r w:rsidRPr="002F5A14">
        <w:t>Yan, T., Choi, T.Y., Kim, Y. and Yang, Y.</w:t>
      </w:r>
      <w:r w:rsidR="009E5D8A">
        <w:t xml:space="preserve"> (</w:t>
      </w:r>
      <w:r w:rsidRPr="002F5A14">
        <w:t>2015</w:t>
      </w:r>
      <w:r w:rsidR="009E5D8A">
        <w:t>)</w:t>
      </w:r>
      <w:r w:rsidRPr="002F5A14">
        <w:t>. A theory of the nexus supplier: A critical supplier from a network perspective. </w:t>
      </w:r>
      <w:r w:rsidRPr="002F5A14">
        <w:rPr>
          <w:i/>
          <w:iCs/>
        </w:rPr>
        <w:t>Journal of Supply Chain Management</w:t>
      </w:r>
      <w:r w:rsidRPr="002F5A14">
        <w:t>, </w:t>
      </w:r>
      <w:r w:rsidRPr="002F5A14">
        <w:rPr>
          <w:iCs/>
        </w:rPr>
        <w:t>51</w:t>
      </w:r>
      <w:r w:rsidRPr="002F5A14">
        <w:t xml:space="preserve">(1), 52-66. </w:t>
      </w:r>
    </w:p>
    <w:p w14:paraId="4909A28B" w14:textId="0C546E6E" w:rsidR="002E33E0" w:rsidRPr="002F5A14" w:rsidRDefault="002E33E0" w:rsidP="004864B0">
      <w:pPr>
        <w:pStyle w:val="Reference"/>
      </w:pPr>
      <w:r w:rsidRPr="002F5A14">
        <w:t>Zahra, S.A. and George, G.</w:t>
      </w:r>
      <w:r w:rsidR="009E5D8A">
        <w:t xml:space="preserve"> (</w:t>
      </w:r>
      <w:r w:rsidRPr="002F5A14">
        <w:t>2002</w:t>
      </w:r>
      <w:r w:rsidR="009E5D8A">
        <w:t>)</w:t>
      </w:r>
      <w:r w:rsidRPr="002F5A14">
        <w:t>. Absorptive capacity: A review, reconceptualization, and extension. </w:t>
      </w:r>
      <w:r w:rsidRPr="002F5A14">
        <w:rPr>
          <w:i/>
          <w:iCs/>
        </w:rPr>
        <w:t>Academy of Management Review</w:t>
      </w:r>
      <w:r w:rsidRPr="002F5A14">
        <w:t>, </w:t>
      </w:r>
      <w:r w:rsidRPr="002F5A14">
        <w:rPr>
          <w:i/>
          <w:iCs/>
        </w:rPr>
        <w:t>27</w:t>
      </w:r>
      <w:r w:rsidRPr="002F5A14">
        <w:t>(2), 185-203.</w:t>
      </w:r>
    </w:p>
    <w:p w14:paraId="11AD954D" w14:textId="5F9F4671" w:rsidR="002E33E0" w:rsidRPr="002F5A14" w:rsidRDefault="002E33E0" w:rsidP="00653C5D">
      <w:pPr>
        <w:pStyle w:val="Reference"/>
        <w:rPr>
          <w:rFonts w:cs="Arial"/>
          <w:b/>
          <w:bCs/>
          <w:caps/>
          <w:kern w:val="32"/>
          <w:szCs w:val="32"/>
        </w:rPr>
      </w:pPr>
      <w:r w:rsidRPr="002F5A14">
        <w:t>Zhang, M., Zhao, X. and Lyles, M.</w:t>
      </w:r>
      <w:r w:rsidR="009E5D8A">
        <w:t xml:space="preserve"> (</w:t>
      </w:r>
      <w:r w:rsidRPr="002F5A14">
        <w:t>2018</w:t>
      </w:r>
      <w:r w:rsidR="009E5D8A">
        <w:t>)</w:t>
      </w:r>
      <w:r w:rsidRPr="002F5A14">
        <w:t>. Effects of absorptive capacity, trust and information systems on product innovation. </w:t>
      </w:r>
      <w:r w:rsidRPr="002F5A14">
        <w:rPr>
          <w:i/>
          <w:iCs/>
        </w:rPr>
        <w:t>International Journal of Operations &amp; Production Management</w:t>
      </w:r>
      <w:r w:rsidRPr="002F5A14">
        <w:t>, </w:t>
      </w:r>
      <w:r w:rsidRPr="002F5A14">
        <w:rPr>
          <w:iCs/>
        </w:rPr>
        <w:t>38</w:t>
      </w:r>
      <w:r w:rsidRPr="002F5A14">
        <w:t>(2), 493-512.</w:t>
      </w:r>
      <w:r w:rsidRPr="002F5A14">
        <w:br w:type="page"/>
      </w:r>
    </w:p>
    <w:p w14:paraId="4F694360" w14:textId="40A0C635" w:rsidR="001B41DC" w:rsidRPr="002F5A14" w:rsidRDefault="001B41DC" w:rsidP="001B41DC">
      <w:pPr>
        <w:pStyle w:val="Heading1"/>
      </w:pPr>
      <w:r w:rsidRPr="002F5A14">
        <w:lastRenderedPageBreak/>
        <w:t>Figures</w:t>
      </w:r>
      <w:r w:rsidR="00FF2616" w:rsidRPr="002F5A14">
        <w:t xml:space="preserve"> and Tables </w:t>
      </w:r>
    </w:p>
    <w:p w14:paraId="42BDC8F1" w14:textId="4AA25E7E" w:rsidR="00C21DF5" w:rsidRDefault="00684AA4" w:rsidP="00DD4B13">
      <w:pPr>
        <w:pStyle w:val="Heading1"/>
      </w:pPr>
      <w:r w:rsidRPr="002F5A14">
        <w:t>F</w:t>
      </w:r>
      <w:r w:rsidR="00C21DF5">
        <w:t>IGURE</w:t>
      </w:r>
      <w:r w:rsidRPr="002F5A14">
        <w:t xml:space="preserve"> </w:t>
      </w:r>
      <w:r w:rsidR="0081287B">
        <w:t>1</w:t>
      </w:r>
    </w:p>
    <w:p w14:paraId="14493875" w14:textId="463F80D5" w:rsidR="00684AA4" w:rsidRPr="002F5A14" w:rsidRDefault="00684AA4" w:rsidP="00523DC7">
      <w:pPr>
        <w:pStyle w:val="Heading2"/>
        <w:spacing w:before="120"/>
        <w:jc w:val="center"/>
      </w:pPr>
      <w:r w:rsidRPr="002F5A14">
        <w:t>Conceptual Map of Competitive Exposure</w:t>
      </w:r>
    </w:p>
    <w:p w14:paraId="58079CD2" w14:textId="61B30B0B" w:rsidR="00684AA4" w:rsidRDefault="00C21DF5" w:rsidP="00523DC7">
      <w:pPr>
        <w:pStyle w:val="NoSpacing"/>
        <w:ind w:firstLine="720"/>
        <w:jc w:val="left"/>
      </w:pPr>
      <w:r>
        <w:t xml:space="preserve">      </w:t>
      </w:r>
      <w:r w:rsidR="00684AA4" w:rsidRPr="002F5A14">
        <w:rPr>
          <w:noProof/>
          <w:lang w:eastAsia="zh-CN"/>
        </w:rPr>
        <w:drawing>
          <wp:inline distT="0" distB="0" distL="0" distR="0" wp14:anchorId="37180699" wp14:editId="2FC1DB0C">
            <wp:extent cx="4572396" cy="3429297"/>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396" cy="3429297"/>
                    </a:xfrm>
                    <a:prstGeom prst="rect">
                      <a:avLst/>
                    </a:prstGeom>
                    <a:ln>
                      <a:solidFill>
                        <a:schemeClr val="tx1"/>
                      </a:solidFill>
                    </a:ln>
                  </pic:spPr>
                </pic:pic>
              </a:graphicData>
            </a:graphic>
          </wp:inline>
        </w:drawing>
      </w:r>
    </w:p>
    <w:p w14:paraId="6FE6A4EF" w14:textId="77777777" w:rsidR="00C21DF5" w:rsidRDefault="00C21DF5">
      <w:pPr>
        <w:spacing w:line="240" w:lineRule="auto"/>
        <w:ind w:firstLine="0"/>
        <w:rPr>
          <w:rFonts w:cs="Arial"/>
          <w:b/>
          <w:bCs/>
          <w:iCs/>
          <w:szCs w:val="28"/>
        </w:rPr>
      </w:pPr>
      <w:r>
        <w:br w:type="page"/>
      </w:r>
    </w:p>
    <w:p w14:paraId="25E5C39D" w14:textId="47298BE1" w:rsidR="00C21DF5" w:rsidRDefault="00C21DF5" w:rsidP="00DD4B13">
      <w:pPr>
        <w:pStyle w:val="Heading1"/>
      </w:pPr>
      <w:r>
        <w:lastRenderedPageBreak/>
        <w:t>FIGURE 2</w:t>
      </w:r>
    </w:p>
    <w:p w14:paraId="0876A6AD" w14:textId="1FE809D6" w:rsidR="0081287B" w:rsidRPr="002F5A14" w:rsidRDefault="0081287B" w:rsidP="00523DC7">
      <w:pPr>
        <w:pStyle w:val="Heading2"/>
        <w:jc w:val="center"/>
      </w:pPr>
      <w:r w:rsidRPr="002F5A14">
        <w:t>Theoretical Model</w:t>
      </w:r>
    </w:p>
    <w:p w14:paraId="4AE4E93A" w14:textId="68B821CF" w:rsidR="0081287B" w:rsidRPr="002F5A14" w:rsidRDefault="00C21DF5" w:rsidP="00523DC7">
      <w:pPr>
        <w:spacing w:line="240" w:lineRule="auto"/>
        <w:rPr>
          <w:rFonts w:cs="Arial"/>
          <w:b/>
          <w:bCs/>
          <w:iCs/>
          <w:szCs w:val="28"/>
        </w:rPr>
      </w:pPr>
      <w:r>
        <w:rPr>
          <w:rFonts w:cs="Arial"/>
          <w:b/>
          <w:bCs/>
          <w:iCs/>
          <w:szCs w:val="28"/>
        </w:rPr>
        <w:t xml:space="preserve">     </w:t>
      </w:r>
      <w:r w:rsidR="0081287B">
        <w:rPr>
          <w:rFonts w:cs="Arial"/>
          <w:b/>
          <w:bCs/>
          <w:iCs/>
          <w:noProof/>
          <w:szCs w:val="28"/>
          <w:lang w:eastAsia="zh-CN"/>
        </w:rPr>
        <w:drawing>
          <wp:inline distT="0" distB="0" distL="0" distR="0" wp14:anchorId="4AD4409E" wp14:editId="4BBFD27A">
            <wp:extent cx="4572635" cy="3429000"/>
            <wp:effectExtent l="19050" t="19050" r="1841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a:ln>
                      <a:solidFill>
                        <a:schemeClr val="tx1"/>
                      </a:solidFill>
                    </a:ln>
                  </pic:spPr>
                </pic:pic>
              </a:graphicData>
            </a:graphic>
          </wp:inline>
        </w:drawing>
      </w:r>
    </w:p>
    <w:p w14:paraId="0FD64DBB" w14:textId="23CE1B14" w:rsidR="00C21DF5" w:rsidRDefault="00C21DF5" w:rsidP="00DD4B13">
      <w:pPr>
        <w:pStyle w:val="Heading1"/>
      </w:pPr>
      <w:r w:rsidRPr="002F5A14">
        <w:lastRenderedPageBreak/>
        <w:t>T</w:t>
      </w:r>
      <w:r>
        <w:t>ABLE</w:t>
      </w:r>
      <w:r w:rsidRPr="002F5A14">
        <w:t xml:space="preserve"> </w:t>
      </w:r>
      <w:r w:rsidR="00EE2441" w:rsidRPr="002F5A14">
        <w:t>1</w:t>
      </w:r>
    </w:p>
    <w:p w14:paraId="49DBFC4F" w14:textId="34F19AEB" w:rsidR="00EE2441" w:rsidRPr="002F5A14" w:rsidRDefault="00D4122F" w:rsidP="00523DC7">
      <w:pPr>
        <w:pStyle w:val="Heading2"/>
        <w:spacing w:line="240" w:lineRule="auto"/>
        <w:jc w:val="center"/>
      </w:pPr>
      <w:r w:rsidRPr="002F5A14">
        <w:t>Unbalanced Panel Negative Binomial Mixed Models – Ten annual outcome periods</w:t>
      </w:r>
      <w:r w:rsidR="00EF25E6" w:rsidRPr="002F5A14">
        <w:t>, three year lag</w:t>
      </w:r>
    </w:p>
    <w:p w14:paraId="176B3E57" w14:textId="23D9BDEF" w:rsidR="00EE2441" w:rsidRPr="002F5A14" w:rsidRDefault="00312B33" w:rsidP="000C1AED">
      <w:pPr>
        <w:pStyle w:val="NoSpacing"/>
        <w:jc w:val="left"/>
      </w:pPr>
      <w:r w:rsidRPr="00312B33">
        <w:rPr>
          <w:noProof/>
          <w:lang w:eastAsia="zh-CN"/>
        </w:rPr>
        <w:drawing>
          <wp:inline distT="0" distB="0" distL="0" distR="0" wp14:anchorId="60FC8BAA" wp14:editId="7F802706">
            <wp:extent cx="5943600" cy="45027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502785"/>
                    </a:xfrm>
                    <a:prstGeom prst="rect">
                      <a:avLst/>
                    </a:prstGeom>
                    <a:noFill/>
                    <a:ln>
                      <a:noFill/>
                    </a:ln>
                  </pic:spPr>
                </pic:pic>
              </a:graphicData>
            </a:graphic>
          </wp:inline>
        </w:drawing>
      </w:r>
    </w:p>
    <w:p w14:paraId="084348B4" w14:textId="77777777" w:rsidR="00EE2441" w:rsidRPr="002F5A14" w:rsidRDefault="00EE2441" w:rsidP="00D043DA">
      <w:pPr>
        <w:pStyle w:val="NoSpacing"/>
      </w:pPr>
    </w:p>
    <w:p w14:paraId="1848E49B" w14:textId="23FDD6D6" w:rsidR="00EE2441" w:rsidRPr="002F5A14" w:rsidRDefault="00EE2441" w:rsidP="00EE2441">
      <w:pPr>
        <w:pStyle w:val="Table"/>
        <w:rPr>
          <w:sz w:val="24"/>
        </w:rPr>
      </w:pPr>
      <w:r w:rsidRPr="002F5A14">
        <w:rPr>
          <w:sz w:val="24"/>
        </w:rPr>
        <w:t>N = 4996;</w:t>
      </w:r>
      <w:r w:rsidR="007D753B" w:rsidRPr="002F5A14">
        <w:rPr>
          <w:sz w:val="24"/>
        </w:rPr>
        <w:t xml:space="preserve"> Coefficients are incidence rate ratios.</w:t>
      </w:r>
      <w:r w:rsidRPr="002F5A14">
        <w:rPr>
          <w:sz w:val="24"/>
        </w:rPr>
        <w:t xml:space="preserve"> </w:t>
      </w:r>
      <w:r w:rsidRPr="002F5A14">
        <w:rPr>
          <w:b/>
          <w:sz w:val="24"/>
        </w:rPr>
        <w:t>Bold</w:t>
      </w:r>
      <w:r w:rsidRPr="002F5A14">
        <w:rPr>
          <w:sz w:val="24"/>
        </w:rPr>
        <w:t xml:space="preserve"> p values, &lt;.05, </w:t>
      </w:r>
      <w:r w:rsidRPr="002F5A14">
        <w:rPr>
          <w:i/>
          <w:sz w:val="24"/>
          <w:u w:val="single"/>
        </w:rPr>
        <w:t>Italic</w:t>
      </w:r>
      <w:r w:rsidRPr="002F5A14">
        <w:rPr>
          <w:sz w:val="24"/>
        </w:rPr>
        <w:t xml:space="preserve"> p values &lt;.10</w:t>
      </w:r>
    </w:p>
    <w:p w14:paraId="3F76BF2A" w14:textId="57E0483D" w:rsidR="00EE2441" w:rsidRPr="002F5A14" w:rsidRDefault="00EE2441" w:rsidP="00EE2441">
      <w:pPr>
        <w:pStyle w:val="Table"/>
        <w:rPr>
          <w:sz w:val="24"/>
        </w:rPr>
      </w:pPr>
      <w:r w:rsidRPr="002F5A14">
        <w:rPr>
          <w:sz w:val="24"/>
        </w:rPr>
        <w:t>Annual panel factors are omitted from the table.</w:t>
      </w:r>
    </w:p>
    <w:p w14:paraId="52402300" w14:textId="033644A6" w:rsidR="006F509A" w:rsidRPr="002F5A14" w:rsidRDefault="006F509A" w:rsidP="00EE2441">
      <w:pPr>
        <w:pStyle w:val="Table"/>
        <w:rPr>
          <w:sz w:val="24"/>
        </w:rPr>
      </w:pPr>
      <w:r w:rsidRPr="002F5A14">
        <w:rPr>
          <w:sz w:val="24"/>
        </w:rPr>
        <w:t>Independent variables are standardized.</w:t>
      </w:r>
    </w:p>
    <w:p w14:paraId="5B47CE4A" w14:textId="77777777" w:rsidR="006F509A" w:rsidRPr="002F5A14" w:rsidRDefault="00C021A8" w:rsidP="00653C5D">
      <w:pPr>
        <w:pStyle w:val="NoSpacing"/>
        <w:jc w:val="left"/>
      </w:pPr>
      <w:r w:rsidRPr="002F5A14">
        <w:t>σ</w:t>
      </w:r>
      <w:r w:rsidRPr="002F5A14">
        <w:rPr>
          <w:vertAlign w:val="superscript"/>
        </w:rPr>
        <w:t>2</w:t>
      </w:r>
      <w:r w:rsidRPr="002F5A14">
        <w:t xml:space="preserve"> is within group (residual) variance; τ</w:t>
      </w:r>
      <w:r w:rsidRPr="002F5A14">
        <w:rPr>
          <w:vertAlign w:val="subscript"/>
        </w:rPr>
        <w:t>00</w:t>
      </w:r>
      <w:r w:rsidRPr="002F5A14">
        <w:t xml:space="preserve"> is between group variance. Adjusted ICC only considers the random effects, while conditional ICC also takes the fixed effects variances into account. </w:t>
      </w:r>
    </w:p>
    <w:p w14:paraId="49907238" w14:textId="53F43952" w:rsidR="00EE2441" w:rsidRPr="002F5A14" w:rsidRDefault="00522D15" w:rsidP="00653C5D">
      <w:pPr>
        <w:pStyle w:val="NoSpacing"/>
        <w:jc w:val="left"/>
      </w:pPr>
      <w:r w:rsidRPr="002F5A14">
        <w:t>Pseudo R</w:t>
      </w:r>
      <w:r w:rsidRPr="002F5A14">
        <w:rPr>
          <w:vertAlign w:val="superscript"/>
        </w:rPr>
        <w:t>2</w:t>
      </w:r>
      <w:r w:rsidR="00535050" w:rsidRPr="002F5A14">
        <w:t>s are</w:t>
      </w:r>
      <w:r w:rsidRPr="002F5A14">
        <w:t xml:space="preserve"> calculated following </w:t>
      </w:r>
      <w:r w:rsidR="00535050" w:rsidRPr="002F5A14">
        <w:t xml:space="preserve">Nakagawa, Johnson &amp; Schielzeth (2017). </w:t>
      </w:r>
      <w:r w:rsidR="00C021A8" w:rsidRPr="002F5A14">
        <w:t>Marginal R</w:t>
      </w:r>
      <w:r w:rsidR="00C021A8" w:rsidRPr="002F5A14">
        <w:rPr>
          <w:vertAlign w:val="superscript"/>
        </w:rPr>
        <w:t>2</w:t>
      </w:r>
      <w:r w:rsidR="00C021A8" w:rsidRPr="002F5A14">
        <w:t xml:space="preserve"> is the proportion of variance explained by the fixed effects; conditional R</w:t>
      </w:r>
      <w:r w:rsidR="00C021A8" w:rsidRPr="002F5A14">
        <w:rPr>
          <w:vertAlign w:val="superscript"/>
        </w:rPr>
        <w:t>2</w:t>
      </w:r>
      <w:r w:rsidR="00C021A8" w:rsidRPr="002F5A14">
        <w:t xml:space="preserve"> is the proportion of variance explained by both fixed and random effects.</w:t>
      </w:r>
    </w:p>
    <w:p w14:paraId="07B3AD75" w14:textId="7369AC50" w:rsidR="00C21DF5" w:rsidRDefault="00C21DF5" w:rsidP="00DD4B13">
      <w:pPr>
        <w:pStyle w:val="Heading1"/>
      </w:pPr>
      <w:r w:rsidRPr="002F5A14">
        <w:lastRenderedPageBreak/>
        <w:t>T</w:t>
      </w:r>
      <w:r>
        <w:t>ABLE</w:t>
      </w:r>
      <w:r w:rsidRPr="002F5A14">
        <w:t xml:space="preserve"> </w:t>
      </w:r>
      <w:r w:rsidR="00EE2441" w:rsidRPr="002F5A14">
        <w:t>2</w:t>
      </w:r>
    </w:p>
    <w:p w14:paraId="457A9E84" w14:textId="1AECC0F8" w:rsidR="00EE2441" w:rsidRPr="002F5A14" w:rsidRDefault="00D4122F" w:rsidP="00523DC7">
      <w:pPr>
        <w:pStyle w:val="Heading2"/>
        <w:spacing w:line="240" w:lineRule="auto"/>
        <w:jc w:val="center"/>
      </w:pPr>
      <w:r w:rsidRPr="002F5A14">
        <w:t>Unbalanced Panel Negative Binomial Fixed Effects Models – Ten annual outcome periods</w:t>
      </w:r>
      <w:r w:rsidR="00EF25E6" w:rsidRPr="002F5A14">
        <w:t>, three year lag</w:t>
      </w:r>
    </w:p>
    <w:p w14:paraId="0C20156F" w14:textId="1099B486" w:rsidR="00EE2441" w:rsidRPr="002F5A14" w:rsidRDefault="004C2A7A" w:rsidP="000C1AED">
      <w:pPr>
        <w:pStyle w:val="NoSpacing"/>
        <w:jc w:val="left"/>
      </w:pPr>
      <w:r w:rsidRPr="004C2A7A">
        <w:rPr>
          <w:noProof/>
          <w:lang w:eastAsia="zh-CN"/>
        </w:rPr>
        <w:drawing>
          <wp:inline distT="0" distB="0" distL="0" distR="0" wp14:anchorId="30CD78A7" wp14:editId="23F10BF8">
            <wp:extent cx="5943600" cy="36080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608070"/>
                    </a:xfrm>
                    <a:prstGeom prst="rect">
                      <a:avLst/>
                    </a:prstGeom>
                    <a:noFill/>
                    <a:ln>
                      <a:noFill/>
                    </a:ln>
                  </pic:spPr>
                </pic:pic>
              </a:graphicData>
            </a:graphic>
          </wp:inline>
        </w:drawing>
      </w:r>
    </w:p>
    <w:p w14:paraId="45E2F0E1" w14:textId="18E393A8" w:rsidR="00EE2441" w:rsidRPr="002F5A14" w:rsidRDefault="00EE2441" w:rsidP="00EE2441">
      <w:pPr>
        <w:pStyle w:val="Table"/>
        <w:rPr>
          <w:sz w:val="24"/>
        </w:rPr>
      </w:pPr>
      <w:r w:rsidRPr="002F5A14">
        <w:rPr>
          <w:sz w:val="24"/>
        </w:rPr>
        <w:t xml:space="preserve">N = 4996; </w:t>
      </w:r>
      <w:r w:rsidR="007D753B" w:rsidRPr="002F5A14">
        <w:rPr>
          <w:sz w:val="24"/>
        </w:rPr>
        <w:t xml:space="preserve">Coefficients are incidence rate ratios. </w:t>
      </w:r>
      <w:r w:rsidRPr="002F5A14">
        <w:rPr>
          <w:sz w:val="24"/>
        </w:rPr>
        <w:t xml:space="preserve"> </w:t>
      </w:r>
      <w:r w:rsidRPr="002F5A14">
        <w:rPr>
          <w:b/>
          <w:sz w:val="24"/>
        </w:rPr>
        <w:t>Bold</w:t>
      </w:r>
      <w:r w:rsidRPr="002F5A14">
        <w:rPr>
          <w:sz w:val="24"/>
        </w:rPr>
        <w:t xml:space="preserve"> p values, &lt;.05, </w:t>
      </w:r>
      <w:r w:rsidRPr="002F5A14">
        <w:rPr>
          <w:i/>
          <w:sz w:val="24"/>
          <w:u w:val="single"/>
        </w:rPr>
        <w:t>Italic</w:t>
      </w:r>
      <w:r w:rsidRPr="002F5A14">
        <w:rPr>
          <w:sz w:val="24"/>
        </w:rPr>
        <w:t xml:space="preserve"> p values &lt;.10</w:t>
      </w:r>
    </w:p>
    <w:p w14:paraId="41D3C320" w14:textId="77777777" w:rsidR="000D554C" w:rsidRPr="002F5A14" w:rsidRDefault="00EE2441" w:rsidP="000D554C">
      <w:pPr>
        <w:pStyle w:val="Table"/>
        <w:rPr>
          <w:sz w:val="24"/>
        </w:rPr>
      </w:pPr>
      <w:r w:rsidRPr="002F5A14">
        <w:rPr>
          <w:sz w:val="24"/>
        </w:rPr>
        <w:t>Annual panel factors are omitted from the table.</w:t>
      </w:r>
      <w:r w:rsidR="000D554C" w:rsidRPr="002F5A14">
        <w:rPr>
          <w:sz w:val="24"/>
        </w:rPr>
        <w:t xml:space="preserve">  Independent variables are standardized.</w:t>
      </w:r>
    </w:p>
    <w:p w14:paraId="70B088FF" w14:textId="488C1A24" w:rsidR="00EE2441" w:rsidRPr="002F5A14" w:rsidRDefault="00EE2441" w:rsidP="00D043DA">
      <w:pPr>
        <w:pStyle w:val="NoSpacing"/>
        <w:sectPr w:rsidR="00EE2441" w:rsidRPr="002F5A14" w:rsidSect="001F3832">
          <w:headerReference w:type="default" r:id="rId21"/>
          <w:footerReference w:type="even" r:id="rId22"/>
          <w:footerReference w:type="default" r:id="rId23"/>
          <w:pgSz w:w="12240" w:h="15840"/>
          <w:pgMar w:top="1440" w:right="1440" w:bottom="1440" w:left="1440" w:header="720" w:footer="720" w:gutter="0"/>
          <w:cols w:space="720"/>
          <w:docGrid w:linePitch="360"/>
        </w:sectPr>
      </w:pPr>
    </w:p>
    <w:p w14:paraId="19EAFB0E" w14:textId="2F946A78" w:rsidR="00C21DF5" w:rsidRDefault="008C001C" w:rsidP="00DD4B13">
      <w:pPr>
        <w:pStyle w:val="Heading1"/>
      </w:pPr>
      <w:r w:rsidRPr="002F5A14">
        <w:lastRenderedPageBreak/>
        <w:t>T</w:t>
      </w:r>
      <w:r w:rsidR="00C21DF5">
        <w:t>ABLE</w:t>
      </w:r>
      <w:r w:rsidRPr="002F5A14">
        <w:t xml:space="preserve"> 3</w:t>
      </w:r>
    </w:p>
    <w:p w14:paraId="01C80AA9" w14:textId="0864B11B" w:rsidR="008C001C" w:rsidRPr="002F5A14" w:rsidRDefault="008C001C" w:rsidP="00523DC7">
      <w:pPr>
        <w:pStyle w:val="Heading2"/>
        <w:spacing w:line="240" w:lineRule="auto"/>
        <w:jc w:val="center"/>
        <w:rPr>
          <w:szCs w:val="24"/>
        </w:rPr>
      </w:pPr>
      <w:r w:rsidRPr="002F5A14">
        <w:rPr>
          <w:szCs w:val="24"/>
        </w:rPr>
        <w:t>Summary of absorptive capacity profiles for product development strategies</w:t>
      </w:r>
    </w:p>
    <w:tbl>
      <w:tblPr>
        <w:tblStyle w:val="TableGrid"/>
        <w:tblW w:w="3254" w:type="pct"/>
        <w:tblInd w:w="2260" w:type="dxa"/>
        <w:tblLook w:val="04A0" w:firstRow="1" w:lastRow="0" w:firstColumn="1" w:lastColumn="0" w:noHBand="0" w:noVBand="1"/>
      </w:tblPr>
      <w:tblGrid>
        <w:gridCol w:w="3243"/>
        <w:gridCol w:w="1728"/>
        <w:gridCol w:w="1728"/>
        <w:gridCol w:w="1729"/>
      </w:tblGrid>
      <w:tr w:rsidR="0088673C" w:rsidRPr="002F5A14" w14:paraId="115D81C9" w14:textId="77777777" w:rsidTr="00523DC7">
        <w:tc>
          <w:tcPr>
            <w:tcW w:w="1924" w:type="pct"/>
          </w:tcPr>
          <w:p w14:paraId="1941009E" w14:textId="77777777" w:rsidR="0088673C" w:rsidRPr="002F5A14" w:rsidRDefault="0088673C" w:rsidP="00C21DF5">
            <w:pPr>
              <w:pStyle w:val="NoSpacing"/>
            </w:pPr>
          </w:p>
        </w:tc>
        <w:tc>
          <w:tcPr>
            <w:tcW w:w="1025" w:type="pct"/>
          </w:tcPr>
          <w:p w14:paraId="6DC16D76" w14:textId="127E6DD1" w:rsidR="0088673C" w:rsidRPr="002F5A14" w:rsidRDefault="0088673C">
            <w:pPr>
              <w:pStyle w:val="NoSpacing"/>
            </w:pPr>
            <w:r w:rsidRPr="002F5A14">
              <w:t>Radical product introductions</w:t>
            </w:r>
          </w:p>
        </w:tc>
        <w:tc>
          <w:tcPr>
            <w:tcW w:w="1025" w:type="pct"/>
          </w:tcPr>
          <w:p w14:paraId="30912D52" w14:textId="3736DC2D" w:rsidR="0088673C" w:rsidRPr="002F5A14" w:rsidRDefault="0088673C">
            <w:pPr>
              <w:pStyle w:val="NoSpacing"/>
            </w:pPr>
            <w:r w:rsidRPr="002F5A14">
              <w:t>Differentiated Product Introductions</w:t>
            </w:r>
          </w:p>
        </w:tc>
        <w:tc>
          <w:tcPr>
            <w:tcW w:w="1026" w:type="pct"/>
          </w:tcPr>
          <w:p w14:paraId="4C847A88" w14:textId="1EAC3DB7" w:rsidR="0088673C" w:rsidRPr="002F5A14" w:rsidRDefault="0088673C">
            <w:pPr>
              <w:pStyle w:val="NoSpacing"/>
            </w:pPr>
            <w:r w:rsidRPr="002F5A14">
              <w:t>Generic Product Introductions</w:t>
            </w:r>
          </w:p>
        </w:tc>
      </w:tr>
      <w:tr w:rsidR="0088673C" w:rsidRPr="002F5A14" w14:paraId="5F65FFA4" w14:textId="77777777" w:rsidTr="00523DC7">
        <w:tc>
          <w:tcPr>
            <w:tcW w:w="1924" w:type="pct"/>
          </w:tcPr>
          <w:p w14:paraId="4B48AF58" w14:textId="57349380" w:rsidR="0088673C" w:rsidRPr="002F5A14" w:rsidRDefault="0088673C" w:rsidP="00C21DF5">
            <w:pPr>
              <w:pStyle w:val="NoSpacing"/>
            </w:pPr>
            <w:r w:rsidRPr="002F5A14">
              <w:t>Generic strategy</w:t>
            </w:r>
          </w:p>
        </w:tc>
        <w:tc>
          <w:tcPr>
            <w:tcW w:w="1025" w:type="pct"/>
          </w:tcPr>
          <w:p w14:paraId="3E7BAD11" w14:textId="7F3EB6B8" w:rsidR="0088673C" w:rsidRPr="002F5A14" w:rsidRDefault="0088673C">
            <w:pPr>
              <w:pStyle w:val="NoSpacing"/>
            </w:pPr>
            <w:r w:rsidRPr="002F5A14">
              <w:t>Negative</w:t>
            </w:r>
          </w:p>
        </w:tc>
        <w:tc>
          <w:tcPr>
            <w:tcW w:w="1025" w:type="pct"/>
          </w:tcPr>
          <w:p w14:paraId="29AB46CF" w14:textId="2EE4376B" w:rsidR="0088673C" w:rsidRPr="002F5A14" w:rsidRDefault="0088673C">
            <w:pPr>
              <w:pStyle w:val="NoSpacing"/>
            </w:pPr>
            <w:r w:rsidRPr="002F5A14">
              <w:t>Negative</w:t>
            </w:r>
          </w:p>
        </w:tc>
        <w:tc>
          <w:tcPr>
            <w:tcW w:w="1026" w:type="pct"/>
          </w:tcPr>
          <w:p w14:paraId="2AC840AD" w14:textId="5BBB83B8" w:rsidR="0088673C" w:rsidRPr="002F5A14" w:rsidRDefault="0088673C">
            <w:pPr>
              <w:pStyle w:val="NoSpacing"/>
            </w:pPr>
            <w:r w:rsidRPr="002F5A14">
              <w:t>Positive</w:t>
            </w:r>
          </w:p>
        </w:tc>
      </w:tr>
      <w:tr w:rsidR="0088673C" w:rsidRPr="002F5A14" w14:paraId="41D2948E" w14:textId="77777777" w:rsidTr="00523DC7">
        <w:tc>
          <w:tcPr>
            <w:tcW w:w="1924" w:type="pct"/>
          </w:tcPr>
          <w:p w14:paraId="670D2BC4" w14:textId="313771E3" w:rsidR="0088673C" w:rsidRPr="002F5A14" w:rsidRDefault="0088673C" w:rsidP="00C21DF5">
            <w:pPr>
              <w:pStyle w:val="NoSpacing"/>
            </w:pPr>
            <w:r w:rsidRPr="002F5A14">
              <w:t>Publicly traded</w:t>
            </w:r>
          </w:p>
        </w:tc>
        <w:tc>
          <w:tcPr>
            <w:tcW w:w="1025" w:type="pct"/>
          </w:tcPr>
          <w:p w14:paraId="7F54DB56" w14:textId="31626391" w:rsidR="0088673C" w:rsidRPr="002F5A14" w:rsidRDefault="0088673C">
            <w:pPr>
              <w:pStyle w:val="NoSpacing"/>
            </w:pPr>
            <w:r w:rsidRPr="002F5A14">
              <w:t>Positive</w:t>
            </w:r>
          </w:p>
        </w:tc>
        <w:tc>
          <w:tcPr>
            <w:tcW w:w="1025" w:type="pct"/>
          </w:tcPr>
          <w:p w14:paraId="756F69FA" w14:textId="7B608B83" w:rsidR="0088673C" w:rsidRPr="002F5A14" w:rsidRDefault="0088673C">
            <w:pPr>
              <w:pStyle w:val="NoSpacing"/>
            </w:pPr>
            <w:r w:rsidRPr="002F5A14">
              <w:t>N/S</w:t>
            </w:r>
          </w:p>
        </w:tc>
        <w:tc>
          <w:tcPr>
            <w:tcW w:w="1026" w:type="pct"/>
          </w:tcPr>
          <w:p w14:paraId="4E417FD9" w14:textId="09340E36" w:rsidR="0088673C" w:rsidRPr="002F5A14" w:rsidRDefault="0088673C">
            <w:pPr>
              <w:pStyle w:val="NoSpacing"/>
            </w:pPr>
            <w:r w:rsidRPr="002F5A14">
              <w:t>N/S</w:t>
            </w:r>
          </w:p>
        </w:tc>
      </w:tr>
      <w:tr w:rsidR="0088673C" w:rsidRPr="002F5A14" w14:paraId="3908AC22" w14:textId="77777777" w:rsidTr="00523DC7">
        <w:tc>
          <w:tcPr>
            <w:tcW w:w="1924" w:type="pct"/>
          </w:tcPr>
          <w:p w14:paraId="398698F7" w14:textId="22EF1C04" w:rsidR="0088673C" w:rsidRPr="002F5A14" w:rsidRDefault="0088673C" w:rsidP="00C21DF5">
            <w:pPr>
              <w:pStyle w:val="NoSpacing"/>
            </w:pPr>
            <w:r w:rsidRPr="002F5A14">
              <w:t>R&amp;D capability</w:t>
            </w:r>
          </w:p>
        </w:tc>
        <w:tc>
          <w:tcPr>
            <w:tcW w:w="1025" w:type="pct"/>
          </w:tcPr>
          <w:p w14:paraId="7BA71D35" w14:textId="655846C1" w:rsidR="0088673C" w:rsidRPr="002F5A14" w:rsidRDefault="0088673C">
            <w:pPr>
              <w:pStyle w:val="NoSpacing"/>
            </w:pPr>
            <w:r w:rsidRPr="002F5A14">
              <w:t>Positive</w:t>
            </w:r>
            <w:r w:rsidR="00C97427" w:rsidRPr="002F5A14">
              <w:t xml:space="preserve"> (marginal)</w:t>
            </w:r>
          </w:p>
        </w:tc>
        <w:tc>
          <w:tcPr>
            <w:tcW w:w="1025" w:type="pct"/>
          </w:tcPr>
          <w:p w14:paraId="55188685" w14:textId="6B040BF4" w:rsidR="0088673C" w:rsidRPr="002F5A14" w:rsidRDefault="0088673C">
            <w:pPr>
              <w:pStyle w:val="NoSpacing"/>
            </w:pPr>
            <w:r w:rsidRPr="002F5A14">
              <w:t>Positive</w:t>
            </w:r>
          </w:p>
        </w:tc>
        <w:tc>
          <w:tcPr>
            <w:tcW w:w="1026" w:type="pct"/>
          </w:tcPr>
          <w:p w14:paraId="28ED775B" w14:textId="7E87013E" w:rsidR="0088673C" w:rsidRPr="002F5A14" w:rsidRDefault="0088673C">
            <w:pPr>
              <w:pStyle w:val="NoSpacing"/>
            </w:pPr>
            <w:r w:rsidRPr="002F5A14">
              <w:t>Negative</w:t>
            </w:r>
          </w:p>
        </w:tc>
      </w:tr>
      <w:tr w:rsidR="0088673C" w:rsidRPr="002F5A14" w14:paraId="0F1814A0" w14:textId="77777777" w:rsidTr="00523DC7">
        <w:tc>
          <w:tcPr>
            <w:tcW w:w="1924" w:type="pct"/>
          </w:tcPr>
          <w:p w14:paraId="1CC07888" w14:textId="4187DA4E" w:rsidR="0088673C" w:rsidRPr="002F5A14" w:rsidRDefault="0088673C" w:rsidP="00C21DF5">
            <w:pPr>
              <w:pStyle w:val="NoSpacing"/>
            </w:pPr>
            <w:r w:rsidRPr="002F5A14">
              <w:t>Competitive exposure</w:t>
            </w:r>
          </w:p>
        </w:tc>
        <w:tc>
          <w:tcPr>
            <w:tcW w:w="1025" w:type="pct"/>
          </w:tcPr>
          <w:p w14:paraId="1EDCCDA1" w14:textId="262E3714" w:rsidR="0088673C" w:rsidRPr="002F5A14" w:rsidRDefault="0088673C">
            <w:pPr>
              <w:pStyle w:val="NoSpacing"/>
            </w:pPr>
            <w:r w:rsidRPr="002F5A14">
              <w:t>Positive</w:t>
            </w:r>
          </w:p>
        </w:tc>
        <w:tc>
          <w:tcPr>
            <w:tcW w:w="1025" w:type="pct"/>
          </w:tcPr>
          <w:p w14:paraId="17C95343" w14:textId="5C8C121B" w:rsidR="0088673C" w:rsidRPr="002F5A14" w:rsidRDefault="0088673C">
            <w:pPr>
              <w:pStyle w:val="NoSpacing"/>
            </w:pPr>
            <w:r w:rsidRPr="002F5A14">
              <w:t>Positive</w:t>
            </w:r>
          </w:p>
        </w:tc>
        <w:tc>
          <w:tcPr>
            <w:tcW w:w="1026" w:type="pct"/>
          </w:tcPr>
          <w:p w14:paraId="218BE68B" w14:textId="049F8B26" w:rsidR="0088673C" w:rsidRPr="002F5A14" w:rsidRDefault="0088673C">
            <w:pPr>
              <w:pStyle w:val="NoSpacing"/>
            </w:pPr>
            <w:r w:rsidRPr="002F5A14">
              <w:t>Positive</w:t>
            </w:r>
          </w:p>
        </w:tc>
      </w:tr>
      <w:tr w:rsidR="0088673C" w:rsidRPr="002F5A14" w14:paraId="17DE3407" w14:textId="77777777" w:rsidTr="00523DC7">
        <w:tc>
          <w:tcPr>
            <w:tcW w:w="1924" w:type="pct"/>
          </w:tcPr>
          <w:p w14:paraId="29DC0575" w14:textId="436BA4AD" w:rsidR="0088673C" w:rsidRPr="002F5A14" w:rsidRDefault="0088673C" w:rsidP="00C21DF5">
            <w:pPr>
              <w:pStyle w:val="NoSpacing"/>
            </w:pPr>
            <w:r w:rsidRPr="002F5A14">
              <w:t>Alliance Network Centrality</w:t>
            </w:r>
          </w:p>
        </w:tc>
        <w:tc>
          <w:tcPr>
            <w:tcW w:w="1025" w:type="pct"/>
          </w:tcPr>
          <w:p w14:paraId="78CA3058" w14:textId="0610AA9E" w:rsidR="0088673C" w:rsidRPr="002F5A14" w:rsidRDefault="0088673C">
            <w:pPr>
              <w:pStyle w:val="NoSpacing"/>
            </w:pPr>
            <w:r w:rsidRPr="002F5A14">
              <w:t>Positive</w:t>
            </w:r>
            <w:r w:rsidR="008A6F84">
              <w:t xml:space="preserve"> </w:t>
            </w:r>
            <w:r w:rsidR="008A6F84">
              <w:rPr>
                <w:rFonts w:ascii="Calibri" w:hAnsi="Calibri" w:cs="Calibri"/>
              </w:rPr>
              <w:t>ꓵ</w:t>
            </w:r>
          </w:p>
        </w:tc>
        <w:tc>
          <w:tcPr>
            <w:tcW w:w="1025" w:type="pct"/>
          </w:tcPr>
          <w:p w14:paraId="7FAD8DCF" w14:textId="3219A49F" w:rsidR="0088673C" w:rsidRPr="002F5A14" w:rsidRDefault="0088673C">
            <w:pPr>
              <w:pStyle w:val="NoSpacing"/>
            </w:pPr>
            <w:r w:rsidRPr="002F5A14">
              <w:t>N/S</w:t>
            </w:r>
          </w:p>
        </w:tc>
        <w:tc>
          <w:tcPr>
            <w:tcW w:w="1026" w:type="pct"/>
          </w:tcPr>
          <w:p w14:paraId="4026497E" w14:textId="67E05765" w:rsidR="0088673C" w:rsidRPr="002F5A14" w:rsidRDefault="000510ED">
            <w:pPr>
              <w:pStyle w:val="NoSpacing"/>
            </w:pPr>
            <w:r w:rsidRPr="002F5A14">
              <w:t>Positive</w:t>
            </w:r>
            <w:r w:rsidR="008A6F84">
              <w:t xml:space="preserve"> </w:t>
            </w:r>
            <w:r w:rsidR="008A6F84">
              <w:rPr>
                <w:rFonts w:ascii="Calibri" w:hAnsi="Calibri" w:cs="Calibri"/>
              </w:rPr>
              <w:t>ꓵ</w:t>
            </w:r>
          </w:p>
        </w:tc>
      </w:tr>
    </w:tbl>
    <w:p w14:paraId="5673CB30" w14:textId="1C865534" w:rsidR="00A606FF" w:rsidRPr="002F5A14" w:rsidRDefault="00A606FF" w:rsidP="00C21DF5">
      <w:pPr>
        <w:pStyle w:val="NoSpacing"/>
      </w:pPr>
    </w:p>
    <w:p w14:paraId="180549C3" w14:textId="6BC547B2" w:rsidR="00C21DF5" w:rsidRDefault="00C21DF5" w:rsidP="00DD4B13">
      <w:pPr>
        <w:pStyle w:val="Heading1"/>
      </w:pPr>
      <w:r>
        <w:t>TABLE 4</w:t>
      </w:r>
    </w:p>
    <w:p w14:paraId="48F7A4B2" w14:textId="0A5C6A28" w:rsidR="00B02F0A" w:rsidRPr="002F5A14" w:rsidRDefault="00D60EE1" w:rsidP="00523DC7">
      <w:pPr>
        <w:pStyle w:val="Heading2"/>
        <w:jc w:val="center"/>
      </w:pPr>
      <w:r w:rsidRPr="002F5A14">
        <w:t>Summary Comparison of Results with Alternative Lag Structures</w:t>
      </w:r>
      <w:r w:rsidR="00EF25E6" w:rsidRPr="002F5A14">
        <w:t xml:space="preserve">, </w:t>
      </w:r>
      <w:r w:rsidR="009449CA" w:rsidRPr="002F5A14">
        <w:t xml:space="preserve">mixed models with </w:t>
      </w:r>
      <w:r w:rsidR="00EF25E6" w:rsidRPr="002F5A14">
        <w:t>ten annual panels</w:t>
      </w:r>
    </w:p>
    <w:tbl>
      <w:tblPr>
        <w:tblStyle w:val="TableGrid"/>
        <w:tblW w:w="0" w:type="auto"/>
        <w:tblInd w:w="1000" w:type="dxa"/>
        <w:tblLook w:val="04A0" w:firstRow="1" w:lastRow="0" w:firstColumn="1" w:lastColumn="0" w:noHBand="0" w:noVBand="1"/>
      </w:tblPr>
      <w:tblGrid>
        <w:gridCol w:w="1850"/>
        <w:gridCol w:w="1483"/>
        <w:gridCol w:w="1562"/>
        <w:gridCol w:w="1496"/>
        <w:gridCol w:w="1483"/>
        <w:gridCol w:w="1562"/>
        <w:gridCol w:w="1496"/>
      </w:tblGrid>
      <w:tr w:rsidR="00D60EE1" w:rsidRPr="002F5A14" w14:paraId="4F76433E" w14:textId="77777777" w:rsidTr="00523DC7">
        <w:tc>
          <w:tcPr>
            <w:tcW w:w="1850" w:type="dxa"/>
            <w:vMerge w:val="restart"/>
            <w:tcBorders>
              <w:right w:val="single" w:sz="12" w:space="0" w:color="auto"/>
            </w:tcBorders>
          </w:tcPr>
          <w:p w14:paraId="5DB20626" w14:textId="77777777" w:rsidR="00D60EE1" w:rsidRPr="002F5A14" w:rsidRDefault="00D60EE1" w:rsidP="00C21DF5">
            <w:pPr>
              <w:pStyle w:val="NoSpacing"/>
            </w:pPr>
          </w:p>
        </w:tc>
        <w:tc>
          <w:tcPr>
            <w:tcW w:w="4541" w:type="dxa"/>
            <w:gridSpan w:val="3"/>
            <w:tcBorders>
              <w:top w:val="single" w:sz="6" w:space="0" w:color="auto"/>
              <w:left w:val="single" w:sz="12" w:space="0" w:color="auto"/>
              <w:bottom w:val="single" w:sz="6" w:space="0" w:color="auto"/>
              <w:right w:val="single" w:sz="12" w:space="0" w:color="auto"/>
            </w:tcBorders>
          </w:tcPr>
          <w:p w14:paraId="1E5C996E" w14:textId="1867F30A" w:rsidR="00D60EE1" w:rsidRPr="002F5A14" w:rsidRDefault="00D60EE1">
            <w:pPr>
              <w:pStyle w:val="NoSpacing"/>
            </w:pPr>
            <w:r w:rsidRPr="002F5A14">
              <w:t>One year lag structure</w:t>
            </w:r>
          </w:p>
        </w:tc>
        <w:tc>
          <w:tcPr>
            <w:tcW w:w="4541" w:type="dxa"/>
            <w:gridSpan w:val="3"/>
            <w:tcBorders>
              <w:left w:val="single" w:sz="12" w:space="0" w:color="auto"/>
              <w:right w:val="single" w:sz="12" w:space="0" w:color="auto"/>
            </w:tcBorders>
          </w:tcPr>
          <w:p w14:paraId="5E0DB8C5" w14:textId="207AEDA1" w:rsidR="00D60EE1" w:rsidRPr="002F5A14" w:rsidRDefault="00D60EE1">
            <w:pPr>
              <w:pStyle w:val="NoSpacing"/>
            </w:pPr>
            <w:r w:rsidRPr="002F5A14">
              <w:t>Two year lag structure</w:t>
            </w:r>
          </w:p>
        </w:tc>
      </w:tr>
      <w:tr w:rsidR="00D60EE1" w:rsidRPr="002F5A14" w14:paraId="1B8F5659" w14:textId="77777777" w:rsidTr="00523DC7">
        <w:tc>
          <w:tcPr>
            <w:tcW w:w="1850" w:type="dxa"/>
            <w:vMerge/>
            <w:tcBorders>
              <w:right w:val="single" w:sz="12" w:space="0" w:color="auto"/>
            </w:tcBorders>
          </w:tcPr>
          <w:p w14:paraId="54179F85" w14:textId="77777777" w:rsidR="00D60EE1" w:rsidRPr="002F5A14" w:rsidRDefault="00D60EE1">
            <w:pPr>
              <w:pStyle w:val="NoSpacing"/>
            </w:pPr>
          </w:p>
        </w:tc>
        <w:tc>
          <w:tcPr>
            <w:tcW w:w="1483" w:type="dxa"/>
            <w:tcBorders>
              <w:top w:val="single" w:sz="6" w:space="0" w:color="auto"/>
              <w:left w:val="single" w:sz="12" w:space="0" w:color="auto"/>
              <w:bottom w:val="single" w:sz="6" w:space="0" w:color="auto"/>
              <w:right w:val="single" w:sz="6" w:space="0" w:color="auto"/>
            </w:tcBorders>
          </w:tcPr>
          <w:p w14:paraId="294FA60E" w14:textId="1FC9048F" w:rsidR="00D60EE1" w:rsidRPr="002F5A14" w:rsidRDefault="00D60EE1">
            <w:pPr>
              <w:pStyle w:val="NoSpacing"/>
            </w:pPr>
            <w:r w:rsidRPr="002F5A14">
              <w:t>Radical product introductions</w:t>
            </w:r>
          </w:p>
        </w:tc>
        <w:tc>
          <w:tcPr>
            <w:tcW w:w="1562" w:type="dxa"/>
            <w:tcBorders>
              <w:top w:val="single" w:sz="6" w:space="0" w:color="auto"/>
              <w:left w:val="single" w:sz="6" w:space="0" w:color="auto"/>
              <w:bottom w:val="single" w:sz="6" w:space="0" w:color="auto"/>
              <w:right w:val="single" w:sz="6" w:space="0" w:color="auto"/>
            </w:tcBorders>
          </w:tcPr>
          <w:p w14:paraId="6FA240C6" w14:textId="7DC0B232" w:rsidR="00D60EE1" w:rsidRPr="002F5A14" w:rsidRDefault="00D60EE1">
            <w:pPr>
              <w:pStyle w:val="NoSpacing"/>
            </w:pPr>
            <w:r w:rsidRPr="002F5A14">
              <w:t>Differentiated Product Introductions</w:t>
            </w:r>
          </w:p>
        </w:tc>
        <w:tc>
          <w:tcPr>
            <w:tcW w:w="1496" w:type="dxa"/>
            <w:tcBorders>
              <w:top w:val="single" w:sz="6" w:space="0" w:color="auto"/>
              <w:left w:val="single" w:sz="6" w:space="0" w:color="auto"/>
              <w:bottom w:val="single" w:sz="6" w:space="0" w:color="auto"/>
              <w:right w:val="single" w:sz="12" w:space="0" w:color="auto"/>
            </w:tcBorders>
          </w:tcPr>
          <w:p w14:paraId="3E9BD607" w14:textId="6481169B" w:rsidR="00D60EE1" w:rsidRPr="002F5A14" w:rsidRDefault="00D60EE1">
            <w:pPr>
              <w:pStyle w:val="NoSpacing"/>
            </w:pPr>
            <w:r w:rsidRPr="002F5A14">
              <w:t>Generic Product Introductions</w:t>
            </w:r>
          </w:p>
        </w:tc>
        <w:tc>
          <w:tcPr>
            <w:tcW w:w="1483" w:type="dxa"/>
            <w:tcBorders>
              <w:left w:val="single" w:sz="12" w:space="0" w:color="auto"/>
            </w:tcBorders>
          </w:tcPr>
          <w:p w14:paraId="7B6EAC2C" w14:textId="170FF9D0" w:rsidR="00D60EE1" w:rsidRPr="002F5A14" w:rsidRDefault="00D60EE1">
            <w:pPr>
              <w:pStyle w:val="NoSpacing"/>
            </w:pPr>
            <w:r w:rsidRPr="002F5A14">
              <w:t>Radical product introductions</w:t>
            </w:r>
          </w:p>
        </w:tc>
        <w:tc>
          <w:tcPr>
            <w:tcW w:w="1562" w:type="dxa"/>
          </w:tcPr>
          <w:p w14:paraId="5FD007D2" w14:textId="5AEF6485" w:rsidR="00D60EE1" w:rsidRPr="002F5A14" w:rsidRDefault="00D60EE1">
            <w:pPr>
              <w:pStyle w:val="NoSpacing"/>
            </w:pPr>
            <w:r w:rsidRPr="002F5A14">
              <w:t>Differentiated Product Introductions</w:t>
            </w:r>
          </w:p>
        </w:tc>
        <w:tc>
          <w:tcPr>
            <w:tcW w:w="1496" w:type="dxa"/>
            <w:tcBorders>
              <w:right w:val="single" w:sz="12" w:space="0" w:color="auto"/>
            </w:tcBorders>
          </w:tcPr>
          <w:p w14:paraId="4AC8FC99" w14:textId="2CF038DB" w:rsidR="00D60EE1" w:rsidRPr="002F5A14" w:rsidRDefault="00D60EE1">
            <w:pPr>
              <w:pStyle w:val="NoSpacing"/>
            </w:pPr>
            <w:r w:rsidRPr="002F5A14">
              <w:t>Generic Product Introductions</w:t>
            </w:r>
          </w:p>
        </w:tc>
      </w:tr>
      <w:tr w:rsidR="00D60EE1" w:rsidRPr="002F5A14" w14:paraId="02E534D6" w14:textId="77777777" w:rsidTr="00523DC7">
        <w:tc>
          <w:tcPr>
            <w:tcW w:w="1850" w:type="dxa"/>
            <w:tcBorders>
              <w:right w:val="single" w:sz="12" w:space="0" w:color="auto"/>
            </w:tcBorders>
          </w:tcPr>
          <w:p w14:paraId="64F042DC" w14:textId="1776D594" w:rsidR="00D60EE1" w:rsidRPr="002F5A14" w:rsidRDefault="00D60EE1" w:rsidP="00C21DF5">
            <w:pPr>
              <w:pStyle w:val="NoSpacing"/>
            </w:pPr>
            <w:r w:rsidRPr="002F5A14">
              <w:t>Product Development Capability</w:t>
            </w:r>
          </w:p>
        </w:tc>
        <w:tc>
          <w:tcPr>
            <w:tcW w:w="1483" w:type="dxa"/>
            <w:tcBorders>
              <w:top w:val="single" w:sz="6" w:space="0" w:color="auto"/>
              <w:left w:val="single" w:sz="12" w:space="0" w:color="auto"/>
              <w:bottom w:val="single" w:sz="6" w:space="0" w:color="auto"/>
              <w:right w:val="single" w:sz="6" w:space="0" w:color="auto"/>
            </w:tcBorders>
            <w:vAlign w:val="center"/>
          </w:tcPr>
          <w:p w14:paraId="7041EA67" w14:textId="766E762B" w:rsidR="00D60EE1" w:rsidRPr="002F5A14" w:rsidRDefault="00D60EE1">
            <w:pPr>
              <w:pStyle w:val="NoSpacing"/>
            </w:pPr>
            <w:r w:rsidRPr="002F5A14">
              <w:t>+</w:t>
            </w:r>
          </w:p>
        </w:tc>
        <w:tc>
          <w:tcPr>
            <w:tcW w:w="1562" w:type="dxa"/>
            <w:tcBorders>
              <w:top w:val="single" w:sz="6" w:space="0" w:color="auto"/>
              <w:left w:val="single" w:sz="6" w:space="0" w:color="auto"/>
              <w:bottom w:val="single" w:sz="6" w:space="0" w:color="auto"/>
              <w:right w:val="single" w:sz="6" w:space="0" w:color="auto"/>
            </w:tcBorders>
            <w:vAlign w:val="center"/>
          </w:tcPr>
          <w:p w14:paraId="2BCA749E" w14:textId="39D6029D" w:rsidR="00D60EE1" w:rsidRPr="002F5A14" w:rsidRDefault="00D60EE1">
            <w:pPr>
              <w:pStyle w:val="NoSpacing"/>
            </w:pPr>
            <w:r w:rsidRPr="002F5A14">
              <w:t>+</w:t>
            </w:r>
          </w:p>
        </w:tc>
        <w:tc>
          <w:tcPr>
            <w:tcW w:w="1496" w:type="dxa"/>
            <w:tcBorders>
              <w:top w:val="single" w:sz="6" w:space="0" w:color="auto"/>
              <w:left w:val="single" w:sz="6" w:space="0" w:color="auto"/>
              <w:bottom w:val="single" w:sz="6" w:space="0" w:color="auto"/>
              <w:right w:val="single" w:sz="12" w:space="0" w:color="auto"/>
            </w:tcBorders>
            <w:vAlign w:val="center"/>
          </w:tcPr>
          <w:p w14:paraId="10E8AD57" w14:textId="43943BA4" w:rsidR="00D60EE1" w:rsidRPr="002F5A14" w:rsidRDefault="00D60EE1">
            <w:pPr>
              <w:pStyle w:val="NoSpacing"/>
            </w:pPr>
            <w:r w:rsidRPr="002F5A14">
              <w:t>+</w:t>
            </w:r>
          </w:p>
        </w:tc>
        <w:tc>
          <w:tcPr>
            <w:tcW w:w="1483" w:type="dxa"/>
            <w:tcBorders>
              <w:left w:val="single" w:sz="12" w:space="0" w:color="auto"/>
            </w:tcBorders>
            <w:vAlign w:val="center"/>
          </w:tcPr>
          <w:p w14:paraId="494E9136" w14:textId="0C83C7A3" w:rsidR="00D60EE1" w:rsidRPr="002F5A14" w:rsidRDefault="00D60EE1">
            <w:pPr>
              <w:pStyle w:val="NoSpacing"/>
            </w:pPr>
            <w:r w:rsidRPr="002F5A14">
              <w:t>+</w:t>
            </w:r>
          </w:p>
        </w:tc>
        <w:tc>
          <w:tcPr>
            <w:tcW w:w="1562" w:type="dxa"/>
            <w:vAlign w:val="center"/>
          </w:tcPr>
          <w:p w14:paraId="66259DB4" w14:textId="12950227" w:rsidR="00D60EE1" w:rsidRPr="002F5A14" w:rsidRDefault="00D60EE1">
            <w:pPr>
              <w:pStyle w:val="NoSpacing"/>
            </w:pPr>
            <w:r w:rsidRPr="002F5A14">
              <w:t>+</w:t>
            </w:r>
          </w:p>
        </w:tc>
        <w:tc>
          <w:tcPr>
            <w:tcW w:w="1496" w:type="dxa"/>
            <w:tcBorders>
              <w:right w:val="single" w:sz="12" w:space="0" w:color="auto"/>
            </w:tcBorders>
            <w:vAlign w:val="center"/>
          </w:tcPr>
          <w:p w14:paraId="4C200178" w14:textId="4CF90EB4" w:rsidR="00D60EE1" w:rsidRPr="002F5A14" w:rsidRDefault="00D60EE1">
            <w:pPr>
              <w:pStyle w:val="NoSpacing"/>
            </w:pPr>
            <w:r w:rsidRPr="002F5A14">
              <w:t>+</w:t>
            </w:r>
          </w:p>
        </w:tc>
      </w:tr>
      <w:tr w:rsidR="00D60EE1" w:rsidRPr="002F5A14" w14:paraId="68D983EE" w14:textId="77777777" w:rsidTr="00523DC7">
        <w:tc>
          <w:tcPr>
            <w:tcW w:w="1850" w:type="dxa"/>
            <w:tcBorders>
              <w:right w:val="single" w:sz="12" w:space="0" w:color="auto"/>
            </w:tcBorders>
          </w:tcPr>
          <w:p w14:paraId="2C021EEC" w14:textId="1B3B7DE9" w:rsidR="00241F86" w:rsidRPr="002F5A14" w:rsidRDefault="00D60EE1" w:rsidP="00C21DF5">
            <w:pPr>
              <w:pStyle w:val="NoSpacing"/>
            </w:pPr>
            <w:r w:rsidRPr="002F5A14">
              <w:t>R&amp;D</w:t>
            </w:r>
          </w:p>
          <w:p w14:paraId="2E2899DC" w14:textId="5AD80344" w:rsidR="00D60EE1" w:rsidRPr="002F5A14" w:rsidRDefault="00D60EE1">
            <w:pPr>
              <w:pStyle w:val="NoSpacing"/>
            </w:pPr>
            <w:r w:rsidRPr="002F5A14">
              <w:t>capability</w:t>
            </w:r>
          </w:p>
        </w:tc>
        <w:tc>
          <w:tcPr>
            <w:tcW w:w="1483" w:type="dxa"/>
            <w:tcBorders>
              <w:top w:val="single" w:sz="6" w:space="0" w:color="auto"/>
              <w:left w:val="single" w:sz="12" w:space="0" w:color="auto"/>
              <w:bottom w:val="single" w:sz="6" w:space="0" w:color="auto"/>
              <w:right w:val="single" w:sz="6" w:space="0" w:color="auto"/>
            </w:tcBorders>
            <w:vAlign w:val="center"/>
          </w:tcPr>
          <w:p w14:paraId="66A35587" w14:textId="3082B2C0" w:rsidR="00D60EE1" w:rsidRPr="002F5A14" w:rsidRDefault="00D60EE1">
            <w:pPr>
              <w:pStyle w:val="NoSpacing"/>
            </w:pPr>
            <w:r w:rsidRPr="002F5A14">
              <w:t>ns</w:t>
            </w:r>
          </w:p>
        </w:tc>
        <w:tc>
          <w:tcPr>
            <w:tcW w:w="1562" w:type="dxa"/>
            <w:tcBorders>
              <w:top w:val="single" w:sz="6" w:space="0" w:color="auto"/>
              <w:left w:val="single" w:sz="6" w:space="0" w:color="auto"/>
              <w:bottom w:val="single" w:sz="6" w:space="0" w:color="auto"/>
              <w:right w:val="single" w:sz="6" w:space="0" w:color="auto"/>
            </w:tcBorders>
            <w:vAlign w:val="center"/>
          </w:tcPr>
          <w:p w14:paraId="23150D43" w14:textId="0596DD8E" w:rsidR="00D60EE1" w:rsidRPr="002F5A14" w:rsidRDefault="00D60EE1">
            <w:pPr>
              <w:pStyle w:val="NoSpacing"/>
            </w:pPr>
            <w:r w:rsidRPr="002F5A14">
              <w:t>ns</w:t>
            </w:r>
          </w:p>
        </w:tc>
        <w:tc>
          <w:tcPr>
            <w:tcW w:w="1496" w:type="dxa"/>
            <w:tcBorders>
              <w:top w:val="single" w:sz="6" w:space="0" w:color="auto"/>
              <w:left w:val="single" w:sz="6" w:space="0" w:color="auto"/>
              <w:bottom w:val="single" w:sz="6" w:space="0" w:color="auto"/>
              <w:right w:val="single" w:sz="12" w:space="0" w:color="auto"/>
            </w:tcBorders>
            <w:vAlign w:val="center"/>
          </w:tcPr>
          <w:p w14:paraId="79AA886C" w14:textId="26CD87F0" w:rsidR="00D60EE1" w:rsidRPr="002F5A14" w:rsidRDefault="00D60EE1">
            <w:pPr>
              <w:pStyle w:val="NoSpacing"/>
            </w:pPr>
            <w:r w:rsidRPr="002F5A14">
              <w:t>ns</w:t>
            </w:r>
          </w:p>
        </w:tc>
        <w:tc>
          <w:tcPr>
            <w:tcW w:w="1483" w:type="dxa"/>
            <w:tcBorders>
              <w:left w:val="single" w:sz="12" w:space="0" w:color="auto"/>
            </w:tcBorders>
            <w:vAlign w:val="center"/>
          </w:tcPr>
          <w:p w14:paraId="1E408335" w14:textId="01278F4D" w:rsidR="00D60EE1" w:rsidRPr="002F5A14" w:rsidRDefault="00D60EE1">
            <w:pPr>
              <w:pStyle w:val="NoSpacing"/>
            </w:pPr>
            <w:r w:rsidRPr="002F5A14">
              <w:t>ns</w:t>
            </w:r>
          </w:p>
        </w:tc>
        <w:tc>
          <w:tcPr>
            <w:tcW w:w="1562" w:type="dxa"/>
            <w:vAlign w:val="center"/>
          </w:tcPr>
          <w:p w14:paraId="2BF6585B" w14:textId="65B13637" w:rsidR="00D60EE1" w:rsidRPr="002F5A14" w:rsidRDefault="00D60EE1">
            <w:pPr>
              <w:pStyle w:val="NoSpacing"/>
            </w:pPr>
            <w:r w:rsidRPr="002F5A14">
              <w:t>ns</w:t>
            </w:r>
          </w:p>
        </w:tc>
        <w:tc>
          <w:tcPr>
            <w:tcW w:w="1496" w:type="dxa"/>
            <w:tcBorders>
              <w:right w:val="single" w:sz="12" w:space="0" w:color="auto"/>
            </w:tcBorders>
            <w:vAlign w:val="center"/>
          </w:tcPr>
          <w:p w14:paraId="24A85534" w14:textId="5A79D37E" w:rsidR="00D60EE1" w:rsidRPr="002F5A14" w:rsidRDefault="00D60EE1">
            <w:pPr>
              <w:pStyle w:val="NoSpacing"/>
            </w:pPr>
            <w:r w:rsidRPr="002F5A14">
              <w:t>ns</w:t>
            </w:r>
          </w:p>
        </w:tc>
      </w:tr>
      <w:tr w:rsidR="00D60EE1" w:rsidRPr="002F5A14" w14:paraId="7276A80F" w14:textId="77777777" w:rsidTr="00523DC7">
        <w:tc>
          <w:tcPr>
            <w:tcW w:w="1850" w:type="dxa"/>
            <w:tcBorders>
              <w:right w:val="single" w:sz="12" w:space="0" w:color="auto"/>
            </w:tcBorders>
          </w:tcPr>
          <w:p w14:paraId="7BA72BB5" w14:textId="2A6661CC" w:rsidR="00D60EE1" w:rsidRPr="002F5A14" w:rsidRDefault="00D60EE1" w:rsidP="00C21DF5">
            <w:pPr>
              <w:pStyle w:val="NoSpacing"/>
            </w:pPr>
            <w:r w:rsidRPr="002F5A14">
              <w:t>Competitive exposure</w:t>
            </w:r>
          </w:p>
        </w:tc>
        <w:tc>
          <w:tcPr>
            <w:tcW w:w="1483" w:type="dxa"/>
            <w:tcBorders>
              <w:top w:val="single" w:sz="6" w:space="0" w:color="auto"/>
              <w:left w:val="single" w:sz="12" w:space="0" w:color="auto"/>
              <w:bottom w:val="single" w:sz="6" w:space="0" w:color="auto"/>
              <w:right w:val="single" w:sz="6" w:space="0" w:color="auto"/>
            </w:tcBorders>
            <w:vAlign w:val="center"/>
          </w:tcPr>
          <w:p w14:paraId="5744AE52" w14:textId="0EB36337" w:rsidR="00D60EE1" w:rsidRPr="002F5A14" w:rsidRDefault="00D60EE1">
            <w:pPr>
              <w:pStyle w:val="NoSpacing"/>
            </w:pPr>
            <w:r w:rsidRPr="002F5A14">
              <w:t>+</w:t>
            </w:r>
          </w:p>
        </w:tc>
        <w:tc>
          <w:tcPr>
            <w:tcW w:w="1562" w:type="dxa"/>
            <w:tcBorders>
              <w:top w:val="single" w:sz="6" w:space="0" w:color="auto"/>
              <w:left w:val="single" w:sz="6" w:space="0" w:color="auto"/>
              <w:bottom w:val="single" w:sz="6" w:space="0" w:color="auto"/>
              <w:right w:val="single" w:sz="6" w:space="0" w:color="auto"/>
            </w:tcBorders>
            <w:vAlign w:val="center"/>
          </w:tcPr>
          <w:p w14:paraId="00E06B77" w14:textId="12F1F1AD" w:rsidR="00D60EE1" w:rsidRPr="002F5A14" w:rsidRDefault="00D60EE1">
            <w:pPr>
              <w:pStyle w:val="NoSpacing"/>
            </w:pPr>
            <w:r w:rsidRPr="002F5A14">
              <w:t>+</w:t>
            </w:r>
          </w:p>
        </w:tc>
        <w:tc>
          <w:tcPr>
            <w:tcW w:w="1496" w:type="dxa"/>
            <w:tcBorders>
              <w:top w:val="single" w:sz="6" w:space="0" w:color="auto"/>
              <w:left w:val="single" w:sz="6" w:space="0" w:color="auto"/>
              <w:bottom w:val="single" w:sz="6" w:space="0" w:color="auto"/>
              <w:right w:val="single" w:sz="12" w:space="0" w:color="auto"/>
            </w:tcBorders>
            <w:vAlign w:val="center"/>
          </w:tcPr>
          <w:p w14:paraId="3C876862" w14:textId="0BAE51D2" w:rsidR="00D60EE1" w:rsidRPr="002F5A14" w:rsidRDefault="00D60EE1">
            <w:pPr>
              <w:pStyle w:val="NoSpacing"/>
            </w:pPr>
            <w:r w:rsidRPr="002F5A14">
              <w:t>+</w:t>
            </w:r>
          </w:p>
        </w:tc>
        <w:tc>
          <w:tcPr>
            <w:tcW w:w="1483" w:type="dxa"/>
            <w:tcBorders>
              <w:left w:val="single" w:sz="12" w:space="0" w:color="auto"/>
            </w:tcBorders>
            <w:vAlign w:val="center"/>
          </w:tcPr>
          <w:p w14:paraId="31BC3B44" w14:textId="1248B1DC" w:rsidR="00D60EE1" w:rsidRPr="002F5A14" w:rsidRDefault="00241F86">
            <w:pPr>
              <w:pStyle w:val="NoSpacing"/>
            </w:pPr>
            <w:r w:rsidRPr="002F5A14">
              <w:t>+</w:t>
            </w:r>
          </w:p>
        </w:tc>
        <w:tc>
          <w:tcPr>
            <w:tcW w:w="1562" w:type="dxa"/>
            <w:vAlign w:val="center"/>
          </w:tcPr>
          <w:p w14:paraId="1D3A5F78" w14:textId="09DC0CB5" w:rsidR="00D60EE1" w:rsidRPr="002F5A14" w:rsidRDefault="00241F86">
            <w:pPr>
              <w:pStyle w:val="NoSpacing"/>
            </w:pPr>
            <w:r w:rsidRPr="002F5A14">
              <w:t>+</w:t>
            </w:r>
          </w:p>
        </w:tc>
        <w:tc>
          <w:tcPr>
            <w:tcW w:w="1496" w:type="dxa"/>
            <w:tcBorders>
              <w:right w:val="single" w:sz="12" w:space="0" w:color="auto"/>
            </w:tcBorders>
            <w:vAlign w:val="center"/>
          </w:tcPr>
          <w:p w14:paraId="636D482C" w14:textId="0891FB55" w:rsidR="00D60EE1" w:rsidRPr="002F5A14" w:rsidRDefault="00241F86">
            <w:pPr>
              <w:pStyle w:val="NoSpacing"/>
            </w:pPr>
            <w:r w:rsidRPr="002F5A14">
              <w:t>ns</w:t>
            </w:r>
          </w:p>
        </w:tc>
      </w:tr>
      <w:tr w:rsidR="00241F86" w:rsidRPr="002F5A14" w14:paraId="11F53EA5" w14:textId="77777777" w:rsidTr="00523DC7">
        <w:tc>
          <w:tcPr>
            <w:tcW w:w="1850" w:type="dxa"/>
            <w:tcBorders>
              <w:right w:val="single" w:sz="12" w:space="0" w:color="auto"/>
            </w:tcBorders>
          </w:tcPr>
          <w:p w14:paraId="4D1A2CC0" w14:textId="34C2A3DB" w:rsidR="00241F86" w:rsidRPr="002F5A14" w:rsidRDefault="00241F86" w:rsidP="00C21DF5">
            <w:pPr>
              <w:pStyle w:val="NoSpacing"/>
            </w:pPr>
            <w:r w:rsidRPr="002F5A14">
              <w:t>Alliance Network Centrality</w:t>
            </w:r>
          </w:p>
        </w:tc>
        <w:tc>
          <w:tcPr>
            <w:tcW w:w="1483" w:type="dxa"/>
            <w:tcBorders>
              <w:top w:val="single" w:sz="6" w:space="0" w:color="auto"/>
              <w:left w:val="single" w:sz="12" w:space="0" w:color="auto"/>
              <w:bottom w:val="single" w:sz="6" w:space="0" w:color="auto"/>
              <w:right w:val="single" w:sz="6" w:space="0" w:color="auto"/>
            </w:tcBorders>
            <w:vAlign w:val="center"/>
          </w:tcPr>
          <w:p w14:paraId="6800A714" w14:textId="77777777" w:rsidR="00241F86" w:rsidRPr="002F5A14" w:rsidRDefault="00241F86">
            <w:pPr>
              <w:pStyle w:val="NoSpacing"/>
            </w:pPr>
            <w:r w:rsidRPr="002F5A14">
              <w:t>+</w:t>
            </w:r>
          </w:p>
          <w:p w14:paraId="0033B1C6" w14:textId="6810783B" w:rsidR="00241F86" w:rsidRPr="002F5A14" w:rsidRDefault="00241F86">
            <w:pPr>
              <w:pStyle w:val="NoSpacing"/>
            </w:pPr>
            <w:r w:rsidRPr="002F5A14">
              <w:t>(Degree)</w:t>
            </w:r>
          </w:p>
        </w:tc>
        <w:tc>
          <w:tcPr>
            <w:tcW w:w="1562" w:type="dxa"/>
            <w:tcBorders>
              <w:top w:val="single" w:sz="6" w:space="0" w:color="auto"/>
              <w:left w:val="single" w:sz="6" w:space="0" w:color="auto"/>
              <w:bottom w:val="single" w:sz="6" w:space="0" w:color="auto"/>
              <w:right w:val="single" w:sz="6" w:space="0" w:color="auto"/>
            </w:tcBorders>
            <w:vAlign w:val="center"/>
          </w:tcPr>
          <w:p w14:paraId="5A379B3F" w14:textId="154B147A" w:rsidR="00241F86" w:rsidRPr="002F5A14" w:rsidRDefault="00241F86">
            <w:pPr>
              <w:pStyle w:val="NoSpacing"/>
            </w:pPr>
            <w:r w:rsidRPr="002F5A14">
              <w:t>ns</w:t>
            </w:r>
          </w:p>
        </w:tc>
        <w:tc>
          <w:tcPr>
            <w:tcW w:w="1496" w:type="dxa"/>
            <w:tcBorders>
              <w:top w:val="single" w:sz="6" w:space="0" w:color="auto"/>
              <w:left w:val="single" w:sz="6" w:space="0" w:color="auto"/>
              <w:bottom w:val="single" w:sz="6" w:space="0" w:color="auto"/>
              <w:right w:val="single" w:sz="12" w:space="0" w:color="auto"/>
            </w:tcBorders>
            <w:vAlign w:val="center"/>
          </w:tcPr>
          <w:p w14:paraId="224BA113" w14:textId="212E7DBB" w:rsidR="00241F86" w:rsidRPr="002F5A14" w:rsidRDefault="00241F86">
            <w:pPr>
              <w:pStyle w:val="NoSpacing"/>
            </w:pPr>
            <w:r w:rsidRPr="002F5A14">
              <w:t>ns</w:t>
            </w:r>
          </w:p>
        </w:tc>
        <w:tc>
          <w:tcPr>
            <w:tcW w:w="1483" w:type="dxa"/>
            <w:tcBorders>
              <w:left w:val="single" w:sz="12" w:space="0" w:color="auto"/>
            </w:tcBorders>
            <w:vAlign w:val="center"/>
          </w:tcPr>
          <w:p w14:paraId="2153EEDB" w14:textId="77777777" w:rsidR="00241F86" w:rsidRPr="002F5A14" w:rsidRDefault="00241F86">
            <w:pPr>
              <w:pStyle w:val="NoSpacing"/>
            </w:pPr>
            <w:r w:rsidRPr="002F5A14">
              <w:t>+</w:t>
            </w:r>
          </w:p>
          <w:p w14:paraId="4A6F07F4" w14:textId="2BFF1E1A" w:rsidR="00241F86" w:rsidRPr="002F5A14" w:rsidRDefault="00241F86">
            <w:pPr>
              <w:pStyle w:val="NoSpacing"/>
            </w:pPr>
            <w:r w:rsidRPr="002F5A14">
              <w:t>(Degree)</w:t>
            </w:r>
          </w:p>
        </w:tc>
        <w:tc>
          <w:tcPr>
            <w:tcW w:w="1562" w:type="dxa"/>
            <w:vAlign w:val="center"/>
          </w:tcPr>
          <w:p w14:paraId="409974B0" w14:textId="77777777" w:rsidR="00241F86" w:rsidRPr="002F5A14" w:rsidRDefault="00241F86">
            <w:pPr>
              <w:pStyle w:val="NoSpacing"/>
            </w:pPr>
            <w:r w:rsidRPr="002F5A14">
              <w:t>+</w:t>
            </w:r>
          </w:p>
          <w:p w14:paraId="2091025F" w14:textId="5A1E6365" w:rsidR="00241F86" w:rsidRPr="002F5A14" w:rsidRDefault="00241F86">
            <w:pPr>
              <w:pStyle w:val="NoSpacing"/>
            </w:pPr>
            <w:r w:rsidRPr="002F5A14">
              <w:t>(Degree)</w:t>
            </w:r>
          </w:p>
        </w:tc>
        <w:tc>
          <w:tcPr>
            <w:tcW w:w="1496" w:type="dxa"/>
            <w:tcBorders>
              <w:right w:val="single" w:sz="12" w:space="0" w:color="auto"/>
            </w:tcBorders>
            <w:vAlign w:val="center"/>
          </w:tcPr>
          <w:p w14:paraId="7614AB1C" w14:textId="31CDE0C6" w:rsidR="00241F86" w:rsidRPr="002F5A14" w:rsidRDefault="00241F86">
            <w:pPr>
              <w:pStyle w:val="NoSpacing"/>
            </w:pPr>
            <w:r w:rsidRPr="002F5A14">
              <w:t>ns</w:t>
            </w:r>
          </w:p>
        </w:tc>
      </w:tr>
    </w:tbl>
    <w:p w14:paraId="5A4C211D" w14:textId="77777777" w:rsidR="008829AE" w:rsidRPr="00EE2441" w:rsidRDefault="008829AE" w:rsidP="00DD4B13">
      <w:pPr>
        <w:ind w:firstLine="0"/>
      </w:pPr>
    </w:p>
    <w:sectPr w:rsidR="008829AE" w:rsidRPr="00EE2441" w:rsidSect="00523DC7">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CD82D" w14:textId="77777777" w:rsidR="007F0D72" w:rsidRDefault="007F0D72">
      <w:pPr>
        <w:spacing w:line="240" w:lineRule="auto"/>
      </w:pPr>
      <w:r>
        <w:separator/>
      </w:r>
    </w:p>
  </w:endnote>
  <w:endnote w:type="continuationSeparator" w:id="0">
    <w:p w14:paraId="363920C3" w14:textId="77777777" w:rsidR="007F0D72" w:rsidRDefault="007F0D72">
      <w:pPr>
        <w:spacing w:line="240" w:lineRule="auto"/>
      </w:pPr>
      <w:r>
        <w:continuationSeparator/>
      </w:r>
    </w:p>
  </w:endnote>
  <w:endnote w:type="continuationNotice" w:id="1">
    <w:p w14:paraId="570E74F6" w14:textId="77777777" w:rsidR="007F0D72" w:rsidRDefault="007F0D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Italic">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2CD9" w14:textId="77777777" w:rsidR="00F0786B" w:rsidRDefault="00F0786B" w:rsidP="006E6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52520E" w14:textId="77777777" w:rsidR="00F0786B" w:rsidRDefault="00F0786B" w:rsidP="006E6F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731546"/>
      <w:docPartObj>
        <w:docPartGallery w:val="Page Numbers (Bottom of Page)"/>
        <w:docPartUnique/>
      </w:docPartObj>
    </w:sdtPr>
    <w:sdtEndPr>
      <w:rPr>
        <w:noProof/>
      </w:rPr>
    </w:sdtEndPr>
    <w:sdtContent>
      <w:p w14:paraId="35D895C9" w14:textId="3054D95E" w:rsidR="00C83CE0" w:rsidRDefault="00C83CE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1B59A4" w14:textId="77777777" w:rsidR="00F0786B" w:rsidRDefault="00F0786B" w:rsidP="006E6F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BFB3F" w14:textId="77777777" w:rsidR="007F0D72" w:rsidRDefault="007F0D72">
      <w:pPr>
        <w:spacing w:line="240" w:lineRule="auto"/>
      </w:pPr>
      <w:r>
        <w:separator/>
      </w:r>
    </w:p>
  </w:footnote>
  <w:footnote w:type="continuationSeparator" w:id="0">
    <w:p w14:paraId="3DCAD3B6" w14:textId="77777777" w:rsidR="007F0D72" w:rsidRDefault="007F0D72">
      <w:pPr>
        <w:spacing w:line="240" w:lineRule="auto"/>
      </w:pPr>
      <w:r>
        <w:continuationSeparator/>
      </w:r>
    </w:p>
  </w:footnote>
  <w:footnote w:type="continuationNotice" w:id="1">
    <w:p w14:paraId="1AB929F3" w14:textId="77777777" w:rsidR="007F0D72" w:rsidRDefault="007F0D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3147" w14:textId="3D6F6BA7" w:rsidR="00F0786B" w:rsidRDefault="00F0786B">
    <w:pPr>
      <w:pStyle w:val="Header"/>
      <w:jc w:val="right"/>
    </w:pPr>
  </w:p>
  <w:p w14:paraId="4D50E79A" w14:textId="77777777" w:rsidR="00F0786B" w:rsidRDefault="00F07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277CD"/>
    <w:multiLevelType w:val="hybridMultilevel"/>
    <w:tmpl w:val="8236F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FE60174"/>
    <w:multiLevelType w:val="hybridMultilevel"/>
    <w:tmpl w:val="E69A4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89"/>
    <w:rsid w:val="0000004C"/>
    <w:rsid w:val="00000262"/>
    <w:rsid w:val="00000C18"/>
    <w:rsid w:val="00000EF6"/>
    <w:rsid w:val="000013EC"/>
    <w:rsid w:val="0000214D"/>
    <w:rsid w:val="00002CD7"/>
    <w:rsid w:val="00002D5B"/>
    <w:rsid w:val="00002D93"/>
    <w:rsid w:val="00004541"/>
    <w:rsid w:val="00005F19"/>
    <w:rsid w:val="000062D1"/>
    <w:rsid w:val="00006993"/>
    <w:rsid w:val="000078E4"/>
    <w:rsid w:val="00007B48"/>
    <w:rsid w:val="00007D45"/>
    <w:rsid w:val="00010714"/>
    <w:rsid w:val="00010A85"/>
    <w:rsid w:val="00010C2B"/>
    <w:rsid w:val="00011666"/>
    <w:rsid w:val="0001274F"/>
    <w:rsid w:val="000130B2"/>
    <w:rsid w:val="00015A8F"/>
    <w:rsid w:val="00015DA7"/>
    <w:rsid w:val="00016371"/>
    <w:rsid w:val="000163E5"/>
    <w:rsid w:val="0001746A"/>
    <w:rsid w:val="000202B7"/>
    <w:rsid w:val="00020C16"/>
    <w:rsid w:val="00020D97"/>
    <w:rsid w:val="0002150B"/>
    <w:rsid w:val="00022D6B"/>
    <w:rsid w:val="000241D9"/>
    <w:rsid w:val="000245FB"/>
    <w:rsid w:val="00025467"/>
    <w:rsid w:val="0002576E"/>
    <w:rsid w:val="00026141"/>
    <w:rsid w:val="00026E9A"/>
    <w:rsid w:val="0002706B"/>
    <w:rsid w:val="000279D9"/>
    <w:rsid w:val="000306EA"/>
    <w:rsid w:val="00030AFE"/>
    <w:rsid w:val="00030C88"/>
    <w:rsid w:val="000311ED"/>
    <w:rsid w:val="00031441"/>
    <w:rsid w:val="00032BE0"/>
    <w:rsid w:val="00033459"/>
    <w:rsid w:val="00033797"/>
    <w:rsid w:val="000337E5"/>
    <w:rsid w:val="00033813"/>
    <w:rsid w:val="0003410D"/>
    <w:rsid w:val="00034130"/>
    <w:rsid w:val="00034B19"/>
    <w:rsid w:val="00035FC1"/>
    <w:rsid w:val="00036BAC"/>
    <w:rsid w:val="00037568"/>
    <w:rsid w:val="000379D3"/>
    <w:rsid w:val="00037D08"/>
    <w:rsid w:val="000408C2"/>
    <w:rsid w:val="000418FF"/>
    <w:rsid w:val="00041DC8"/>
    <w:rsid w:val="000429F9"/>
    <w:rsid w:val="00042EA4"/>
    <w:rsid w:val="00043278"/>
    <w:rsid w:val="00043964"/>
    <w:rsid w:val="00043D25"/>
    <w:rsid w:val="000440C1"/>
    <w:rsid w:val="000446E1"/>
    <w:rsid w:val="00044722"/>
    <w:rsid w:val="00044A8C"/>
    <w:rsid w:val="00044C7B"/>
    <w:rsid w:val="000452AF"/>
    <w:rsid w:val="000453B2"/>
    <w:rsid w:val="00046C35"/>
    <w:rsid w:val="00047BEA"/>
    <w:rsid w:val="00047C91"/>
    <w:rsid w:val="00047D0B"/>
    <w:rsid w:val="000510E8"/>
    <w:rsid w:val="000510ED"/>
    <w:rsid w:val="0005139F"/>
    <w:rsid w:val="00052027"/>
    <w:rsid w:val="000531DE"/>
    <w:rsid w:val="000538D4"/>
    <w:rsid w:val="000539D1"/>
    <w:rsid w:val="00054CEB"/>
    <w:rsid w:val="00055281"/>
    <w:rsid w:val="000558E4"/>
    <w:rsid w:val="00060BCF"/>
    <w:rsid w:val="00060D2D"/>
    <w:rsid w:val="000610AF"/>
    <w:rsid w:val="00062B97"/>
    <w:rsid w:val="00062EFC"/>
    <w:rsid w:val="00062F7A"/>
    <w:rsid w:val="00063510"/>
    <w:rsid w:val="00063843"/>
    <w:rsid w:val="0006433A"/>
    <w:rsid w:val="0006466F"/>
    <w:rsid w:val="00064E48"/>
    <w:rsid w:val="00065DBF"/>
    <w:rsid w:val="00066542"/>
    <w:rsid w:val="00066AC1"/>
    <w:rsid w:val="000670D6"/>
    <w:rsid w:val="000674EA"/>
    <w:rsid w:val="00067640"/>
    <w:rsid w:val="000700AB"/>
    <w:rsid w:val="00070355"/>
    <w:rsid w:val="00070A87"/>
    <w:rsid w:val="00071586"/>
    <w:rsid w:val="00071923"/>
    <w:rsid w:val="00071AF0"/>
    <w:rsid w:val="000723D6"/>
    <w:rsid w:val="000723EC"/>
    <w:rsid w:val="0007241E"/>
    <w:rsid w:val="000726F4"/>
    <w:rsid w:val="00072700"/>
    <w:rsid w:val="0007294A"/>
    <w:rsid w:val="00074C5F"/>
    <w:rsid w:val="00075656"/>
    <w:rsid w:val="000762E3"/>
    <w:rsid w:val="00076C74"/>
    <w:rsid w:val="00077080"/>
    <w:rsid w:val="000778A7"/>
    <w:rsid w:val="00077EE6"/>
    <w:rsid w:val="00080801"/>
    <w:rsid w:val="0008115F"/>
    <w:rsid w:val="00082E1A"/>
    <w:rsid w:val="0008305C"/>
    <w:rsid w:val="00083419"/>
    <w:rsid w:val="00083619"/>
    <w:rsid w:val="00083813"/>
    <w:rsid w:val="00084F73"/>
    <w:rsid w:val="0008580E"/>
    <w:rsid w:val="00085876"/>
    <w:rsid w:val="00085959"/>
    <w:rsid w:val="00085EB9"/>
    <w:rsid w:val="000863E0"/>
    <w:rsid w:val="00086402"/>
    <w:rsid w:val="000865AF"/>
    <w:rsid w:val="000867B5"/>
    <w:rsid w:val="00087694"/>
    <w:rsid w:val="000900A7"/>
    <w:rsid w:val="00090149"/>
    <w:rsid w:val="00090D71"/>
    <w:rsid w:val="00091CC0"/>
    <w:rsid w:val="00092158"/>
    <w:rsid w:val="0009287D"/>
    <w:rsid w:val="00092969"/>
    <w:rsid w:val="0009296B"/>
    <w:rsid w:val="00092B59"/>
    <w:rsid w:val="00092D67"/>
    <w:rsid w:val="000942AD"/>
    <w:rsid w:val="00094F4B"/>
    <w:rsid w:val="00095626"/>
    <w:rsid w:val="00096A56"/>
    <w:rsid w:val="00096DF3"/>
    <w:rsid w:val="00097BB1"/>
    <w:rsid w:val="00097F99"/>
    <w:rsid w:val="000A0411"/>
    <w:rsid w:val="000A08E2"/>
    <w:rsid w:val="000A0DEA"/>
    <w:rsid w:val="000A1B86"/>
    <w:rsid w:val="000A1CE5"/>
    <w:rsid w:val="000A252F"/>
    <w:rsid w:val="000A2760"/>
    <w:rsid w:val="000A2E50"/>
    <w:rsid w:val="000A2FBB"/>
    <w:rsid w:val="000A3545"/>
    <w:rsid w:val="000A416A"/>
    <w:rsid w:val="000A44A9"/>
    <w:rsid w:val="000A5285"/>
    <w:rsid w:val="000A5AA5"/>
    <w:rsid w:val="000A5FFF"/>
    <w:rsid w:val="000A6ABF"/>
    <w:rsid w:val="000A7A0E"/>
    <w:rsid w:val="000A7C19"/>
    <w:rsid w:val="000B013F"/>
    <w:rsid w:val="000B1039"/>
    <w:rsid w:val="000B139E"/>
    <w:rsid w:val="000B18A9"/>
    <w:rsid w:val="000B1FD8"/>
    <w:rsid w:val="000B207F"/>
    <w:rsid w:val="000B2FB9"/>
    <w:rsid w:val="000B3878"/>
    <w:rsid w:val="000B421D"/>
    <w:rsid w:val="000B4C60"/>
    <w:rsid w:val="000B4D14"/>
    <w:rsid w:val="000B5792"/>
    <w:rsid w:val="000B5BBC"/>
    <w:rsid w:val="000B6C20"/>
    <w:rsid w:val="000C027F"/>
    <w:rsid w:val="000C05FC"/>
    <w:rsid w:val="000C0A1D"/>
    <w:rsid w:val="000C1322"/>
    <w:rsid w:val="000C14E0"/>
    <w:rsid w:val="000C1AED"/>
    <w:rsid w:val="000C2DFB"/>
    <w:rsid w:val="000C2ECC"/>
    <w:rsid w:val="000C315A"/>
    <w:rsid w:val="000C363E"/>
    <w:rsid w:val="000C3652"/>
    <w:rsid w:val="000C3C3D"/>
    <w:rsid w:val="000C3E1D"/>
    <w:rsid w:val="000C4685"/>
    <w:rsid w:val="000C4A0A"/>
    <w:rsid w:val="000C5FE1"/>
    <w:rsid w:val="000C61F3"/>
    <w:rsid w:val="000C71F1"/>
    <w:rsid w:val="000C73DF"/>
    <w:rsid w:val="000D0059"/>
    <w:rsid w:val="000D0280"/>
    <w:rsid w:val="000D0A14"/>
    <w:rsid w:val="000D0A2E"/>
    <w:rsid w:val="000D0A32"/>
    <w:rsid w:val="000D0BAC"/>
    <w:rsid w:val="000D0FC6"/>
    <w:rsid w:val="000D11D8"/>
    <w:rsid w:val="000D2069"/>
    <w:rsid w:val="000D2899"/>
    <w:rsid w:val="000D2FA5"/>
    <w:rsid w:val="000D3231"/>
    <w:rsid w:val="000D34DF"/>
    <w:rsid w:val="000D4CD9"/>
    <w:rsid w:val="000D554C"/>
    <w:rsid w:val="000D6443"/>
    <w:rsid w:val="000D6CFB"/>
    <w:rsid w:val="000D6D70"/>
    <w:rsid w:val="000D705D"/>
    <w:rsid w:val="000D70D2"/>
    <w:rsid w:val="000E003E"/>
    <w:rsid w:val="000E0D00"/>
    <w:rsid w:val="000E123C"/>
    <w:rsid w:val="000E258D"/>
    <w:rsid w:val="000E3B89"/>
    <w:rsid w:val="000E4300"/>
    <w:rsid w:val="000E4668"/>
    <w:rsid w:val="000E4D05"/>
    <w:rsid w:val="000E623C"/>
    <w:rsid w:val="000E6903"/>
    <w:rsid w:val="000E70A2"/>
    <w:rsid w:val="000E7D7A"/>
    <w:rsid w:val="000F0732"/>
    <w:rsid w:val="000F229E"/>
    <w:rsid w:val="000F2563"/>
    <w:rsid w:val="000F2762"/>
    <w:rsid w:val="000F2F26"/>
    <w:rsid w:val="000F39C6"/>
    <w:rsid w:val="000F3C4C"/>
    <w:rsid w:val="000F478D"/>
    <w:rsid w:val="000F5146"/>
    <w:rsid w:val="000F5A27"/>
    <w:rsid w:val="000F5DE1"/>
    <w:rsid w:val="000F6A69"/>
    <w:rsid w:val="000F6CE5"/>
    <w:rsid w:val="000F6D06"/>
    <w:rsid w:val="000F72BC"/>
    <w:rsid w:val="0010047F"/>
    <w:rsid w:val="00100ABD"/>
    <w:rsid w:val="00101612"/>
    <w:rsid w:val="00101967"/>
    <w:rsid w:val="00101C87"/>
    <w:rsid w:val="0010251C"/>
    <w:rsid w:val="001032DB"/>
    <w:rsid w:val="001034FA"/>
    <w:rsid w:val="001048CD"/>
    <w:rsid w:val="00105E6B"/>
    <w:rsid w:val="00106290"/>
    <w:rsid w:val="0010646D"/>
    <w:rsid w:val="001066B0"/>
    <w:rsid w:val="001076DC"/>
    <w:rsid w:val="00107922"/>
    <w:rsid w:val="00107FE4"/>
    <w:rsid w:val="00110240"/>
    <w:rsid w:val="001110CD"/>
    <w:rsid w:val="0011138A"/>
    <w:rsid w:val="00111AE2"/>
    <w:rsid w:val="00112371"/>
    <w:rsid w:val="001126DA"/>
    <w:rsid w:val="0011274A"/>
    <w:rsid w:val="00112C06"/>
    <w:rsid w:val="00112C73"/>
    <w:rsid w:val="00112D26"/>
    <w:rsid w:val="00113039"/>
    <w:rsid w:val="0011303F"/>
    <w:rsid w:val="00113376"/>
    <w:rsid w:val="00113B63"/>
    <w:rsid w:val="00113ECF"/>
    <w:rsid w:val="00113F6D"/>
    <w:rsid w:val="00114795"/>
    <w:rsid w:val="00114C16"/>
    <w:rsid w:val="00115455"/>
    <w:rsid w:val="00115679"/>
    <w:rsid w:val="001156E2"/>
    <w:rsid w:val="00115700"/>
    <w:rsid w:val="00115AFD"/>
    <w:rsid w:val="00116144"/>
    <w:rsid w:val="00116731"/>
    <w:rsid w:val="0011691B"/>
    <w:rsid w:val="00116A03"/>
    <w:rsid w:val="00116C8B"/>
    <w:rsid w:val="001172FA"/>
    <w:rsid w:val="001177B1"/>
    <w:rsid w:val="00117975"/>
    <w:rsid w:val="00117E81"/>
    <w:rsid w:val="001206EE"/>
    <w:rsid w:val="00120C39"/>
    <w:rsid w:val="001211EA"/>
    <w:rsid w:val="00121778"/>
    <w:rsid w:val="00121B92"/>
    <w:rsid w:val="00122042"/>
    <w:rsid w:val="00122665"/>
    <w:rsid w:val="00122CFF"/>
    <w:rsid w:val="0012334C"/>
    <w:rsid w:val="00123555"/>
    <w:rsid w:val="00123970"/>
    <w:rsid w:val="00123D6C"/>
    <w:rsid w:val="00125207"/>
    <w:rsid w:val="0012526D"/>
    <w:rsid w:val="0012626E"/>
    <w:rsid w:val="0012685B"/>
    <w:rsid w:val="00127EB9"/>
    <w:rsid w:val="00130440"/>
    <w:rsid w:val="0013058F"/>
    <w:rsid w:val="00131BA8"/>
    <w:rsid w:val="0013314A"/>
    <w:rsid w:val="00133E38"/>
    <w:rsid w:val="00134A91"/>
    <w:rsid w:val="00134EDD"/>
    <w:rsid w:val="00135191"/>
    <w:rsid w:val="00135408"/>
    <w:rsid w:val="001358C3"/>
    <w:rsid w:val="0013665E"/>
    <w:rsid w:val="00140128"/>
    <w:rsid w:val="00140543"/>
    <w:rsid w:val="00140676"/>
    <w:rsid w:val="00140C51"/>
    <w:rsid w:val="0014125E"/>
    <w:rsid w:val="00141424"/>
    <w:rsid w:val="001417E2"/>
    <w:rsid w:val="00142B68"/>
    <w:rsid w:val="00143B26"/>
    <w:rsid w:val="00144175"/>
    <w:rsid w:val="00144399"/>
    <w:rsid w:val="00144641"/>
    <w:rsid w:val="00145632"/>
    <w:rsid w:val="00145700"/>
    <w:rsid w:val="00145AB3"/>
    <w:rsid w:val="00147737"/>
    <w:rsid w:val="00147AFB"/>
    <w:rsid w:val="00147DA4"/>
    <w:rsid w:val="00150798"/>
    <w:rsid w:val="0015083A"/>
    <w:rsid w:val="00150F90"/>
    <w:rsid w:val="001513C9"/>
    <w:rsid w:val="0015210C"/>
    <w:rsid w:val="00152680"/>
    <w:rsid w:val="00152CB1"/>
    <w:rsid w:val="00155B20"/>
    <w:rsid w:val="00155F42"/>
    <w:rsid w:val="0015613B"/>
    <w:rsid w:val="001564AF"/>
    <w:rsid w:val="001564F0"/>
    <w:rsid w:val="001609B4"/>
    <w:rsid w:val="00160A07"/>
    <w:rsid w:val="001615F4"/>
    <w:rsid w:val="00162A81"/>
    <w:rsid w:val="00162A88"/>
    <w:rsid w:val="00162D86"/>
    <w:rsid w:val="001642EF"/>
    <w:rsid w:val="00164925"/>
    <w:rsid w:val="00164B21"/>
    <w:rsid w:val="00165B3F"/>
    <w:rsid w:val="00165B89"/>
    <w:rsid w:val="00167402"/>
    <w:rsid w:val="001678A5"/>
    <w:rsid w:val="00167CDD"/>
    <w:rsid w:val="00170FD1"/>
    <w:rsid w:val="00171A38"/>
    <w:rsid w:val="00171C60"/>
    <w:rsid w:val="001727DB"/>
    <w:rsid w:val="0017360E"/>
    <w:rsid w:val="00173693"/>
    <w:rsid w:val="001752FA"/>
    <w:rsid w:val="0017749A"/>
    <w:rsid w:val="00177938"/>
    <w:rsid w:val="00180084"/>
    <w:rsid w:val="0018061B"/>
    <w:rsid w:val="0018093E"/>
    <w:rsid w:val="00180D11"/>
    <w:rsid w:val="00180E9A"/>
    <w:rsid w:val="0018314D"/>
    <w:rsid w:val="00183A8D"/>
    <w:rsid w:val="00183C27"/>
    <w:rsid w:val="00183F72"/>
    <w:rsid w:val="0018542C"/>
    <w:rsid w:val="00185BAC"/>
    <w:rsid w:val="00186CD6"/>
    <w:rsid w:val="00187F04"/>
    <w:rsid w:val="00191B4C"/>
    <w:rsid w:val="00191CC5"/>
    <w:rsid w:val="001920A6"/>
    <w:rsid w:val="001922BC"/>
    <w:rsid w:val="00192703"/>
    <w:rsid w:val="001928F5"/>
    <w:rsid w:val="0019365F"/>
    <w:rsid w:val="00193BEA"/>
    <w:rsid w:val="00194549"/>
    <w:rsid w:val="00194F1C"/>
    <w:rsid w:val="00195155"/>
    <w:rsid w:val="001957B3"/>
    <w:rsid w:val="00196392"/>
    <w:rsid w:val="00197A5C"/>
    <w:rsid w:val="00197D40"/>
    <w:rsid w:val="001A0076"/>
    <w:rsid w:val="001A084D"/>
    <w:rsid w:val="001A0E1E"/>
    <w:rsid w:val="001A293C"/>
    <w:rsid w:val="001A315E"/>
    <w:rsid w:val="001A3264"/>
    <w:rsid w:val="001A379F"/>
    <w:rsid w:val="001A41B2"/>
    <w:rsid w:val="001A4F45"/>
    <w:rsid w:val="001A5670"/>
    <w:rsid w:val="001A5814"/>
    <w:rsid w:val="001A6351"/>
    <w:rsid w:val="001A6B8B"/>
    <w:rsid w:val="001A6D35"/>
    <w:rsid w:val="001B1918"/>
    <w:rsid w:val="001B1D7C"/>
    <w:rsid w:val="001B242D"/>
    <w:rsid w:val="001B27E0"/>
    <w:rsid w:val="001B2BD6"/>
    <w:rsid w:val="001B322C"/>
    <w:rsid w:val="001B3324"/>
    <w:rsid w:val="001B36D1"/>
    <w:rsid w:val="001B410D"/>
    <w:rsid w:val="001B41DC"/>
    <w:rsid w:val="001B43B9"/>
    <w:rsid w:val="001B4509"/>
    <w:rsid w:val="001B47CD"/>
    <w:rsid w:val="001B49C6"/>
    <w:rsid w:val="001B4E3E"/>
    <w:rsid w:val="001B5135"/>
    <w:rsid w:val="001B5246"/>
    <w:rsid w:val="001B55BF"/>
    <w:rsid w:val="001B586E"/>
    <w:rsid w:val="001B5BFE"/>
    <w:rsid w:val="001B5C68"/>
    <w:rsid w:val="001B63EF"/>
    <w:rsid w:val="001B7875"/>
    <w:rsid w:val="001B7B81"/>
    <w:rsid w:val="001C0DF2"/>
    <w:rsid w:val="001C0FCF"/>
    <w:rsid w:val="001C1C5D"/>
    <w:rsid w:val="001C3163"/>
    <w:rsid w:val="001C328A"/>
    <w:rsid w:val="001C458D"/>
    <w:rsid w:val="001C4B84"/>
    <w:rsid w:val="001C5760"/>
    <w:rsid w:val="001C606B"/>
    <w:rsid w:val="001C6189"/>
    <w:rsid w:val="001C6455"/>
    <w:rsid w:val="001C6876"/>
    <w:rsid w:val="001C6AFB"/>
    <w:rsid w:val="001C73E7"/>
    <w:rsid w:val="001C7571"/>
    <w:rsid w:val="001D0481"/>
    <w:rsid w:val="001D0CF3"/>
    <w:rsid w:val="001D0F1F"/>
    <w:rsid w:val="001D10B7"/>
    <w:rsid w:val="001D1641"/>
    <w:rsid w:val="001D2287"/>
    <w:rsid w:val="001D274C"/>
    <w:rsid w:val="001D28A1"/>
    <w:rsid w:val="001D34A8"/>
    <w:rsid w:val="001D40C9"/>
    <w:rsid w:val="001D4173"/>
    <w:rsid w:val="001D5732"/>
    <w:rsid w:val="001D5898"/>
    <w:rsid w:val="001D5B09"/>
    <w:rsid w:val="001D64CC"/>
    <w:rsid w:val="001D70F8"/>
    <w:rsid w:val="001D7921"/>
    <w:rsid w:val="001D7F2A"/>
    <w:rsid w:val="001E01A0"/>
    <w:rsid w:val="001E0D09"/>
    <w:rsid w:val="001E1BBD"/>
    <w:rsid w:val="001E25D9"/>
    <w:rsid w:val="001E26DF"/>
    <w:rsid w:val="001E2FC8"/>
    <w:rsid w:val="001E334B"/>
    <w:rsid w:val="001E4732"/>
    <w:rsid w:val="001E4ED3"/>
    <w:rsid w:val="001E58E0"/>
    <w:rsid w:val="001E5EEA"/>
    <w:rsid w:val="001E5F81"/>
    <w:rsid w:val="001E64F7"/>
    <w:rsid w:val="001E699E"/>
    <w:rsid w:val="001E78FF"/>
    <w:rsid w:val="001E7AA5"/>
    <w:rsid w:val="001E7C47"/>
    <w:rsid w:val="001E7CBA"/>
    <w:rsid w:val="001F05BD"/>
    <w:rsid w:val="001F0840"/>
    <w:rsid w:val="001F09B1"/>
    <w:rsid w:val="001F0E81"/>
    <w:rsid w:val="001F0F04"/>
    <w:rsid w:val="001F196E"/>
    <w:rsid w:val="001F1E7E"/>
    <w:rsid w:val="001F2E26"/>
    <w:rsid w:val="001F2E44"/>
    <w:rsid w:val="001F2EFD"/>
    <w:rsid w:val="001F3832"/>
    <w:rsid w:val="001F50D8"/>
    <w:rsid w:val="001F5308"/>
    <w:rsid w:val="001F57C3"/>
    <w:rsid w:val="001F5D64"/>
    <w:rsid w:val="001F7758"/>
    <w:rsid w:val="0020026B"/>
    <w:rsid w:val="00200AB9"/>
    <w:rsid w:val="00200B8E"/>
    <w:rsid w:val="00200E1D"/>
    <w:rsid w:val="00201205"/>
    <w:rsid w:val="00201545"/>
    <w:rsid w:val="00202B08"/>
    <w:rsid w:val="00202B75"/>
    <w:rsid w:val="00202D08"/>
    <w:rsid w:val="00202DC0"/>
    <w:rsid w:val="00203112"/>
    <w:rsid w:val="00203C56"/>
    <w:rsid w:val="0020410C"/>
    <w:rsid w:val="00204771"/>
    <w:rsid w:val="002059FF"/>
    <w:rsid w:val="00205E03"/>
    <w:rsid w:val="002060D8"/>
    <w:rsid w:val="002068BC"/>
    <w:rsid w:val="00210BE7"/>
    <w:rsid w:val="0021183E"/>
    <w:rsid w:val="00211939"/>
    <w:rsid w:val="00212027"/>
    <w:rsid w:val="00212148"/>
    <w:rsid w:val="00213DDC"/>
    <w:rsid w:val="002146B9"/>
    <w:rsid w:val="00214C5F"/>
    <w:rsid w:val="002150EC"/>
    <w:rsid w:val="002158FC"/>
    <w:rsid w:val="0021717A"/>
    <w:rsid w:val="00217359"/>
    <w:rsid w:val="00217818"/>
    <w:rsid w:val="00217B78"/>
    <w:rsid w:val="00220225"/>
    <w:rsid w:val="00220EE4"/>
    <w:rsid w:val="00220F6C"/>
    <w:rsid w:val="002210B8"/>
    <w:rsid w:val="002216C1"/>
    <w:rsid w:val="00221CC1"/>
    <w:rsid w:val="00222333"/>
    <w:rsid w:val="002223E5"/>
    <w:rsid w:val="00222DE2"/>
    <w:rsid w:val="00222FD9"/>
    <w:rsid w:val="002232D0"/>
    <w:rsid w:val="00223EC8"/>
    <w:rsid w:val="002246D1"/>
    <w:rsid w:val="002256D3"/>
    <w:rsid w:val="002259F1"/>
    <w:rsid w:val="00225B7F"/>
    <w:rsid w:val="00226273"/>
    <w:rsid w:val="00226A28"/>
    <w:rsid w:val="00226CCD"/>
    <w:rsid w:val="002279ED"/>
    <w:rsid w:val="00227DE7"/>
    <w:rsid w:val="00227E69"/>
    <w:rsid w:val="00230A6E"/>
    <w:rsid w:val="00231F0E"/>
    <w:rsid w:val="00231F73"/>
    <w:rsid w:val="00232147"/>
    <w:rsid w:val="00232849"/>
    <w:rsid w:val="00233AE5"/>
    <w:rsid w:val="00233AFF"/>
    <w:rsid w:val="002341D1"/>
    <w:rsid w:val="00234679"/>
    <w:rsid w:val="0023513C"/>
    <w:rsid w:val="00235DA6"/>
    <w:rsid w:val="00236072"/>
    <w:rsid w:val="002364CE"/>
    <w:rsid w:val="00236C0F"/>
    <w:rsid w:val="00237496"/>
    <w:rsid w:val="0023765C"/>
    <w:rsid w:val="00237686"/>
    <w:rsid w:val="002378A7"/>
    <w:rsid w:val="0024041D"/>
    <w:rsid w:val="00240488"/>
    <w:rsid w:val="002405FF"/>
    <w:rsid w:val="00241165"/>
    <w:rsid w:val="0024143D"/>
    <w:rsid w:val="0024195C"/>
    <w:rsid w:val="00241B35"/>
    <w:rsid w:val="00241F86"/>
    <w:rsid w:val="00243764"/>
    <w:rsid w:val="00243B2F"/>
    <w:rsid w:val="00243B4B"/>
    <w:rsid w:val="00244461"/>
    <w:rsid w:val="00244904"/>
    <w:rsid w:val="00245098"/>
    <w:rsid w:val="002455AD"/>
    <w:rsid w:val="00245B6E"/>
    <w:rsid w:val="00246CD2"/>
    <w:rsid w:val="002477F6"/>
    <w:rsid w:val="00247F57"/>
    <w:rsid w:val="00250ED6"/>
    <w:rsid w:val="002515D7"/>
    <w:rsid w:val="00251884"/>
    <w:rsid w:val="002518BF"/>
    <w:rsid w:val="0025190D"/>
    <w:rsid w:val="00251D66"/>
    <w:rsid w:val="00252D48"/>
    <w:rsid w:val="002532D2"/>
    <w:rsid w:val="00253957"/>
    <w:rsid w:val="00255595"/>
    <w:rsid w:val="00255B36"/>
    <w:rsid w:val="002562C2"/>
    <w:rsid w:val="00256EC8"/>
    <w:rsid w:val="0025727D"/>
    <w:rsid w:val="00257978"/>
    <w:rsid w:val="00257DC8"/>
    <w:rsid w:val="002604B6"/>
    <w:rsid w:val="00262448"/>
    <w:rsid w:val="0026268C"/>
    <w:rsid w:val="002641C8"/>
    <w:rsid w:val="00265111"/>
    <w:rsid w:val="002658C3"/>
    <w:rsid w:val="00266DE5"/>
    <w:rsid w:val="00266F63"/>
    <w:rsid w:val="0027080D"/>
    <w:rsid w:val="00270C9C"/>
    <w:rsid w:val="0027178A"/>
    <w:rsid w:val="00271BA4"/>
    <w:rsid w:val="00271CDB"/>
    <w:rsid w:val="0027218B"/>
    <w:rsid w:val="002727F0"/>
    <w:rsid w:val="00272FFF"/>
    <w:rsid w:val="002730D0"/>
    <w:rsid w:val="002738AE"/>
    <w:rsid w:val="00273968"/>
    <w:rsid w:val="00273A0C"/>
    <w:rsid w:val="00273C43"/>
    <w:rsid w:val="00273D99"/>
    <w:rsid w:val="00274371"/>
    <w:rsid w:val="00274F99"/>
    <w:rsid w:val="00275A60"/>
    <w:rsid w:val="00275AC1"/>
    <w:rsid w:val="0027688D"/>
    <w:rsid w:val="00276EC0"/>
    <w:rsid w:val="00277C92"/>
    <w:rsid w:val="00281C0E"/>
    <w:rsid w:val="002823C1"/>
    <w:rsid w:val="00282671"/>
    <w:rsid w:val="00282940"/>
    <w:rsid w:val="00283304"/>
    <w:rsid w:val="002837B5"/>
    <w:rsid w:val="00283970"/>
    <w:rsid w:val="0028482C"/>
    <w:rsid w:val="00284A9A"/>
    <w:rsid w:val="002851F4"/>
    <w:rsid w:val="0028542D"/>
    <w:rsid w:val="002855B9"/>
    <w:rsid w:val="002855BF"/>
    <w:rsid w:val="00285D38"/>
    <w:rsid w:val="002862D8"/>
    <w:rsid w:val="00286663"/>
    <w:rsid w:val="002870CF"/>
    <w:rsid w:val="00290E74"/>
    <w:rsid w:val="00291382"/>
    <w:rsid w:val="0029201B"/>
    <w:rsid w:val="002921DE"/>
    <w:rsid w:val="00292290"/>
    <w:rsid w:val="002927A2"/>
    <w:rsid w:val="00292C2A"/>
    <w:rsid w:val="00293314"/>
    <w:rsid w:val="0029383C"/>
    <w:rsid w:val="00293D85"/>
    <w:rsid w:val="00293E9E"/>
    <w:rsid w:val="00294122"/>
    <w:rsid w:val="002942FB"/>
    <w:rsid w:val="00294B0B"/>
    <w:rsid w:val="0029586C"/>
    <w:rsid w:val="0029592A"/>
    <w:rsid w:val="002959F8"/>
    <w:rsid w:val="00295A5D"/>
    <w:rsid w:val="002971A5"/>
    <w:rsid w:val="0029729D"/>
    <w:rsid w:val="002A0507"/>
    <w:rsid w:val="002A0BE0"/>
    <w:rsid w:val="002A1078"/>
    <w:rsid w:val="002A10CA"/>
    <w:rsid w:val="002A20C8"/>
    <w:rsid w:val="002A2E34"/>
    <w:rsid w:val="002A38BB"/>
    <w:rsid w:val="002A40FF"/>
    <w:rsid w:val="002A43F8"/>
    <w:rsid w:val="002A4C27"/>
    <w:rsid w:val="002A5135"/>
    <w:rsid w:val="002A54E3"/>
    <w:rsid w:val="002A633A"/>
    <w:rsid w:val="002A64DB"/>
    <w:rsid w:val="002A69DC"/>
    <w:rsid w:val="002A7873"/>
    <w:rsid w:val="002A79C2"/>
    <w:rsid w:val="002B0067"/>
    <w:rsid w:val="002B092C"/>
    <w:rsid w:val="002B0A30"/>
    <w:rsid w:val="002B1152"/>
    <w:rsid w:val="002B126A"/>
    <w:rsid w:val="002B1504"/>
    <w:rsid w:val="002B1A0D"/>
    <w:rsid w:val="002B218B"/>
    <w:rsid w:val="002B24EA"/>
    <w:rsid w:val="002B28D0"/>
    <w:rsid w:val="002B296F"/>
    <w:rsid w:val="002B2FF0"/>
    <w:rsid w:val="002B37FF"/>
    <w:rsid w:val="002B3DEA"/>
    <w:rsid w:val="002B44BF"/>
    <w:rsid w:val="002B49C7"/>
    <w:rsid w:val="002B66ED"/>
    <w:rsid w:val="002B7EC4"/>
    <w:rsid w:val="002C02DF"/>
    <w:rsid w:val="002C089C"/>
    <w:rsid w:val="002C12B3"/>
    <w:rsid w:val="002C17C2"/>
    <w:rsid w:val="002C239C"/>
    <w:rsid w:val="002C277B"/>
    <w:rsid w:val="002C29AC"/>
    <w:rsid w:val="002C428B"/>
    <w:rsid w:val="002C4ECF"/>
    <w:rsid w:val="002C5095"/>
    <w:rsid w:val="002C5CCE"/>
    <w:rsid w:val="002C6BAD"/>
    <w:rsid w:val="002C7B54"/>
    <w:rsid w:val="002C7BD8"/>
    <w:rsid w:val="002D05B1"/>
    <w:rsid w:val="002D0603"/>
    <w:rsid w:val="002D0D6E"/>
    <w:rsid w:val="002D0E01"/>
    <w:rsid w:val="002D1317"/>
    <w:rsid w:val="002D2297"/>
    <w:rsid w:val="002D2463"/>
    <w:rsid w:val="002D26BC"/>
    <w:rsid w:val="002D37E9"/>
    <w:rsid w:val="002D3F9E"/>
    <w:rsid w:val="002D53CD"/>
    <w:rsid w:val="002D6035"/>
    <w:rsid w:val="002D60F5"/>
    <w:rsid w:val="002D6AFC"/>
    <w:rsid w:val="002D6FFB"/>
    <w:rsid w:val="002D71AE"/>
    <w:rsid w:val="002D753F"/>
    <w:rsid w:val="002D79C9"/>
    <w:rsid w:val="002E09ED"/>
    <w:rsid w:val="002E0CD1"/>
    <w:rsid w:val="002E0EE5"/>
    <w:rsid w:val="002E118F"/>
    <w:rsid w:val="002E1D0E"/>
    <w:rsid w:val="002E28A7"/>
    <w:rsid w:val="002E33E0"/>
    <w:rsid w:val="002E35FE"/>
    <w:rsid w:val="002E370A"/>
    <w:rsid w:val="002E4091"/>
    <w:rsid w:val="002E487B"/>
    <w:rsid w:val="002E48B8"/>
    <w:rsid w:val="002E48D7"/>
    <w:rsid w:val="002E4910"/>
    <w:rsid w:val="002E4B2D"/>
    <w:rsid w:val="002E4F5B"/>
    <w:rsid w:val="002E54F8"/>
    <w:rsid w:val="002E5AAB"/>
    <w:rsid w:val="002E66BB"/>
    <w:rsid w:val="002E7807"/>
    <w:rsid w:val="002E794E"/>
    <w:rsid w:val="002F0318"/>
    <w:rsid w:val="002F0366"/>
    <w:rsid w:val="002F044D"/>
    <w:rsid w:val="002F17D4"/>
    <w:rsid w:val="002F1D84"/>
    <w:rsid w:val="002F1FF3"/>
    <w:rsid w:val="002F3342"/>
    <w:rsid w:val="002F37F9"/>
    <w:rsid w:val="002F3F81"/>
    <w:rsid w:val="002F437E"/>
    <w:rsid w:val="002F4900"/>
    <w:rsid w:val="002F5A14"/>
    <w:rsid w:val="002F5B71"/>
    <w:rsid w:val="002F606C"/>
    <w:rsid w:val="002F65F2"/>
    <w:rsid w:val="002F673C"/>
    <w:rsid w:val="002F67C9"/>
    <w:rsid w:val="002F6D97"/>
    <w:rsid w:val="00302283"/>
    <w:rsid w:val="0030245F"/>
    <w:rsid w:val="0030363C"/>
    <w:rsid w:val="00303B84"/>
    <w:rsid w:val="00304272"/>
    <w:rsid w:val="003048E2"/>
    <w:rsid w:val="003051E3"/>
    <w:rsid w:val="00305433"/>
    <w:rsid w:val="00305AD5"/>
    <w:rsid w:val="0030678F"/>
    <w:rsid w:val="003067A0"/>
    <w:rsid w:val="00307F29"/>
    <w:rsid w:val="003102C2"/>
    <w:rsid w:val="00310D62"/>
    <w:rsid w:val="00311E2B"/>
    <w:rsid w:val="00312416"/>
    <w:rsid w:val="003127FA"/>
    <w:rsid w:val="00312AE8"/>
    <w:rsid w:val="00312B33"/>
    <w:rsid w:val="00312E30"/>
    <w:rsid w:val="003137D8"/>
    <w:rsid w:val="00314D42"/>
    <w:rsid w:val="00315B7D"/>
    <w:rsid w:val="00315BC0"/>
    <w:rsid w:val="0031644B"/>
    <w:rsid w:val="00317446"/>
    <w:rsid w:val="00317D53"/>
    <w:rsid w:val="00321771"/>
    <w:rsid w:val="00321D1C"/>
    <w:rsid w:val="0032206C"/>
    <w:rsid w:val="003220FB"/>
    <w:rsid w:val="00323123"/>
    <w:rsid w:val="00323494"/>
    <w:rsid w:val="00323716"/>
    <w:rsid w:val="00324297"/>
    <w:rsid w:val="00324ADF"/>
    <w:rsid w:val="00324FE3"/>
    <w:rsid w:val="003253E2"/>
    <w:rsid w:val="003257E1"/>
    <w:rsid w:val="00327864"/>
    <w:rsid w:val="00327F39"/>
    <w:rsid w:val="00331048"/>
    <w:rsid w:val="00331222"/>
    <w:rsid w:val="00331541"/>
    <w:rsid w:val="00332436"/>
    <w:rsid w:val="00332DBD"/>
    <w:rsid w:val="00333496"/>
    <w:rsid w:val="003338F0"/>
    <w:rsid w:val="00333D04"/>
    <w:rsid w:val="003347AE"/>
    <w:rsid w:val="00334947"/>
    <w:rsid w:val="00337202"/>
    <w:rsid w:val="00337869"/>
    <w:rsid w:val="00337C5A"/>
    <w:rsid w:val="00337D30"/>
    <w:rsid w:val="003400B9"/>
    <w:rsid w:val="003403F8"/>
    <w:rsid w:val="0034062E"/>
    <w:rsid w:val="0034072E"/>
    <w:rsid w:val="00341490"/>
    <w:rsid w:val="00341517"/>
    <w:rsid w:val="00341AA8"/>
    <w:rsid w:val="003421BC"/>
    <w:rsid w:val="0034220F"/>
    <w:rsid w:val="003428B3"/>
    <w:rsid w:val="00342C5A"/>
    <w:rsid w:val="0034338C"/>
    <w:rsid w:val="00343C81"/>
    <w:rsid w:val="003442B1"/>
    <w:rsid w:val="003445DB"/>
    <w:rsid w:val="00344FD0"/>
    <w:rsid w:val="00345585"/>
    <w:rsid w:val="00345AD8"/>
    <w:rsid w:val="003464E6"/>
    <w:rsid w:val="00347852"/>
    <w:rsid w:val="00347C09"/>
    <w:rsid w:val="00347E43"/>
    <w:rsid w:val="003503EA"/>
    <w:rsid w:val="0035066C"/>
    <w:rsid w:val="00350894"/>
    <w:rsid w:val="00351000"/>
    <w:rsid w:val="00351612"/>
    <w:rsid w:val="0035161C"/>
    <w:rsid w:val="003519D9"/>
    <w:rsid w:val="00352630"/>
    <w:rsid w:val="00352B5B"/>
    <w:rsid w:val="00352FC1"/>
    <w:rsid w:val="0035318D"/>
    <w:rsid w:val="0035398F"/>
    <w:rsid w:val="00353C52"/>
    <w:rsid w:val="00353CA9"/>
    <w:rsid w:val="003542F6"/>
    <w:rsid w:val="003548DA"/>
    <w:rsid w:val="003555F1"/>
    <w:rsid w:val="00355771"/>
    <w:rsid w:val="00355801"/>
    <w:rsid w:val="003558A0"/>
    <w:rsid w:val="0035616B"/>
    <w:rsid w:val="00357BF1"/>
    <w:rsid w:val="00360F39"/>
    <w:rsid w:val="00360FE8"/>
    <w:rsid w:val="00361581"/>
    <w:rsid w:val="0036187B"/>
    <w:rsid w:val="00361894"/>
    <w:rsid w:val="00361F9E"/>
    <w:rsid w:val="00363DF1"/>
    <w:rsid w:val="00364352"/>
    <w:rsid w:val="00365641"/>
    <w:rsid w:val="00365AD0"/>
    <w:rsid w:val="0036678A"/>
    <w:rsid w:val="00367D95"/>
    <w:rsid w:val="00370221"/>
    <w:rsid w:val="003703F3"/>
    <w:rsid w:val="0037082F"/>
    <w:rsid w:val="00370E68"/>
    <w:rsid w:val="003710AF"/>
    <w:rsid w:val="00371821"/>
    <w:rsid w:val="00372591"/>
    <w:rsid w:val="003727AF"/>
    <w:rsid w:val="00372AC3"/>
    <w:rsid w:val="00372CFB"/>
    <w:rsid w:val="00372FC1"/>
    <w:rsid w:val="003730A9"/>
    <w:rsid w:val="003731CA"/>
    <w:rsid w:val="00373529"/>
    <w:rsid w:val="0037357F"/>
    <w:rsid w:val="003742CA"/>
    <w:rsid w:val="003744BD"/>
    <w:rsid w:val="003748B7"/>
    <w:rsid w:val="00374C13"/>
    <w:rsid w:val="003762FE"/>
    <w:rsid w:val="00376C86"/>
    <w:rsid w:val="00377828"/>
    <w:rsid w:val="0038009F"/>
    <w:rsid w:val="00380850"/>
    <w:rsid w:val="00380D17"/>
    <w:rsid w:val="00381448"/>
    <w:rsid w:val="00381671"/>
    <w:rsid w:val="00381F43"/>
    <w:rsid w:val="00382835"/>
    <w:rsid w:val="00382CC1"/>
    <w:rsid w:val="00382D91"/>
    <w:rsid w:val="00383318"/>
    <w:rsid w:val="00383D63"/>
    <w:rsid w:val="00383E2A"/>
    <w:rsid w:val="003841F7"/>
    <w:rsid w:val="0038473D"/>
    <w:rsid w:val="00384B9E"/>
    <w:rsid w:val="00384CBC"/>
    <w:rsid w:val="00385210"/>
    <w:rsid w:val="00385825"/>
    <w:rsid w:val="00385E50"/>
    <w:rsid w:val="00385EE8"/>
    <w:rsid w:val="003863B8"/>
    <w:rsid w:val="00386556"/>
    <w:rsid w:val="00390520"/>
    <w:rsid w:val="0039269E"/>
    <w:rsid w:val="00392BD6"/>
    <w:rsid w:val="003930FF"/>
    <w:rsid w:val="0039359D"/>
    <w:rsid w:val="00393A2A"/>
    <w:rsid w:val="0039690D"/>
    <w:rsid w:val="003976CC"/>
    <w:rsid w:val="003977EF"/>
    <w:rsid w:val="00397B98"/>
    <w:rsid w:val="00397D6D"/>
    <w:rsid w:val="003A05E1"/>
    <w:rsid w:val="003A0A64"/>
    <w:rsid w:val="003A0A6D"/>
    <w:rsid w:val="003A1B53"/>
    <w:rsid w:val="003A2465"/>
    <w:rsid w:val="003A246D"/>
    <w:rsid w:val="003A2600"/>
    <w:rsid w:val="003A28BF"/>
    <w:rsid w:val="003A390D"/>
    <w:rsid w:val="003A3F80"/>
    <w:rsid w:val="003A4B18"/>
    <w:rsid w:val="003A4DC6"/>
    <w:rsid w:val="003A6CDE"/>
    <w:rsid w:val="003B034E"/>
    <w:rsid w:val="003B0696"/>
    <w:rsid w:val="003B1047"/>
    <w:rsid w:val="003B1E6A"/>
    <w:rsid w:val="003B1FBB"/>
    <w:rsid w:val="003B230F"/>
    <w:rsid w:val="003B2F55"/>
    <w:rsid w:val="003B334E"/>
    <w:rsid w:val="003B3707"/>
    <w:rsid w:val="003B54CA"/>
    <w:rsid w:val="003B616D"/>
    <w:rsid w:val="003B6465"/>
    <w:rsid w:val="003B6628"/>
    <w:rsid w:val="003B698C"/>
    <w:rsid w:val="003B7671"/>
    <w:rsid w:val="003B7A57"/>
    <w:rsid w:val="003B7E0E"/>
    <w:rsid w:val="003B7E38"/>
    <w:rsid w:val="003C0A41"/>
    <w:rsid w:val="003C16BE"/>
    <w:rsid w:val="003C180F"/>
    <w:rsid w:val="003C187A"/>
    <w:rsid w:val="003C1B52"/>
    <w:rsid w:val="003C1FB0"/>
    <w:rsid w:val="003C2D93"/>
    <w:rsid w:val="003C2E68"/>
    <w:rsid w:val="003C308C"/>
    <w:rsid w:val="003C33F3"/>
    <w:rsid w:val="003C4041"/>
    <w:rsid w:val="003C5173"/>
    <w:rsid w:val="003C6BCC"/>
    <w:rsid w:val="003C77C0"/>
    <w:rsid w:val="003C7857"/>
    <w:rsid w:val="003D067E"/>
    <w:rsid w:val="003D1303"/>
    <w:rsid w:val="003D1FE0"/>
    <w:rsid w:val="003D22EA"/>
    <w:rsid w:val="003D291D"/>
    <w:rsid w:val="003D3507"/>
    <w:rsid w:val="003D36BF"/>
    <w:rsid w:val="003D412B"/>
    <w:rsid w:val="003D4359"/>
    <w:rsid w:val="003D5611"/>
    <w:rsid w:val="003D5B6D"/>
    <w:rsid w:val="003D6630"/>
    <w:rsid w:val="003D691D"/>
    <w:rsid w:val="003D6CDE"/>
    <w:rsid w:val="003D6EAB"/>
    <w:rsid w:val="003D78E4"/>
    <w:rsid w:val="003D7F3C"/>
    <w:rsid w:val="003E025C"/>
    <w:rsid w:val="003E103F"/>
    <w:rsid w:val="003E19ED"/>
    <w:rsid w:val="003E1A2B"/>
    <w:rsid w:val="003E1CB4"/>
    <w:rsid w:val="003E1D23"/>
    <w:rsid w:val="003E2422"/>
    <w:rsid w:val="003E37F1"/>
    <w:rsid w:val="003E3FD9"/>
    <w:rsid w:val="003E43BA"/>
    <w:rsid w:val="003E4F14"/>
    <w:rsid w:val="003E50F4"/>
    <w:rsid w:val="003E572D"/>
    <w:rsid w:val="003E627C"/>
    <w:rsid w:val="003E6ADC"/>
    <w:rsid w:val="003E77E5"/>
    <w:rsid w:val="003E7A57"/>
    <w:rsid w:val="003F102A"/>
    <w:rsid w:val="003F1A52"/>
    <w:rsid w:val="003F1C98"/>
    <w:rsid w:val="003F2770"/>
    <w:rsid w:val="003F2E54"/>
    <w:rsid w:val="003F2FA3"/>
    <w:rsid w:val="003F3237"/>
    <w:rsid w:val="003F3C7F"/>
    <w:rsid w:val="003F3CCE"/>
    <w:rsid w:val="003F3D53"/>
    <w:rsid w:val="003F4164"/>
    <w:rsid w:val="003F43F8"/>
    <w:rsid w:val="003F487B"/>
    <w:rsid w:val="003F4C49"/>
    <w:rsid w:val="003F5866"/>
    <w:rsid w:val="003F5B8E"/>
    <w:rsid w:val="003F6720"/>
    <w:rsid w:val="003F67EF"/>
    <w:rsid w:val="003F6D07"/>
    <w:rsid w:val="003F725D"/>
    <w:rsid w:val="003F7AB1"/>
    <w:rsid w:val="003F7F8F"/>
    <w:rsid w:val="0040005F"/>
    <w:rsid w:val="004004B7"/>
    <w:rsid w:val="00400A17"/>
    <w:rsid w:val="00401848"/>
    <w:rsid w:val="004020D0"/>
    <w:rsid w:val="00402532"/>
    <w:rsid w:val="00402657"/>
    <w:rsid w:val="00402C25"/>
    <w:rsid w:val="0040328D"/>
    <w:rsid w:val="0040330F"/>
    <w:rsid w:val="00404DFC"/>
    <w:rsid w:val="00405E69"/>
    <w:rsid w:val="00406358"/>
    <w:rsid w:val="0040667E"/>
    <w:rsid w:val="004072A6"/>
    <w:rsid w:val="00407B5B"/>
    <w:rsid w:val="00407E3E"/>
    <w:rsid w:val="0041020E"/>
    <w:rsid w:val="0041051D"/>
    <w:rsid w:val="004116F8"/>
    <w:rsid w:val="00411F9D"/>
    <w:rsid w:val="00412023"/>
    <w:rsid w:val="0041276F"/>
    <w:rsid w:val="00412A61"/>
    <w:rsid w:val="00412FCF"/>
    <w:rsid w:val="0041375A"/>
    <w:rsid w:val="00413CD5"/>
    <w:rsid w:val="00414953"/>
    <w:rsid w:val="00414B49"/>
    <w:rsid w:val="00414FBE"/>
    <w:rsid w:val="0041576E"/>
    <w:rsid w:val="00415AE5"/>
    <w:rsid w:val="00415FA6"/>
    <w:rsid w:val="004169AC"/>
    <w:rsid w:val="004211CB"/>
    <w:rsid w:val="00421750"/>
    <w:rsid w:val="00421FCB"/>
    <w:rsid w:val="00422205"/>
    <w:rsid w:val="00422234"/>
    <w:rsid w:val="004225DD"/>
    <w:rsid w:val="00422E78"/>
    <w:rsid w:val="00423250"/>
    <w:rsid w:val="004243DE"/>
    <w:rsid w:val="00424801"/>
    <w:rsid w:val="004251EB"/>
    <w:rsid w:val="004252D7"/>
    <w:rsid w:val="00425ADD"/>
    <w:rsid w:val="00425B9A"/>
    <w:rsid w:val="004269E5"/>
    <w:rsid w:val="00430588"/>
    <w:rsid w:val="004315BC"/>
    <w:rsid w:val="00432A83"/>
    <w:rsid w:val="00432BC1"/>
    <w:rsid w:val="0043317D"/>
    <w:rsid w:val="00433579"/>
    <w:rsid w:val="0043403C"/>
    <w:rsid w:val="004341A8"/>
    <w:rsid w:val="00434329"/>
    <w:rsid w:val="00434651"/>
    <w:rsid w:val="00434ADB"/>
    <w:rsid w:val="00435F1C"/>
    <w:rsid w:val="004374DD"/>
    <w:rsid w:val="00437E9A"/>
    <w:rsid w:val="00440564"/>
    <w:rsid w:val="00440627"/>
    <w:rsid w:val="004428FE"/>
    <w:rsid w:val="004429B3"/>
    <w:rsid w:val="004451B1"/>
    <w:rsid w:val="0044728B"/>
    <w:rsid w:val="00447497"/>
    <w:rsid w:val="0044756B"/>
    <w:rsid w:val="00447912"/>
    <w:rsid w:val="00447E67"/>
    <w:rsid w:val="00453303"/>
    <w:rsid w:val="004538F8"/>
    <w:rsid w:val="00453B19"/>
    <w:rsid w:val="00454771"/>
    <w:rsid w:val="00454FE8"/>
    <w:rsid w:val="00455AB7"/>
    <w:rsid w:val="00455E27"/>
    <w:rsid w:val="0045675A"/>
    <w:rsid w:val="00456919"/>
    <w:rsid w:val="004576D9"/>
    <w:rsid w:val="004604A2"/>
    <w:rsid w:val="00461634"/>
    <w:rsid w:val="0046202A"/>
    <w:rsid w:val="00462210"/>
    <w:rsid w:val="004624B7"/>
    <w:rsid w:val="00462958"/>
    <w:rsid w:val="00462A0B"/>
    <w:rsid w:val="00462E45"/>
    <w:rsid w:val="0046319A"/>
    <w:rsid w:val="00465D57"/>
    <w:rsid w:val="00466077"/>
    <w:rsid w:val="0046762B"/>
    <w:rsid w:val="00467BBC"/>
    <w:rsid w:val="00467E7C"/>
    <w:rsid w:val="0047167B"/>
    <w:rsid w:val="00471B64"/>
    <w:rsid w:val="00471F64"/>
    <w:rsid w:val="004721C9"/>
    <w:rsid w:val="004723E5"/>
    <w:rsid w:val="00472714"/>
    <w:rsid w:val="00472804"/>
    <w:rsid w:val="004728F4"/>
    <w:rsid w:val="00472B5C"/>
    <w:rsid w:val="004737D5"/>
    <w:rsid w:val="00473D7C"/>
    <w:rsid w:val="00473EFF"/>
    <w:rsid w:val="00474331"/>
    <w:rsid w:val="00474345"/>
    <w:rsid w:val="004745AF"/>
    <w:rsid w:val="0047463B"/>
    <w:rsid w:val="00474FA2"/>
    <w:rsid w:val="004754E1"/>
    <w:rsid w:val="004755CD"/>
    <w:rsid w:val="00475880"/>
    <w:rsid w:val="00475896"/>
    <w:rsid w:val="00475EC7"/>
    <w:rsid w:val="00476366"/>
    <w:rsid w:val="00476957"/>
    <w:rsid w:val="00476F3B"/>
    <w:rsid w:val="004770B0"/>
    <w:rsid w:val="0047731D"/>
    <w:rsid w:val="004775DC"/>
    <w:rsid w:val="0047773B"/>
    <w:rsid w:val="00477951"/>
    <w:rsid w:val="0048061D"/>
    <w:rsid w:val="00480632"/>
    <w:rsid w:val="004806FE"/>
    <w:rsid w:val="00480BF5"/>
    <w:rsid w:val="00480DF2"/>
    <w:rsid w:val="00481222"/>
    <w:rsid w:val="0048141A"/>
    <w:rsid w:val="00481A2E"/>
    <w:rsid w:val="00481B45"/>
    <w:rsid w:val="00482608"/>
    <w:rsid w:val="00482E2C"/>
    <w:rsid w:val="00482E46"/>
    <w:rsid w:val="004834EB"/>
    <w:rsid w:val="0048351A"/>
    <w:rsid w:val="00483D5A"/>
    <w:rsid w:val="00484528"/>
    <w:rsid w:val="00485626"/>
    <w:rsid w:val="00485AA2"/>
    <w:rsid w:val="00485C2C"/>
    <w:rsid w:val="004864B0"/>
    <w:rsid w:val="0048684B"/>
    <w:rsid w:val="00487DFD"/>
    <w:rsid w:val="00487FD3"/>
    <w:rsid w:val="0049078E"/>
    <w:rsid w:val="004911AD"/>
    <w:rsid w:val="00492A5D"/>
    <w:rsid w:val="00492C33"/>
    <w:rsid w:val="004933C7"/>
    <w:rsid w:val="0049363D"/>
    <w:rsid w:val="00493D49"/>
    <w:rsid w:val="00493FA8"/>
    <w:rsid w:val="00494630"/>
    <w:rsid w:val="00495039"/>
    <w:rsid w:val="00495050"/>
    <w:rsid w:val="0049531D"/>
    <w:rsid w:val="00495452"/>
    <w:rsid w:val="00495B26"/>
    <w:rsid w:val="00495C06"/>
    <w:rsid w:val="00496213"/>
    <w:rsid w:val="004963BD"/>
    <w:rsid w:val="0049646C"/>
    <w:rsid w:val="004966A8"/>
    <w:rsid w:val="004968F2"/>
    <w:rsid w:val="00496D2E"/>
    <w:rsid w:val="00497656"/>
    <w:rsid w:val="00497E9D"/>
    <w:rsid w:val="004A014D"/>
    <w:rsid w:val="004A053A"/>
    <w:rsid w:val="004A1A5E"/>
    <w:rsid w:val="004A1B28"/>
    <w:rsid w:val="004A31AE"/>
    <w:rsid w:val="004A321E"/>
    <w:rsid w:val="004A3413"/>
    <w:rsid w:val="004A3C51"/>
    <w:rsid w:val="004A3E9B"/>
    <w:rsid w:val="004A3EB8"/>
    <w:rsid w:val="004A49E8"/>
    <w:rsid w:val="004A4A41"/>
    <w:rsid w:val="004A5006"/>
    <w:rsid w:val="004A54BF"/>
    <w:rsid w:val="004A5959"/>
    <w:rsid w:val="004A5C8B"/>
    <w:rsid w:val="004A6A80"/>
    <w:rsid w:val="004A6C66"/>
    <w:rsid w:val="004A6DD6"/>
    <w:rsid w:val="004A7097"/>
    <w:rsid w:val="004A73C9"/>
    <w:rsid w:val="004A78E4"/>
    <w:rsid w:val="004A7D1A"/>
    <w:rsid w:val="004A7FC1"/>
    <w:rsid w:val="004B060E"/>
    <w:rsid w:val="004B0B98"/>
    <w:rsid w:val="004B0F42"/>
    <w:rsid w:val="004B3DA6"/>
    <w:rsid w:val="004B41F1"/>
    <w:rsid w:val="004B42A7"/>
    <w:rsid w:val="004B4849"/>
    <w:rsid w:val="004B488F"/>
    <w:rsid w:val="004B4F93"/>
    <w:rsid w:val="004B55D2"/>
    <w:rsid w:val="004B5808"/>
    <w:rsid w:val="004C02A2"/>
    <w:rsid w:val="004C14D5"/>
    <w:rsid w:val="004C2079"/>
    <w:rsid w:val="004C2326"/>
    <w:rsid w:val="004C2A7A"/>
    <w:rsid w:val="004C5777"/>
    <w:rsid w:val="004C71F8"/>
    <w:rsid w:val="004C71FA"/>
    <w:rsid w:val="004C797E"/>
    <w:rsid w:val="004D05F1"/>
    <w:rsid w:val="004D0D7A"/>
    <w:rsid w:val="004D0FB3"/>
    <w:rsid w:val="004D12B4"/>
    <w:rsid w:val="004D1506"/>
    <w:rsid w:val="004D2EC8"/>
    <w:rsid w:val="004D3012"/>
    <w:rsid w:val="004D33EE"/>
    <w:rsid w:val="004D3BFD"/>
    <w:rsid w:val="004D4327"/>
    <w:rsid w:val="004D4C8D"/>
    <w:rsid w:val="004D4CA2"/>
    <w:rsid w:val="004D4E4F"/>
    <w:rsid w:val="004D567C"/>
    <w:rsid w:val="004D5814"/>
    <w:rsid w:val="004D75E4"/>
    <w:rsid w:val="004D7A79"/>
    <w:rsid w:val="004E297D"/>
    <w:rsid w:val="004E32FC"/>
    <w:rsid w:val="004E380B"/>
    <w:rsid w:val="004E47C7"/>
    <w:rsid w:val="004E4EA7"/>
    <w:rsid w:val="004E5E85"/>
    <w:rsid w:val="004E6F6B"/>
    <w:rsid w:val="004E73B8"/>
    <w:rsid w:val="004F00E4"/>
    <w:rsid w:val="004F0991"/>
    <w:rsid w:val="004F1512"/>
    <w:rsid w:val="004F15D9"/>
    <w:rsid w:val="004F16E4"/>
    <w:rsid w:val="004F1C34"/>
    <w:rsid w:val="004F1D2B"/>
    <w:rsid w:val="004F2149"/>
    <w:rsid w:val="004F2DA2"/>
    <w:rsid w:val="004F3CDD"/>
    <w:rsid w:val="004F3DC8"/>
    <w:rsid w:val="004F41CA"/>
    <w:rsid w:val="004F5DCE"/>
    <w:rsid w:val="004F5FCF"/>
    <w:rsid w:val="004F60E3"/>
    <w:rsid w:val="004F63BC"/>
    <w:rsid w:val="004F6F7F"/>
    <w:rsid w:val="004F7581"/>
    <w:rsid w:val="004F7986"/>
    <w:rsid w:val="00500E23"/>
    <w:rsid w:val="0050118D"/>
    <w:rsid w:val="0050145A"/>
    <w:rsid w:val="0050148C"/>
    <w:rsid w:val="00502CF2"/>
    <w:rsid w:val="00503778"/>
    <w:rsid w:val="005039A3"/>
    <w:rsid w:val="00503DFB"/>
    <w:rsid w:val="00504141"/>
    <w:rsid w:val="005041C2"/>
    <w:rsid w:val="005057C8"/>
    <w:rsid w:val="00505A49"/>
    <w:rsid w:val="00505A5A"/>
    <w:rsid w:val="0050697F"/>
    <w:rsid w:val="00506CD3"/>
    <w:rsid w:val="00506DFF"/>
    <w:rsid w:val="0050727C"/>
    <w:rsid w:val="00507832"/>
    <w:rsid w:val="0050792A"/>
    <w:rsid w:val="0051137D"/>
    <w:rsid w:val="00511EBB"/>
    <w:rsid w:val="005129D9"/>
    <w:rsid w:val="00513BDE"/>
    <w:rsid w:val="00513E77"/>
    <w:rsid w:val="00513E8A"/>
    <w:rsid w:val="00515F12"/>
    <w:rsid w:val="005177D5"/>
    <w:rsid w:val="00517D6B"/>
    <w:rsid w:val="00517F57"/>
    <w:rsid w:val="00520411"/>
    <w:rsid w:val="00520DE3"/>
    <w:rsid w:val="00521F2E"/>
    <w:rsid w:val="00522565"/>
    <w:rsid w:val="00522C17"/>
    <w:rsid w:val="00522D15"/>
    <w:rsid w:val="00523124"/>
    <w:rsid w:val="00523A56"/>
    <w:rsid w:val="00523C76"/>
    <w:rsid w:val="00523DC7"/>
    <w:rsid w:val="0052401B"/>
    <w:rsid w:val="00524DB5"/>
    <w:rsid w:val="005260A7"/>
    <w:rsid w:val="0052636F"/>
    <w:rsid w:val="005265BB"/>
    <w:rsid w:val="0052718D"/>
    <w:rsid w:val="0052783C"/>
    <w:rsid w:val="005301DC"/>
    <w:rsid w:val="00531652"/>
    <w:rsid w:val="00531C21"/>
    <w:rsid w:val="00532EBA"/>
    <w:rsid w:val="005332DB"/>
    <w:rsid w:val="00533351"/>
    <w:rsid w:val="005335F4"/>
    <w:rsid w:val="00533BA3"/>
    <w:rsid w:val="00534383"/>
    <w:rsid w:val="00535050"/>
    <w:rsid w:val="00535578"/>
    <w:rsid w:val="005356B4"/>
    <w:rsid w:val="0053729D"/>
    <w:rsid w:val="00537DD8"/>
    <w:rsid w:val="005403C7"/>
    <w:rsid w:val="00540B8F"/>
    <w:rsid w:val="00541885"/>
    <w:rsid w:val="00541E8C"/>
    <w:rsid w:val="0054320E"/>
    <w:rsid w:val="00543224"/>
    <w:rsid w:val="0054340C"/>
    <w:rsid w:val="00543696"/>
    <w:rsid w:val="005446DD"/>
    <w:rsid w:val="00544C6A"/>
    <w:rsid w:val="00544E58"/>
    <w:rsid w:val="00545763"/>
    <w:rsid w:val="00546154"/>
    <w:rsid w:val="005468FE"/>
    <w:rsid w:val="0055071D"/>
    <w:rsid w:val="00550A6C"/>
    <w:rsid w:val="00551631"/>
    <w:rsid w:val="005516AF"/>
    <w:rsid w:val="005518B3"/>
    <w:rsid w:val="005520CE"/>
    <w:rsid w:val="0055230B"/>
    <w:rsid w:val="00552E20"/>
    <w:rsid w:val="00552F02"/>
    <w:rsid w:val="00552F0C"/>
    <w:rsid w:val="00553024"/>
    <w:rsid w:val="00554345"/>
    <w:rsid w:val="005543A9"/>
    <w:rsid w:val="00554D21"/>
    <w:rsid w:val="00555EE9"/>
    <w:rsid w:val="0055690E"/>
    <w:rsid w:val="00556D55"/>
    <w:rsid w:val="00556D6E"/>
    <w:rsid w:val="00556F46"/>
    <w:rsid w:val="005572D2"/>
    <w:rsid w:val="00560636"/>
    <w:rsid w:val="00560ABE"/>
    <w:rsid w:val="00560E63"/>
    <w:rsid w:val="005639F5"/>
    <w:rsid w:val="005654F4"/>
    <w:rsid w:val="00565F13"/>
    <w:rsid w:val="00566297"/>
    <w:rsid w:val="005664EF"/>
    <w:rsid w:val="005677B3"/>
    <w:rsid w:val="005678E5"/>
    <w:rsid w:val="00570787"/>
    <w:rsid w:val="00570DD6"/>
    <w:rsid w:val="005714D2"/>
    <w:rsid w:val="00571C3A"/>
    <w:rsid w:val="005720C8"/>
    <w:rsid w:val="00572B11"/>
    <w:rsid w:val="00572D60"/>
    <w:rsid w:val="00572E1C"/>
    <w:rsid w:val="005733EA"/>
    <w:rsid w:val="00573430"/>
    <w:rsid w:val="005737A4"/>
    <w:rsid w:val="00573D86"/>
    <w:rsid w:val="00574F66"/>
    <w:rsid w:val="00575006"/>
    <w:rsid w:val="00575277"/>
    <w:rsid w:val="005756C7"/>
    <w:rsid w:val="00575FE1"/>
    <w:rsid w:val="00580531"/>
    <w:rsid w:val="0058065C"/>
    <w:rsid w:val="00580AE4"/>
    <w:rsid w:val="005817D6"/>
    <w:rsid w:val="00581C9A"/>
    <w:rsid w:val="00581EFB"/>
    <w:rsid w:val="00581F02"/>
    <w:rsid w:val="00581FCA"/>
    <w:rsid w:val="00582281"/>
    <w:rsid w:val="00582311"/>
    <w:rsid w:val="00582602"/>
    <w:rsid w:val="00584C5B"/>
    <w:rsid w:val="00585A1F"/>
    <w:rsid w:val="0058622C"/>
    <w:rsid w:val="00587A0F"/>
    <w:rsid w:val="005904D0"/>
    <w:rsid w:val="00590615"/>
    <w:rsid w:val="005906B8"/>
    <w:rsid w:val="00590A57"/>
    <w:rsid w:val="00590ACE"/>
    <w:rsid w:val="00590C80"/>
    <w:rsid w:val="0059119B"/>
    <w:rsid w:val="00591E7C"/>
    <w:rsid w:val="005920E5"/>
    <w:rsid w:val="00592297"/>
    <w:rsid w:val="005925CD"/>
    <w:rsid w:val="00592C9C"/>
    <w:rsid w:val="00592EB8"/>
    <w:rsid w:val="00593091"/>
    <w:rsid w:val="0059325E"/>
    <w:rsid w:val="00593BF0"/>
    <w:rsid w:val="00594183"/>
    <w:rsid w:val="0059489B"/>
    <w:rsid w:val="00594E70"/>
    <w:rsid w:val="00594F2A"/>
    <w:rsid w:val="00595E0D"/>
    <w:rsid w:val="00596879"/>
    <w:rsid w:val="00596BD3"/>
    <w:rsid w:val="00597E54"/>
    <w:rsid w:val="005A0157"/>
    <w:rsid w:val="005A093C"/>
    <w:rsid w:val="005A0ED2"/>
    <w:rsid w:val="005A0F64"/>
    <w:rsid w:val="005A1249"/>
    <w:rsid w:val="005A38B8"/>
    <w:rsid w:val="005A4592"/>
    <w:rsid w:val="005A5D98"/>
    <w:rsid w:val="005A6E31"/>
    <w:rsid w:val="005A7746"/>
    <w:rsid w:val="005B0081"/>
    <w:rsid w:val="005B145E"/>
    <w:rsid w:val="005B18B7"/>
    <w:rsid w:val="005B1CA9"/>
    <w:rsid w:val="005B1FD1"/>
    <w:rsid w:val="005B21F0"/>
    <w:rsid w:val="005B28D4"/>
    <w:rsid w:val="005B2CE0"/>
    <w:rsid w:val="005B3850"/>
    <w:rsid w:val="005B3CE4"/>
    <w:rsid w:val="005B3E7A"/>
    <w:rsid w:val="005B4387"/>
    <w:rsid w:val="005B5591"/>
    <w:rsid w:val="005B5893"/>
    <w:rsid w:val="005B6372"/>
    <w:rsid w:val="005B64C3"/>
    <w:rsid w:val="005B695C"/>
    <w:rsid w:val="005B709C"/>
    <w:rsid w:val="005C0ABA"/>
    <w:rsid w:val="005C1754"/>
    <w:rsid w:val="005C1845"/>
    <w:rsid w:val="005C19C3"/>
    <w:rsid w:val="005C1C05"/>
    <w:rsid w:val="005C1E1F"/>
    <w:rsid w:val="005C2D4B"/>
    <w:rsid w:val="005C3109"/>
    <w:rsid w:val="005C4BBD"/>
    <w:rsid w:val="005C5462"/>
    <w:rsid w:val="005C55C3"/>
    <w:rsid w:val="005C5A8D"/>
    <w:rsid w:val="005C62BA"/>
    <w:rsid w:val="005C62D1"/>
    <w:rsid w:val="005C6581"/>
    <w:rsid w:val="005C681F"/>
    <w:rsid w:val="005D09CD"/>
    <w:rsid w:val="005D1837"/>
    <w:rsid w:val="005D1A6F"/>
    <w:rsid w:val="005D3006"/>
    <w:rsid w:val="005D30E7"/>
    <w:rsid w:val="005D3BD8"/>
    <w:rsid w:val="005D3C5D"/>
    <w:rsid w:val="005D3FC9"/>
    <w:rsid w:val="005D498C"/>
    <w:rsid w:val="005D5090"/>
    <w:rsid w:val="005D584B"/>
    <w:rsid w:val="005D5CEA"/>
    <w:rsid w:val="005D6F5C"/>
    <w:rsid w:val="005D715E"/>
    <w:rsid w:val="005D7CC2"/>
    <w:rsid w:val="005D7F17"/>
    <w:rsid w:val="005E00B4"/>
    <w:rsid w:val="005E0D49"/>
    <w:rsid w:val="005E1C96"/>
    <w:rsid w:val="005E2336"/>
    <w:rsid w:val="005E2478"/>
    <w:rsid w:val="005E3032"/>
    <w:rsid w:val="005E3275"/>
    <w:rsid w:val="005E3A78"/>
    <w:rsid w:val="005E4062"/>
    <w:rsid w:val="005E44F4"/>
    <w:rsid w:val="005E4A60"/>
    <w:rsid w:val="005E4D3B"/>
    <w:rsid w:val="005E4DA8"/>
    <w:rsid w:val="005E4E68"/>
    <w:rsid w:val="005E4F6D"/>
    <w:rsid w:val="005E52A1"/>
    <w:rsid w:val="005E5D3E"/>
    <w:rsid w:val="005E600A"/>
    <w:rsid w:val="005E66B3"/>
    <w:rsid w:val="005E6985"/>
    <w:rsid w:val="005E6CCA"/>
    <w:rsid w:val="005E7383"/>
    <w:rsid w:val="005E7707"/>
    <w:rsid w:val="005E78FC"/>
    <w:rsid w:val="005F090E"/>
    <w:rsid w:val="005F0EAB"/>
    <w:rsid w:val="005F12E3"/>
    <w:rsid w:val="005F1E82"/>
    <w:rsid w:val="005F1F95"/>
    <w:rsid w:val="005F25EB"/>
    <w:rsid w:val="005F26FB"/>
    <w:rsid w:val="005F2966"/>
    <w:rsid w:val="005F339A"/>
    <w:rsid w:val="005F3DD7"/>
    <w:rsid w:val="005F410B"/>
    <w:rsid w:val="005F4646"/>
    <w:rsid w:val="005F6811"/>
    <w:rsid w:val="005F68EF"/>
    <w:rsid w:val="005F75FB"/>
    <w:rsid w:val="005F781A"/>
    <w:rsid w:val="005F7AC3"/>
    <w:rsid w:val="006003BD"/>
    <w:rsid w:val="00600714"/>
    <w:rsid w:val="006009DD"/>
    <w:rsid w:val="00600B81"/>
    <w:rsid w:val="00600ED1"/>
    <w:rsid w:val="006013F0"/>
    <w:rsid w:val="00601B74"/>
    <w:rsid w:val="0060240A"/>
    <w:rsid w:val="00602B0E"/>
    <w:rsid w:val="006038EF"/>
    <w:rsid w:val="006045F0"/>
    <w:rsid w:val="006047FE"/>
    <w:rsid w:val="00604B33"/>
    <w:rsid w:val="006053C4"/>
    <w:rsid w:val="006053D1"/>
    <w:rsid w:val="006057F7"/>
    <w:rsid w:val="00606B51"/>
    <w:rsid w:val="00606BF9"/>
    <w:rsid w:val="00606E81"/>
    <w:rsid w:val="00606F27"/>
    <w:rsid w:val="00606F99"/>
    <w:rsid w:val="006072FC"/>
    <w:rsid w:val="00607F93"/>
    <w:rsid w:val="0061164D"/>
    <w:rsid w:val="00611704"/>
    <w:rsid w:val="00611D3D"/>
    <w:rsid w:val="00611F36"/>
    <w:rsid w:val="00612A2D"/>
    <w:rsid w:val="006136E8"/>
    <w:rsid w:val="006142FB"/>
    <w:rsid w:val="00614A57"/>
    <w:rsid w:val="00614AF3"/>
    <w:rsid w:val="00615A10"/>
    <w:rsid w:val="006161AE"/>
    <w:rsid w:val="00616A59"/>
    <w:rsid w:val="006177C5"/>
    <w:rsid w:val="00620765"/>
    <w:rsid w:val="00620C37"/>
    <w:rsid w:val="00620DFE"/>
    <w:rsid w:val="0062115C"/>
    <w:rsid w:val="006212CF"/>
    <w:rsid w:val="00622E31"/>
    <w:rsid w:val="00623CF9"/>
    <w:rsid w:val="00624B87"/>
    <w:rsid w:val="00624EEF"/>
    <w:rsid w:val="00624F3F"/>
    <w:rsid w:val="006255A8"/>
    <w:rsid w:val="00625875"/>
    <w:rsid w:val="00625A1D"/>
    <w:rsid w:val="00626464"/>
    <w:rsid w:val="006266B3"/>
    <w:rsid w:val="00627793"/>
    <w:rsid w:val="0063011F"/>
    <w:rsid w:val="00630D02"/>
    <w:rsid w:val="00631D5E"/>
    <w:rsid w:val="00632459"/>
    <w:rsid w:val="006331A7"/>
    <w:rsid w:val="00633AEF"/>
    <w:rsid w:val="00633FC7"/>
    <w:rsid w:val="00634139"/>
    <w:rsid w:val="006341FF"/>
    <w:rsid w:val="006347A1"/>
    <w:rsid w:val="00634BF1"/>
    <w:rsid w:val="00635ABE"/>
    <w:rsid w:val="006363B8"/>
    <w:rsid w:val="00636B37"/>
    <w:rsid w:val="00637121"/>
    <w:rsid w:val="006371AC"/>
    <w:rsid w:val="006376D7"/>
    <w:rsid w:val="00640037"/>
    <w:rsid w:val="00640F5E"/>
    <w:rsid w:val="006412C9"/>
    <w:rsid w:val="00641E20"/>
    <w:rsid w:val="00641F2F"/>
    <w:rsid w:val="00642830"/>
    <w:rsid w:val="00642FF2"/>
    <w:rsid w:val="00643118"/>
    <w:rsid w:val="0064346C"/>
    <w:rsid w:val="00643898"/>
    <w:rsid w:val="00645261"/>
    <w:rsid w:val="0064552E"/>
    <w:rsid w:val="0064594C"/>
    <w:rsid w:val="00645BAC"/>
    <w:rsid w:val="0064617A"/>
    <w:rsid w:val="00646273"/>
    <w:rsid w:val="00646C5C"/>
    <w:rsid w:val="00646C6F"/>
    <w:rsid w:val="0064710B"/>
    <w:rsid w:val="006519A3"/>
    <w:rsid w:val="00651B47"/>
    <w:rsid w:val="00652672"/>
    <w:rsid w:val="00653258"/>
    <w:rsid w:val="00653C5D"/>
    <w:rsid w:val="006546AF"/>
    <w:rsid w:val="00654C6C"/>
    <w:rsid w:val="006561FF"/>
    <w:rsid w:val="006578F5"/>
    <w:rsid w:val="00657FB1"/>
    <w:rsid w:val="0066078A"/>
    <w:rsid w:val="00660B9F"/>
    <w:rsid w:val="00660BB3"/>
    <w:rsid w:val="00660C9B"/>
    <w:rsid w:val="00662E12"/>
    <w:rsid w:val="00662ECB"/>
    <w:rsid w:val="00663899"/>
    <w:rsid w:val="00663EC2"/>
    <w:rsid w:val="006647B8"/>
    <w:rsid w:val="00664EA2"/>
    <w:rsid w:val="00665BF4"/>
    <w:rsid w:val="00666D15"/>
    <w:rsid w:val="0066796B"/>
    <w:rsid w:val="00670060"/>
    <w:rsid w:val="00670112"/>
    <w:rsid w:val="006708B3"/>
    <w:rsid w:val="006715AE"/>
    <w:rsid w:val="00671745"/>
    <w:rsid w:val="006719E1"/>
    <w:rsid w:val="00671BA7"/>
    <w:rsid w:val="00671C23"/>
    <w:rsid w:val="00671E16"/>
    <w:rsid w:val="0067213B"/>
    <w:rsid w:val="0067273F"/>
    <w:rsid w:val="00672C72"/>
    <w:rsid w:val="00672FF3"/>
    <w:rsid w:val="00673417"/>
    <w:rsid w:val="00674D96"/>
    <w:rsid w:val="00675192"/>
    <w:rsid w:val="00675349"/>
    <w:rsid w:val="00675D5A"/>
    <w:rsid w:val="006760F7"/>
    <w:rsid w:val="00676A66"/>
    <w:rsid w:val="00677802"/>
    <w:rsid w:val="00680190"/>
    <w:rsid w:val="00680638"/>
    <w:rsid w:val="006809B8"/>
    <w:rsid w:val="00681339"/>
    <w:rsid w:val="00681A08"/>
    <w:rsid w:val="0068213E"/>
    <w:rsid w:val="006830F7"/>
    <w:rsid w:val="006835B6"/>
    <w:rsid w:val="00684AA4"/>
    <w:rsid w:val="00684AF9"/>
    <w:rsid w:val="00684C92"/>
    <w:rsid w:val="0068578E"/>
    <w:rsid w:val="00685895"/>
    <w:rsid w:val="00686032"/>
    <w:rsid w:val="0068619D"/>
    <w:rsid w:val="00686F64"/>
    <w:rsid w:val="00687318"/>
    <w:rsid w:val="00687812"/>
    <w:rsid w:val="00687E15"/>
    <w:rsid w:val="00690D3B"/>
    <w:rsid w:val="00691769"/>
    <w:rsid w:val="006918AC"/>
    <w:rsid w:val="00691C1B"/>
    <w:rsid w:val="00691C9E"/>
    <w:rsid w:val="00692458"/>
    <w:rsid w:val="00692756"/>
    <w:rsid w:val="00692F37"/>
    <w:rsid w:val="006933AE"/>
    <w:rsid w:val="00693536"/>
    <w:rsid w:val="006937C9"/>
    <w:rsid w:val="00693EA7"/>
    <w:rsid w:val="006952CF"/>
    <w:rsid w:val="00695BDD"/>
    <w:rsid w:val="00695BFC"/>
    <w:rsid w:val="00696889"/>
    <w:rsid w:val="006975C7"/>
    <w:rsid w:val="006A1636"/>
    <w:rsid w:val="006A197A"/>
    <w:rsid w:val="006A1B0B"/>
    <w:rsid w:val="006A1C25"/>
    <w:rsid w:val="006A23F7"/>
    <w:rsid w:val="006A287F"/>
    <w:rsid w:val="006A2F86"/>
    <w:rsid w:val="006A37E5"/>
    <w:rsid w:val="006A4194"/>
    <w:rsid w:val="006B0D8B"/>
    <w:rsid w:val="006B10FD"/>
    <w:rsid w:val="006B11D6"/>
    <w:rsid w:val="006B17D6"/>
    <w:rsid w:val="006B1A08"/>
    <w:rsid w:val="006B1A3B"/>
    <w:rsid w:val="006B1C22"/>
    <w:rsid w:val="006B1E77"/>
    <w:rsid w:val="006B261E"/>
    <w:rsid w:val="006B29E7"/>
    <w:rsid w:val="006B2D93"/>
    <w:rsid w:val="006B2E4B"/>
    <w:rsid w:val="006B374E"/>
    <w:rsid w:val="006B4915"/>
    <w:rsid w:val="006B4B00"/>
    <w:rsid w:val="006B54CE"/>
    <w:rsid w:val="006B5EE1"/>
    <w:rsid w:val="006B646D"/>
    <w:rsid w:val="006B773C"/>
    <w:rsid w:val="006B78AE"/>
    <w:rsid w:val="006B7A5B"/>
    <w:rsid w:val="006C0AD2"/>
    <w:rsid w:val="006C10AD"/>
    <w:rsid w:val="006C10FA"/>
    <w:rsid w:val="006C1419"/>
    <w:rsid w:val="006C14CB"/>
    <w:rsid w:val="006C26D3"/>
    <w:rsid w:val="006C2F76"/>
    <w:rsid w:val="006C3FF9"/>
    <w:rsid w:val="006C50DB"/>
    <w:rsid w:val="006C5189"/>
    <w:rsid w:val="006C55E0"/>
    <w:rsid w:val="006C5C6A"/>
    <w:rsid w:val="006C61FF"/>
    <w:rsid w:val="006C646C"/>
    <w:rsid w:val="006C69AE"/>
    <w:rsid w:val="006C76C7"/>
    <w:rsid w:val="006D0214"/>
    <w:rsid w:val="006D0466"/>
    <w:rsid w:val="006D0E35"/>
    <w:rsid w:val="006D1E59"/>
    <w:rsid w:val="006D2078"/>
    <w:rsid w:val="006D2087"/>
    <w:rsid w:val="006D2D7B"/>
    <w:rsid w:val="006D39B4"/>
    <w:rsid w:val="006D4026"/>
    <w:rsid w:val="006D4211"/>
    <w:rsid w:val="006D4303"/>
    <w:rsid w:val="006D4F86"/>
    <w:rsid w:val="006D59A9"/>
    <w:rsid w:val="006D6388"/>
    <w:rsid w:val="006D7010"/>
    <w:rsid w:val="006D70A8"/>
    <w:rsid w:val="006D70EF"/>
    <w:rsid w:val="006D7526"/>
    <w:rsid w:val="006D7F44"/>
    <w:rsid w:val="006D7F83"/>
    <w:rsid w:val="006E032B"/>
    <w:rsid w:val="006E0CB1"/>
    <w:rsid w:val="006E1973"/>
    <w:rsid w:val="006E1A6E"/>
    <w:rsid w:val="006E209E"/>
    <w:rsid w:val="006E324B"/>
    <w:rsid w:val="006E414D"/>
    <w:rsid w:val="006E4579"/>
    <w:rsid w:val="006E4EDB"/>
    <w:rsid w:val="006E5C5C"/>
    <w:rsid w:val="006E61D2"/>
    <w:rsid w:val="006E6A21"/>
    <w:rsid w:val="006E6A6A"/>
    <w:rsid w:val="006E6AF7"/>
    <w:rsid w:val="006E6CD1"/>
    <w:rsid w:val="006E6F89"/>
    <w:rsid w:val="006F0155"/>
    <w:rsid w:val="006F0908"/>
    <w:rsid w:val="006F09A4"/>
    <w:rsid w:val="006F0B00"/>
    <w:rsid w:val="006F0DE8"/>
    <w:rsid w:val="006F14DF"/>
    <w:rsid w:val="006F2649"/>
    <w:rsid w:val="006F3334"/>
    <w:rsid w:val="006F33D6"/>
    <w:rsid w:val="006F3B0B"/>
    <w:rsid w:val="006F3F62"/>
    <w:rsid w:val="006F43C0"/>
    <w:rsid w:val="006F4921"/>
    <w:rsid w:val="006F509A"/>
    <w:rsid w:val="006F5157"/>
    <w:rsid w:val="006F5194"/>
    <w:rsid w:val="006F53FE"/>
    <w:rsid w:val="006F54CD"/>
    <w:rsid w:val="006F556B"/>
    <w:rsid w:val="006F5B29"/>
    <w:rsid w:val="006F6140"/>
    <w:rsid w:val="006F62F6"/>
    <w:rsid w:val="006F6653"/>
    <w:rsid w:val="006F697E"/>
    <w:rsid w:val="007006AC"/>
    <w:rsid w:val="00700995"/>
    <w:rsid w:val="00700D0E"/>
    <w:rsid w:val="00701F17"/>
    <w:rsid w:val="00703539"/>
    <w:rsid w:val="007035C6"/>
    <w:rsid w:val="007037D4"/>
    <w:rsid w:val="00703831"/>
    <w:rsid w:val="00703A08"/>
    <w:rsid w:val="00704656"/>
    <w:rsid w:val="007048E1"/>
    <w:rsid w:val="00704F4D"/>
    <w:rsid w:val="007051DD"/>
    <w:rsid w:val="007053F8"/>
    <w:rsid w:val="00706800"/>
    <w:rsid w:val="007069B1"/>
    <w:rsid w:val="007103DD"/>
    <w:rsid w:val="0071162B"/>
    <w:rsid w:val="00711D2F"/>
    <w:rsid w:val="00712057"/>
    <w:rsid w:val="007126BB"/>
    <w:rsid w:val="00712CE5"/>
    <w:rsid w:val="00712CFE"/>
    <w:rsid w:val="00713D7F"/>
    <w:rsid w:val="00714900"/>
    <w:rsid w:val="0071509E"/>
    <w:rsid w:val="0071558D"/>
    <w:rsid w:val="00715E89"/>
    <w:rsid w:val="00716A5F"/>
    <w:rsid w:val="0071715F"/>
    <w:rsid w:val="0071730D"/>
    <w:rsid w:val="007173E9"/>
    <w:rsid w:val="00717FD9"/>
    <w:rsid w:val="0072140D"/>
    <w:rsid w:val="00721A87"/>
    <w:rsid w:val="0072216F"/>
    <w:rsid w:val="007223BA"/>
    <w:rsid w:val="00722887"/>
    <w:rsid w:val="007233D6"/>
    <w:rsid w:val="0072341B"/>
    <w:rsid w:val="00724673"/>
    <w:rsid w:val="00725620"/>
    <w:rsid w:val="00725802"/>
    <w:rsid w:val="00725B30"/>
    <w:rsid w:val="00727A86"/>
    <w:rsid w:val="00727ADF"/>
    <w:rsid w:val="00727DBC"/>
    <w:rsid w:val="007310A5"/>
    <w:rsid w:val="00731BBC"/>
    <w:rsid w:val="00732826"/>
    <w:rsid w:val="00732897"/>
    <w:rsid w:val="00732994"/>
    <w:rsid w:val="00733763"/>
    <w:rsid w:val="00734065"/>
    <w:rsid w:val="00734773"/>
    <w:rsid w:val="0073632F"/>
    <w:rsid w:val="007363BB"/>
    <w:rsid w:val="00736A89"/>
    <w:rsid w:val="00736F68"/>
    <w:rsid w:val="0073754C"/>
    <w:rsid w:val="00737D07"/>
    <w:rsid w:val="00737E57"/>
    <w:rsid w:val="007404F6"/>
    <w:rsid w:val="00740BF5"/>
    <w:rsid w:val="00740FEE"/>
    <w:rsid w:val="00741412"/>
    <w:rsid w:val="00741987"/>
    <w:rsid w:val="00741ADA"/>
    <w:rsid w:val="00741E02"/>
    <w:rsid w:val="00743093"/>
    <w:rsid w:val="00743622"/>
    <w:rsid w:val="00743F1A"/>
    <w:rsid w:val="00744D29"/>
    <w:rsid w:val="00745CE7"/>
    <w:rsid w:val="00745D48"/>
    <w:rsid w:val="00745DE8"/>
    <w:rsid w:val="0074623E"/>
    <w:rsid w:val="007471FA"/>
    <w:rsid w:val="00747806"/>
    <w:rsid w:val="00747EF2"/>
    <w:rsid w:val="00747F74"/>
    <w:rsid w:val="00750122"/>
    <w:rsid w:val="00751004"/>
    <w:rsid w:val="007511EF"/>
    <w:rsid w:val="00753A1F"/>
    <w:rsid w:val="00755A79"/>
    <w:rsid w:val="0075732E"/>
    <w:rsid w:val="00757554"/>
    <w:rsid w:val="00757BA0"/>
    <w:rsid w:val="007608FC"/>
    <w:rsid w:val="007611EA"/>
    <w:rsid w:val="00762439"/>
    <w:rsid w:val="00762900"/>
    <w:rsid w:val="007629C1"/>
    <w:rsid w:val="00762B30"/>
    <w:rsid w:val="007634F3"/>
    <w:rsid w:val="007637DA"/>
    <w:rsid w:val="00763A09"/>
    <w:rsid w:val="0076468D"/>
    <w:rsid w:val="007655C3"/>
    <w:rsid w:val="007659C7"/>
    <w:rsid w:val="00765C9C"/>
    <w:rsid w:val="00765D01"/>
    <w:rsid w:val="00767917"/>
    <w:rsid w:val="00767D10"/>
    <w:rsid w:val="00770A3B"/>
    <w:rsid w:val="00771193"/>
    <w:rsid w:val="00771D19"/>
    <w:rsid w:val="00772414"/>
    <w:rsid w:val="007726DC"/>
    <w:rsid w:val="00774047"/>
    <w:rsid w:val="00774408"/>
    <w:rsid w:val="00774437"/>
    <w:rsid w:val="007744CA"/>
    <w:rsid w:val="0077480A"/>
    <w:rsid w:val="00775B70"/>
    <w:rsid w:val="00776571"/>
    <w:rsid w:val="007766C9"/>
    <w:rsid w:val="00777259"/>
    <w:rsid w:val="007779DF"/>
    <w:rsid w:val="00777B0F"/>
    <w:rsid w:val="00777C4A"/>
    <w:rsid w:val="007801EB"/>
    <w:rsid w:val="0078186D"/>
    <w:rsid w:val="007827B4"/>
    <w:rsid w:val="00783183"/>
    <w:rsid w:val="0078355B"/>
    <w:rsid w:val="007835C3"/>
    <w:rsid w:val="00784400"/>
    <w:rsid w:val="00784700"/>
    <w:rsid w:val="00784A9B"/>
    <w:rsid w:val="00784D2B"/>
    <w:rsid w:val="00785561"/>
    <w:rsid w:val="007856EA"/>
    <w:rsid w:val="00786166"/>
    <w:rsid w:val="007865D0"/>
    <w:rsid w:val="00786908"/>
    <w:rsid w:val="00786E69"/>
    <w:rsid w:val="00787060"/>
    <w:rsid w:val="007870DC"/>
    <w:rsid w:val="00787B0B"/>
    <w:rsid w:val="00787C65"/>
    <w:rsid w:val="00790182"/>
    <w:rsid w:val="0079090F"/>
    <w:rsid w:val="007914E9"/>
    <w:rsid w:val="00791794"/>
    <w:rsid w:val="00791842"/>
    <w:rsid w:val="00791B0A"/>
    <w:rsid w:val="0079215E"/>
    <w:rsid w:val="007923C7"/>
    <w:rsid w:val="00792BE0"/>
    <w:rsid w:val="00792EF6"/>
    <w:rsid w:val="00793198"/>
    <w:rsid w:val="007943ED"/>
    <w:rsid w:val="00794F80"/>
    <w:rsid w:val="00795170"/>
    <w:rsid w:val="007951E9"/>
    <w:rsid w:val="00795360"/>
    <w:rsid w:val="007953A8"/>
    <w:rsid w:val="00795734"/>
    <w:rsid w:val="00795FB3"/>
    <w:rsid w:val="007962D9"/>
    <w:rsid w:val="0079683D"/>
    <w:rsid w:val="0079690E"/>
    <w:rsid w:val="0079691B"/>
    <w:rsid w:val="00797368"/>
    <w:rsid w:val="0079771C"/>
    <w:rsid w:val="00797A58"/>
    <w:rsid w:val="007A058B"/>
    <w:rsid w:val="007A228B"/>
    <w:rsid w:val="007A27B4"/>
    <w:rsid w:val="007A2D3E"/>
    <w:rsid w:val="007A2FA3"/>
    <w:rsid w:val="007A306F"/>
    <w:rsid w:val="007A3E10"/>
    <w:rsid w:val="007A41DC"/>
    <w:rsid w:val="007A4B35"/>
    <w:rsid w:val="007A4E16"/>
    <w:rsid w:val="007A621E"/>
    <w:rsid w:val="007B022A"/>
    <w:rsid w:val="007B0B48"/>
    <w:rsid w:val="007B1D77"/>
    <w:rsid w:val="007B274C"/>
    <w:rsid w:val="007B329A"/>
    <w:rsid w:val="007B4DB3"/>
    <w:rsid w:val="007B4ECD"/>
    <w:rsid w:val="007B598A"/>
    <w:rsid w:val="007B63EF"/>
    <w:rsid w:val="007B64D9"/>
    <w:rsid w:val="007B6737"/>
    <w:rsid w:val="007B6BA7"/>
    <w:rsid w:val="007B6BF4"/>
    <w:rsid w:val="007B792C"/>
    <w:rsid w:val="007B7C45"/>
    <w:rsid w:val="007C02C9"/>
    <w:rsid w:val="007C0868"/>
    <w:rsid w:val="007C1242"/>
    <w:rsid w:val="007C1B1E"/>
    <w:rsid w:val="007C1BFB"/>
    <w:rsid w:val="007C1E88"/>
    <w:rsid w:val="007C2543"/>
    <w:rsid w:val="007C3E04"/>
    <w:rsid w:val="007C415C"/>
    <w:rsid w:val="007C50B5"/>
    <w:rsid w:val="007C514F"/>
    <w:rsid w:val="007C6CCD"/>
    <w:rsid w:val="007D05FF"/>
    <w:rsid w:val="007D11A1"/>
    <w:rsid w:val="007D126A"/>
    <w:rsid w:val="007D155A"/>
    <w:rsid w:val="007D1662"/>
    <w:rsid w:val="007D1697"/>
    <w:rsid w:val="007D1AEE"/>
    <w:rsid w:val="007D2A9A"/>
    <w:rsid w:val="007D3079"/>
    <w:rsid w:val="007D3CF9"/>
    <w:rsid w:val="007D45CF"/>
    <w:rsid w:val="007D51E6"/>
    <w:rsid w:val="007D593C"/>
    <w:rsid w:val="007D6824"/>
    <w:rsid w:val="007D6E50"/>
    <w:rsid w:val="007D737B"/>
    <w:rsid w:val="007D753B"/>
    <w:rsid w:val="007D75B1"/>
    <w:rsid w:val="007E0A20"/>
    <w:rsid w:val="007E0CA7"/>
    <w:rsid w:val="007E0E80"/>
    <w:rsid w:val="007E1BF5"/>
    <w:rsid w:val="007E1C47"/>
    <w:rsid w:val="007E296B"/>
    <w:rsid w:val="007E45DF"/>
    <w:rsid w:val="007E5553"/>
    <w:rsid w:val="007E55CC"/>
    <w:rsid w:val="007E5BA2"/>
    <w:rsid w:val="007E5CD1"/>
    <w:rsid w:val="007E631A"/>
    <w:rsid w:val="007E6A06"/>
    <w:rsid w:val="007E6B10"/>
    <w:rsid w:val="007F015C"/>
    <w:rsid w:val="007F0254"/>
    <w:rsid w:val="007F0AEF"/>
    <w:rsid w:val="007F0D72"/>
    <w:rsid w:val="007F1A23"/>
    <w:rsid w:val="007F1C5C"/>
    <w:rsid w:val="007F3908"/>
    <w:rsid w:val="007F3CD3"/>
    <w:rsid w:val="007F3E01"/>
    <w:rsid w:val="007F4D8B"/>
    <w:rsid w:val="007F5250"/>
    <w:rsid w:val="007F5447"/>
    <w:rsid w:val="007F5A01"/>
    <w:rsid w:val="007F6AA6"/>
    <w:rsid w:val="007F73B0"/>
    <w:rsid w:val="007F7925"/>
    <w:rsid w:val="0080011A"/>
    <w:rsid w:val="008009B7"/>
    <w:rsid w:val="00801BE9"/>
    <w:rsid w:val="00802341"/>
    <w:rsid w:val="00802727"/>
    <w:rsid w:val="008030E6"/>
    <w:rsid w:val="008031C9"/>
    <w:rsid w:val="008032E4"/>
    <w:rsid w:val="008055F2"/>
    <w:rsid w:val="00805C07"/>
    <w:rsid w:val="008062FA"/>
    <w:rsid w:val="0080739D"/>
    <w:rsid w:val="00807D0D"/>
    <w:rsid w:val="00811868"/>
    <w:rsid w:val="00811E36"/>
    <w:rsid w:val="0081287B"/>
    <w:rsid w:val="008129A8"/>
    <w:rsid w:val="00812FBB"/>
    <w:rsid w:val="00813882"/>
    <w:rsid w:val="00813FA2"/>
    <w:rsid w:val="00814036"/>
    <w:rsid w:val="00814238"/>
    <w:rsid w:val="00814659"/>
    <w:rsid w:val="00815EFE"/>
    <w:rsid w:val="008167B2"/>
    <w:rsid w:val="00817967"/>
    <w:rsid w:val="008179A3"/>
    <w:rsid w:val="008203D2"/>
    <w:rsid w:val="0082040D"/>
    <w:rsid w:val="00820464"/>
    <w:rsid w:val="00820B10"/>
    <w:rsid w:val="00820F0F"/>
    <w:rsid w:val="008212A3"/>
    <w:rsid w:val="00821419"/>
    <w:rsid w:val="00821667"/>
    <w:rsid w:val="00821C5F"/>
    <w:rsid w:val="00821E41"/>
    <w:rsid w:val="00821FD7"/>
    <w:rsid w:val="008224EB"/>
    <w:rsid w:val="00823ECA"/>
    <w:rsid w:val="00824227"/>
    <w:rsid w:val="00825BA1"/>
    <w:rsid w:val="00825D05"/>
    <w:rsid w:val="008266DD"/>
    <w:rsid w:val="00827927"/>
    <w:rsid w:val="00830BFC"/>
    <w:rsid w:val="00831B7D"/>
    <w:rsid w:val="00831D95"/>
    <w:rsid w:val="0083456F"/>
    <w:rsid w:val="008349E4"/>
    <w:rsid w:val="00835FC8"/>
    <w:rsid w:val="00836078"/>
    <w:rsid w:val="008360CE"/>
    <w:rsid w:val="00836CF7"/>
    <w:rsid w:val="00837553"/>
    <w:rsid w:val="008376ED"/>
    <w:rsid w:val="008378AB"/>
    <w:rsid w:val="00837B45"/>
    <w:rsid w:val="00837D01"/>
    <w:rsid w:val="00837DB2"/>
    <w:rsid w:val="00837E62"/>
    <w:rsid w:val="00837EB2"/>
    <w:rsid w:val="0084008E"/>
    <w:rsid w:val="00840948"/>
    <w:rsid w:val="008414B5"/>
    <w:rsid w:val="00841780"/>
    <w:rsid w:val="00841D56"/>
    <w:rsid w:val="0084263B"/>
    <w:rsid w:val="0084286A"/>
    <w:rsid w:val="008454CB"/>
    <w:rsid w:val="00845ADD"/>
    <w:rsid w:val="00845FFB"/>
    <w:rsid w:val="00846513"/>
    <w:rsid w:val="00846965"/>
    <w:rsid w:val="008469AF"/>
    <w:rsid w:val="00846A4D"/>
    <w:rsid w:val="0084795C"/>
    <w:rsid w:val="00847FF8"/>
    <w:rsid w:val="00850084"/>
    <w:rsid w:val="00850BC1"/>
    <w:rsid w:val="00851897"/>
    <w:rsid w:val="00851E67"/>
    <w:rsid w:val="00852693"/>
    <w:rsid w:val="00852ABE"/>
    <w:rsid w:val="00852C45"/>
    <w:rsid w:val="00852F45"/>
    <w:rsid w:val="008535EB"/>
    <w:rsid w:val="00853C9D"/>
    <w:rsid w:val="008557E3"/>
    <w:rsid w:val="00856FCD"/>
    <w:rsid w:val="00857035"/>
    <w:rsid w:val="0085763C"/>
    <w:rsid w:val="008603D1"/>
    <w:rsid w:val="00860599"/>
    <w:rsid w:val="008605DC"/>
    <w:rsid w:val="00861256"/>
    <w:rsid w:val="00861375"/>
    <w:rsid w:val="0086171B"/>
    <w:rsid w:val="00861747"/>
    <w:rsid w:val="00861924"/>
    <w:rsid w:val="00862D68"/>
    <w:rsid w:val="00863396"/>
    <w:rsid w:val="00863461"/>
    <w:rsid w:val="0086398E"/>
    <w:rsid w:val="00863BA9"/>
    <w:rsid w:val="008641FE"/>
    <w:rsid w:val="008642CA"/>
    <w:rsid w:val="00864C83"/>
    <w:rsid w:val="0086593A"/>
    <w:rsid w:val="00865A70"/>
    <w:rsid w:val="00865C24"/>
    <w:rsid w:val="00866075"/>
    <w:rsid w:val="00866F64"/>
    <w:rsid w:val="008670E9"/>
    <w:rsid w:val="0087012B"/>
    <w:rsid w:val="0087029A"/>
    <w:rsid w:val="008702F6"/>
    <w:rsid w:val="00871E2D"/>
    <w:rsid w:val="008721B1"/>
    <w:rsid w:val="008723D4"/>
    <w:rsid w:val="0087263C"/>
    <w:rsid w:val="00872B8E"/>
    <w:rsid w:val="00873229"/>
    <w:rsid w:val="00873454"/>
    <w:rsid w:val="00873578"/>
    <w:rsid w:val="00873921"/>
    <w:rsid w:val="008756A4"/>
    <w:rsid w:val="00875BD2"/>
    <w:rsid w:val="00876537"/>
    <w:rsid w:val="008769DF"/>
    <w:rsid w:val="00876C23"/>
    <w:rsid w:val="008778E1"/>
    <w:rsid w:val="00877EC9"/>
    <w:rsid w:val="00880909"/>
    <w:rsid w:val="00880B35"/>
    <w:rsid w:val="00880E61"/>
    <w:rsid w:val="00881D5F"/>
    <w:rsid w:val="008828B9"/>
    <w:rsid w:val="00882905"/>
    <w:rsid w:val="008829AE"/>
    <w:rsid w:val="00882F00"/>
    <w:rsid w:val="00883011"/>
    <w:rsid w:val="008835CC"/>
    <w:rsid w:val="008847A2"/>
    <w:rsid w:val="00885266"/>
    <w:rsid w:val="00885548"/>
    <w:rsid w:val="00885903"/>
    <w:rsid w:val="00885E50"/>
    <w:rsid w:val="008861A3"/>
    <w:rsid w:val="0088673C"/>
    <w:rsid w:val="00886BC3"/>
    <w:rsid w:val="00887004"/>
    <w:rsid w:val="00887671"/>
    <w:rsid w:val="00887697"/>
    <w:rsid w:val="00887CEF"/>
    <w:rsid w:val="00890075"/>
    <w:rsid w:val="008921D5"/>
    <w:rsid w:val="008921F5"/>
    <w:rsid w:val="00892750"/>
    <w:rsid w:val="00892EB2"/>
    <w:rsid w:val="00894F60"/>
    <w:rsid w:val="008957CB"/>
    <w:rsid w:val="0089613D"/>
    <w:rsid w:val="008961BD"/>
    <w:rsid w:val="0089698E"/>
    <w:rsid w:val="00897DD8"/>
    <w:rsid w:val="008A04D0"/>
    <w:rsid w:val="008A079F"/>
    <w:rsid w:val="008A3789"/>
    <w:rsid w:val="008A3EA9"/>
    <w:rsid w:val="008A42F5"/>
    <w:rsid w:val="008A566A"/>
    <w:rsid w:val="008A5A7E"/>
    <w:rsid w:val="008A64D5"/>
    <w:rsid w:val="008A6F84"/>
    <w:rsid w:val="008A70E6"/>
    <w:rsid w:val="008A7DD1"/>
    <w:rsid w:val="008B02FD"/>
    <w:rsid w:val="008B0553"/>
    <w:rsid w:val="008B0609"/>
    <w:rsid w:val="008B0DBB"/>
    <w:rsid w:val="008B139C"/>
    <w:rsid w:val="008B1539"/>
    <w:rsid w:val="008B176F"/>
    <w:rsid w:val="008B209A"/>
    <w:rsid w:val="008B27E7"/>
    <w:rsid w:val="008B2D10"/>
    <w:rsid w:val="008B3945"/>
    <w:rsid w:val="008B3C02"/>
    <w:rsid w:val="008B5010"/>
    <w:rsid w:val="008B56BA"/>
    <w:rsid w:val="008B5A47"/>
    <w:rsid w:val="008B71AA"/>
    <w:rsid w:val="008B7594"/>
    <w:rsid w:val="008C001C"/>
    <w:rsid w:val="008C0C56"/>
    <w:rsid w:val="008C1367"/>
    <w:rsid w:val="008C17B5"/>
    <w:rsid w:val="008C1B64"/>
    <w:rsid w:val="008C1EE3"/>
    <w:rsid w:val="008C2573"/>
    <w:rsid w:val="008C2660"/>
    <w:rsid w:val="008C319C"/>
    <w:rsid w:val="008C3FD5"/>
    <w:rsid w:val="008C4E44"/>
    <w:rsid w:val="008C538C"/>
    <w:rsid w:val="008C55BC"/>
    <w:rsid w:val="008C57C5"/>
    <w:rsid w:val="008C5827"/>
    <w:rsid w:val="008C64CE"/>
    <w:rsid w:val="008C657A"/>
    <w:rsid w:val="008C6A42"/>
    <w:rsid w:val="008C7899"/>
    <w:rsid w:val="008D098D"/>
    <w:rsid w:val="008D11E1"/>
    <w:rsid w:val="008D1C65"/>
    <w:rsid w:val="008D1EC9"/>
    <w:rsid w:val="008D21E9"/>
    <w:rsid w:val="008D2280"/>
    <w:rsid w:val="008D25D1"/>
    <w:rsid w:val="008D2C50"/>
    <w:rsid w:val="008D4107"/>
    <w:rsid w:val="008D46D2"/>
    <w:rsid w:val="008D4A5E"/>
    <w:rsid w:val="008D55E0"/>
    <w:rsid w:val="008D562B"/>
    <w:rsid w:val="008D5DAF"/>
    <w:rsid w:val="008D60E4"/>
    <w:rsid w:val="008D6944"/>
    <w:rsid w:val="008D76F3"/>
    <w:rsid w:val="008D77E4"/>
    <w:rsid w:val="008D7B9A"/>
    <w:rsid w:val="008E07D2"/>
    <w:rsid w:val="008E133B"/>
    <w:rsid w:val="008E1CD7"/>
    <w:rsid w:val="008E2CD2"/>
    <w:rsid w:val="008E32CA"/>
    <w:rsid w:val="008E33A2"/>
    <w:rsid w:val="008E50A1"/>
    <w:rsid w:val="008E51D0"/>
    <w:rsid w:val="008E5A67"/>
    <w:rsid w:val="008E60B5"/>
    <w:rsid w:val="008E7759"/>
    <w:rsid w:val="008E7FEC"/>
    <w:rsid w:val="008F09C5"/>
    <w:rsid w:val="008F1704"/>
    <w:rsid w:val="008F3958"/>
    <w:rsid w:val="008F4045"/>
    <w:rsid w:val="008F52B6"/>
    <w:rsid w:val="008F5760"/>
    <w:rsid w:val="008F5F28"/>
    <w:rsid w:val="008F5FA4"/>
    <w:rsid w:val="008F65DB"/>
    <w:rsid w:val="008F70D6"/>
    <w:rsid w:val="008F71A5"/>
    <w:rsid w:val="008F77EB"/>
    <w:rsid w:val="0090022D"/>
    <w:rsid w:val="009002FB"/>
    <w:rsid w:val="00900493"/>
    <w:rsid w:val="009004CD"/>
    <w:rsid w:val="0090092D"/>
    <w:rsid w:val="00900BBF"/>
    <w:rsid w:val="009010D1"/>
    <w:rsid w:val="0090131E"/>
    <w:rsid w:val="009015C1"/>
    <w:rsid w:val="00901EB0"/>
    <w:rsid w:val="009027FE"/>
    <w:rsid w:val="00903085"/>
    <w:rsid w:val="009035E9"/>
    <w:rsid w:val="00903C80"/>
    <w:rsid w:val="009040F0"/>
    <w:rsid w:val="009042C9"/>
    <w:rsid w:val="00905F5F"/>
    <w:rsid w:val="00906420"/>
    <w:rsid w:val="0090746C"/>
    <w:rsid w:val="009078C7"/>
    <w:rsid w:val="00907AB0"/>
    <w:rsid w:val="00910E9A"/>
    <w:rsid w:val="009110B9"/>
    <w:rsid w:val="00911F85"/>
    <w:rsid w:val="00912A2C"/>
    <w:rsid w:val="009134C9"/>
    <w:rsid w:val="009139A0"/>
    <w:rsid w:val="00913A8D"/>
    <w:rsid w:val="009145ED"/>
    <w:rsid w:val="00914802"/>
    <w:rsid w:val="00915331"/>
    <w:rsid w:val="00915933"/>
    <w:rsid w:val="00915FF6"/>
    <w:rsid w:val="00916691"/>
    <w:rsid w:val="009167E5"/>
    <w:rsid w:val="00916B5F"/>
    <w:rsid w:val="00920DF6"/>
    <w:rsid w:val="00920E9C"/>
    <w:rsid w:val="009212C0"/>
    <w:rsid w:val="00921B73"/>
    <w:rsid w:val="00921F47"/>
    <w:rsid w:val="00922076"/>
    <w:rsid w:val="0092293D"/>
    <w:rsid w:val="0092316B"/>
    <w:rsid w:val="009231AF"/>
    <w:rsid w:val="009234C1"/>
    <w:rsid w:val="009238A9"/>
    <w:rsid w:val="00923AE5"/>
    <w:rsid w:val="00923C1B"/>
    <w:rsid w:val="00923D6E"/>
    <w:rsid w:val="00923E25"/>
    <w:rsid w:val="00924518"/>
    <w:rsid w:val="00924FCA"/>
    <w:rsid w:val="00926D74"/>
    <w:rsid w:val="00927C23"/>
    <w:rsid w:val="00927F00"/>
    <w:rsid w:val="00930032"/>
    <w:rsid w:val="00930543"/>
    <w:rsid w:val="00931766"/>
    <w:rsid w:val="00931D5F"/>
    <w:rsid w:val="0093220A"/>
    <w:rsid w:val="009334A0"/>
    <w:rsid w:val="00935EF0"/>
    <w:rsid w:val="00936F05"/>
    <w:rsid w:val="009372DA"/>
    <w:rsid w:val="009375F8"/>
    <w:rsid w:val="009408CB"/>
    <w:rsid w:val="009412C0"/>
    <w:rsid w:val="009416DA"/>
    <w:rsid w:val="00941A57"/>
    <w:rsid w:val="009422EC"/>
    <w:rsid w:val="009426E5"/>
    <w:rsid w:val="009426E6"/>
    <w:rsid w:val="0094272D"/>
    <w:rsid w:val="009431C7"/>
    <w:rsid w:val="009440B5"/>
    <w:rsid w:val="009445E8"/>
    <w:rsid w:val="00944911"/>
    <w:rsid w:val="009449CA"/>
    <w:rsid w:val="00946123"/>
    <w:rsid w:val="00946645"/>
    <w:rsid w:val="00947112"/>
    <w:rsid w:val="0094755E"/>
    <w:rsid w:val="00947753"/>
    <w:rsid w:val="00947A70"/>
    <w:rsid w:val="009502C2"/>
    <w:rsid w:val="00950A46"/>
    <w:rsid w:val="00950ED9"/>
    <w:rsid w:val="009516BD"/>
    <w:rsid w:val="00951F1B"/>
    <w:rsid w:val="00952520"/>
    <w:rsid w:val="00952991"/>
    <w:rsid w:val="00952CC6"/>
    <w:rsid w:val="009533BD"/>
    <w:rsid w:val="009535F2"/>
    <w:rsid w:val="00953FFF"/>
    <w:rsid w:val="0095413C"/>
    <w:rsid w:val="00954E27"/>
    <w:rsid w:val="0095508F"/>
    <w:rsid w:val="00956CCC"/>
    <w:rsid w:val="00957494"/>
    <w:rsid w:val="009577B5"/>
    <w:rsid w:val="009608A6"/>
    <w:rsid w:val="0096116E"/>
    <w:rsid w:val="009611E8"/>
    <w:rsid w:val="00961530"/>
    <w:rsid w:val="00961FE0"/>
    <w:rsid w:val="009632EA"/>
    <w:rsid w:val="009635FB"/>
    <w:rsid w:val="00963F75"/>
    <w:rsid w:val="00963FC0"/>
    <w:rsid w:val="0096518F"/>
    <w:rsid w:val="009653E6"/>
    <w:rsid w:val="00966AE0"/>
    <w:rsid w:val="009672C0"/>
    <w:rsid w:val="00967650"/>
    <w:rsid w:val="009677C8"/>
    <w:rsid w:val="00967F33"/>
    <w:rsid w:val="0097074B"/>
    <w:rsid w:val="00971630"/>
    <w:rsid w:val="00971A81"/>
    <w:rsid w:val="00971F21"/>
    <w:rsid w:val="00971F8F"/>
    <w:rsid w:val="0097226A"/>
    <w:rsid w:val="0097334C"/>
    <w:rsid w:val="009736B7"/>
    <w:rsid w:val="009747F6"/>
    <w:rsid w:val="00974997"/>
    <w:rsid w:val="009751BF"/>
    <w:rsid w:val="00975727"/>
    <w:rsid w:val="00975A85"/>
    <w:rsid w:val="00975D56"/>
    <w:rsid w:val="00976E0A"/>
    <w:rsid w:val="00977320"/>
    <w:rsid w:val="00977749"/>
    <w:rsid w:val="00977C83"/>
    <w:rsid w:val="00980A3F"/>
    <w:rsid w:val="00980B13"/>
    <w:rsid w:val="00981A9B"/>
    <w:rsid w:val="00982D55"/>
    <w:rsid w:val="0098328C"/>
    <w:rsid w:val="00983368"/>
    <w:rsid w:val="00984721"/>
    <w:rsid w:val="00984A86"/>
    <w:rsid w:val="0098558F"/>
    <w:rsid w:val="0098579D"/>
    <w:rsid w:val="00985941"/>
    <w:rsid w:val="00986B76"/>
    <w:rsid w:val="009910D1"/>
    <w:rsid w:val="00991F5A"/>
    <w:rsid w:val="0099284A"/>
    <w:rsid w:val="00992A1D"/>
    <w:rsid w:val="00993FFE"/>
    <w:rsid w:val="00994198"/>
    <w:rsid w:val="0099429F"/>
    <w:rsid w:val="009943AE"/>
    <w:rsid w:val="009945B3"/>
    <w:rsid w:val="0099529D"/>
    <w:rsid w:val="009952F5"/>
    <w:rsid w:val="00995546"/>
    <w:rsid w:val="009955E3"/>
    <w:rsid w:val="00995978"/>
    <w:rsid w:val="00996A8C"/>
    <w:rsid w:val="0099786B"/>
    <w:rsid w:val="00997ABB"/>
    <w:rsid w:val="00997BE7"/>
    <w:rsid w:val="009A030C"/>
    <w:rsid w:val="009A0705"/>
    <w:rsid w:val="009A0A93"/>
    <w:rsid w:val="009A1637"/>
    <w:rsid w:val="009A1A04"/>
    <w:rsid w:val="009A34A3"/>
    <w:rsid w:val="009A462A"/>
    <w:rsid w:val="009A5104"/>
    <w:rsid w:val="009A6180"/>
    <w:rsid w:val="009A6FA4"/>
    <w:rsid w:val="009A73D0"/>
    <w:rsid w:val="009B0BF8"/>
    <w:rsid w:val="009B21DB"/>
    <w:rsid w:val="009B2589"/>
    <w:rsid w:val="009B30B7"/>
    <w:rsid w:val="009B3492"/>
    <w:rsid w:val="009B3877"/>
    <w:rsid w:val="009B3C2D"/>
    <w:rsid w:val="009B495E"/>
    <w:rsid w:val="009B4965"/>
    <w:rsid w:val="009B4DCA"/>
    <w:rsid w:val="009B5136"/>
    <w:rsid w:val="009B56B8"/>
    <w:rsid w:val="009B6862"/>
    <w:rsid w:val="009B68C3"/>
    <w:rsid w:val="009B6AF1"/>
    <w:rsid w:val="009B70D8"/>
    <w:rsid w:val="009B7516"/>
    <w:rsid w:val="009B7CCE"/>
    <w:rsid w:val="009C0885"/>
    <w:rsid w:val="009C11D4"/>
    <w:rsid w:val="009C1237"/>
    <w:rsid w:val="009C17D4"/>
    <w:rsid w:val="009C1F72"/>
    <w:rsid w:val="009C216A"/>
    <w:rsid w:val="009C238D"/>
    <w:rsid w:val="009C3761"/>
    <w:rsid w:val="009C3BCA"/>
    <w:rsid w:val="009C3C81"/>
    <w:rsid w:val="009C413E"/>
    <w:rsid w:val="009C5C9B"/>
    <w:rsid w:val="009C7E7D"/>
    <w:rsid w:val="009D0358"/>
    <w:rsid w:val="009D0C9D"/>
    <w:rsid w:val="009D1239"/>
    <w:rsid w:val="009D194D"/>
    <w:rsid w:val="009D2816"/>
    <w:rsid w:val="009D31AD"/>
    <w:rsid w:val="009D3CBD"/>
    <w:rsid w:val="009D3D51"/>
    <w:rsid w:val="009D4085"/>
    <w:rsid w:val="009D40CB"/>
    <w:rsid w:val="009D4746"/>
    <w:rsid w:val="009D4A7D"/>
    <w:rsid w:val="009D610C"/>
    <w:rsid w:val="009D77B1"/>
    <w:rsid w:val="009D7C79"/>
    <w:rsid w:val="009D7C8E"/>
    <w:rsid w:val="009E01D4"/>
    <w:rsid w:val="009E0510"/>
    <w:rsid w:val="009E079D"/>
    <w:rsid w:val="009E1B94"/>
    <w:rsid w:val="009E1CD8"/>
    <w:rsid w:val="009E2A3D"/>
    <w:rsid w:val="009E3795"/>
    <w:rsid w:val="009E47D8"/>
    <w:rsid w:val="009E4A4A"/>
    <w:rsid w:val="009E5D8A"/>
    <w:rsid w:val="009E61DD"/>
    <w:rsid w:val="009E67D6"/>
    <w:rsid w:val="009E6B25"/>
    <w:rsid w:val="009E7CB5"/>
    <w:rsid w:val="009F0372"/>
    <w:rsid w:val="009F1B84"/>
    <w:rsid w:val="009F1ECD"/>
    <w:rsid w:val="009F39A2"/>
    <w:rsid w:val="009F4194"/>
    <w:rsid w:val="009F44C5"/>
    <w:rsid w:val="009F4B89"/>
    <w:rsid w:val="009F561E"/>
    <w:rsid w:val="009F5696"/>
    <w:rsid w:val="009F67E9"/>
    <w:rsid w:val="009F6C84"/>
    <w:rsid w:val="009F6FEC"/>
    <w:rsid w:val="009F7C92"/>
    <w:rsid w:val="009F7CE9"/>
    <w:rsid w:val="009F7EDD"/>
    <w:rsid w:val="00A000C1"/>
    <w:rsid w:val="00A009BB"/>
    <w:rsid w:val="00A00DF5"/>
    <w:rsid w:val="00A0106F"/>
    <w:rsid w:val="00A0253E"/>
    <w:rsid w:val="00A02A54"/>
    <w:rsid w:val="00A02D4C"/>
    <w:rsid w:val="00A03488"/>
    <w:rsid w:val="00A03BD0"/>
    <w:rsid w:val="00A049BE"/>
    <w:rsid w:val="00A05AF2"/>
    <w:rsid w:val="00A05FF8"/>
    <w:rsid w:val="00A0625E"/>
    <w:rsid w:val="00A065AA"/>
    <w:rsid w:val="00A06B77"/>
    <w:rsid w:val="00A071B3"/>
    <w:rsid w:val="00A07510"/>
    <w:rsid w:val="00A07685"/>
    <w:rsid w:val="00A07F62"/>
    <w:rsid w:val="00A109F0"/>
    <w:rsid w:val="00A10BE3"/>
    <w:rsid w:val="00A1284F"/>
    <w:rsid w:val="00A133B4"/>
    <w:rsid w:val="00A13479"/>
    <w:rsid w:val="00A1469B"/>
    <w:rsid w:val="00A14EC3"/>
    <w:rsid w:val="00A152E9"/>
    <w:rsid w:val="00A1542A"/>
    <w:rsid w:val="00A1553D"/>
    <w:rsid w:val="00A158A3"/>
    <w:rsid w:val="00A16049"/>
    <w:rsid w:val="00A161F1"/>
    <w:rsid w:val="00A20476"/>
    <w:rsid w:val="00A222B0"/>
    <w:rsid w:val="00A225B2"/>
    <w:rsid w:val="00A22922"/>
    <w:rsid w:val="00A23233"/>
    <w:rsid w:val="00A253AA"/>
    <w:rsid w:val="00A257EC"/>
    <w:rsid w:val="00A25DC4"/>
    <w:rsid w:val="00A269AA"/>
    <w:rsid w:val="00A26ABC"/>
    <w:rsid w:val="00A2784A"/>
    <w:rsid w:val="00A27F15"/>
    <w:rsid w:val="00A309A1"/>
    <w:rsid w:val="00A318B5"/>
    <w:rsid w:val="00A318E7"/>
    <w:rsid w:val="00A31B4B"/>
    <w:rsid w:val="00A32508"/>
    <w:rsid w:val="00A32865"/>
    <w:rsid w:val="00A33882"/>
    <w:rsid w:val="00A33914"/>
    <w:rsid w:val="00A33C11"/>
    <w:rsid w:val="00A33C4B"/>
    <w:rsid w:val="00A33F18"/>
    <w:rsid w:val="00A34072"/>
    <w:rsid w:val="00A343AB"/>
    <w:rsid w:val="00A34E45"/>
    <w:rsid w:val="00A35229"/>
    <w:rsid w:val="00A3593D"/>
    <w:rsid w:val="00A36ADE"/>
    <w:rsid w:val="00A36CCA"/>
    <w:rsid w:val="00A371AF"/>
    <w:rsid w:val="00A37D08"/>
    <w:rsid w:val="00A420D8"/>
    <w:rsid w:val="00A435EC"/>
    <w:rsid w:val="00A438F7"/>
    <w:rsid w:val="00A43BBD"/>
    <w:rsid w:val="00A43C95"/>
    <w:rsid w:val="00A44B25"/>
    <w:rsid w:val="00A453F2"/>
    <w:rsid w:val="00A45F62"/>
    <w:rsid w:val="00A46070"/>
    <w:rsid w:val="00A462F1"/>
    <w:rsid w:val="00A46F77"/>
    <w:rsid w:val="00A471EC"/>
    <w:rsid w:val="00A4735D"/>
    <w:rsid w:val="00A50260"/>
    <w:rsid w:val="00A504C4"/>
    <w:rsid w:val="00A50CDB"/>
    <w:rsid w:val="00A5152B"/>
    <w:rsid w:val="00A517FF"/>
    <w:rsid w:val="00A52078"/>
    <w:rsid w:val="00A521D1"/>
    <w:rsid w:val="00A52E0D"/>
    <w:rsid w:val="00A54CAB"/>
    <w:rsid w:val="00A54FBE"/>
    <w:rsid w:val="00A550D9"/>
    <w:rsid w:val="00A551EE"/>
    <w:rsid w:val="00A555A7"/>
    <w:rsid w:val="00A56347"/>
    <w:rsid w:val="00A56498"/>
    <w:rsid w:val="00A576B4"/>
    <w:rsid w:val="00A57994"/>
    <w:rsid w:val="00A57CEB"/>
    <w:rsid w:val="00A606FF"/>
    <w:rsid w:val="00A60818"/>
    <w:rsid w:val="00A60E69"/>
    <w:rsid w:val="00A61331"/>
    <w:rsid w:val="00A61746"/>
    <w:rsid w:val="00A620D4"/>
    <w:rsid w:val="00A625CA"/>
    <w:rsid w:val="00A6343F"/>
    <w:rsid w:val="00A63720"/>
    <w:rsid w:val="00A639B1"/>
    <w:rsid w:val="00A645DD"/>
    <w:rsid w:val="00A64BB9"/>
    <w:rsid w:val="00A65E4B"/>
    <w:rsid w:val="00A6610D"/>
    <w:rsid w:val="00A66F15"/>
    <w:rsid w:val="00A670D7"/>
    <w:rsid w:val="00A675EF"/>
    <w:rsid w:val="00A678CA"/>
    <w:rsid w:val="00A678F7"/>
    <w:rsid w:val="00A67AFC"/>
    <w:rsid w:val="00A703CC"/>
    <w:rsid w:val="00A70A50"/>
    <w:rsid w:val="00A70D46"/>
    <w:rsid w:val="00A71912"/>
    <w:rsid w:val="00A7240C"/>
    <w:rsid w:val="00A72618"/>
    <w:rsid w:val="00A72D3C"/>
    <w:rsid w:val="00A72F3D"/>
    <w:rsid w:val="00A7319B"/>
    <w:rsid w:val="00A73644"/>
    <w:rsid w:val="00A73BC9"/>
    <w:rsid w:val="00A74F81"/>
    <w:rsid w:val="00A758FB"/>
    <w:rsid w:val="00A75EE5"/>
    <w:rsid w:val="00A760E5"/>
    <w:rsid w:val="00A768A3"/>
    <w:rsid w:val="00A76F68"/>
    <w:rsid w:val="00A77418"/>
    <w:rsid w:val="00A778CD"/>
    <w:rsid w:val="00A77EB1"/>
    <w:rsid w:val="00A80A65"/>
    <w:rsid w:val="00A80C63"/>
    <w:rsid w:val="00A814B3"/>
    <w:rsid w:val="00A81875"/>
    <w:rsid w:val="00A81943"/>
    <w:rsid w:val="00A81D51"/>
    <w:rsid w:val="00A823EA"/>
    <w:rsid w:val="00A82847"/>
    <w:rsid w:val="00A8292B"/>
    <w:rsid w:val="00A83209"/>
    <w:rsid w:val="00A832B1"/>
    <w:rsid w:val="00A84181"/>
    <w:rsid w:val="00A845DE"/>
    <w:rsid w:val="00A84DF3"/>
    <w:rsid w:val="00A863F9"/>
    <w:rsid w:val="00A870C0"/>
    <w:rsid w:val="00A87251"/>
    <w:rsid w:val="00A87B0A"/>
    <w:rsid w:val="00A9022D"/>
    <w:rsid w:val="00A915AB"/>
    <w:rsid w:val="00A91AA9"/>
    <w:rsid w:val="00A91D06"/>
    <w:rsid w:val="00A9275F"/>
    <w:rsid w:val="00A930BC"/>
    <w:rsid w:val="00A931E0"/>
    <w:rsid w:val="00A93406"/>
    <w:rsid w:val="00A938FF"/>
    <w:rsid w:val="00A93A49"/>
    <w:rsid w:val="00A93C1C"/>
    <w:rsid w:val="00A94AAA"/>
    <w:rsid w:val="00A953A2"/>
    <w:rsid w:val="00A965E7"/>
    <w:rsid w:val="00A96633"/>
    <w:rsid w:val="00A96652"/>
    <w:rsid w:val="00A973F1"/>
    <w:rsid w:val="00A974E3"/>
    <w:rsid w:val="00A97C8C"/>
    <w:rsid w:val="00AA0534"/>
    <w:rsid w:val="00AA0956"/>
    <w:rsid w:val="00AA11AB"/>
    <w:rsid w:val="00AA1234"/>
    <w:rsid w:val="00AA1932"/>
    <w:rsid w:val="00AA1E4D"/>
    <w:rsid w:val="00AA23BA"/>
    <w:rsid w:val="00AA39B7"/>
    <w:rsid w:val="00AA3F35"/>
    <w:rsid w:val="00AA40BB"/>
    <w:rsid w:val="00AA41BE"/>
    <w:rsid w:val="00AA4710"/>
    <w:rsid w:val="00AA4BB1"/>
    <w:rsid w:val="00AA511F"/>
    <w:rsid w:val="00AA51E7"/>
    <w:rsid w:val="00AA547D"/>
    <w:rsid w:val="00AA575B"/>
    <w:rsid w:val="00AA5CA4"/>
    <w:rsid w:val="00AA6B91"/>
    <w:rsid w:val="00AA6FEB"/>
    <w:rsid w:val="00AA7A20"/>
    <w:rsid w:val="00AA7BE3"/>
    <w:rsid w:val="00AB0997"/>
    <w:rsid w:val="00AB0B1A"/>
    <w:rsid w:val="00AB1FF8"/>
    <w:rsid w:val="00AB2BAF"/>
    <w:rsid w:val="00AB2BF5"/>
    <w:rsid w:val="00AB2F50"/>
    <w:rsid w:val="00AB3E69"/>
    <w:rsid w:val="00AB3F4F"/>
    <w:rsid w:val="00AB4202"/>
    <w:rsid w:val="00AB4962"/>
    <w:rsid w:val="00AB5067"/>
    <w:rsid w:val="00AB51C8"/>
    <w:rsid w:val="00AB70BF"/>
    <w:rsid w:val="00AB7168"/>
    <w:rsid w:val="00AB743A"/>
    <w:rsid w:val="00AB79AA"/>
    <w:rsid w:val="00AC026B"/>
    <w:rsid w:val="00AC098A"/>
    <w:rsid w:val="00AC2437"/>
    <w:rsid w:val="00AC261A"/>
    <w:rsid w:val="00AC2F30"/>
    <w:rsid w:val="00AC3AAD"/>
    <w:rsid w:val="00AC3C3E"/>
    <w:rsid w:val="00AC4153"/>
    <w:rsid w:val="00AC417E"/>
    <w:rsid w:val="00AC44FC"/>
    <w:rsid w:val="00AC4FDB"/>
    <w:rsid w:val="00AC546C"/>
    <w:rsid w:val="00AC56C2"/>
    <w:rsid w:val="00AC77CB"/>
    <w:rsid w:val="00AC78B2"/>
    <w:rsid w:val="00AC7C92"/>
    <w:rsid w:val="00AD0503"/>
    <w:rsid w:val="00AD087A"/>
    <w:rsid w:val="00AD1EEE"/>
    <w:rsid w:val="00AD2476"/>
    <w:rsid w:val="00AD35A9"/>
    <w:rsid w:val="00AD3CF2"/>
    <w:rsid w:val="00AD4645"/>
    <w:rsid w:val="00AD4DBC"/>
    <w:rsid w:val="00AD4F05"/>
    <w:rsid w:val="00AD5CE5"/>
    <w:rsid w:val="00AD646B"/>
    <w:rsid w:val="00AD6D98"/>
    <w:rsid w:val="00AD74CC"/>
    <w:rsid w:val="00AE0248"/>
    <w:rsid w:val="00AE0BED"/>
    <w:rsid w:val="00AE0F07"/>
    <w:rsid w:val="00AE34D2"/>
    <w:rsid w:val="00AE3696"/>
    <w:rsid w:val="00AE3A7C"/>
    <w:rsid w:val="00AE458A"/>
    <w:rsid w:val="00AE4671"/>
    <w:rsid w:val="00AE56CC"/>
    <w:rsid w:val="00AE76D6"/>
    <w:rsid w:val="00AE794D"/>
    <w:rsid w:val="00AF0049"/>
    <w:rsid w:val="00AF14DE"/>
    <w:rsid w:val="00AF1A2D"/>
    <w:rsid w:val="00AF1D25"/>
    <w:rsid w:val="00AF2665"/>
    <w:rsid w:val="00AF42F8"/>
    <w:rsid w:val="00AF436E"/>
    <w:rsid w:val="00AF4B21"/>
    <w:rsid w:val="00AF4BEB"/>
    <w:rsid w:val="00AF52BF"/>
    <w:rsid w:val="00AF53C4"/>
    <w:rsid w:val="00AF58B4"/>
    <w:rsid w:val="00AF5CBA"/>
    <w:rsid w:val="00AF7269"/>
    <w:rsid w:val="00AF7CC1"/>
    <w:rsid w:val="00AF7F62"/>
    <w:rsid w:val="00B008BD"/>
    <w:rsid w:val="00B00A75"/>
    <w:rsid w:val="00B00E49"/>
    <w:rsid w:val="00B01764"/>
    <w:rsid w:val="00B01C2A"/>
    <w:rsid w:val="00B01DAC"/>
    <w:rsid w:val="00B0262A"/>
    <w:rsid w:val="00B026AF"/>
    <w:rsid w:val="00B02886"/>
    <w:rsid w:val="00B02BDD"/>
    <w:rsid w:val="00B02F0A"/>
    <w:rsid w:val="00B03C1B"/>
    <w:rsid w:val="00B04192"/>
    <w:rsid w:val="00B04590"/>
    <w:rsid w:val="00B04DFD"/>
    <w:rsid w:val="00B0595E"/>
    <w:rsid w:val="00B062E3"/>
    <w:rsid w:val="00B066B4"/>
    <w:rsid w:val="00B07589"/>
    <w:rsid w:val="00B0768D"/>
    <w:rsid w:val="00B07817"/>
    <w:rsid w:val="00B079A0"/>
    <w:rsid w:val="00B07B42"/>
    <w:rsid w:val="00B07C90"/>
    <w:rsid w:val="00B07E4A"/>
    <w:rsid w:val="00B10143"/>
    <w:rsid w:val="00B103D8"/>
    <w:rsid w:val="00B1050C"/>
    <w:rsid w:val="00B107C6"/>
    <w:rsid w:val="00B10B5A"/>
    <w:rsid w:val="00B1120A"/>
    <w:rsid w:val="00B11DB8"/>
    <w:rsid w:val="00B12537"/>
    <w:rsid w:val="00B125F2"/>
    <w:rsid w:val="00B13414"/>
    <w:rsid w:val="00B13B69"/>
    <w:rsid w:val="00B13BF9"/>
    <w:rsid w:val="00B13CBA"/>
    <w:rsid w:val="00B13CDD"/>
    <w:rsid w:val="00B14E8A"/>
    <w:rsid w:val="00B14EDB"/>
    <w:rsid w:val="00B1583A"/>
    <w:rsid w:val="00B159C7"/>
    <w:rsid w:val="00B15AC4"/>
    <w:rsid w:val="00B15D0E"/>
    <w:rsid w:val="00B15D59"/>
    <w:rsid w:val="00B16006"/>
    <w:rsid w:val="00B163B9"/>
    <w:rsid w:val="00B16D78"/>
    <w:rsid w:val="00B17603"/>
    <w:rsid w:val="00B17621"/>
    <w:rsid w:val="00B20252"/>
    <w:rsid w:val="00B20728"/>
    <w:rsid w:val="00B210CB"/>
    <w:rsid w:val="00B216C0"/>
    <w:rsid w:val="00B21BF7"/>
    <w:rsid w:val="00B22566"/>
    <w:rsid w:val="00B23FB7"/>
    <w:rsid w:val="00B2429D"/>
    <w:rsid w:val="00B242E2"/>
    <w:rsid w:val="00B2463A"/>
    <w:rsid w:val="00B24AF8"/>
    <w:rsid w:val="00B25AA1"/>
    <w:rsid w:val="00B26485"/>
    <w:rsid w:val="00B27E9F"/>
    <w:rsid w:val="00B27F6B"/>
    <w:rsid w:val="00B3046F"/>
    <w:rsid w:val="00B30676"/>
    <w:rsid w:val="00B31161"/>
    <w:rsid w:val="00B32285"/>
    <w:rsid w:val="00B329EC"/>
    <w:rsid w:val="00B3313E"/>
    <w:rsid w:val="00B33B4F"/>
    <w:rsid w:val="00B33C03"/>
    <w:rsid w:val="00B34398"/>
    <w:rsid w:val="00B34E4B"/>
    <w:rsid w:val="00B35141"/>
    <w:rsid w:val="00B36010"/>
    <w:rsid w:val="00B36FEF"/>
    <w:rsid w:val="00B37081"/>
    <w:rsid w:val="00B37A31"/>
    <w:rsid w:val="00B37EDF"/>
    <w:rsid w:val="00B409BF"/>
    <w:rsid w:val="00B40C19"/>
    <w:rsid w:val="00B40F31"/>
    <w:rsid w:val="00B410E5"/>
    <w:rsid w:val="00B41F66"/>
    <w:rsid w:val="00B42B4C"/>
    <w:rsid w:val="00B43073"/>
    <w:rsid w:val="00B43A72"/>
    <w:rsid w:val="00B43E81"/>
    <w:rsid w:val="00B444A0"/>
    <w:rsid w:val="00B444B3"/>
    <w:rsid w:val="00B44501"/>
    <w:rsid w:val="00B44831"/>
    <w:rsid w:val="00B44CDD"/>
    <w:rsid w:val="00B44F98"/>
    <w:rsid w:val="00B451D8"/>
    <w:rsid w:val="00B454B2"/>
    <w:rsid w:val="00B45900"/>
    <w:rsid w:val="00B45BA0"/>
    <w:rsid w:val="00B460A2"/>
    <w:rsid w:val="00B46501"/>
    <w:rsid w:val="00B4674D"/>
    <w:rsid w:val="00B47EA6"/>
    <w:rsid w:val="00B5005B"/>
    <w:rsid w:val="00B5032E"/>
    <w:rsid w:val="00B50900"/>
    <w:rsid w:val="00B513A2"/>
    <w:rsid w:val="00B518BE"/>
    <w:rsid w:val="00B5262D"/>
    <w:rsid w:val="00B52E4E"/>
    <w:rsid w:val="00B538C4"/>
    <w:rsid w:val="00B543B2"/>
    <w:rsid w:val="00B54EC5"/>
    <w:rsid w:val="00B55302"/>
    <w:rsid w:val="00B555EF"/>
    <w:rsid w:val="00B55F9E"/>
    <w:rsid w:val="00B5720B"/>
    <w:rsid w:val="00B600FE"/>
    <w:rsid w:val="00B6037F"/>
    <w:rsid w:val="00B603BB"/>
    <w:rsid w:val="00B60E1B"/>
    <w:rsid w:val="00B6107F"/>
    <w:rsid w:val="00B6111D"/>
    <w:rsid w:val="00B6112D"/>
    <w:rsid w:val="00B61372"/>
    <w:rsid w:val="00B6156E"/>
    <w:rsid w:val="00B625D3"/>
    <w:rsid w:val="00B626E5"/>
    <w:rsid w:val="00B628FB"/>
    <w:rsid w:val="00B62CE3"/>
    <w:rsid w:val="00B62CF4"/>
    <w:rsid w:val="00B62EAF"/>
    <w:rsid w:val="00B6351F"/>
    <w:rsid w:val="00B636F8"/>
    <w:rsid w:val="00B639BC"/>
    <w:rsid w:val="00B63A6C"/>
    <w:rsid w:val="00B650D5"/>
    <w:rsid w:val="00B65359"/>
    <w:rsid w:val="00B6539C"/>
    <w:rsid w:val="00B654C0"/>
    <w:rsid w:val="00B65B20"/>
    <w:rsid w:val="00B65DD3"/>
    <w:rsid w:val="00B67D35"/>
    <w:rsid w:val="00B67F26"/>
    <w:rsid w:val="00B70A55"/>
    <w:rsid w:val="00B71330"/>
    <w:rsid w:val="00B715A1"/>
    <w:rsid w:val="00B71955"/>
    <w:rsid w:val="00B7254E"/>
    <w:rsid w:val="00B72876"/>
    <w:rsid w:val="00B72AC9"/>
    <w:rsid w:val="00B731C3"/>
    <w:rsid w:val="00B73855"/>
    <w:rsid w:val="00B74082"/>
    <w:rsid w:val="00B74279"/>
    <w:rsid w:val="00B7453B"/>
    <w:rsid w:val="00B748F5"/>
    <w:rsid w:val="00B74DD8"/>
    <w:rsid w:val="00B74E71"/>
    <w:rsid w:val="00B757D8"/>
    <w:rsid w:val="00B7611A"/>
    <w:rsid w:val="00B76120"/>
    <w:rsid w:val="00B76614"/>
    <w:rsid w:val="00B76D54"/>
    <w:rsid w:val="00B77493"/>
    <w:rsid w:val="00B802DD"/>
    <w:rsid w:val="00B80BE2"/>
    <w:rsid w:val="00B82A36"/>
    <w:rsid w:val="00B83174"/>
    <w:rsid w:val="00B833CF"/>
    <w:rsid w:val="00B83AA6"/>
    <w:rsid w:val="00B849E7"/>
    <w:rsid w:val="00B84D88"/>
    <w:rsid w:val="00B85225"/>
    <w:rsid w:val="00B85A96"/>
    <w:rsid w:val="00B85D61"/>
    <w:rsid w:val="00B86DC0"/>
    <w:rsid w:val="00B86F9B"/>
    <w:rsid w:val="00B90E4C"/>
    <w:rsid w:val="00B91A65"/>
    <w:rsid w:val="00B92058"/>
    <w:rsid w:val="00B920CE"/>
    <w:rsid w:val="00B92C60"/>
    <w:rsid w:val="00B92D65"/>
    <w:rsid w:val="00B93B84"/>
    <w:rsid w:val="00B93C14"/>
    <w:rsid w:val="00B93E53"/>
    <w:rsid w:val="00B94878"/>
    <w:rsid w:val="00B94A11"/>
    <w:rsid w:val="00B94E31"/>
    <w:rsid w:val="00B9578C"/>
    <w:rsid w:val="00B95A43"/>
    <w:rsid w:val="00B95C16"/>
    <w:rsid w:val="00B96B0B"/>
    <w:rsid w:val="00BA0441"/>
    <w:rsid w:val="00BA0523"/>
    <w:rsid w:val="00BA06E4"/>
    <w:rsid w:val="00BA10B2"/>
    <w:rsid w:val="00BA116D"/>
    <w:rsid w:val="00BA19EC"/>
    <w:rsid w:val="00BA23AD"/>
    <w:rsid w:val="00BA44DA"/>
    <w:rsid w:val="00BA4794"/>
    <w:rsid w:val="00BA47A7"/>
    <w:rsid w:val="00BA4892"/>
    <w:rsid w:val="00BA4B1C"/>
    <w:rsid w:val="00BA4B8A"/>
    <w:rsid w:val="00BA5733"/>
    <w:rsid w:val="00BA5CCA"/>
    <w:rsid w:val="00BA62DC"/>
    <w:rsid w:val="00BA6D50"/>
    <w:rsid w:val="00BA73B4"/>
    <w:rsid w:val="00BB0064"/>
    <w:rsid w:val="00BB05F8"/>
    <w:rsid w:val="00BB0BE2"/>
    <w:rsid w:val="00BB297A"/>
    <w:rsid w:val="00BB2E80"/>
    <w:rsid w:val="00BB3A43"/>
    <w:rsid w:val="00BB3AA1"/>
    <w:rsid w:val="00BB3D19"/>
    <w:rsid w:val="00BB3F43"/>
    <w:rsid w:val="00BB441C"/>
    <w:rsid w:val="00BB4766"/>
    <w:rsid w:val="00BB5001"/>
    <w:rsid w:val="00BB658A"/>
    <w:rsid w:val="00BB69D5"/>
    <w:rsid w:val="00BB6D1E"/>
    <w:rsid w:val="00BB76B5"/>
    <w:rsid w:val="00BC066D"/>
    <w:rsid w:val="00BC0D3B"/>
    <w:rsid w:val="00BC2EB4"/>
    <w:rsid w:val="00BC3C09"/>
    <w:rsid w:val="00BC3C1C"/>
    <w:rsid w:val="00BC3CE1"/>
    <w:rsid w:val="00BC4474"/>
    <w:rsid w:val="00BC6519"/>
    <w:rsid w:val="00BC651B"/>
    <w:rsid w:val="00BC6CE2"/>
    <w:rsid w:val="00BC7A1B"/>
    <w:rsid w:val="00BC7E9E"/>
    <w:rsid w:val="00BD0AC9"/>
    <w:rsid w:val="00BD15AA"/>
    <w:rsid w:val="00BD1653"/>
    <w:rsid w:val="00BD283A"/>
    <w:rsid w:val="00BD3424"/>
    <w:rsid w:val="00BD3455"/>
    <w:rsid w:val="00BD352F"/>
    <w:rsid w:val="00BD357D"/>
    <w:rsid w:val="00BD40D9"/>
    <w:rsid w:val="00BD4CBB"/>
    <w:rsid w:val="00BD65D0"/>
    <w:rsid w:val="00BD6932"/>
    <w:rsid w:val="00BD72D4"/>
    <w:rsid w:val="00BE078E"/>
    <w:rsid w:val="00BE1037"/>
    <w:rsid w:val="00BE1248"/>
    <w:rsid w:val="00BE1746"/>
    <w:rsid w:val="00BE1C7F"/>
    <w:rsid w:val="00BE23B5"/>
    <w:rsid w:val="00BE24C4"/>
    <w:rsid w:val="00BE2860"/>
    <w:rsid w:val="00BE3345"/>
    <w:rsid w:val="00BE33F1"/>
    <w:rsid w:val="00BE3500"/>
    <w:rsid w:val="00BE3AC8"/>
    <w:rsid w:val="00BE4FF2"/>
    <w:rsid w:val="00BE58B9"/>
    <w:rsid w:val="00BE5A60"/>
    <w:rsid w:val="00BE62B3"/>
    <w:rsid w:val="00BE66A6"/>
    <w:rsid w:val="00BE73E1"/>
    <w:rsid w:val="00BE75B4"/>
    <w:rsid w:val="00BE797D"/>
    <w:rsid w:val="00BE7CEF"/>
    <w:rsid w:val="00BF0149"/>
    <w:rsid w:val="00BF0501"/>
    <w:rsid w:val="00BF0607"/>
    <w:rsid w:val="00BF0BEC"/>
    <w:rsid w:val="00BF0DC1"/>
    <w:rsid w:val="00BF1148"/>
    <w:rsid w:val="00BF136B"/>
    <w:rsid w:val="00BF17C6"/>
    <w:rsid w:val="00BF1FBA"/>
    <w:rsid w:val="00BF32FB"/>
    <w:rsid w:val="00BF37EF"/>
    <w:rsid w:val="00BF3814"/>
    <w:rsid w:val="00BF3BC0"/>
    <w:rsid w:val="00BF534C"/>
    <w:rsid w:val="00BF5367"/>
    <w:rsid w:val="00BF55DC"/>
    <w:rsid w:val="00BF584A"/>
    <w:rsid w:val="00BF608F"/>
    <w:rsid w:val="00BF6D6E"/>
    <w:rsid w:val="00BF7854"/>
    <w:rsid w:val="00C00298"/>
    <w:rsid w:val="00C021A8"/>
    <w:rsid w:val="00C024AE"/>
    <w:rsid w:val="00C0260E"/>
    <w:rsid w:val="00C02731"/>
    <w:rsid w:val="00C05C80"/>
    <w:rsid w:val="00C1113B"/>
    <w:rsid w:val="00C11DA9"/>
    <w:rsid w:val="00C11DBF"/>
    <w:rsid w:val="00C11E36"/>
    <w:rsid w:val="00C124EB"/>
    <w:rsid w:val="00C12843"/>
    <w:rsid w:val="00C13962"/>
    <w:rsid w:val="00C146B2"/>
    <w:rsid w:val="00C147E2"/>
    <w:rsid w:val="00C149AE"/>
    <w:rsid w:val="00C14E36"/>
    <w:rsid w:val="00C14E5F"/>
    <w:rsid w:val="00C160DA"/>
    <w:rsid w:val="00C20C80"/>
    <w:rsid w:val="00C20DD4"/>
    <w:rsid w:val="00C20DED"/>
    <w:rsid w:val="00C21610"/>
    <w:rsid w:val="00C21C84"/>
    <w:rsid w:val="00C21DF5"/>
    <w:rsid w:val="00C21F62"/>
    <w:rsid w:val="00C22B64"/>
    <w:rsid w:val="00C238AD"/>
    <w:rsid w:val="00C247EF"/>
    <w:rsid w:val="00C24E6D"/>
    <w:rsid w:val="00C25539"/>
    <w:rsid w:val="00C25D42"/>
    <w:rsid w:val="00C2610E"/>
    <w:rsid w:val="00C26152"/>
    <w:rsid w:val="00C26562"/>
    <w:rsid w:val="00C2660B"/>
    <w:rsid w:val="00C269B6"/>
    <w:rsid w:val="00C2769E"/>
    <w:rsid w:val="00C27767"/>
    <w:rsid w:val="00C277D5"/>
    <w:rsid w:val="00C305D3"/>
    <w:rsid w:val="00C3100F"/>
    <w:rsid w:val="00C315D7"/>
    <w:rsid w:val="00C31606"/>
    <w:rsid w:val="00C31DB0"/>
    <w:rsid w:val="00C32132"/>
    <w:rsid w:val="00C32615"/>
    <w:rsid w:val="00C32889"/>
    <w:rsid w:val="00C32AB6"/>
    <w:rsid w:val="00C3318B"/>
    <w:rsid w:val="00C333A9"/>
    <w:rsid w:val="00C34954"/>
    <w:rsid w:val="00C35375"/>
    <w:rsid w:val="00C35874"/>
    <w:rsid w:val="00C35A49"/>
    <w:rsid w:val="00C35B41"/>
    <w:rsid w:val="00C367D2"/>
    <w:rsid w:val="00C371E5"/>
    <w:rsid w:val="00C37733"/>
    <w:rsid w:val="00C402A5"/>
    <w:rsid w:val="00C4296A"/>
    <w:rsid w:val="00C43691"/>
    <w:rsid w:val="00C438B0"/>
    <w:rsid w:val="00C43ED1"/>
    <w:rsid w:val="00C449CF"/>
    <w:rsid w:val="00C45C9A"/>
    <w:rsid w:val="00C46423"/>
    <w:rsid w:val="00C464E8"/>
    <w:rsid w:val="00C465F6"/>
    <w:rsid w:val="00C46A65"/>
    <w:rsid w:val="00C46C7A"/>
    <w:rsid w:val="00C4716E"/>
    <w:rsid w:val="00C477E9"/>
    <w:rsid w:val="00C50BC0"/>
    <w:rsid w:val="00C51AD5"/>
    <w:rsid w:val="00C523E8"/>
    <w:rsid w:val="00C52BA7"/>
    <w:rsid w:val="00C537F7"/>
    <w:rsid w:val="00C53805"/>
    <w:rsid w:val="00C538F1"/>
    <w:rsid w:val="00C53B08"/>
    <w:rsid w:val="00C53D67"/>
    <w:rsid w:val="00C54812"/>
    <w:rsid w:val="00C54C35"/>
    <w:rsid w:val="00C54C7A"/>
    <w:rsid w:val="00C56830"/>
    <w:rsid w:val="00C56C1D"/>
    <w:rsid w:val="00C56CCD"/>
    <w:rsid w:val="00C578E9"/>
    <w:rsid w:val="00C60C34"/>
    <w:rsid w:val="00C61654"/>
    <w:rsid w:val="00C6245C"/>
    <w:rsid w:val="00C626F1"/>
    <w:rsid w:val="00C62E5A"/>
    <w:rsid w:val="00C63DDA"/>
    <w:rsid w:val="00C647A1"/>
    <w:rsid w:val="00C64904"/>
    <w:rsid w:val="00C64CF9"/>
    <w:rsid w:val="00C65FF1"/>
    <w:rsid w:val="00C66DA3"/>
    <w:rsid w:val="00C66E0F"/>
    <w:rsid w:val="00C67000"/>
    <w:rsid w:val="00C67AE4"/>
    <w:rsid w:val="00C70C82"/>
    <w:rsid w:val="00C7119B"/>
    <w:rsid w:val="00C7136E"/>
    <w:rsid w:val="00C726DE"/>
    <w:rsid w:val="00C72767"/>
    <w:rsid w:val="00C733D7"/>
    <w:rsid w:val="00C73B1C"/>
    <w:rsid w:val="00C73D94"/>
    <w:rsid w:val="00C73FB0"/>
    <w:rsid w:val="00C74FB7"/>
    <w:rsid w:val="00C7599C"/>
    <w:rsid w:val="00C75E74"/>
    <w:rsid w:val="00C75F6E"/>
    <w:rsid w:val="00C764F9"/>
    <w:rsid w:val="00C76507"/>
    <w:rsid w:val="00C77A1D"/>
    <w:rsid w:val="00C77C09"/>
    <w:rsid w:val="00C77FE4"/>
    <w:rsid w:val="00C80A54"/>
    <w:rsid w:val="00C810FE"/>
    <w:rsid w:val="00C81211"/>
    <w:rsid w:val="00C8136F"/>
    <w:rsid w:val="00C81EA4"/>
    <w:rsid w:val="00C82EC1"/>
    <w:rsid w:val="00C83336"/>
    <w:rsid w:val="00C833F0"/>
    <w:rsid w:val="00C83574"/>
    <w:rsid w:val="00C83748"/>
    <w:rsid w:val="00C83831"/>
    <w:rsid w:val="00C83C7D"/>
    <w:rsid w:val="00C83CE0"/>
    <w:rsid w:val="00C84391"/>
    <w:rsid w:val="00C85369"/>
    <w:rsid w:val="00C858BE"/>
    <w:rsid w:val="00C86D56"/>
    <w:rsid w:val="00C86EA9"/>
    <w:rsid w:val="00C872AA"/>
    <w:rsid w:val="00C87323"/>
    <w:rsid w:val="00C87E4C"/>
    <w:rsid w:val="00C87F62"/>
    <w:rsid w:val="00C87FBE"/>
    <w:rsid w:val="00C9011D"/>
    <w:rsid w:val="00C91D0B"/>
    <w:rsid w:val="00C91D3A"/>
    <w:rsid w:val="00C927AD"/>
    <w:rsid w:val="00C9316A"/>
    <w:rsid w:val="00C93288"/>
    <w:rsid w:val="00C932CD"/>
    <w:rsid w:val="00C93705"/>
    <w:rsid w:val="00C94C1C"/>
    <w:rsid w:val="00C94C34"/>
    <w:rsid w:val="00C94C52"/>
    <w:rsid w:val="00C9515E"/>
    <w:rsid w:val="00C95B16"/>
    <w:rsid w:val="00C9642A"/>
    <w:rsid w:val="00C96522"/>
    <w:rsid w:val="00C96AEA"/>
    <w:rsid w:val="00C96EB5"/>
    <w:rsid w:val="00C971AA"/>
    <w:rsid w:val="00C97427"/>
    <w:rsid w:val="00C9763F"/>
    <w:rsid w:val="00C976CB"/>
    <w:rsid w:val="00C97D57"/>
    <w:rsid w:val="00C97F0E"/>
    <w:rsid w:val="00CA120F"/>
    <w:rsid w:val="00CA206C"/>
    <w:rsid w:val="00CA208B"/>
    <w:rsid w:val="00CA24BC"/>
    <w:rsid w:val="00CA3950"/>
    <w:rsid w:val="00CA45AC"/>
    <w:rsid w:val="00CA47C0"/>
    <w:rsid w:val="00CA49F7"/>
    <w:rsid w:val="00CA4AAF"/>
    <w:rsid w:val="00CA4BDF"/>
    <w:rsid w:val="00CA51B6"/>
    <w:rsid w:val="00CA5257"/>
    <w:rsid w:val="00CA5655"/>
    <w:rsid w:val="00CA599E"/>
    <w:rsid w:val="00CA6A71"/>
    <w:rsid w:val="00CA7766"/>
    <w:rsid w:val="00CB01B9"/>
    <w:rsid w:val="00CB0AC5"/>
    <w:rsid w:val="00CB0BAC"/>
    <w:rsid w:val="00CB0E42"/>
    <w:rsid w:val="00CB1219"/>
    <w:rsid w:val="00CB169F"/>
    <w:rsid w:val="00CB174C"/>
    <w:rsid w:val="00CB17A5"/>
    <w:rsid w:val="00CB1ED3"/>
    <w:rsid w:val="00CB20A4"/>
    <w:rsid w:val="00CB211A"/>
    <w:rsid w:val="00CB258B"/>
    <w:rsid w:val="00CB267E"/>
    <w:rsid w:val="00CB29A3"/>
    <w:rsid w:val="00CB4B16"/>
    <w:rsid w:val="00CB4B74"/>
    <w:rsid w:val="00CB6226"/>
    <w:rsid w:val="00CB6614"/>
    <w:rsid w:val="00CB6799"/>
    <w:rsid w:val="00CB7269"/>
    <w:rsid w:val="00CB733E"/>
    <w:rsid w:val="00CB769C"/>
    <w:rsid w:val="00CB7CA8"/>
    <w:rsid w:val="00CC1741"/>
    <w:rsid w:val="00CC1759"/>
    <w:rsid w:val="00CC19CE"/>
    <w:rsid w:val="00CC1AB2"/>
    <w:rsid w:val="00CC1C01"/>
    <w:rsid w:val="00CC1C18"/>
    <w:rsid w:val="00CC20A4"/>
    <w:rsid w:val="00CC23CB"/>
    <w:rsid w:val="00CC2F93"/>
    <w:rsid w:val="00CC347D"/>
    <w:rsid w:val="00CC43E8"/>
    <w:rsid w:val="00CC4637"/>
    <w:rsid w:val="00CC4797"/>
    <w:rsid w:val="00CC5568"/>
    <w:rsid w:val="00CC56FF"/>
    <w:rsid w:val="00CC6082"/>
    <w:rsid w:val="00CC72C7"/>
    <w:rsid w:val="00CC777C"/>
    <w:rsid w:val="00CC77D7"/>
    <w:rsid w:val="00CC7DFB"/>
    <w:rsid w:val="00CD0585"/>
    <w:rsid w:val="00CD0BC2"/>
    <w:rsid w:val="00CD0D60"/>
    <w:rsid w:val="00CD13DB"/>
    <w:rsid w:val="00CD1D78"/>
    <w:rsid w:val="00CD2610"/>
    <w:rsid w:val="00CD2B25"/>
    <w:rsid w:val="00CD355F"/>
    <w:rsid w:val="00CD44C6"/>
    <w:rsid w:val="00CD4808"/>
    <w:rsid w:val="00CD48FA"/>
    <w:rsid w:val="00CD4938"/>
    <w:rsid w:val="00CD6852"/>
    <w:rsid w:val="00CD6FA3"/>
    <w:rsid w:val="00CD734C"/>
    <w:rsid w:val="00CD7423"/>
    <w:rsid w:val="00CD77D3"/>
    <w:rsid w:val="00CD7833"/>
    <w:rsid w:val="00CD7970"/>
    <w:rsid w:val="00CD7E4E"/>
    <w:rsid w:val="00CE01D6"/>
    <w:rsid w:val="00CE0E01"/>
    <w:rsid w:val="00CE1126"/>
    <w:rsid w:val="00CE1339"/>
    <w:rsid w:val="00CE1926"/>
    <w:rsid w:val="00CE1F60"/>
    <w:rsid w:val="00CE2DF1"/>
    <w:rsid w:val="00CE343B"/>
    <w:rsid w:val="00CE3EC4"/>
    <w:rsid w:val="00CE4940"/>
    <w:rsid w:val="00CE49DD"/>
    <w:rsid w:val="00CE6CFB"/>
    <w:rsid w:val="00CE702C"/>
    <w:rsid w:val="00CE708D"/>
    <w:rsid w:val="00CE7DBB"/>
    <w:rsid w:val="00CF121A"/>
    <w:rsid w:val="00CF1972"/>
    <w:rsid w:val="00CF19EF"/>
    <w:rsid w:val="00CF1FA5"/>
    <w:rsid w:val="00CF20EC"/>
    <w:rsid w:val="00CF21A1"/>
    <w:rsid w:val="00CF24F1"/>
    <w:rsid w:val="00CF26B6"/>
    <w:rsid w:val="00CF2DE8"/>
    <w:rsid w:val="00CF30A2"/>
    <w:rsid w:val="00CF324E"/>
    <w:rsid w:val="00CF3258"/>
    <w:rsid w:val="00CF3AF9"/>
    <w:rsid w:val="00CF3C2F"/>
    <w:rsid w:val="00CF3F29"/>
    <w:rsid w:val="00CF4042"/>
    <w:rsid w:val="00CF4B8C"/>
    <w:rsid w:val="00CF5587"/>
    <w:rsid w:val="00CF5F14"/>
    <w:rsid w:val="00CF63B9"/>
    <w:rsid w:val="00CF695C"/>
    <w:rsid w:val="00CF6C68"/>
    <w:rsid w:val="00CF71B1"/>
    <w:rsid w:val="00CF72DE"/>
    <w:rsid w:val="00CF7AC7"/>
    <w:rsid w:val="00D00438"/>
    <w:rsid w:val="00D010E4"/>
    <w:rsid w:val="00D01619"/>
    <w:rsid w:val="00D0223F"/>
    <w:rsid w:val="00D02637"/>
    <w:rsid w:val="00D028F3"/>
    <w:rsid w:val="00D0303B"/>
    <w:rsid w:val="00D03101"/>
    <w:rsid w:val="00D03877"/>
    <w:rsid w:val="00D0391C"/>
    <w:rsid w:val="00D03B3D"/>
    <w:rsid w:val="00D03C43"/>
    <w:rsid w:val="00D043DA"/>
    <w:rsid w:val="00D0455C"/>
    <w:rsid w:val="00D04A6D"/>
    <w:rsid w:val="00D0504A"/>
    <w:rsid w:val="00D0544A"/>
    <w:rsid w:val="00D05E2D"/>
    <w:rsid w:val="00D0641C"/>
    <w:rsid w:val="00D06954"/>
    <w:rsid w:val="00D06DAE"/>
    <w:rsid w:val="00D079CF"/>
    <w:rsid w:val="00D07E5B"/>
    <w:rsid w:val="00D105BC"/>
    <w:rsid w:val="00D105E3"/>
    <w:rsid w:val="00D1067B"/>
    <w:rsid w:val="00D11037"/>
    <w:rsid w:val="00D1115B"/>
    <w:rsid w:val="00D11B28"/>
    <w:rsid w:val="00D11C31"/>
    <w:rsid w:val="00D11F8C"/>
    <w:rsid w:val="00D12729"/>
    <w:rsid w:val="00D12793"/>
    <w:rsid w:val="00D135D0"/>
    <w:rsid w:val="00D13A6A"/>
    <w:rsid w:val="00D13D66"/>
    <w:rsid w:val="00D141D1"/>
    <w:rsid w:val="00D14406"/>
    <w:rsid w:val="00D15B28"/>
    <w:rsid w:val="00D17032"/>
    <w:rsid w:val="00D175A9"/>
    <w:rsid w:val="00D209B7"/>
    <w:rsid w:val="00D21EE7"/>
    <w:rsid w:val="00D224EA"/>
    <w:rsid w:val="00D232AE"/>
    <w:rsid w:val="00D232B8"/>
    <w:rsid w:val="00D24A9F"/>
    <w:rsid w:val="00D24B44"/>
    <w:rsid w:val="00D24CE5"/>
    <w:rsid w:val="00D25561"/>
    <w:rsid w:val="00D25814"/>
    <w:rsid w:val="00D25856"/>
    <w:rsid w:val="00D27B67"/>
    <w:rsid w:val="00D31873"/>
    <w:rsid w:val="00D31A4F"/>
    <w:rsid w:val="00D31A52"/>
    <w:rsid w:val="00D31F64"/>
    <w:rsid w:val="00D33A11"/>
    <w:rsid w:val="00D33C72"/>
    <w:rsid w:val="00D33FA1"/>
    <w:rsid w:val="00D347D3"/>
    <w:rsid w:val="00D36BC7"/>
    <w:rsid w:val="00D3717C"/>
    <w:rsid w:val="00D371EA"/>
    <w:rsid w:val="00D3745C"/>
    <w:rsid w:val="00D40198"/>
    <w:rsid w:val="00D40864"/>
    <w:rsid w:val="00D4122F"/>
    <w:rsid w:val="00D4192A"/>
    <w:rsid w:val="00D41A45"/>
    <w:rsid w:val="00D41AA1"/>
    <w:rsid w:val="00D41BFF"/>
    <w:rsid w:val="00D42A9A"/>
    <w:rsid w:val="00D43266"/>
    <w:rsid w:val="00D43381"/>
    <w:rsid w:val="00D44334"/>
    <w:rsid w:val="00D44810"/>
    <w:rsid w:val="00D44EA4"/>
    <w:rsid w:val="00D453EE"/>
    <w:rsid w:val="00D45565"/>
    <w:rsid w:val="00D457A3"/>
    <w:rsid w:val="00D46242"/>
    <w:rsid w:val="00D4629F"/>
    <w:rsid w:val="00D46663"/>
    <w:rsid w:val="00D47633"/>
    <w:rsid w:val="00D47D0D"/>
    <w:rsid w:val="00D50F29"/>
    <w:rsid w:val="00D51607"/>
    <w:rsid w:val="00D51B85"/>
    <w:rsid w:val="00D51E4E"/>
    <w:rsid w:val="00D52646"/>
    <w:rsid w:val="00D54DD5"/>
    <w:rsid w:val="00D5545E"/>
    <w:rsid w:val="00D55F9A"/>
    <w:rsid w:val="00D56947"/>
    <w:rsid w:val="00D571D8"/>
    <w:rsid w:val="00D572BB"/>
    <w:rsid w:val="00D57E4B"/>
    <w:rsid w:val="00D60141"/>
    <w:rsid w:val="00D603BC"/>
    <w:rsid w:val="00D60869"/>
    <w:rsid w:val="00D608C4"/>
    <w:rsid w:val="00D60EE1"/>
    <w:rsid w:val="00D622E2"/>
    <w:rsid w:val="00D63049"/>
    <w:rsid w:val="00D631E7"/>
    <w:rsid w:val="00D6344E"/>
    <w:rsid w:val="00D63658"/>
    <w:rsid w:val="00D63BFA"/>
    <w:rsid w:val="00D642CA"/>
    <w:rsid w:val="00D64680"/>
    <w:rsid w:val="00D65210"/>
    <w:rsid w:val="00D65327"/>
    <w:rsid w:val="00D657C1"/>
    <w:rsid w:val="00D65F5D"/>
    <w:rsid w:val="00D65F66"/>
    <w:rsid w:val="00D66947"/>
    <w:rsid w:val="00D66AAB"/>
    <w:rsid w:val="00D66CE7"/>
    <w:rsid w:val="00D67155"/>
    <w:rsid w:val="00D67908"/>
    <w:rsid w:val="00D70342"/>
    <w:rsid w:val="00D7053D"/>
    <w:rsid w:val="00D70F50"/>
    <w:rsid w:val="00D72315"/>
    <w:rsid w:val="00D724C9"/>
    <w:rsid w:val="00D738D2"/>
    <w:rsid w:val="00D73F48"/>
    <w:rsid w:val="00D742EA"/>
    <w:rsid w:val="00D7499D"/>
    <w:rsid w:val="00D74A01"/>
    <w:rsid w:val="00D74EC9"/>
    <w:rsid w:val="00D77108"/>
    <w:rsid w:val="00D809EB"/>
    <w:rsid w:val="00D80CD4"/>
    <w:rsid w:val="00D817BF"/>
    <w:rsid w:val="00D81D7A"/>
    <w:rsid w:val="00D82015"/>
    <w:rsid w:val="00D82C98"/>
    <w:rsid w:val="00D82E74"/>
    <w:rsid w:val="00D83159"/>
    <w:rsid w:val="00D838D4"/>
    <w:rsid w:val="00D839AC"/>
    <w:rsid w:val="00D84361"/>
    <w:rsid w:val="00D849E0"/>
    <w:rsid w:val="00D85021"/>
    <w:rsid w:val="00D85C37"/>
    <w:rsid w:val="00D86FB7"/>
    <w:rsid w:val="00D873F0"/>
    <w:rsid w:val="00D87BA1"/>
    <w:rsid w:val="00D87F55"/>
    <w:rsid w:val="00D87FE6"/>
    <w:rsid w:val="00D903EC"/>
    <w:rsid w:val="00D90B36"/>
    <w:rsid w:val="00D929CA"/>
    <w:rsid w:val="00D92D30"/>
    <w:rsid w:val="00D9423E"/>
    <w:rsid w:val="00D94A4F"/>
    <w:rsid w:val="00D9581D"/>
    <w:rsid w:val="00D96558"/>
    <w:rsid w:val="00D96D33"/>
    <w:rsid w:val="00D97DD0"/>
    <w:rsid w:val="00DA0119"/>
    <w:rsid w:val="00DA06F5"/>
    <w:rsid w:val="00DA0754"/>
    <w:rsid w:val="00DA0A00"/>
    <w:rsid w:val="00DA186F"/>
    <w:rsid w:val="00DA1F34"/>
    <w:rsid w:val="00DA28E8"/>
    <w:rsid w:val="00DA3534"/>
    <w:rsid w:val="00DA4ADF"/>
    <w:rsid w:val="00DA56D0"/>
    <w:rsid w:val="00DA6091"/>
    <w:rsid w:val="00DA63AC"/>
    <w:rsid w:val="00DA6F63"/>
    <w:rsid w:val="00DA7572"/>
    <w:rsid w:val="00DB0647"/>
    <w:rsid w:val="00DB28FC"/>
    <w:rsid w:val="00DB2AF1"/>
    <w:rsid w:val="00DB2F29"/>
    <w:rsid w:val="00DB36CD"/>
    <w:rsid w:val="00DB3C36"/>
    <w:rsid w:val="00DB461E"/>
    <w:rsid w:val="00DB489D"/>
    <w:rsid w:val="00DB49C6"/>
    <w:rsid w:val="00DB4C12"/>
    <w:rsid w:val="00DB4D99"/>
    <w:rsid w:val="00DB4F51"/>
    <w:rsid w:val="00DB52A8"/>
    <w:rsid w:val="00DB534F"/>
    <w:rsid w:val="00DB5AB0"/>
    <w:rsid w:val="00DB5CD3"/>
    <w:rsid w:val="00DB6464"/>
    <w:rsid w:val="00DB6529"/>
    <w:rsid w:val="00DB6AEE"/>
    <w:rsid w:val="00DB7007"/>
    <w:rsid w:val="00DB70E3"/>
    <w:rsid w:val="00DB7145"/>
    <w:rsid w:val="00DB7426"/>
    <w:rsid w:val="00DB7501"/>
    <w:rsid w:val="00DB7778"/>
    <w:rsid w:val="00DB77F1"/>
    <w:rsid w:val="00DC00D2"/>
    <w:rsid w:val="00DC0A91"/>
    <w:rsid w:val="00DC12CB"/>
    <w:rsid w:val="00DC21E7"/>
    <w:rsid w:val="00DC21FC"/>
    <w:rsid w:val="00DC2A3E"/>
    <w:rsid w:val="00DC2C7E"/>
    <w:rsid w:val="00DC352C"/>
    <w:rsid w:val="00DC3670"/>
    <w:rsid w:val="00DC3A4D"/>
    <w:rsid w:val="00DC3B2A"/>
    <w:rsid w:val="00DC3DAB"/>
    <w:rsid w:val="00DC3DF0"/>
    <w:rsid w:val="00DC5212"/>
    <w:rsid w:val="00DC5BE7"/>
    <w:rsid w:val="00DC5F08"/>
    <w:rsid w:val="00DC718A"/>
    <w:rsid w:val="00DD00D4"/>
    <w:rsid w:val="00DD2604"/>
    <w:rsid w:val="00DD2866"/>
    <w:rsid w:val="00DD3978"/>
    <w:rsid w:val="00DD4276"/>
    <w:rsid w:val="00DD4B13"/>
    <w:rsid w:val="00DD51B3"/>
    <w:rsid w:val="00DD5450"/>
    <w:rsid w:val="00DD71C6"/>
    <w:rsid w:val="00DD7356"/>
    <w:rsid w:val="00DD74D5"/>
    <w:rsid w:val="00DD7A7F"/>
    <w:rsid w:val="00DE0CD9"/>
    <w:rsid w:val="00DE0F2B"/>
    <w:rsid w:val="00DE116D"/>
    <w:rsid w:val="00DE3764"/>
    <w:rsid w:val="00DE3786"/>
    <w:rsid w:val="00DE4856"/>
    <w:rsid w:val="00DE4D17"/>
    <w:rsid w:val="00DE4FE8"/>
    <w:rsid w:val="00DE5244"/>
    <w:rsid w:val="00DE53BC"/>
    <w:rsid w:val="00DE5C89"/>
    <w:rsid w:val="00DE66DF"/>
    <w:rsid w:val="00DE6CC8"/>
    <w:rsid w:val="00DE78B9"/>
    <w:rsid w:val="00DF049C"/>
    <w:rsid w:val="00DF053E"/>
    <w:rsid w:val="00DF0775"/>
    <w:rsid w:val="00DF1FA7"/>
    <w:rsid w:val="00DF2067"/>
    <w:rsid w:val="00DF2396"/>
    <w:rsid w:val="00DF285B"/>
    <w:rsid w:val="00DF28AA"/>
    <w:rsid w:val="00DF2B52"/>
    <w:rsid w:val="00DF2FC8"/>
    <w:rsid w:val="00DF2FE9"/>
    <w:rsid w:val="00DF31D2"/>
    <w:rsid w:val="00DF384D"/>
    <w:rsid w:val="00DF3EF7"/>
    <w:rsid w:val="00DF3FB9"/>
    <w:rsid w:val="00DF4090"/>
    <w:rsid w:val="00DF42E7"/>
    <w:rsid w:val="00DF4AA5"/>
    <w:rsid w:val="00DF57DE"/>
    <w:rsid w:val="00DF5D1A"/>
    <w:rsid w:val="00DF5D59"/>
    <w:rsid w:val="00DF61D5"/>
    <w:rsid w:val="00DF739D"/>
    <w:rsid w:val="00DF73CC"/>
    <w:rsid w:val="00DF79B4"/>
    <w:rsid w:val="00DF7D5D"/>
    <w:rsid w:val="00E000F7"/>
    <w:rsid w:val="00E0073B"/>
    <w:rsid w:val="00E00E05"/>
    <w:rsid w:val="00E0123F"/>
    <w:rsid w:val="00E01317"/>
    <w:rsid w:val="00E0151E"/>
    <w:rsid w:val="00E015C8"/>
    <w:rsid w:val="00E0189A"/>
    <w:rsid w:val="00E019A5"/>
    <w:rsid w:val="00E01E57"/>
    <w:rsid w:val="00E01FFF"/>
    <w:rsid w:val="00E03615"/>
    <w:rsid w:val="00E03BA2"/>
    <w:rsid w:val="00E03F97"/>
    <w:rsid w:val="00E040BA"/>
    <w:rsid w:val="00E04731"/>
    <w:rsid w:val="00E049F6"/>
    <w:rsid w:val="00E04D41"/>
    <w:rsid w:val="00E055CB"/>
    <w:rsid w:val="00E05603"/>
    <w:rsid w:val="00E0617B"/>
    <w:rsid w:val="00E061A2"/>
    <w:rsid w:val="00E06B7A"/>
    <w:rsid w:val="00E06B98"/>
    <w:rsid w:val="00E06E9F"/>
    <w:rsid w:val="00E072F2"/>
    <w:rsid w:val="00E07C4B"/>
    <w:rsid w:val="00E11D42"/>
    <w:rsid w:val="00E14446"/>
    <w:rsid w:val="00E14D14"/>
    <w:rsid w:val="00E14FB8"/>
    <w:rsid w:val="00E1593E"/>
    <w:rsid w:val="00E15BAC"/>
    <w:rsid w:val="00E15FAB"/>
    <w:rsid w:val="00E169F3"/>
    <w:rsid w:val="00E175AE"/>
    <w:rsid w:val="00E20463"/>
    <w:rsid w:val="00E20B01"/>
    <w:rsid w:val="00E20BDE"/>
    <w:rsid w:val="00E20E6F"/>
    <w:rsid w:val="00E213E6"/>
    <w:rsid w:val="00E21B88"/>
    <w:rsid w:val="00E22485"/>
    <w:rsid w:val="00E2260B"/>
    <w:rsid w:val="00E23049"/>
    <w:rsid w:val="00E23DE6"/>
    <w:rsid w:val="00E24401"/>
    <w:rsid w:val="00E245FE"/>
    <w:rsid w:val="00E24BA4"/>
    <w:rsid w:val="00E24CAC"/>
    <w:rsid w:val="00E27619"/>
    <w:rsid w:val="00E301E3"/>
    <w:rsid w:val="00E30ADB"/>
    <w:rsid w:val="00E30E04"/>
    <w:rsid w:val="00E321BF"/>
    <w:rsid w:val="00E32553"/>
    <w:rsid w:val="00E32ADD"/>
    <w:rsid w:val="00E33AFE"/>
    <w:rsid w:val="00E33B34"/>
    <w:rsid w:val="00E34686"/>
    <w:rsid w:val="00E34DE8"/>
    <w:rsid w:val="00E350FC"/>
    <w:rsid w:val="00E354AF"/>
    <w:rsid w:val="00E36271"/>
    <w:rsid w:val="00E3648C"/>
    <w:rsid w:val="00E36E5C"/>
    <w:rsid w:val="00E374E4"/>
    <w:rsid w:val="00E37530"/>
    <w:rsid w:val="00E40F9F"/>
    <w:rsid w:val="00E4206D"/>
    <w:rsid w:val="00E42D16"/>
    <w:rsid w:val="00E4300C"/>
    <w:rsid w:val="00E435C3"/>
    <w:rsid w:val="00E43B37"/>
    <w:rsid w:val="00E43B7A"/>
    <w:rsid w:val="00E4521D"/>
    <w:rsid w:val="00E45CDC"/>
    <w:rsid w:val="00E45E77"/>
    <w:rsid w:val="00E4612B"/>
    <w:rsid w:val="00E462A5"/>
    <w:rsid w:val="00E465BA"/>
    <w:rsid w:val="00E46F26"/>
    <w:rsid w:val="00E5003E"/>
    <w:rsid w:val="00E50205"/>
    <w:rsid w:val="00E502D0"/>
    <w:rsid w:val="00E5064A"/>
    <w:rsid w:val="00E50E65"/>
    <w:rsid w:val="00E50E93"/>
    <w:rsid w:val="00E51142"/>
    <w:rsid w:val="00E528F2"/>
    <w:rsid w:val="00E5315B"/>
    <w:rsid w:val="00E533FE"/>
    <w:rsid w:val="00E54514"/>
    <w:rsid w:val="00E545FE"/>
    <w:rsid w:val="00E54897"/>
    <w:rsid w:val="00E54BD0"/>
    <w:rsid w:val="00E54E91"/>
    <w:rsid w:val="00E55D0C"/>
    <w:rsid w:val="00E560AB"/>
    <w:rsid w:val="00E573A2"/>
    <w:rsid w:val="00E57606"/>
    <w:rsid w:val="00E607D5"/>
    <w:rsid w:val="00E615BC"/>
    <w:rsid w:val="00E625F1"/>
    <w:rsid w:val="00E62701"/>
    <w:rsid w:val="00E641E1"/>
    <w:rsid w:val="00E64A0A"/>
    <w:rsid w:val="00E64B47"/>
    <w:rsid w:val="00E6556C"/>
    <w:rsid w:val="00E659FC"/>
    <w:rsid w:val="00E65BDB"/>
    <w:rsid w:val="00E65C46"/>
    <w:rsid w:val="00E65ECB"/>
    <w:rsid w:val="00E6605F"/>
    <w:rsid w:val="00E66805"/>
    <w:rsid w:val="00E66C39"/>
    <w:rsid w:val="00E66D03"/>
    <w:rsid w:val="00E66E52"/>
    <w:rsid w:val="00E67B18"/>
    <w:rsid w:val="00E70062"/>
    <w:rsid w:val="00E706A2"/>
    <w:rsid w:val="00E70B23"/>
    <w:rsid w:val="00E70C6A"/>
    <w:rsid w:val="00E70DAC"/>
    <w:rsid w:val="00E7186F"/>
    <w:rsid w:val="00E71E26"/>
    <w:rsid w:val="00E727D5"/>
    <w:rsid w:val="00E72856"/>
    <w:rsid w:val="00E733C5"/>
    <w:rsid w:val="00E74C5F"/>
    <w:rsid w:val="00E752E7"/>
    <w:rsid w:val="00E75301"/>
    <w:rsid w:val="00E7539F"/>
    <w:rsid w:val="00E773F5"/>
    <w:rsid w:val="00E7792D"/>
    <w:rsid w:val="00E77D2E"/>
    <w:rsid w:val="00E80A62"/>
    <w:rsid w:val="00E816A8"/>
    <w:rsid w:val="00E81BAF"/>
    <w:rsid w:val="00E81F8C"/>
    <w:rsid w:val="00E8207D"/>
    <w:rsid w:val="00E82AB5"/>
    <w:rsid w:val="00E82FA4"/>
    <w:rsid w:val="00E83502"/>
    <w:rsid w:val="00E839E6"/>
    <w:rsid w:val="00E84117"/>
    <w:rsid w:val="00E846FB"/>
    <w:rsid w:val="00E84CE4"/>
    <w:rsid w:val="00E84F07"/>
    <w:rsid w:val="00E850C3"/>
    <w:rsid w:val="00E85140"/>
    <w:rsid w:val="00E85E32"/>
    <w:rsid w:val="00E86300"/>
    <w:rsid w:val="00E8680E"/>
    <w:rsid w:val="00E86A34"/>
    <w:rsid w:val="00E875BA"/>
    <w:rsid w:val="00E87BAC"/>
    <w:rsid w:val="00E90660"/>
    <w:rsid w:val="00E90E7F"/>
    <w:rsid w:val="00E911DC"/>
    <w:rsid w:val="00E914B5"/>
    <w:rsid w:val="00E91C11"/>
    <w:rsid w:val="00E91EB3"/>
    <w:rsid w:val="00E92A00"/>
    <w:rsid w:val="00E92ABB"/>
    <w:rsid w:val="00E92EA0"/>
    <w:rsid w:val="00E93163"/>
    <w:rsid w:val="00E932A7"/>
    <w:rsid w:val="00E93C2C"/>
    <w:rsid w:val="00E94FB3"/>
    <w:rsid w:val="00E950B0"/>
    <w:rsid w:val="00E95197"/>
    <w:rsid w:val="00E959C7"/>
    <w:rsid w:val="00E959CC"/>
    <w:rsid w:val="00E95F4D"/>
    <w:rsid w:val="00E95FE7"/>
    <w:rsid w:val="00E96D02"/>
    <w:rsid w:val="00E976A0"/>
    <w:rsid w:val="00E97F6D"/>
    <w:rsid w:val="00EA0C41"/>
    <w:rsid w:val="00EA1637"/>
    <w:rsid w:val="00EA165C"/>
    <w:rsid w:val="00EA1CA5"/>
    <w:rsid w:val="00EA1D43"/>
    <w:rsid w:val="00EA23B0"/>
    <w:rsid w:val="00EA362B"/>
    <w:rsid w:val="00EA403B"/>
    <w:rsid w:val="00EA5256"/>
    <w:rsid w:val="00EA5277"/>
    <w:rsid w:val="00EA54A3"/>
    <w:rsid w:val="00EA5513"/>
    <w:rsid w:val="00EA5B72"/>
    <w:rsid w:val="00EA682A"/>
    <w:rsid w:val="00EA6A2B"/>
    <w:rsid w:val="00EA7449"/>
    <w:rsid w:val="00EA744A"/>
    <w:rsid w:val="00EB09AB"/>
    <w:rsid w:val="00EB0E99"/>
    <w:rsid w:val="00EB0F0E"/>
    <w:rsid w:val="00EB1A1F"/>
    <w:rsid w:val="00EB1AD6"/>
    <w:rsid w:val="00EB1DDD"/>
    <w:rsid w:val="00EB1E82"/>
    <w:rsid w:val="00EB236D"/>
    <w:rsid w:val="00EB3124"/>
    <w:rsid w:val="00EB3378"/>
    <w:rsid w:val="00EB369D"/>
    <w:rsid w:val="00EB3CF6"/>
    <w:rsid w:val="00EB4637"/>
    <w:rsid w:val="00EB533C"/>
    <w:rsid w:val="00EB55EF"/>
    <w:rsid w:val="00EB6328"/>
    <w:rsid w:val="00EB7489"/>
    <w:rsid w:val="00EB7906"/>
    <w:rsid w:val="00EB7EBF"/>
    <w:rsid w:val="00EB7FC2"/>
    <w:rsid w:val="00EC22FE"/>
    <w:rsid w:val="00EC2ADB"/>
    <w:rsid w:val="00EC2E24"/>
    <w:rsid w:val="00EC30D7"/>
    <w:rsid w:val="00EC38A6"/>
    <w:rsid w:val="00EC5467"/>
    <w:rsid w:val="00EC620E"/>
    <w:rsid w:val="00EC6310"/>
    <w:rsid w:val="00EC67D5"/>
    <w:rsid w:val="00EC6901"/>
    <w:rsid w:val="00EC6D98"/>
    <w:rsid w:val="00EC6E19"/>
    <w:rsid w:val="00EC7283"/>
    <w:rsid w:val="00EC798E"/>
    <w:rsid w:val="00EC7A1F"/>
    <w:rsid w:val="00EC7C00"/>
    <w:rsid w:val="00EC7D18"/>
    <w:rsid w:val="00EC7DBD"/>
    <w:rsid w:val="00ED002D"/>
    <w:rsid w:val="00ED02A6"/>
    <w:rsid w:val="00ED0352"/>
    <w:rsid w:val="00ED0B5E"/>
    <w:rsid w:val="00ED111E"/>
    <w:rsid w:val="00ED134F"/>
    <w:rsid w:val="00ED1760"/>
    <w:rsid w:val="00ED1DC0"/>
    <w:rsid w:val="00ED2BA8"/>
    <w:rsid w:val="00ED3FEF"/>
    <w:rsid w:val="00ED5123"/>
    <w:rsid w:val="00ED572D"/>
    <w:rsid w:val="00ED7658"/>
    <w:rsid w:val="00ED78E3"/>
    <w:rsid w:val="00ED7F82"/>
    <w:rsid w:val="00EE148A"/>
    <w:rsid w:val="00EE18D6"/>
    <w:rsid w:val="00EE2441"/>
    <w:rsid w:val="00EE2AA5"/>
    <w:rsid w:val="00EE316E"/>
    <w:rsid w:val="00EE49F3"/>
    <w:rsid w:val="00EE4A79"/>
    <w:rsid w:val="00EE4C6E"/>
    <w:rsid w:val="00EE5287"/>
    <w:rsid w:val="00EE53D7"/>
    <w:rsid w:val="00EE5462"/>
    <w:rsid w:val="00EE560C"/>
    <w:rsid w:val="00EE56B3"/>
    <w:rsid w:val="00EE571A"/>
    <w:rsid w:val="00EE5984"/>
    <w:rsid w:val="00EE6103"/>
    <w:rsid w:val="00EE66F7"/>
    <w:rsid w:val="00EE69BA"/>
    <w:rsid w:val="00EE7639"/>
    <w:rsid w:val="00EE78DB"/>
    <w:rsid w:val="00EE7E14"/>
    <w:rsid w:val="00EF0209"/>
    <w:rsid w:val="00EF035B"/>
    <w:rsid w:val="00EF1276"/>
    <w:rsid w:val="00EF1513"/>
    <w:rsid w:val="00EF25E6"/>
    <w:rsid w:val="00EF2804"/>
    <w:rsid w:val="00EF316E"/>
    <w:rsid w:val="00EF3B0D"/>
    <w:rsid w:val="00EF4263"/>
    <w:rsid w:val="00EF4293"/>
    <w:rsid w:val="00EF43E5"/>
    <w:rsid w:val="00EF47AF"/>
    <w:rsid w:val="00EF47E3"/>
    <w:rsid w:val="00EF496C"/>
    <w:rsid w:val="00EF5D13"/>
    <w:rsid w:val="00EF5D1D"/>
    <w:rsid w:val="00EF63AE"/>
    <w:rsid w:val="00EF670B"/>
    <w:rsid w:val="00EF6E67"/>
    <w:rsid w:val="00EF72C4"/>
    <w:rsid w:val="00F00E0B"/>
    <w:rsid w:val="00F013B0"/>
    <w:rsid w:val="00F0185F"/>
    <w:rsid w:val="00F01D1D"/>
    <w:rsid w:val="00F01DFE"/>
    <w:rsid w:val="00F01F4C"/>
    <w:rsid w:val="00F020F3"/>
    <w:rsid w:val="00F02F41"/>
    <w:rsid w:val="00F02F92"/>
    <w:rsid w:val="00F03F93"/>
    <w:rsid w:val="00F042CA"/>
    <w:rsid w:val="00F045FA"/>
    <w:rsid w:val="00F05462"/>
    <w:rsid w:val="00F058D0"/>
    <w:rsid w:val="00F058DA"/>
    <w:rsid w:val="00F05936"/>
    <w:rsid w:val="00F05A31"/>
    <w:rsid w:val="00F06BB8"/>
    <w:rsid w:val="00F06EFA"/>
    <w:rsid w:val="00F073BE"/>
    <w:rsid w:val="00F0786B"/>
    <w:rsid w:val="00F10649"/>
    <w:rsid w:val="00F1216C"/>
    <w:rsid w:val="00F122F4"/>
    <w:rsid w:val="00F12AE3"/>
    <w:rsid w:val="00F13AC1"/>
    <w:rsid w:val="00F13C24"/>
    <w:rsid w:val="00F13EA6"/>
    <w:rsid w:val="00F151E3"/>
    <w:rsid w:val="00F15291"/>
    <w:rsid w:val="00F1539E"/>
    <w:rsid w:val="00F15D23"/>
    <w:rsid w:val="00F16147"/>
    <w:rsid w:val="00F166C5"/>
    <w:rsid w:val="00F16834"/>
    <w:rsid w:val="00F16AA4"/>
    <w:rsid w:val="00F16B96"/>
    <w:rsid w:val="00F16D51"/>
    <w:rsid w:val="00F17580"/>
    <w:rsid w:val="00F17E02"/>
    <w:rsid w:val="00F2001D"/>
    <w:rsid w:val="00F20151"/>
    <w:rsid w:val="00F2147F"/>
    <w:rsid w:val="00F21CB6"/>
    <w:rsid w:val="00F221E1"/>
    <w:rsid w:val="00F223F0"/>
    <w:rsid w:val="00F22AAC"/>
    <w:rsid w:val="00F2386A"/>
    <w:rsid w:val="00F23982"/>
    <w:rsid w:val="00F23D29"/>
    <w:rsid w:val="00F2467E"/>
    <w:rsid w:val="00F250C3"/>
    <w:rsid w:val="00F255DA"/>
    <w:rsid w:val="00F261CB"/>
    <w:rsid w:val="00F266C1"/>
    <w:rsid w:val="00F26C25"/>
    <w:rsid w:val="00F30093"/>
    <w:rsid w:val="00F30325"/>
    <w:rsid w:val="00F30D0B"/>
    <w:rsid w:val="00F31584"/>
    <w:rsid w:val="00F32484"/>
    <w:rsid w:val="00F32FFB"/>
    <w:rsid w:val="00F33103"/>
    <w:rsid w:val="00F34645"/>
    <w:rsid w:val="00F349F5"/>
    <w:rsid w:val="00F34D60"/>
    <w:rsid w:val="00F35588"/>
    <w:rsid w:val="00F35F2C"/>
    <w:rsid w:val="00F35F45"/>
    <w:rsid w:val="00F365E3"/>
    <w:rsid w:val="00F36C40"/>
    <w:rsid w:val="00F37123"/>
    <w:rsid w:val="00F37424"/>
    <w:rsid w:val="00F376EE"/>
    <w:rsid w:val="00F40E91"/>
    <w:rsid w:val="00F40F13"/>
    <w:rsid w:val="00F414C4"/>
    <w:rsid w:val="00F415B0"/>
    <w:rsid w:val="00F41C5A"/>
    <w:rsid w:val="00F41E48"/>
    <w:rsid w:val="00F42042"/>
    <w:rsid w:val="00F422D2"/>
    <w:rsid w:val="00F423D7"/>
    <w:rsid w:val="00F42597"/>
    <w:rsid w:val="00F429F0"/>
    <w:rsid w:val="00F433B7"/>
    <w:rsid w:val="00F44230"/>
    <w:rsid w:val="00F442BC"/>
    <w:rsid w:val="00F448ED"/>
    <w:rsid w:val="00F455B8"/>
    <w:rsid w:val="00F4587C"/>
    <w:rsid w:val="00F463CC"/>
    <w:rsid w:val="00F465A3"/>
    <w:rsid w:val="00F46A28"/>
    <w:rsid w:val="00F47889"/>
    <w:rsid w:val="00F5023D"/>
    <w:rsid w:val="00F50259"/>
    <w:rsid w:val="00F52706"/>
    <w:rsid w:val="00F52F2B"/>
    <w:rsid w:val="00F531BE"/>
    <w:rsid w:val="00F535DB"/>
    <w:rsid w:val="00F53667"/>
    <w:rsid w:val="00F53CFF"/>
    <w:rsid w:val="00F541A8"/>
    <w:rsid w:val="00F54497"/>
    <w:rsid w:val="00F54F24"/>
    <w:rsid w:val="00F558C8"/>
    <w:rsid w:val="00F55F52"/>
    <w:rsid w:val="00F56D17"/>
    <w:rsid w:val="00F57519"/>
    <w:rsid w:val="00F578BB"/>
    <w:rsid w:val="00F6049B"/>
    <w:rsid w:val="00F62BAF"/>
    <w:rsid w:val="00F630A4"/>
    <w:rsid w:val="00F6327F"/>
    <w:rsid w:val="00F63727"/>
    <w:rsid w:val="00F6441A"/>
    <w:rsid w:val="00F64DCC"/>
    <w:rsid w:val="00F64F3E"/>
    <w:rsid w:val="00F65C22"/>
    <w:rsid w:val="00F65E70"/>
    <w:rsid w:val="00F675BA"/>
    <w:rsid w:val="00F677F5"/>
    <w:rsid w:val="00F67AD1"/>
    <w:rsid w:val="00F67F29"/>
    <w:rsid w:val="00F707D8"/>
    <w:rsid w:val="00F70FDB"/>
    <w:rsid w:val="00F713F7"/>
    <w:rsid w:val="00F7309D"/>
    <w:rsid w:val="00F743BC"/>
    <w:rsid w:val="00F7468D"/>
    <w:rsid w:val="00F746C9"/>
    <w:rsid w:val="00F74840"/>
    <w:rsid w:val="00F7547A"/>
    <w:rsid w:val="00F75646"/>
    <w:rsid w:val="00F75BFC"/>
    <w:rsid w:val="00F7639E"/>
    <w:rsid w:val="00F770A2"/>
    <w:rsid w:val="00F77252"/>
    <w:rsid w:val="00F7778C"/>
    <w:rsid w:val="00F77CC6"/>
    <w:rsid w:val="00F80516"/>
    <w:rsid w:val="00F80F50"/>
    <w:rsid w:val="00F81082"/>
    <w:rsid w:val="00F811DB"/>
    <w:rsid w:val="00F824CA"/>
    <w:rsid w:val="00F82B23"/>
    <w:rsid w:val="00F8492E"/>
    <w:rsid w:val="00F84947"/>
    <w:rsid w:val="00F84CC2"/>
    <w:rsid w:val="00F84DF4"/>
    <w:rsid w:val="00F84E3F"/>
    <w:rsid w:val="00F84F8A"/>
    <w:rsid w:val="00F8558D"/>
    <w:rsid w:val="00F85BBD"/>
    <w:rsid w:val="00F86C4B"/>
    <w:rsid w:val="00F874FA"/>
    <w:rsid w:val="00F91024"/>
    <w:rsid w:val="00F91191"/>
    <w:rsid w:val="00F913FD"/>
    <w:rsid w:val="00F92411"/>
    <w:rsid w:val="00F928A9"/>
    <w:rsid w:val="00F92E52"/>
    <w:rsid w:val="00F93027"/>
    <w:rsid w:val="00F93646"/>
    <w:rsid w:val="00F939DE"/>
    <w:rsid w:val="00F94EBC"/>
    <w:rsid w:val="00F952F3"/>
    <w:rsid w:val="00F9615B"/>
    <w:rsid w:val="00F962F6"/>
    <w:rsid w:val="00F968F1"/>
    <w:rsid w:val="00F96978"/>
    <w:rsid w:val="00F97777"/>
    <w:rsid w:val="00FA0649"/>
    <w:rsid w:val="00FA0800"/>
    <w:rsid w:val="00FA0996"/>
    <w:rsid w:val="00FA10A3"/>
    <w:rsid w:val="00FA1C62"/>
    <w:rsid w:val="00FA1E38"/>
    <w:rsid w:val="00FA269D"/>
    <w:rsid w:val="00FA282F"/>
    <w:rsid w:val="00FA29EF"/>
    <w:rsid w:val="00FA2CB9"/>
    <w:rsid w:val="00FA3309"/>
    <w:rsid w:val="00FA3792"/>
    <w:rsid w:val="00FA4DBC"/>
    <w:rsid w:val="00FA4F26"/>
    <w:rsid w:val="00FA4F90"/>
    <w:rsid w:val="00FA53C2"/>
    <w:rsid w:val="00FA600F"/>
    <w:rsid w:val="00FA6351"/>
    <w:rsid w:val="00FA7541"/>
    <w:rsid w:val="00FA797D"/>
    <w:rsid w:val="00FA7C80"/>
    <w:rsid w:val="00FA7DF2"/>
    <w:rsid w:val="00FB0C7F"/>
    <w:rsid w:val="00FB0EAC"/>
    <w:rsid w:val="00FB0FD5"/>
    <w:rsid w:val="00FB14A2"/>
    <w:rsid w:val="00FB1754"/>
    <w:rsid w:val="00FB21B4"/>
    <w:rsid w:val="00FB25DE"/>
    <w:rsid w:val="00FB3277"/>
    <w:rsid w:val="00FB33A9"/>
    <w:rsid w:val="00FB3510"/>
    <w:rsid w:val="00FB35E5"/>
    <w:rsid w:val="00FB3895"/>
    <w:rsid w:val="00FB53FA"/>
    <w:rsid w:val="00FB5A8D"/>
    <w:rsid w:val="00FB758A"/>
    <w:rsid w:val="00FB760E"/>
    <w:rsid w:val="00FC045B"/>
    <w:rsid w:val="00FC0733"/>
    <w:rsid w:val="00FC11BA"/>
    <w:rsid w:val="00FC11FC"/>
    <w:rsid w:val="00FC1911"/>
    <w:rsid w:val="00FC1921"/>
    <w:rsid w:val="00FC3017"/>
    <w:rsid w:val="00FC3F92"/>
    <w:rsid w:val="00FC4455"/>
    <w:rsid w:val="00FC4ADF"/>
    <w:rsid w:val="00FC4CC0"/>
    <w:rsid w:val="00FC507C"/>
    <w:rsid w:val="00FC537B"/>
    <w:rsid w:val="00FC669E"/>
    <w:rsid w:val="00FC6723"/>
    <w:rsid w:val="00FC6C25"/>
    <w:rsid w:val="00FC7201"/>
    <w:rsid w:val="00FC7833"/>
    <w:rsid w:val="00FC7D5C"/>
    <w:rsid w:val="00FD096B"/>
    <w:rsid w:val="00FD0AFF"/>
    <w:rsid w:val="00FD12F8"/>
    <w:rsid w:val="00FD157C"/>
    <w:rsid w:val="00FD26B6"/>
    <w:rsid w:val="00FD26EF"/>
    <w:rsid w:val="00FD27A3"/>
    <w:rsid w:val="00FD2B71"/>
    <w:rsid w:val="00FD3D83"/>
    <w:rsid w:val="00FD42DD"/>
    <w:rsid w:val="00FD4FD6"/>
    <w:rsid w:val="00FD5036"/>
    <w:rsid w:val="00FD5A7B"/>
    <w:rsid w:val="00FD6CDB"/>
    <w:rsid w:val="00FD6EFC"/>
    <w:rsid w:val="00FD71E2"/>
    <w:rsid w:val="00FD72FA"/>
    <w:rsid w:val="00FD7EB9"/>
    <w:rsid w:val="00FE0350"/>
    <w:rsid w:val="00FE1433"/>
    <w:rsid w:val="00FE25F2"/>
    <w:rsid w:val="00FE2996"/>
    <w:rsid w:val="00FE2B6E"/>
    <w:rsid w:val="00FE3182"/>
    <w:rsid w:val="00FE31BE"/>
    <w:rsid w:val="00FE31C0"/>
    <w:rsid w:val="00FE364A"/>
    <w:rsid w:val="00FE3B0C"/>
    <w:rsid w:val="00FE3FD4"/>
    <w:rsid w:val="00FE544B"/>
    <w:rsid w:val="00FE5C82"/>
    <w:rsid w:val="00FE788A"/>
    <w:rsid w:val="00FE78F7"/>
    <w:rsid w:val="00FF00A2"/>
    <w:rsid w:val="00FF06CD"/>
    <w:rsid w:val="00FF06D2"/>
    <w:rsid w:val="00FF06E9"/>
    <w:rsid w:val="00FF0BDB"/>
    <w:rsid w:val="00FF14E9"/>
    <w:rsid w:val="00FF2616"/>
    <w:rsid w:val="00FF2944"/>
    <w:rsid w:val="00FF2BBA"/>
    <w:rsid w:val="00FF3580"/>
    <w:rsid w:val="00FF399E"/>
    <w:rsid w:val="00FF3CAF"/>
    <w:rsid w:val="00FF4CE1"/>
    <w:rsid w:val="00FF5554"/>
    <w:rsid w:val="00FF5A7E"/>
    <w:rsid w:val="00FF6242"/>
    <w:rsid w:val="00FF63A8"/>
    <w:rsid w:val="00FF6EFD"/>
    <w:rsid w:val="00FF7A13"/>
    <w:rsid w:val="00FF7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EE53A2"/>
  <w15:docId w15:val="{C72DE6C1-997C-4070-837D-ADC31E4CF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89"/>
    <w:pPr>
      <w:spacing w:line="480" w:lineRule="auto"/>
      <w:ind w:firstLine="720"/>
    </w:pPr>
    <w:rPr>
      <w:sz w:val="24"/>
      <w:szCs w:val="24"/>
    </w:rPr>
  </w:style>
  <w:style w:type="paragraph" w:styleId="Heading1">
    <w:name w:val="heading 1"/>
    <w:basedOn w:val="Normal"/>
    <w:next w:val="Normal"/>
    <w:qFormat/>
    <w:rsid w:val="007F3908"/>
    <w:pPr>
      <w:keepNext/>
      <w:ind w:firstLine="0"/>
      <w:jc w:val="center"/>
      <w:outlineLvl w:val="0"/>
    </w:pPr>
    <w:rPr>
      <w:rFonts w:cs="Arial"/>
      <w:b/>
      <w:bCs/>
      <w:caps/>
      <w:kern w:val="32"/>
      <w:szCs w:val="32"/>
    </w:rPr>
  </w:style>
  <w:style w:type="paragraph" w:styleId="Heading2">
    <w:name w:val="heading 2"/>
    <w:basedOn w:val="Normal"/>
    <w:next w:val="Normal"/>
    <w:qFormat/>
    <w:rsid w:val="006E6F89"/>
    <w:pPr>
      <w:keepNext/>
      <w:ind w:firstLine="0"/>
      <w:outlineLvl w:val="1"/>
    </w:pPr>
    <w:rPr>
      <w:rFonts w:cs="Arial"/>
      <w:b/>
      <w:bCs/>
      <w:iCs/>
      <w:szCs w:val="28"/>
    </w:rPr>
  </w:style>
  <w:style w:type="paragraph" w:styleId="Heading3">
    <w:name w:val="heading 3"/>
    <w:basedOn w:val="Normal"/>
    <w:next w:val="Normal"/>
    <w:qFormat/>
    <w:rsid w:val="006E6F89"/>
    <w:pPr>
      <w:keepNext/>
      <w:ind w:firstLine="0"/>
      <w:outlineLvl w:val="2"/>
    </w:pPr>
    <w:rPr>
      <w:rFonts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ntered">
    <w:name w:val="Centered"/>
    <w:basedOn w:val="Normal"/>
    <w:rsid w:val="006E6F89"/>
    <w:pPr>
      <w:ind w:firstLine="0"/>
      <w:jc w:val="center"/>
    </w:pPr>
    <w:rPr>
      <w:caps/>
    </w:rPr>
  </w:style>
  <w:style w:type="paragraph" w:customStyle="1" w:styleId="Reference">
    <w:name w:val="Reference"/>
    <w:basedOn w:val="Normal"/>
    <w:uiPriority w:val="99"/>
    <w:rsid w:val="00CD1D78"/>
    <w:pPr>
      <w:spacing w:line="240" w:lineRule="auto"/>
      <w:ind w:left="720" w:hanging="720"/>
    </w:pPr>
  </w:style>
  <w:style w:type="paragraph" w:styleId="Footer">
    <w:name w:val="footer"/>
    <w:basedOn w:val="Normal"/>
    <w:link w:val="FooterChar"/>
    <w:uiPriority w:val="99"/>
    <w:rsid w:val="006E6F89"/>
    <w:pPr>
      <w:tabs>
        <w:tab w:val="center" w:pos="4320"/>
        <w:tab w:val="right" w:pos="8640"/>
      </w:tabs>
    </w:pPr>
  </w:style>
  <w:style w:type="character" w:styleId="PageNumber">
    <w:name w:val="page number"/>
    <w:basedOn w:val="DefaultParagraphFont"/>
    <w:rsid w:val="006E6F89"/>
  </w:style>
  <w:style w:type="paragraph" w:customStyle="1" w:styleId="StyleCentered">
    <w:name w:val="Style Centered"/>
    <w:basedOn w:val="Normal"/>
    <w:rsid w:val="00312AE8"/>
    <w:pPr>
      <w:ind w:firstLine="0"/>
      <w:jc w:val="center"/>
    </w:pPr>
    <w:rPr>
      <w:szCs w:val="20"/>
    </w:rPr>
  </w:style>
  <w:style w:type="character" w:styleId="Hyperlink">
    <w:name w:val="Hyperlink"/>
    <w:rsid w:val="00312AE8"/>
    <w:rPr>
      <w:color w:val="0000FF"/>
      <w:u w:val="single"/>
    </w:rPr>
  </w:style>
  <w:style w:type="character" w:styleId="FollowedHyperlink">
    <w:name w:val="FollowedHyperlink"/>
    <w:uiPriority w:val="99"/>
    <w:semiHidden/>
    <w:unhideWhenUsed/>
    <w:rsid w:val="0028542D"/>
    <w:rPr>
      <w:color w:val="800080"/>
      <w:u w:val="single"/>
    </w:rPr>
  </w:style>
  <w:style w:type="paragraph" w:customStyle="1" w:styleId="Table">
    <w:name w:val="Table"/>
    <w:basedOn w:val="Normal"/>
    <w:rsid w:val="00397D6D"/>
    <w:pPr>
      <w:spacing w:line="240" w:lineRule="auto"/>
      <w:ind w:firstLine="0"/>
    </w:pPr>
    <w:rPr>
      <w:sz w:val="22"/>
    </w:rPr>
  </w:style>
  <w:style w:type="paragraph" w:styleId="BalloonText">
    <w:name w:val="Balloon Text"/>
    <w:basedOn w:val="Normal"/>
    <w:link w:val="BalloonTextChar"/>
    <w:uiPriority w:val="99"/>
    <w:semiHidden/>
    <w:unhideWhenUsed/>
    <w:rsid w:val="0020311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03112"/>
    <w:rPr>
      <w:rFonts w:ascii="Tahoma" w:hAnsi="Tahoma" w:cs="Tahoma"/>
      <w:sz w:val="16"/>
      <w:szCs w:val="16"/>
    </w:rPr>
  </w:style>
  <w:style w:type="paragraph" w:styleId="NoSpacing">
    <w:name w:val="No Spacing"/>
    <w:aliases w:val="References"/>
    <w:basedOn w:val="Normal"/>
    <w:autoRedefine/>
    <w:uiPriority w:val="1"/>
    <w:qFormat/>
    <w:rsid w:val="00D043DA"/>
    <w:pPr>
      <w:spacing w:line="240" w:lineRule="auto"/>
      <w:ind w:firstLine="0"/>
      <w:jc w:val="center"/>
    </w:pPr>
    <w:rPr>
      <w:szCs w:val="22"/>
    </w:rPr>
  </w:style>
  <w:style w:type="character" w:styleId="CommentReference">
    <w:name w:val="annotation reference"/>
    <w:uiPriority w:val="99"/>
    <w:semiHidden/>
    <w:unhideWhenUsed/>
    <w:rsid w:val="00E959CC"/>
    <w:rPr>
      <w:sz w:val="16"/>
      <w:szCs w:val="16"/>
    </w:rPr>
  </w:style>
  <w:style w:type="paragraph" w:styleId="CommentText">
    <w:name w:val="annotation text"/>
    <w:basedOn w:val="Normal"/>
    <w:link w:val="CommentTextChar"/>
    <w:uiPriority w:val="99"/>
    <w:unhideWhenUsed/>
    <w:rsid w:val="00E959CC"/>
    <w:rPr>
      <w:sz w:val="20"/>
      <w:szCs w:val="20"/>
    </w:rPr>
  </w:style>
  <w:style w:type="character" w:customStyle="1" w:styleId="CommentTextChar">
    <w:name w:val="Comment Text Char"/>
    <w:basedOn w:val="DefaultParagraphFont"/>
    <w:link w:val="CommentText"/>
    <w:uiPriority w:val="99"/>
    <w:rsid w:val="00E959CC"/>
  </w:style>
  <w:style w:type="paragraph" w:styleId="CommentSubject">
    <w:name w:val="annotation subject"/>
    <w:basedOn w:val="CommentText"/>
    <w:next w:val="CommentText"/>
    <w:link w:val="CommentSubjectChar"/>
    <w:uiPriority w:val="99"/>
    <w:semiHidden/>
    <w:unhideWhenUsed/>
    <w:rsid w:val="00E959CC"/>
    <w:rPr>
      <w:b/>
      <w:bCs/>
    </w:rPr>
  </w:style>
  <w:style w:type="character" w:customStyle="1" w:styleId="CommentSubjectChar">
    <w:name w:val="Comment Subject Char"/>
    <w:link w:val="CommentSubject"/>
    <w:uiPriority w:val="99"/>
    <w:semiHidden/>
    <w:rsid w:val="00E959CC"/>
    <w:rPr>
      <w:b/>
      <w:bCs/>
    </w:rPr>
  </w:style>
  <w:style w:type="table" w:styleId="TableGrid">
    <w:name w:val="Table Grid"/>
    <w:basedOn w:val="TableNormal"/>
    <w:uiPriority w:val="59"/>
    <w:rsid w:val="00914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15933"/>
  </w:style>
  <w:style w:type="paragraph" w:customStyle="1" w:styleId="numbertable">
    <w:name w:val="number table"/>
    <w:basedOn w:val="Normal"/>
    <w:qFormat/>
    <w:rsid w:val="00C35375"/>
    <w:pPr>
      <w:spacing w:line="240" w:lineRule="auto"/>
      <w:ind w:firstLine="0"/>
    </w:pPr>
    <w:rPr>
      <w:color w:val="000000"/>
      <w:sz w:val="20"/>
      <w:szCs w:val="20"/>
    </w:rPr>
  </w:style>
  <w:style w:type="paragraph" w:styleId="Header">
    <w:name w:val="header"/>
    <w:basedOn w:val="Normal"/>
    <w:link w:val="HeaderChar"/>
    <w:uiPriority w:val="99"/>
    <w:unhideWhenUsed/>
    <w:rsid w:val="003E572D"/>
    <w:pPr>
      <w:tabs>
        <w:tab w:val="center" w:pos="4680"/>
        <w:tab w:val="right" w:pos="9360"/>
      </w:tabs>
      <w:spacing w:line="240" w:lineRule="auto"/>
    </w:pPr>
  </w:style>
  <w:style w:type="character" w:customStyle="1" w:styleId="HeaderChar">
    <w:name w:val="Header Char"/>
    <w:basedOn w:val="DefaultParagraphFont"/>
    <w:link w:val="Header"/>
    <w:uiPriority w:val="99"/>
    <w:rsid w:val="003E572D"/>
    <w:rPr>
      <w:sz w:val="24"/>
      <w:szCs w:val="24"/>
    </w:rPr>
  </w:style>
  <w:style w:type="paragraph" w:styleId="Revision">
    <w:name w:val="Revision"/>
    <w:hidden/>
    <w:uiPriority w:val="99"/>
    <w:semiHidden/>
    <w:rsid w:val="00704656"/>
    <w:rPr>
      <w:sz w:val="24"/>
      <w:szCs w:val="24"/>
    </w:rPr>
  </w:style>
  <w:style w:type="character" w:customStyle="1" w:styleId="UnresolvedMention1">
    <w:name w:val="Unresolved Mention1"/>
    <w:basedOn w:val="DefaultParagraphFont"/>
    <w:uiPriority w:val="99"/>
    <w:semiHidden/>
    <w:unhideWhenUsed/>
    <w:rsid w:val="00AA575B"/>
    <w:rPr>
      <w:color w:val="808080"/>
      <w:shd w:val="clear" w:color="auto" w:fill="E6E6E6"/>
    </w:rPr>
  </w:style>
  <w:style w:type="table" w:styleId="GridTable3">
    <w:name w:val="Grid Table 3"/>
    <w:basedOn w:val="TableNormal"/>
    <w:uiPriority w:val="48"/>
    <w:rsid w:val="004775D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
    <w:name w:val="Grid Table 2"/>
    <w:basedOn w:val="TableNormal"/>
    <w:uiPriority w:val="47"/>
    <w:rsid w:val="004775D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2">
    <w:name w:val="Unresolved Mention2"/>
    <w:basedOn w:val="DefaultParagraphFont"/>
    <w:uiPriority w:val="99"/>
    <w:semiHidden/>
    <w:unhideWhenUsed/>
    <w:rsid w:val="00821E41"/>
    <w:rPr>
      <w:color w:val="605E5C"/>
      <w:shd w:val="clear" w:color="auto" w:fill="E1DFDD"/>
    </w:rPr>
  </w:style>
  <w:style w:type="paragraph" w:customStyle="1" w:styleId="Hypothesis">
    <w:name w:val="Hypothesis"/>
    <w:basedOn w:val="Normal"/>
    <w:qFormat/>
    <w:rsid w:val="00B6107F"/>
    <w:pPr>
      <w:ind w:left="720" w:firstLine="0"/>
    </w:pPr>
    <w:rPr>
      <w:i/>
    </w:rPr>
  </w:style>
  <w:style w:type="character" w:customStyle="1" w:styleId="UnresolvedMention3">
    <w:name w:val="Unresolved Mention3"/>
    <w:basedOn w:val="DefaultParagraphFont"/>
    <w:uiPriority w:val="99"/>
    <w:semiHidden/>
    <w:unhideWhenUsed/>
    <w:rsid w:val="00C20DD4"/>
    <w:rPr>
      <w:color w:val="605E5C"/>
      <w:shd w:val="clear" w:color="auto" w:fill="E1DFDD"/>
    </w:rPr>
  </w:style>
  <w:style w:type="character" w:customStyle="1" w:styleId="UnresolvedMention4">
    <w:name w:val="Unresolved Mention4"/>
    <w:basedOn w:val="DefaultParagraphFont"/>
    <w:uiPriority w:val="99"/>
    <w:semiHidden/>
    <w:unhideWhenUsed/>
    <w:rsid w:val="00D043DA"/>
    <w:rPr>
      <w:color w:val="605E5C"/>
      <w:shd w:val="clear" w:color="auto" w:fill="E1DFDD"/>
    </w:rPr>
  </w:style>
  <w:style w:type="character" w:customStyle="1" w:styleId="UnresolvedMention5">
    <w:name w:val="Unresolved Mention5"/>
    <w:basedOn w:val="DefaultParagraphFont"/>
    <w:uiPriority w:val="99"/>
    <w:semiHidden/>
    <w:unhideWhenUsed/>
    <w:rsid w:val="00FD27A3"/>
    <w:rPr>
      <w:color w:val="605E5C"/>
      <w:shd w:val="clear" w:color="auto" w:fill="E1DFDD"/>
    </w:rPr>
  </w:style>
  <w:style w:type="paragraph" w:styleId="FootnoteText">
    <w:name w:val="footnote text"/>
    <w:basedOn w:val="Normal"/>
    <w:link w:val="FootnoteTextChar"/>
    <w:uiPriority w:val="99"/>
    <w:semiHidden/>
    <w:unhideWhenUsed/>
    <w:rsid w:val="00A02D4C"/>
    <w:pPr>
      <w:spacing w:line="240" w:lineRule="auto"/>
    </w:pPr>
    <w:rPr>
      <w:sz w:val="20"/>
      <w:szCs w:val="20"/>
    </w:rPr>
  </w:style>
  <w:style w:type="character" w:customStyle="1" w:styleId="FootnoteTextChar">
    <w:name w:val="Footnote Text Char"/>
    <w:basedOn w:val="DefaultParagraphFont"/>
    <w:link w:val="FootnoteText"/>
    <w:uiPriority w:val="99"/>
    <w:semiHidden/>
    <w:rsid w:val="00A02D4C"/>
  </w:style>
  <w:style w:type="character" w:styleId="FootnoteReference">
    <w:name w:val="footnote reference"/>
    <w:basedOn w:val="DefaultParagraphFont"/>
    <w:uiPriority w:val="99"/>
    <w:semiHidden/>
    <w:unhideWhenUsed/>
    <w:rsid w:val="00A02D4C"/>
    <w:rPr>
      <w:vertAlign w:val="superscript"/>
    </w:rPr>
  </w:style>
  <w:style w:type="character" w:customStyle="1" w:styleId="UnresolvedMention6">
    <w:name w:val="Unresolved Mention6"/>
    <w:basedOn w:val="DefaultParagraphFont"/>
    <w:uiPriority w:val="99"/>
    <w:semiHidden/>
    <w:unhideWhenUsed/>
    <w:rsid w:val="0041576E"/>
    <w:rPr>
      <w:color w:val="605E5C"/>
      <w:shd w:val="clear" w:color="auto" w:fill="E1DFDD"/>
    </w:rPr>
  </w:style>
  <w:style w:type="character" w:customStyle="1" w:styleId="FooterChar">
    <w:name w:val="Footer Char"/>
    <w:basedOn w:val="DefaultParagraphFont"/>
    <w:link w:val="Footer"/>
    <w:uiPriority w:val="99"/>
    <w:rsid w:val="00C83C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003">
      <w:bodyDiv w:val="1"/>
      <w:marLeft w:val="0"/>
      <w:marRight w:val="0"/>
      <w:marTop w:val="0"/>
      <w:marBottom w:val="0"/>
      <w:divBdr>
        <w:top w:val="none" w:sz="0" w:space="0" w:color="auto"/>
        <w:left w:val="none" w:sz="0" w:space="0" w:color="auto"/>
        <w:bottom w:val="none" w:sz="0" w:space="0" w:color="auto"/>
        <w:right w:val="none" w:sz="0" w:space="0" w:color="auto"/>
      </w:divBdr>
    </w:div>
    <w:div w:id="7489559">
      <w:bodyDiv w:val="1"/>
      <w:marLeft w:val="0"/>
      <w:marRight w:val="0"/>
      <w:marTop w:val="0"/>
      <w:marBottom w:val="0"/>
      <w:divBdr>
        <w:top w:val="none" w:sz="0" w:space="0" w:color="auto"/>
        <w:left w:val="none" w:sz="0" w:space="0" w:color="auto"/>
        <w:bottom w:val="none" w:sz="0" w:space="0" w:color="auto"/>
        <w:right w:val="none" w:sz="0" w:space="0" w:color="auto"/>
      </w:divBdr>
    </w:div>
    <w:div w:id="15352506">
      <w:bodyDiv w:val="1"/>
      <w:marLeft w:val="0"/>
      <w:marRight w:val="0"/>
      <w:marTop w:val="0"/>
      <w:marBottom w:val="0"/>
      <w:divBdr>
        <w:top w:val="none" w:sz="0" w:space="0" w:color="auto"/>
        <w:left w:val="none" w:sz="0" w:space="0" w:color="auto"/>
        <w:bottom w:val="none" w:sz="0" w:space="0" w:color="auto"/>
        <w:right w:val="none" w:sz="0" w:space="0" w:color="auto"/>
      </w:divBdr>
    </w:div>
    <w:div w:id="69235365">
      <w:bodyDiv w:val="1"/>
      <w:marLeft w:val="0"/>
      <w:marRight w:val="0"/>
      <w:marTop w:val="0"/>
      <w:marBottom w:val="0"/>
      <w:divBdr>
        <w:top w:val="none" w:sz="0" w:space="0" w:color="auto"/>
        <w:left w:val="none" w:sz="0" w:space="0" w:color="auto"/>
        <w:bottom w:val="none" w:sz="0" w:space="0" w:color="auto"/>
        <w:right w:val="none" w:sz="0" w:space="0" w:color="auto"/>
      </w:divBdr>
    </w:div>
    <w:div w:id="96567213">
      <w:bodyDiv w:val="1"/>
      <w:marLeft w:val="0"/>
      <w:marRight w:val="0"/>
      <w:marTop w:val="0"/>
      <w:marBottom w:val="0"/>
      <w:divBdr>
        <w:top w:val="none" w:sz="0" w:space="0" w:color="auto"/>
        <w:left w:val="none" w:sz="0" w:space="0" w:color="auto"/>
        <w:bottom w:val="none" w:sz="0" w:space="0" w:color="auto"/>
        <w:right w:val="none" w:sz="0" w:space="0" w:color="auto"/>
      </w:divBdr>
    </w:div>
    <w:div w:id="253711490">
      <w:bodyDiv w:val="1"/>
      <w:marLeft w:val="0"/>
      <w:marRight w:val="0"/>
      <w:marTop w:val="0"/>
      <w:marBottom w:val="0"/>
      <w:divBdr>
        <w:top w:val="none" w:sz="0" w:space="0" w:color="auto"/>
        <w:left w:val="none" w:sz="0" w:space="0" w:color="auto"/>
        <w:bottom w:val="none" w:sz="0" w:space="0" w:color="auto"/>
        <w:right w:val="none" w:sz="0" w:space="0" w:color="auto"/>
      </w:divBdr>
    </w:div>
    <w:div w:id="280452266">
      <w:bodyDiv w:val="1"/>
      <w:marLeft w:val="0"/>
      <w:marRight w:val="0"/>
      <w:marTop w:val="0"/>
      <w:marBottom w:val="0"/>
      <w:divBdr>
        <w:top w:val="none" w:sz="0" w:space="0" w:color="auto"/>
        <w:left w:val="none" w:sz="0" w:space="0" w:color="auto"/>
        <w:bottom w:val="none" w:sz="0" w:space="0" w:color="auto"/>
        <w:right w:val="none" w:sz="0" w:space="0" w:color="auto"/>
      </w:divBdr>
    </w:div>
    <w:div w:id="287126467">
      <w:bodyDiv w:val="1"/>
      <w:marLeft w:val="0"/>
      <w:marRight w:val="0"/>
      <w:marTop w:val="0"/>
      <w:marBottom w:val="0"/>
      <w:divBdr>
        <w:top w:val="none" w:sz="0" w:space="0" w:color="auto"/>
        <w:left w:val="none" w:sz="0" w:space="0" w:color="auto"/>
        <w:bottom w:val="none" w:sz="0" w:space="0" w:color="auto"/>
        <w:right w:val="none" w:sz="0" w:space="0" w:color="auto"/>
      </w:divBdr>
    </w:div>
    <w:div w:id="338315032">
      <w:bodyDiv w:val="1"/>
      <w:marLeft w:val="0"/>
      <w:marRight w:val="0"/>
      <w:marTop w:val="0"/>
      <w:marBottom w:val="0"/>
      <w:divBdr>
        <w:top w:val="none" w:sz="0" w:space="0" w:color="auto"/>
        <w:left w:val="none" w:sz="0" w:space="0" w:color="auto"/>
        <w:bottom w:val="none" w:sz="0" w:space="0" w:color="auto"/>
        <w:right w:val="none" w:sz="0" w:space="0" w:color="auto"/>
      </w:divBdr>
    </w:div>
    <w:div w:id="450829694">
      <w:bodyDiv w:val="1"/>
      <w:marLeft w:val="0"/>
      <w:marRight w:val="0"/>
      <w:marTop w:val="0"/>
      <w:marBottom w:val="0"/>
      <w:divBdr>
        <w:top w:val="none" w:sz="0" w:space="0" w:color="auto"/>
        <w:left w:val="none" w:sz="0" w:space="0" w:color="auto"/>
        <w:bottom w:val="none" w:sz="0" w:space="0" w:color="auto"/>
        <w:right w:val="none" w:sz="0" w:space="0" w:color="auto"/>
      </w:divBdr>
    </w:div>
    <w:div w:id="451482781">
      <w:bodyDiv w:val="1"/>
      <w:marLeft w:val="0"/>
      <w:marRight w:val="0"/>
      <w:marTop w:val="0"/>
      <w:marBottom w:val="0"/>
      <w:divBdr>
        <w:top w:val="none" w:sz="0" w:space="0" w:color="auto"/>
        <w:left w:val="none" w:sz="0" w:space="0" w:color="auto"/>
        <w:bottom w:val="none" w:sz="0" w:space="0" w:color="auto"/>
        <w:right w:val="none" w:sz="0" w:space="0" w:color="auto"/>
      </w:divBdr>
    </w:div>
    <w:div w:id="470756338">
      <w:bodyDiv w:val="1"/>
      <w:marLeft w:val="0"/>
      <w:marRight w:val="0"/>
      <w:marTop w:val="0"/>
      <w:marBottom w:val="0"/>
      <w:divBdr>
        <w:top w:val="none" w:sz="0" w:space="0" w:color="auto"/>
        <w:left w:val="none" w:sz="0" w:space="0" w:color="auto"/>
        <w:bottom w:val="none" w:sz="0" w:space="0" w:color="auto"/>
        <w:right w:val="none" w:sz="0" w:space="0" w:color="auto"/>
      </w:divBdr>
    </w:div>
    <w:div w:id="517895291">
      <w:bodyDiv w:val="1"/>
      <w:marLeft w:val="0"/>
      <w:marRight w:val="0"/>
      <w:marTop w:val="0"/>
      <w:marBottom w:val="0"/>
      <w:divBdr>
        <w:top w:val="none" w:sz="0" w:space="0" w:color="auto"/>
        <w:left w:val="none" w:sz="0" w:space="0" w:color="auto"/>
        <w:bottom w:val="none" w:sz="0" w:space="0" w:color="auto"/>
        <w:right w:val="none" w:sz="0" w:space="0" w:color="auto"/>
      </w:divBdr>
    </w:div>
    <w:div w:id="621768744">
      <w:bodyDiv w:val="1"/>
      <w:marLeft w:val="0"/>
      <w:marRight w:val="0"/>
      <w:marTop w:val="0"/>
      <w:marBottom w:val="0"/>
      <w:divBdr>
        <w:top w:val="none" w:sz="0" w:space="0" w:color="auto"/>
        <w:left w:val="none" w:sz="0" w:space="0" w:color="auto"/>
        <w:bottom w:val="none" w:sz="0" w:space="0" w:color="auto"/>
        <w:right w:val="none" w:sz="0" w:space="0" w:color="auto"/>
      </w:divBdr>
    </w:div>
    <w:div w:id="739136243">
      <w:bodyDiv w:val="1"/>
      <w:marLeft w:val="0"/>
      <w:marRight w:val="0"/>
      <w:marTop w:val="0"/>
      <w:marBottom w:val="0"/>
      <w:divBdr>
        <w:top w:val="none" w:sz="0" w:space="0" w:color="auto"/>
        <w:left w:val="none" w:sz="0" w:space="0" w:color="auto"/>
        <w:bottom w:val="none" w:sz="0" w:space="0" w:color="auto"/>
        <w:right w:val="none" w:sz="0" w:space="0" w:color="auto"/>
      </w:divBdr>
    </w:div>
    <w:div w:id="781607028">
      <w:bodyDiv w:val="1"/>
      <w:marLeft w:val="0"/>
      <w:marRight w:val="0"/>
      <w:marTop w:val="0"/>
      <w:marBottom w:val="0"/>
      <w:divBdr>
        <w:top w:val="none" w:sz="0" w:space="0" w:color="auto"/>
        <w:left w:val="none" w:sz="0" w:space="0" w:color="auto"/>
        <w:bottom w:val="none" w:sz="0" w:space="0" w:color="auto"/>
        <w:right w:val="none" w:sz="0" w:space="0" w:color="auto"/>
      </w:divBdr>
    </w:div>
    <w:div w:id="785125147">
      <w:bodyDiv w:val="1"/>
      <w:marLeft w:val="0"/>
      <w:marRight w:val="0"/>
      <w:marTop w:val="0"/>
      <w:marBottom w:val="0"/>
      <w:divBdr>
        <w:top w:val="none" w:sz="0" w:space="0" w:color="auto"/>
        <w:left w:val="none" w:sz="0" w:space="0" w:color="auto"/>
        <w:bottom w:val="none" w:sz="0" w:space="0" w:color="auto"/>
        <w:right w:val="none" w:sz="0" w:space="0" w:color="auto"/>
      </w:divBdr>
    </w:div>
    <w:div w:id="801003582">
      <w:bodyDiv w:val="1"/>
      <w:marLeft w:val="0"/>
      <w:marRight w:val="0"/>
      <w:marTop w:val="0"/>
      <w:marBottom w:val="0"/>
      <w:divBdr>
        <w:top w:val="none" w:sz="0" w:space="0" w:color="auto"/>
        <w:left w:val="none" w:sz="0" w:space="0" w:color="auto"/>
        <w:bottom w:val="none" w:sz="0" w:space="0" w:color="auto"/>
        <w:right w:val="none" w:sz="0" w:space="0" w:color="auto"/>
      </w:divBdr>
    </w:div>
    <w:div w:id="825165303">
      <w:bodyDiv w:val="1"/>
      <w:marLeft w:val="0"/>
      <w:marRight w:val="0"/>
      <w:marTop w:val="0"/>
      <w:marBottom w:val="0"/>
      <w:divBdr>
        <w:top w:val="none" w:sz="0" w:space="0" w:color="auto"/>
        <w:left w:val="none" w:sz="0" w:space="0" w:color="auto"/>
        <w:bottom w:val="none" w:sz="0" w:space="0" w:color="auto"/>
        <w:right w:val="none" w:sz="0" w:space="0" w:color="auto"/>
      </w:divBdr>
    </w:div>
    <w:div w:id="852912461">
      <w:bodyDiv w:val="1"/>
      <w:marLeft w:val="0"/>
      <w:marRight w:val="0"/>
      <w:marTop w:val="0"/>
      <w:marBottom w:val="0"/>
      <w:divBdr>
        <w:top w:val="none" w:sz="0" w:space="0" w:color="auto"/>
        <w:left w:val="none" w:sz="0" w:space="0" w:color="auto"/>
        <w:bottom w:val="none" w:sz="0" w:space="0" w:color="auto"/>
        <w:right w:val="none" w:sz="0" w:space="0" w:color="auto"/>
      </w:divBdr>
    </w:div>
    <w:div w:id="882867315">
      <w:bodyDiv w:val="1"/>
      <w:marLeft w:val="0"/>
      <w:marRight w:val="0"/>
      <w:marTop w:val="0"/>
      <w:marBottom w:val="0"/>
      <w:divBdr>
        <w:top w:val="none" w:sz="0" w:space="0" w:color="auto"/>
        <w:left w:val="none" w:sz="0" w:space="0" w:color="auto"/>
        <w:bottom w:val="none" w:sz="0" w:space="0" w:color="auto"/>
        <w:right w:val="none" w:sz="0" w:space="0" w:color="auto"/>
      </w:divBdr>
    </w:div>
    <w:div w:id="899752789">
      <w:bodyDiv w:val="1"/>
      <w:marLeft w:val="0"/>
      <w:marRight w:val="0"/>
      <w:marTop w:val="0"/>
      <w:marBottom w:val="0"/>
      <w:divBdr>
        <w:top w:val="none" w:sz="0" w:space="0" w:color="auto"/>
        <w:left w:val="none" w:sz="0" w:space="0" w:color="auto"/>
        <w:bottom w:val="none" w:sz="0" w:space="0" w:color="auto"/>
        <w:right w:val="none" w:sz="0" w:space="0" w:color="auto"/>
      </w:divBdr>
    </w:div>
    <w:div w:id="906378927">
      <w:bodyDiv w:val="1"/>
      <w:marLeft w:val="0"/>
      <w:marRight w:val="0"/>
      <w:marTop w:val="0"/>
      <w:marBottom w:val="0"/>
      <w:divBdr>
        <w:top w:val="none" w:sz="0" w:space="0" w:color="auto"/>
        <w:left w:val="none" w:sz="0" w:space="0" w:color="auto"/>
        <w:bottom w:val="none" w:sz="0" w:space="0" w:color="auto"/>
        <w:right w:val="none" w:sz="0" w:space="0" w:color="auto"/>
      </w:divBdr>
    </w:div>
    <w:div w:id="1009021704">
      <w:bodyDiv w:val="1"/>
      <w:marLeft w:val="0"/>
      <w:marRight w:val="0"/>
      <w:marTop w:val="0"/>
      <w:marBottom w:val="0"/>
      <w:divBdr>
        <w:top w:val="none" w:sz="0" w:space="0" w:color="auto"/>
        <w:left w:val="none" w:sz="0" w:space="0" w:color="auto"/>
        <w:bottom w:val="none" w:sz="0" w:space="0" w:color="auto"/>
        <w:right w:val="none" w:sz="0" w:space="0" w:color="auto"/>
      </w:divBdr>
    </w:div>
    <w:div w:id="1162937287">
      <w:bodyDiv w:val="1"/>
      <w:marLeft w:val="0"/>
      <w:marRight w:val="0"/>
      <w:marTop w:val="0"/>
      <w:marBottom w:val="0"/>
      <w:divBdr>
        <w:top w:val="none" w:sz="0" w:space="0" w:color="auto"/>
        <w:left w:val="none" w:sz="0" w:space="0" w:color="auto"/>
        <w:bottom w:val="none" w:sz="0" w:space="0" w:color="auto"/>
        <w:right w:val="none" w:sz="0" w:space="0" w:color="auto"/>
      </w:divBdr>
    </w:div>
    <w:div w:id="1206873034">
      <w:bodyDiv w:val="1"/>
      <w:marLeft w:val="0"/>
      <w:marRight w:val="0"/>
      <w:marTop w:val="0"/>
      <w:marBottom w:val="0"/>
      <w:divBdr>
        <w:top w:val="none" w:sz="0" w:space="0" w:color="auto"/>
        <w:left w:val="none" w:sz="0" w:space="0" w:color="auto"/>
        <w:bottom w:val="none" w:sz="0" w:space="0" w:color="auto"/>
        <w:right w:val="none" w:sz="0" w:space="0" w:color="auto"/>
      </w:divBdr>
    </w:div>
    <w:div w:id="1213691248">
      <w:bodyDiv w:val="1"/>
      <w:marLeft w:val="0"/>
      <w:marRight w:val="0"/>
      <w:marTop w:val="0"/>
      <w:marBottom w:val="0"/>
      <w:divBdr>
        <w:top w:val="none" w:sz="0" w:space="0" w:color="auto"/>
        <w:left w:val="none" w:sz="0" w:space="0" w:color="auto"/>
        <w:bottom w:val="none" w:sz="0" w:space="0" w:color="auto"/>
        <w:right w:val="none" w:sz="0" w:space="0" w:color="auto"/>
      </w:divBdr>
    </w:div>
    <w:div w:id="1234391368">
      <w:bodyDiv w:val="1"/>
      <w:marLeft w:val="0"/>
      <w:marRight w:val="0"/>
      <w:marTop w:val="0"/>
      <w:marBottom w:val="0"/>
      <w:divBdr>
        <w:top w:val="none" w:sz="0" w:space="0" w:color="auto"/>
        <w:left w:val="none" w:sz="0" w:space="0" w:color="auto"/>
        <w:bottom w:val="none" w:sz="0" w:space="0" w:color="auto"/>
        <w:right w:val="none" w:sz="0" w:space="0" w:color="auto"/>
      </w:divBdr>
    </w:div>
    <w:div w:id="1247419890">
      <w:bodyDiv w:val="1"/>
      <w:marLeft w:val="0"/>
      <w:marRight w:val="0"/>
      <w:marTop w:val="0"/>
      <w:marBottom w:val="0"/>
      <w:divBdr>
        <w:top w:val="none" w:sz="0" w:space="0" w:color="auto"/>
        <w:left w:val="none" w:sz="0" w:space="0" w:color="auto"/>
        <w:bottom w:val="none" w:sz="0" w:space="0" w:color="auto"/>
        <w:right w:val="none" w:sz="0" w:space="0" w:color="auto"/>
      </w:divBdr>
    </w:div>
    <w:div w:id="1250844620">
      <w:bodyDiv w:val="1"/>
      <w:marLeft w:val="0"/>
      <w:marRight w:val="0"/>
      <w:marTop w:val="0"/>
      <w:marBottom w:val="0"/>
      <w:divBdr>
        <w:top w:val="none" w:sz="0" w:space="0" w:color="auto"/>
        <w:left w:val="none" w:sz="0" w:space="0" w:color="auto"/>
        <w:bottom w:val="none" w:sz="0" w:space="0" w:color="auto"/>
        <w:right w:val="none" w:sz="0" w:space="0" w:color="auto"/>
      </w:divBdr>
    </w:div>
    <w:div w:id="1349021901">
      <w:bodyDiv w:val="1"/>
      <w:marLeft w:val="0"/>
      <w:marRight w:val="0"/>
      <w:marTop w:val="0"/>
      <w:marBottom w:val="0"/>
      <w:divBdr>
        <w:top w:val="none" w:sz="0" w:space="0" w:color="auto"/>
        <w:left w:val="none" w:sz="0" w:space="0" w:color="auto"/>
        <w:bottom w:val="none" w:sz="0" w:space="0" w:color="auto"/>
        <w:right w:val="none" w:sz="0" w:space="0" w:color="auto"/>
      </w:divBdr>
    </w:div>
    <w:div w:id="1470051866">
      <w:bodyDiv w:val="1"/>
      <w:marLeft w:val="0"/>
      <w:marRight w:val="0"/>
      <w:marTop w:val="0"/>
      <w:marBottom w:val="0"/>
      <w:divBdr>
        <w:top w:val="none" w:sz="0" w:space="0" w:color="auto"/>
        <w:left w:val="none" w:sz="0" w:space="0" w:color="auto"/>
        <w:bottom w:val="none" w:sz="0" w:space="0" w:color="auto"/>
        <w:right w:val="none" w:sz="0" w:space="0" w:color="auto"/>
      </w:divBdr>
    </w:div>
    <w:div w:id="1500998754">
      <w:bodyDiv w:val="1"/>
      <w:marLeft w:val="0"/>
      <w:marRight w:val="0"/>
      <w:marTop w:val="0"/>
      <w:marBottom w:val="0"/>
      <w:divBdr>
        <w:top w:val="none" w:sz="0" w:space="0" w:color="auto"/>
        <w:left w:val="none" w:sz="0" w:space="0" w:color="auto"/>
        <w:bottom w:val="none" w:sz="0" w:space="0" w:color="auto"/>
        <w:right w:val="none" w:sz="0" w:space="0" w:color="auto"/>
      </w:divBdr>
    </w:div>
    <w:div w:id="1501193830">
      <w:bodyDiv w:val="1"/>
      <w:marLeft w:val="0"/>
      <w:marRight w:val="0"/>
      <w:marTop w:val="0"/>
      <w:marBottom w:val="0"/>
      <w:divBdr>
        <w:top w:val="none" w:sz="0" w:space="0" w:color="auto"/>
        <w:left w:val="none" w:sz="0" w:space="0" w:color="auto"/>
        <w:bottom w:val="none" w:sz="0" w:space="0" w:color="auto"/>
        <w:right w:val="none" w:sz="0" w:space="0" w:color="auto"/>
      </w:divBdr>
    </w:div>
    <w:div w:id="1514881878">
      <w:bodyDiv w:val="1"/>
      <w:marLeft w:val="0"/>
      <w:marRight w:val="0"/>
      <w:marTop w:val="0"/>
      <w:marBottom w:val="0"/>
      <w:divBdr>
        <w:top w:val="none" w:sz="0" w:space="0" w:color="auto"/>
        <w:left w:val="none" w:sz="0" w:space="0" w:color="auto"/>
        <w:bottom w:val="none" w:sz="0" w:space="0" w:color="auto"/>
        <w:right w:val="none" w:sz="0" w:space="0" w:color="auto"/>
      </w:divBdr>
    </w:div>
    <w:div w:id="1515731997">
      <w:bodyDiv w:val="1"/>
      <w:marLeft w:val="0"/>
      <w:marRight w:val="0"/>
      <w:marTop w:val="0"/>
      <w:marBottom w:val="0"/>
      <w:divBdr>
        <w:top w:val="none" w:sz="0" w:space="0" w:color="auto"/>
        <w:left w:val="none" w:sz="0" w:space="0" w:color="auto"/>
        <w:bottom w:val="none" w:sz="0" w:space="0" w:color="auto"/>
        <w:right w:val="none" w:sz="0" w:space="0" w:color="auto"/>
      </w:divBdr>
    </w:div>
    <w:div w:id="1527134224">
      <w:bodyDiv w:val="1"/>
      <w:marLeft w:val="0"/>
      <w:marRight w:val="0"/>
      <w:marTop w:val="0"/>
      <w:marBottom w:val="0"/>
      <w:divBdr>
        <w:top w:val="none" w:sz="0" w:space="0" w:color="auto"/>
        <w:left w:val="none" w:sz="0" w:space="0" w:color="auto"/>
        <w:bottom w:val="none" w:sz="0" w:space="0" w:color="auto"/>
        <w:right w:val="none" w:sz="0" w:space="0" w:color="auto"/>
      </w:divBdr>
    </w:div>
    <w:div w:id="1602758904">
      <w:bodyDiv w:val="1"/>
      <w:marLeft w:val="0"/>
      <w:marRight w:val="0"/>
      <w:marTop w:val="0"/>
      <w:marBottom w:val="0"/>
      <w:divBdr>
        <w:top w:val="none" w:sz="0" w:space="0" w:color="auto"/>
        <w:left w:val="none" w:sz="0" w:space="0" w:color="auto"/>
        <w:bottom w:val="none" w:sz="0" w:space="0" w:color="auto"/>
        <w:right w:val="none" w:sz="0" w:space="0" w:color="auto"/>
      </w:divBdr>
    </w:div>
    <w:div w:id="1638149921">
      <w:bodyDiv w:val="1"/>
      <w:marLeft w:val="0"/>
      <w:marRight w:val="0"/>
      <w:marTop w:val="0"/>
      <w:marBottom w:val="0"/>
      <w:divBdr>
        <w:top w:val="none" w:sz="0" w:space="0" w:color="auto"/>
        <w:left w:val="none" w:sz="0" w:space="0" w:color="auto"/>
        <w:bottom w:val="none" w:sz="0" w:space="0" w:color="auto"/>
        <w:right w:val="none" w:sz="0" w:space="0" w:color="auto"/>
      </w:divBdr>
    </w:div>
    <w:div w:id="1655990949">
      <w:bodyDiv w:val="1"/>
      <w:marLeft w:val="0"/>
      <w:marRight w:val="0"/>
      <w:marTop w:val="0"/>
      <w:marBottom w:val="0"/>
      <w:divBdr>
        <w:top w:val="none" w:sz="0" w:space="0" w:color="auto"/>
        <w:left w:val="none" w:sz="0" w:space="0" w:color="auto"/>
        <w:bottom w:val="none" w:sz="0" w:space="0" w:color="auto"/>
        <w:right w:val="none" w:sz="0" w:space="0" w:color="auto"/>
      </w:divBdr>
    </w:div>
    <w:div w:id="1667510715">
      <w:bodyDiv w:val="1"/>
      <w:marLeft w:val="0"/>
      <w:marRight w:val="0"/>
      <w:marTop w:val="0"/>
      <w:marBottom w:val="0"/>
      <w:divBdr>
        <w:top w:val="none" w:sz="0" w:space="0" w:color="auto"/>
        <w:left w:val="none" w:sz="0" w:space="0" w:color="auto"/>
        <w:bottom w:val="none" w:sz="0" w:space="0" w:color="auto"/>
        <w:right w:val="none" w:sz="0" w:space="0" w:color="auto"/>
      </w:divBdr>
    </w:div>
    <w:div w:id="1696149336">
      <w:bodyDiv w:val="1"/>
      <w:marLeft w:val="0"/>
      <w:marRight w:val="0"/>
      <w:marTop w:val="0"/>
      <w:marBottom w:val="0"/>
      <w:divBdr>
        <w:top w:val="none" w:sz="0" w:space="0" w:color="auto"/>
        <w:left w:val="none" w:sz="0" w:space="0" w:color="auto"/>
        <w:bottom w:val="none" w:sz="0" w:space="0" w:color="auto"/>
        <w:right w:val="none" w:sz="0" w:space="0" w:color="auto"/>
      </w:divBdr>
    </w:div>
    <w:div w:id="1785077441">
      <w:bodyDiv w:val="1"/>
      <w:marLeft w:val="0"/>
      <w:marRight w:val="0"/>
      <w:marTop w:val="0"/>
      <w:marBottom w:val="0"/>
      <w:divBdr>
        <w:top w:val="none" w:sz="0" w:space="0" w:color="auto"/>
        <w:left w:val="none" w:sz="0" w:space="0" w:color="auto"/>
        <w:bottom w:val="none" w:sz="0" w:space="0" w:color="auto"/>
        <w:right w:val="none" w:sz="0" w:space="0" w:color="auto"/>
      </w:divBdr>
    </w:div>
    <w:div w:id="1790002835">
      <w:bodyDiv w:val="1"/>
      <w:marLeft w:val="0"/>
      <w:marRight w:val="0"/>
      <w:marTop w:val="0"/>
      <w:marBottom w:val="0"/>
      <w:divBdr>
        <w:top w:val="none" w:sz="0" w:space="0" w:color="auto"/>
        <w:left w:val="none" w:sz="0" w:space="0" w:color="auto"/>
        <w:bottom w:val="none" w:sz="0" w:space="0" w:color="auto"/>
        <w:right w:val="none" w:sz="0" w:space="0" w:color="auto"/>
      </w:divBdr>
    </w:div>
    <w:div w:id="1813981765">
      <w:bodyDiv w:val="1"/>
      <w:marLeft w:val="0"/>
      <w:marRight w:val="0"/>
      <w:marTop w:val="0"/>
      <w:marBottom w:val="0"/>
      <w:divBdr>
        <w:top w:val="none" w:sz="0" w:space="0" w:color="auto"/>
        <w:left w:val="none" w:sz="0" w:space="0" w:color="auto"/>
        <w:bottom w:val="none" w:sz="0" w:space="0" w:color="auto"/>
        <w:right w:val="none" w:sz="0" w:space="0" w:color="auto"/>
      </w:divBdr>
    </w:div>
    <w:div w:id="1870097164">
      <w:bodyDiv w:val="1"/>
      <w:marLeft w:val="0"/>
      <w:marRight w:val="0"/>
      <w:marTop w:val="0"/>
      <w:marBottom w:val="0"/>
      <w:divBdr>
        <w:top w:val="none" w:sz="0" w:space="0" w:color="auto"/>
        <w:left w:val="none" w:sz="0" w:space="0" w:color="auto"/>
        <w:bottom w:val="none" w:sz="0" w:space="0" w:color="auto"/>
        <w:right w:val="none" w:sz="0" w:space="0" w:color="auto"/>
      </w:divBdr>
      <w:divsChild>
        <w:div w:id="1579092809">
          <w:marLeft w:val="0"/>
          <w:marRight w:val="0"/>
          <w:marTop w:val="0"/>
          <w:marBottom w:val="0"/>
          <w:divBdr>
            <w:top w:val="none" w:sz="0" w:space="0" w:color="auto"/>
            <w:left w:val="none" w:sz="0" w:space="0" w:color="auto"/>
            <w:bottom w:val="none" w:sz="0" w:space="0" w:color="auto"/>
            <w:right w:val="none" w:sz="0" w:space="0" w:color="auto"/>
          </w:divBdr>
        </w:div>
      </w:divsChild>
    </w:div>
    <w:div w:id="1876503361">
      <w:bodyDiv w:val="1"/>
      <w:marLeft w:val="0"/>
      <w:marRight w:val="0"/>
      <w:marTop w:val="0"/>
      <w:marBottom w:val="0"/>
      <w:divBdr>
        <w:top w:val="none" w:sz="0" w:space="0" w:color="auto"/>
        <w:left w:val="none" w:sz="0" w:space="0" w:color="auto"/>
        <w:bottom w:val="none" w:sz="0" w:space="0" w:color="auto"/>
        <w:right w:val="none" w:sz="0" w:space="0" w:color="auto"/>
      </w:divBdr>
    </w:div>
    <w:div w:id="1882863165">
      <w:bodyDiv w:val="1"/>
      <w:marLeft w:val="0"/>
      <w:marRight w:val="0"/>
      <w:marTop w:val="0"/>
      <w:marBottom w:val="0"/>
      <w:divBdr>
        <w:top w:val="none" w:sz="0" w:space="0" w:color="auto"/>
        <w:left w:val="none" w:sz="0" w:space="0" w:color="auto"/>
        <w:bottom w:val="none" w:sz="0" w:space="0" w:color="auto"/>
        <w:right w:val="none" w:sz="0" w:space="0" w:color="auto"/>
      </w:divBdr>
    </w:div>
    <w:div w:id="1907759278">
      <w:bodyDiv w:val="1"/>
      <w:marLeft w:val="0"/>
      <w:marRight w:val="0"/>
      <w:marTop w:val="0"/>
      <w:marBottom w:val="0"/>
      <w:divBdr>
        <w:top w:val="none" w:sz="0" w:space="0" w:color="auto"/>
        <w:left w:val="none" w:sz="0" w:space="0" w:color="auto"/>
        <w:bottom w:val="none" w:sz="0" w:space="0" w:color="auto"/>
        <w:right w:val="none" w:sz="0" w:space="0" w:color="auto"/>
      </w:divBdr>
    </w:div>
    <w:div w:id="1911303619">
      <w:bodyDiv w:val="1"/>
      <w:marLeft w:val="0"/>
      <w:marRight w:val="0"/>
      <w:marTop w:val="0"/>
      <w:marBottom w:val="0"/>
      <w:divBdr>
        <w:top w:val="none" w:sz="0" w:space="0" w:color="auto"/>
        <w:left w:val="none" w:sz="0" w:space="0" w:color="auto"/>
        <w:bottom w:val="none" w:sz="0" w:space="0" w:color="auto"/>
        <w:right w:val="none" w:sz="0" w:space="0" w:color="auto"/>
      </w:divBdr>
    </w:div>
    <w:div w:id="1965773356">
      <w:bodyDiv w:val="1"/>
      <w:marLeft w:val="0"/>
      <w:marRight w:val="0"/>
      <w:marTop w:val="0"/>
      <w:marBottom w:val="0"/>
      <w:divBdr>
        <w:top w:val="none" w:sz="0" w:space="0" w:color="auto"/>
        <w:left w:val="none" w:sz="0" w:space="0" w:color="auto"/>
        <w:bottom w:val="none" w:sz="0" w:space="0" w:color="auto"/>
        <w:right w:val="none" w:sz="0" w:space="0" w:color="auto"/>
      </w:divBdr>
    </w:div>
    <w:div w:id="1966227286">
      <w:bodyDiv w:val="1"/>
      <w:marLeft w:val="0"/>
      <w:marRight w:val="0"/>
      <w:marTop w:val="0"/>
      <w:marBottom w:val="0"/>
      <w:divBdr>
        <w:top w:val="none" w:sz="0" w:space="0" w:color="auto"/>
        <w:left w:val="none" w:sz="0" w:space="0" w:color="auto"/>
        <w:bottom w:val="none" w:sz="0" w:space="0" w:color="auto"/>
        <w:right w:val="none" w:sz="0" w:space="0" w:color="auto"/>
      </w:divBdr>
    </w:div>
    <w:div w:id="1969699493">
      <w:bodyDiv w:val="1"/>
      <w:marLeft w:val="0"/>
      <w:marRight w:val="0"/>
      <w:marTop w:val="0"/>
      <w:marBottom w:val="0"/>
      <w:divBdr>
        <w:top w:val="none" w:sz="0" w:space="0" w:color="auto"/>
        <w:left w:val="none" w:sz="0" w:space="0" w:color="auto"/>
        <w:bottom w:val="none" w:sz="0" w:space="0" w:color="auto"/>
        <w:right w:val="none" w:sz="0" w:space="0" w:color="auto"/>
      </w:divBdr>
    </w:div>
    <w:div w:id="1989895645">
      <w:bodyDiv w:val="1"/>
      <w:marLeft w:val="0"/>
      <w:marRight w:val="0"/>
      <w:marTop w:val="0"/>
      <w:marBottom w:val="0"/>
      <w:divBdr>
        <w:top w:val="none" w:sz="0" w:space="0" w:color="auto"/>
        <w:left w:val="none" w:sz="0" w:space="0" w:color="auto"/>
        <w:bottom w:val="none" w:sz="0" w:space="0" w:color="auto"/>
        <w:right w:val="none" w:sz="0" w:space="0" w:color="auto"/>
      </w:divBdr>
    </w:div>
    <w:div w:id="1992176276">
      <w:bodyDiv w:val="1"/>
      <w:marLeft w:val="0"/>
      <w:marRight w:val="0"/>
      <w:marTop w:val="0"/>
      <w:marBottom w:val="0"/>
      <w:divBdr>
        <w:top w:val="none" w:sz="0" w:space="0" w:color="auto"/>
        <w:left w:val="none" w:sz="0" w:space="0" w:color="auto"/>
        <w:bottom w:val="none" w:sz="0" w:space="0" w:color="auto"/>
        <w:right w:val="none" w:sz="0" w:space="0" w:color="auto"/>
      </w:divBdr>
    </w:div>
    <w:div w:id="2029257100">
      <w:bodyDiv w:val="1"/>
      <w:marLeft w:val="0"/>
      <w:marRight w:val="0"/>
      <w:marTop w:val="0"/>
      <w:marBottom w:val="0"/>
      <w:divBdr>
        <w:top w:val="none" w:sz="0" w:space="0" w:color="auto"/>
        <w:left w:val="none" w:sz="0" w:space="0" w:color="auto"/>
        <w:bottom w:val="none" w:sz="0" w:space="0" w:color="auto"/>
        <w:right w:val="none" w:sz="0" w:space="0" w:color="auto"/>
      </w:divBdr>
    </w:div>
    <w:div w:id="2058161716">
      <w:bodyDiv w:val="1"/>
      <w:marLeft w:val="0"/>
      <w:marRight w:val="0"/>
      <w:marTop w:val="0"/>
      <w:marBottom w:val="0"/>
      <w:divBdr>
        <w:top w:val="none" w:sz="0" w:space="0" w:color="auto"/>
        <w:left w:val="none" w:sz="0" w:space="0" w:color="auto"/>
        <w:bottom w:val="none" w:sz="0" w:space="0" w:color="auto"/>
        <w:right w:val="none" w:sz="0" w:space="0" w:color="auto"/>
      </w:divBdr>
    </w:div>
    <w:div w:id="2117603394">
      <w:bodyDiv w:val="1"/>
      <w:marLeft w:val="0"/>
      <w:marRight w:val="0"/>
      <w:marTop w:val="0"/>
      <w:marBottom w:val="0"/>
      <w:divBdr>
        <w:top w:val="none" w:sz="0" w:space="0" w:color="auto"/>
        <w:left w:val="none" w:sz="0" w:space="0" w:color="auto"/>
        <w:bottom w:val="none" w:sz="0" w:space="0" w:color="auto"/>
        <w:right w:val="none" w:sz="0" w:space="0" w:color="auto"/>
      </w:divBdr>
    </w:div>
    <w:div w:id="212337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cessdata.fda.gov/scripts/cder/drugsatfda/index.cfm"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rdrr.io/cran/glmmTMB/f/inst/doc/glmmTMB.pdf" TargetMode="Externa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whocc.no/atc/structure_and_principles/"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ugdiscoverytrends.com/risk-of-failure-pushes-first-in-class-innovations-as-key-strategy-for-pharma-compani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orbes.com/sites/johnlamattina/2018/01/23/about-those-soaring-pharma-profi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ospace.com/article/abbvie-finally-dumps-rova-t-after-another-clinical-failure/"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skilton\AppData\Roaming\Microsoft\Templates\AMJ.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C5B878757C6144B104C5E4029E0BB6" ma:contentTypeVersion="15" ma:contentTypeDescription="Create a new document." ma:contentTypeScope="" ma:versionID="2a9913b25ab7d9e48cba7933cf77944f">
  <xsd:schema xmlns:xsd="http://www.w3.org/2001/XMLSchema" xmlns:xs="http://www.w3.org/2001/XMLSchema" xmlns:p="http://schemas.microsoft.com/office/2006/metadata/properties" xmlns:ns1="http://schemas.microsoft.com/sharepoint/v3" xmlns:ns3="0b01a07b-8d13-4cb5-9d22-64822278069e" xmlns:ns4="198a9f0d-948e-4f5a-af70-f6d2f30972cd" targetNamespace="http://schemas.microsoft.com/office/2006/metadata/properties" ma:root="true" ma:fieldsID="1d9071138d0a30f9dcb94add7c0a0d34" ns1:_="" ns3:_="" ns4:_="">
    <xsd:import namespace="http://schemas.microsoft.com/sharepoint/v3"/>
    <xsd:import namespace="0b01a07b-8d13-4cb5-9d22-64822278069e"/>
    <xsd:import namespace="198a9f0d-948e-4f5a-af70-f6d2f30972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01a07b-8d13-4cb5-9d22-6482227806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a9f0d-948e-4f5a-af70-f6d2f30972c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855E6-2707-47F1-ABA4-03E5ED569A8F}">
  <ds:schemaRefs>
    <ds:schemaRef ds:uri="http://schemas.microsoft.com/sharepoint/v3/contenttype/forms"/>
  </ds:schemaRefs>
</ds:datastoreItem>
</file>

<file path=customXml/itemProps2.xml><?xml version="1.0" encoding="utf-8"?>
<ds:datastoreItem xmlns:ds="http://schemas.openxmlformats.org/officeDocument/2006/customXml" ds:itemID="{0015D70F-1D71-4798-99EB-F3FD6006A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01a07b-8d13-4cb5-9d22-64822278069e"/>
    <ds:schemaRef ds:uri="198a9f0d-948e-4f5a-af70-f6d2f3097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F3920F-D425-4501-947B-21F0D1595FE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CC94B05-BB87-4293-BFE1-6D21A17E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AMJ</Template>
  <TotalTime>1</TotalTime>
  <Pages>43</Pages>
  <Words>11312</Words>
  <Characters>68368</Characters>
  <Application>Microsoft Office Word</Application>
  <DocSecurity>4</DocSecurity>
  <Lines>1519</Lines>
  <Paragraphs>751</Paragraphs>
  <ScaleCrop>false</ScaleCrop>
  <HeadingPairs>
    <vt:vector size="2" baseType="variant">
      <vt:variant>
        <vt:lpstr>Title</vt:lpstr>
      </vt:variant>
      <vt:variant>
        <vt:i4>1</vt:i4>
      </vt:variant>
    </vt:vector>
  </HeadingPairs>
  <TitlesOfParts>
    <vt:vector size="1" baseType="lpstr">
      <vt:lpstr>Innovation, imitation and Network positions: Patterns of market Entry in a global industry</vt:lpstr>
    </vt:vector>
  </TitlesOfParts>
  <Manager/>
  <Company>Home</Company>
  <LinksUpToDate>false</LinksUpToDate>
  <CharactersWithSpaces>78929</CharactersWithSpaces>
  <SharedDoc>false</SharedDoc>
  <HyperlinkBase/>
  <HLinks>
    <vt:vector size="30" baseType="variant">
      <vt:variant>
        <vt:i4>1638470</vt:i4>
      </vt:variant>
      <vt:variant>
        <vt:i4>12</vt:i4>
      </vt:variant>
      <vt:variant>
        <vt:i4>0</vt:i4>
      </vt:variant>
      <vt:variant>
        <vt:i4>5</vt:i4>
      </vt:variant>
      <vt:variant>
        <vt:lpwstr>http://w3.lexisnexis.com/dossier</vt:lpwstr>
      </vt:variant>
      <vt:variant>
        <vt:lpwstr/>
      </vt:variant>
      <vt:variant>
        <vt:i4>262150</vt:i4>
      </vt:variant>
      <vt:variant>
        <vt:i4>9</vt:i4>
      </vt:variant>
      <vt:variant>
        <vt:i4>0</vt:i4>
      </vt:variant>
      <vt:variant>
        <vt:i4>5</vt:i4>
      </vt:variant>
      <vt:variant>
        <vt:lpwstr>http://nces.ed.gov/ipeds/</vt:lpwstr>
      </vt:variant>
      <vt:variant>
        <vt:lpwstr/>
      </vt:variant>
      <vt:variant>
        <vt:i4>983156</vt:i4>
      </vt:variant>
      <vt:variant>
        <vt:i4>6</vt:i4>
      </vt:variant>
      <vt:variant>
        <vt:i4>0</vt:i4>
      </vt:variant>
      <vt:variant>
        <vt:i4>5</vt:i4>
      </vt:variant>
      <vt:variant>
        <vt:lpwstr>http://www.faa.gov/licenses_certificates/aircraft_certification/aircraft_registry/releasable_aircraft_download/</vt:lpwstr>
      </vt:variant>
      <vt:variant>
        <vt:lpwstr/>
      </vt:variant>
      <vt:variant>
        <vt:i4>327718</vt:i4>
      </vt:variant>
      <vt:variant>
        <vt:i4>3</vt:i4>
      </vt:variant>
      <vt:variant>
        <vt:i4>0</vt:i4>
      </vt:variant>
      <vt:variant>
        <vt:i4>5</vt:i4>
      </vt:variant>
      <vt:variant>
        <vt:lpwstr>http://rgl.faa.gov/Regulatory_and_Guidance_Library/rgMakeModel.nsf/Frameset?OpenPage</vt:lpwstr>
      </vt:variant>
      <vt:variant>
        <vt:lpwstr/>
      </vt:variant>
      <vt:variant>
        <vt:i4>4128772</vt:i4>
      </vt:variant>
      <vt:variant>
        <vt:i4>0</vt:i4>
      </vt:variant>
      <vt:variant>
        <vt:i4>0</vt:i4>
      </vt:variant>
      <vt:variant>
        <vt:i4>5</vt:i4>
      </vt:variant>
      <vt:variant>
        <vt:lpwstr>http://rgl.faa.gov/Regulatory_and_Guidance_Library/rgSTC.nsf/MainFrame?OpenFrameSet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imitation and Network positions: Patterns of market Entry in a global industry</dc:title>
  <dc:subject/>
  <dc:creator>Anon</dc:creator>
  <cp:keywords/>
  <dc:description/>
  <cp:lastModifiedBy>Li, Mei</cp:lastModifiedBy>
  <cp:revision>2</cp:revision>
  <cp:lastPrinted>2019-10-31T20:49:00Z</cp:lastPrinted>
  <dcterms:created xsi:type="dcterms:W3CDTF">2021-09-15T15:31:00Z</dcterms:created>
  <dcterms:modified xsi:type="dcterms:W3CDTF">2021-09-15T15:31:00Z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0x010100C2C5B878757C6144B104C5E4029E0BB6</vt:lpwstr>
  </property>
</Properties>
</file>